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0EE09" w14:textId="28A87B69" w:rsidR="00DB7414" w:rsidRPr="00DB7414" w:rsidRDefault="00DB7414">
      <w:pPr>
        <w:rPr>
          <w:b/>
          <w:bCs/>
          <w:sz w:val="28"/>
          <w:szCs w:val="28"/>
        </w:rPr>
      </w:pPr>
      <w:r w:rsidRPr="00DB7414">
        <w:rPr>
          <w:b/>
          <w:bCs/>
          <w:sz w:val="28"/>
          <w:szCs w:val="28"/>
        </w:rPr>
        <w:t xml:space="preserve">Excerpt from </w:t>
      </w:r>
      <w:r w:rsidRPr="00DB7414">
        <w:rPr>
          <w:b/>
          <w:bCs/>
          <w:i/>
          <w:iCs/>
          <w:sz w:val="28"/>
          <w:szCs w:val="28"/>
        </w:rPr>
        <w:t>An Introduction to Christian Theology</w:t>
      </w:r>
      <w:r w:rsidRPr="00DB7414">
        <w:rPr>
          <w:b/>
          <w:bCs/>
          <w:sz w:val="28"/>
          <w:szCs w:val="28"/>
        </w:rPr>
        <w:t>, Anthony Towey</w:t>
      </w:r>
    </w:p>
    <w:p w14:paraId="1C6A14F6" w14:textId="0655169B" w:rsidR="000F56A3" w:rsidRPr="00F56313" w:rsidRDefault="00AF0352">
      <w:pPr>
        <w:rPr>
          <w:b/>
          <w:bCs/>
        </w:rPr>
      </w:pPr>
      <w:r w:rsidRPr="00F56313">
        <w:rPr>
          <w:b/>
          <w:bCs/>
        </w:rPr>
        <w:t>Introducing Adam and Eve</w:t>
      </w:r>
    </w:p>
    <w:p w14:paraId="52D11583" w14:textId="5D4BE97D" w:rsidR="00AF0352" w:rsidRDefault="00AF0352" w:rsidP="005C12BE">
      <w:pPr>
        <w:jc w:val="both"/>
      </w:pPr>
      <w:r>
        <w:t xml:space="preserve">The second poem of creation and human origin runs from Gen 2:5-3:24, where </w:t>
      </w:r>
      <w:r w:rsidRPr="00DB7414">
        <w:rPr>
          <w:highlight w:val="yellow"/>
        </w:rPr>
        <w:t>we see a different picture of God and a more intimate view of humanity</w:t>
      </w:r>
      <w:r>
        <w:t xml:space="preserve">. The vivid story of Adam and Eve is one of the most misunderstood passages of the Bible and to this day, heated arguments about ‘whether it actually happened’ still survive…But far from being a ‘myth’ which can be dismissed, the story of Adam and Eve is </w:t>
      </w:r>
      <w:r w:rsidRPr="00AF0352">
        <w:rPr>
          <w:i/>
          <w:iCs/>
        </w:rPr>
        <w:t>disconcertingly</w:t>
      </w:r>
      <w:r>
        <w:t xml:space="preserve"> </w:t>
      </w:r>
      <w:r w:rsidRPr="00AF0352">
        <w:rPr>
          <w:i/>
          <w:iCs/>
        </w:rPr>
        <w:t>true</w:t>
      </w:r>
      <w:r w:rsidRPr="00DB7414">
        <w:rPr>
          <w:highlight w:val="yellow"/>
        </w:rPr>
        <w:t xml:space="preserve">. It </w:t>
      </w:r>
      <w:r w:rsidR="005C12BE" w:rsidRPr="00DB7414">
        <w:rPr>
          <w:highlight w:val="yellow"/>
        </w:rPr>
        <w:t>typifies a type of literature common in the ancient world known as ‘aetiology’ – vivid explanations as to ‘why things are the way they are’. Like parables, the key to writing does not lie in the factual force of the story</w:t>
      </w:r>
      <w:r w:rsidR="005C12BE">
        <w:t xml:space="preserve">. For example, listeners rarely worry about exactly where, when or even whether the Good Samaritan performed his heroics in Jesus’ famous parable from Luke 10:25-37 – the challenge to break down ethnic and religious barriers is clear. In a similar fashion, </w:t>
      </w:r>
      <w:r w:rsidR="005C12BE" w:rsidRPr="00DB7414">
        <w:rPr>
          <w:highlight w:val="yellow"/>
        </w:rPr>
        <w:t xml:space="preserve">a thoughtful reading of the poems of </w:t>
      </w:r>
      <w:proofErr w:type="gramStart"/>
      <w:r w:rsidR="005C12BE" w:rsidRPr="00DB7414">
        <w:rPr>
          <w:highlight w:val="yellow"/>
        </w:rPr>
        <w:t>Genesis</w:t>
      </w:r>
      <w:proofErr w:type="gramEnd"/>
      <w:r w:rsidR="005C12BE" w:rsidRPr="00DB7414">
        <w:rPr>
          <w:highlight w:val="yellow"/>
        </w:rPr>
        <w:t xml:space="preserve"> 2 and 3 reveal rich theological themes which, through the prism of ancient writing, sheds piercing light on our alienation from our God, our earth and ourselves</w:t>
      </w:r>
      <w:r w:rsidR="005C12BE">
        <w:t>.</w:t>
      </w:r>
    </w:p>
    <w:p w14:paraId="4A57A362" w14:textId="5D5D9269" w:rsidR="005C12BE" w:rsidRPr="00DB7414" w:rsidRDefault="005C12BE" w:rsidP="005C12BE">
      <w:pPr>
        <w:jc w:val="both"/>
        <w:rPr>
          <w:highlight w:val="yellow"/>
        </w:rPr>
      </w:pPr>
      <w:r>
        <w:t xml:space="preserve">In this second description of beginnings, </w:t>
      </w:r>
      <w:r w:rsidRPr="00DB7414">
        <w:rPr>
          <w:highlight w:val="yellow"/>
        </w:rPr>
        <w:t xml:space="preserve">God prepares an earth pregnant with life, but it seems to hint that a human being might be of </w:t>
      </w:r>
      <w:r w:rsidR="008A42A4" w:rsidRPr="00DB7414">
        <w:rPr>
          <w:highlight w:val="yellow"/>
        </w:rPr>
        <w:t>some</w:t>
      </w:r>
      <w:r w:rsidRPr="00DB7414">
        <w:rPr>
          <w:highlight w:val="yellow"/>
        </w:rPr>
        <w:t xml:space="preserve"> help to till the soil (2:5)</w:t>
      </w:r>
      <w:r w:rsidR="008A42A4">
        <w:t xml:space="preserve">. Here there is an echo of the Mesopotamian myth which says that man was created to till the earth because the gods were so lazy. God doesn’t seem to have that motive here, and </w:t>
      </w:r>
      <w:r w:rsidR="008A42A4" w:rsidRPr="00DB7414">
        <w:rPr>
          <w:highlight w:val="yellow"/>
        </w:rPr>
        <w:t>nature is arguably in harmony with the project as a mist rises from the earth to water the land</w:t>
      </w:r>
      <w:r w:rsidR="008A42A4">
        <w:t xml:space="preserve">. </w:t>
      </w:r>
      <w:r w:rsidR="008A42A4" w:rsidRPr="00DB7414">
        <w:rPr>
          <w:highlight w:val="yellow"/>
        </w:rPr>
        <w:t>God’s action in verse 7 is to create human beings</w:t>
      </w:r>
      <w:r w:rsidR="008A42A4">
        <w:t xml:space="preserve"> and most translations will say that ‘God created man from the dust of the earth’ – or some such thing. Perhaps to frame our thinking a little better we need to note that </w:t>
      </w:r>
      <w:r w:rsidR="008A42A4" w:rsidRPr="00DB7414">
        <w:rPr>
          <w:highlight w:val="yellow"/>
        </w:rPr>
        <w:t xml:space="preserve">the Hebrew says that God created </w:t>
      </w:r>
      <w:r w:rsidR="008A42A4" w:rsidRPr="00DB7414">
        <w:rPr>
          <w:i/>
          <w:iCs/>
          <w:highlight w:val="yellow"/>
        </w:rPr>
        <w:t>Adam</w:t>
      </w:r>
      <w:r w:rsidR="008A42A4" w:rsidRPr="00DB7414">
        <w:rPr>
          <w:highlight w:val="yellow"/>
        </w:rPr>
        <w:t xml:space="preserve"> from the </w:t>
      </w:r>
      <w:r w:rsidR="008A42A4" w:rsidRPr="00DB7414">
        <w:rPr>
          <w:i/>
          <w:iCs/>
          <w:highlight w:val="yellow"/>
        </w:rPr>
        <w:t>Admah</w:t>
      </w:r>
      <w:r w:rsidR="008A42A4" w:rsidRPr="00DB7414">
        <w:rPr>
          <w:highlight w:val="yellow"/>
        </w:rPr>
        <w:t xml:space="preserve"> – there is hardly any difference between the name for man and the word for red-brown soil. To drive this home, it might be better to translate this as:</w:t>
      </w:r>
    </w:p>
    <w:p w14:paraId="089D428D" w14:textId="09274E54" w:rsidR="008A42A4" w:rsidRDefault="008A42A4" w:rsidP="008A42A4">
      <w:pPr>
        <w:ind w:left="720"/>
        <w:jc w:val="both"/>
      </w:pPr>
      <w:r w:rsidRPr="00DB7414">
        <w:rPr>
          <w:i/>
          <w:iCs/>
          <w:highlight w:val="yellow"/>
        </w:rPr>
        <w:t>‘God fashioned Clod Man from the ground’</w:t>
      </w:r>
    </w:p>
    <w:p w14:paraId="1C2EB37D" w14:textId="29400447" w:rsidR="008A42A4" w:rsidRDefault="008A42A4" w:rsidP="008A42A4">
      <w:pPr>
        <w:jc w:val="both"/>
      </w:pPr>
      <w:r>
        <w:t xml:space="preserve">The next time you are frustrated with a fellow human being, remember this description. </w:t>
      </w:r>
      <w:r w:rsidRPr="00DB7414">
        <w:rPr>
          <w:highlight w:val="yellow"/>
        </w:rPr>
        <w:t xml:space="preserve">Understood as a crowd of clod folk, human limitations are a little more understandable since theologically we are little groundlings of humble, earthly origin. It is at this point, however, that God then adds a divine dimension – breathing into its nostrils the ‘breath of life’, Clod Man becomes a living </w:t>
      </w:r>
      <w:r w:rsidRPr="00DB7414">
        <w:rPr>
          <w:i/>
          <w:iCs/>
          <w:highlight w:val="yellow"/>
        </w:rPr>
        <w:t>nephesh</w:t>
      </w:r>
      <w:r w:rsidRPr="00DB7414">
        <w:rPr>
          <w:highlight w:val="yellow"/>
        </w:rPr>
        <w:t xml:space="preserve"> – ‘soul/being’ (2:7). This, humanity has an earthiness shot through with divine life.</w:t>
      </w:r>
      <w:r>
        <w:t xml:space="preserve"> The groundling is placed in a garden at Eden, which is imaged as the source of the rivers which water the known world of the time. </w:t>
      </w:r>
      <w:r w:rsidRPr="00DB7414">
        <w:rPr>
          <w:highlight w:val="yellow"/>
        </w:rPr>
        <w:t>God plants two special trees in the garden, the Tree of Life and the Tree of Knowledge, and God gives a command that the fruit of the all the trees can be eaten, but not the fruit of the Tree of Knowledge (2;8-17).</w:t>
      </w:r>
    </w:p>
    <w:p w14:paraId="6C3EFFAE" w14:textId="7BA3C044" w:rsidR="00A851E5" w:rsidRDefault="00A851E5" w:rsidP="008A42A4">
      <w:pPr>
        <w:jc w:val="both"/>
      </w:pPr>
      <w:r>
        <w:t xml:space="preserve">Famously, God then decides that it is not good for Adam to be alone and creates a series of creatures which are named by </w:t>
      </w:r>
      <w:proofErr w:type="gramStart"/>
      <w:r>
        <w:t>man, but</w:t>
      </w:r>
      <w:proofErr w:type="gramEnd"/>
      <w:r>
        <w:t xml:space="preserve"> are not suitable to be an </w:t>
      </w:r>
      <w:proofErr w:type="spellStart"/>
      <w:r w:rsidRPr="00A851E5">
        <w:rPr>
          <w:i/>
          <w:iCs/>
        </w:rPr>
        <w:t>ezer</w:t>
      </w:r>
      <w:proofErr w:type="spellEnd"/>
      <w:r>
        <w:t xml:space="preserve"> </w:t>
      </w:r>
      <w:proofErr w:type="spellStart"/>
      <w:r w:rsidRPr="00A851E5">
        <w:rPr>
          <w:i/>
          <w:iCs/>
        </w:rPr>
        <w:t>k’negdo</w:t>
      </w:r>
      <w:proofErr w:type="spellEnd"/>
      <w:r>
        <w:t xml:space="preserve"> – </w:t>
      </w:r>
      <w:r>
        <w:lastRenderedPageBreak/>
        <w:t xml:space="preserve">‘helpmate like unto himself’. One can imagine the ancient storyteller painting a picture of a glum </w:t>
      </w:r>
      <w:proofErr w:type="spellStart"/>
      <w:r>
        <w:t>Cloddite</w:t>
      </w:r>
      <w:proofErr w:type="spellEnd"/>
      <w:r>
        <w:t xml:space="preserve"> confronted with an array of animals, goats, rhinos – whatever, leaving the listeners awaiting the next instalment (2:18-20).</w:t>
      </w:r>
    </w:p>
    <w:p w14:paraId="1C1385C6" w14:textId="4062B757" w:rsidR="00A851E5" w:rsidRDefault="00A851E5" w:rsidP="008A42A4">
      <w:pPr>
        <w:jc w:val="both"/>
      </w:pPr>
      <w:r w:rsidRPr="00DB7414">
        <w:rPr>
          <w:highlight w:val="yellow"/>
        </w:rPr>
        <w:t xml:space="preserve">The turning point then comes when God makes Clod Man fall into a sleep which is like a death (2:21) </w:t>
      </w:r>
      <w:r w:rsidR="00F56313" w:rsidRPr="00DB7414">
        <w:rPr>
          <w:highlight w:val="yellow"/>
        </w:rPr>
        <w:t>Adam</w:t>
      </w:r>
      <w:r w:rsidRPr="00DB7414">
        <w:rPr>
          <w:highlight w:val="yellow"/>
        </w:rPr>
        <w:t xml:space="preserve"> seems to be almost split in half – a self-separation. Woman is created and as soon as she is brought forth, Adam bursts into life, bursts into language, bursts into relationship: ‘this at last is bone of my bones and flesh of my flesh’ (2:23)</w:t>
      </w:r>
      <w:r w:rsidR="00F56313" w:rsidRPr="00DB7414">
        <w:rPr>
          <w:highlight w:val="yellow"/>
        </w:rPr>
        <w:t xml:space="preserve">. This may not seem particularly poetic to modern ears, but it is sassy, rhythmic Hebrew. So not only was Adam the original rap artist, </w:t>
      </w:r>
      <w:proofErr w:type="gramStart"/>
      <w:r w:rsidR="00F56313" w:rsidRPr="00DB7414">
        <w:rPr>
          <w:highlight w:val="yellow"/>
        </w:rPr>
        <w:t>it is</w:t>
      </w:r>
      <w:proofErr w:type="gramEnd"/>
      <w:r w:rsidR="00F56313" w:rsidRPr="00DB7414">
        <w:rPr>
          <w:highlight w:val="yellow"/>
        </w:rPr>
        <w:t xml:space="preserve"> of deep theological significance that the first human words are a love song. The emergence of human personality, language and relationship all happen under the auspices of love. And as if to emphasize love’s power, the writer goes on to remark that this mutually magnetic force is what causes men and women to leave home and to become one flesh – imaging a cosmic return to oneness that has been lost by the original separation (2:24).</w:t>
      </w:r>
    </w:p>
    <w:p w14:paraId="2117953B" w14:textId="3F53995B" w:rsidR="00F56313" w:rsidRPr="00B72CBB" w:rsidRDefault="00F56313" w:rsidP="008A42A4">
      <w:pPr>
        <w:jc w:val="both"/>
        <w:rPr>
          <w:b/>
          <w:bCs/>
        </w:rPr>
      </w:pPr>
      <w:r w:rsidRPr="00B72CBB">
        <w:rPr>
          <w:b/>
          <w:bCs/>
        </w:rPr>
        <w:t>The poem of the Fall</w:t>
      </w:r>
    </w:p>
    <w:p w14:paraId="79589B87" w14:textId="4C1A3E4F" w:rsidR="00F56313" w:rsidRDefault="00F56313" w:rsidP="008A42A4">
      <w:pPr>
        <w:jc w:val="both"/>
      </w:pPr>
      <w:r>
        <w:t xml:space="preserve">Unfortunately, the happy picture of the innocent couple is ruptured in the next phase of the story. </w:t>
      </w:r>
      <w:r w:rsidRPr="00DB7414">
        <w:rPr>
          <w:highlight w:val="yellow"/>
        </w:rPr>
        <w:t xml:space="preserve">The vivid account of the disobedience of humanity (‘The Fall’) describes how woman is persuaded to eat the fruit of the Tree of Knowledge by a devious reptile (3:1-2). The image of the winged reptile or dragon is very common in ancient cultures and even today remains a feature of innumerable flags, shields and crests. </w:t>
      </w:r>
      <w:proofErr w:type="gramStart"/>
      <w:r w:rsidRPr="00DB7414">
        <w:rPr>
          <w:highlight w:val="yellow"/>
        </w:rPr>
        <w:t>As a consequence</w:t>
      </w:r>
      <w:proofErr w:type="gramEnd"/>
      <w:r w:rsidRPr="00DB7414">
        <w:rPr>
          <w:highlight w:val="yellow"/>
        </w:rPr>
        <w:t>, it is often proposed by anthropologists (‘humanity analysts’) that somehow this creature symbolizes something deep within us, perhaps what modern psychology might link to the unbounded recklessness of our subconscious. In this account, the woman is persuaded to eat the forbidden fruit</w:t>
      </w:r>
      <w:r w:rsidR="0091519B" w:rsidRPr="00DB7414">
        <w:rPr>
          <w:highlight w:val="yellow"/>
        </w:rPr>
        <w:t xml:space="preserve"> </w:t>
      </w:r>
      <w:proofErr w:type="gramStart"/>
      <w:r w:rsidR="0091519B" w:rsidRPr="00DB7414">
        <w:rPr>
          <w:highlight w:val="yellow"/>
        </w:rPr>
        <w:t>in order to</w:t>
      </w:r>
      <w:proofErr w:type="gramEnd"/>
      <w:r w:rsidR="0091519B" w:rsidRPr="00DB7414">
        <w:rPr>
          <w:highlight w:val="yellow"/>
        </w:rPr>
        <w:t xml:space="preserve"> become ‘like the gods’ – the irony being that she already is like God if not quite the same as God. She shares the divine breath of </w:t>
      </w:r>
      <w:proofErr w:type="gramStart"/>
      <w:r w:rsidR="0091519B" w:rsidRPr="00DB7414">
        <w:rPr>
          <w:highlight w:val="yellow"/>
        </w:rPr>
        <w:t>life</w:t>
      </w:r>
      <w:proofErr w:type="gramEnd"/>
      <w:r w:rsidR="0091519B" w:rsidRPr="00DB7414">
        <w:rPr>
          <w:highlight w:val="yellow"/>
        </w:rPr>
        <w:t xml:space="preserve"> and she lives in communion with God in a beautiful place in unthreatened harmony with her partner.</w:t>
      </w:r>
      <w:r w:rsidR="0091519B">
        <w:t xml:space="preserve"> </w:t>
      </w:r>
    </w:p>
    <w:p w14:paraId="0054F567" w14:textId="58986C0F" w:rsidR="0091519B" w:rsidRDefault="0091519B" w:rsidP="008A42A4">
      <w:pPr>
        <w:jc w:val="both"/>
      </w:pPr>
      <w:r w:rsidRPr="00DB7414">
        <w:rPr>
          <w:highlight w:val="yellow"/>
        </w:rPr>
        <w:t xml:space="preserve">Regrettably, the curiosity of the woman, her appetite and desire get the better of </w:t>
      </w:r>
      <w:proofErr w:type="gramStart"/>
      <w:r w:rsidRPr="00DB7414">
        <w:rPr>
          <w:highlight w:val="yellow"/>
        </w:rPr>
        <w:t>her</w:t>
      </w:r>
      <w:proofErr w:type="gramEnd"/>
      <w:r w:rsidRPr="00DB7414">
        <w:rPr>
          <w:highlight w:val="yellow"/>
        </w:rPr>
        <w:t xml:space="preserve"> so she takes and eats the fruit (3:6). This, of course, resonates very strongly with the experience of any of us who have been unable to control a desire or appetite, whether physical or emotional. Hence in the language of ‘myth’, the writer is describing an uncomfortable ‘truth’ that most of our problems come from our inability to say no to our appetites – whether that is for an unwise desire for food,</w:t>
      </w:r>
      <w:r>
        <w:t xml:space="preserve"> sex, </w:t>
      </w:r>
      <w:r w:rsidRPr="00DB7414">
        <w:rPr>
          <w:highlight w:val="yellow"/>
        </w:rPr>
        <w:t>power, violence or revenge.</w:t>
      </w:r>
    </w:p>
    <w:p w14:paraId="5A22B900" w14:textId="39E13C61" w:rsidR="0091519B" w:rsidRDefault="0091519B" w:rsidP="008A42A4">
      <w:pPr>
        <w:jc w:val="both"/>
      </w:pPr>
      <w:r w:rsidRPr="00DB7414">
        <w:rPr>
          <w:highlight w:val="yellow"/>
        </w:rPr>
        <w:t xml:space="preserve">The woman then shares the fruit with the </w:t>
      </w:r>
      <w:proofErr w:type="gramStart"/>
      <w:r w:rsidRPr="00DB7414">
        <w:rPr>
          <w:highlight w:val="yellow"/>
        </w:rPr>
        <w:t>man</w:t>
      </w:r>
      <w:proofErr w:type="gramEnd"/>
      <w:r w:rsidRPr="00DB7414">
        <w:rPr>
          <w:highlight w:val="yellow"/>
        </w:rPr>
        <w:t xml:space="preserve"> and they suddenly recognise themselves as vulnerable and naked (</w:t>
      </w:r>
      <w:proofErr w:type="gramStart"/>
      <w:r w:rsidRPr="00DB7414">
        <w:rPr>
          <w:highlight w:val="yellow"/>
        </w:rPr>
        <w:t>3:7)…</w:t>
      </w:r>
      <w:proofErr w:type="gramEnd"/>
      <w:r w:rsidRPr="00DB7414">
        <w:rPr>
          <w:highlight w:val="yellow"/>
        </w:rPr>
        <w:t xml:space="preserve"> Knowing ‘good and evil’ could also be understood as knowing everything from top to bottom. Adam and Eve have tried to mimic God’s omniscience – God’s all-knowing nature</w:t>
      </w:r>
      <w:r>
        <w:t xml:space="preserve"> – and this would also fit the context… </w:t>
      </w:r>
    </w:p>
    <w:p w14:paraId="01048488" w14:textId="2101D2CE" w:rsidR="0091519B" w:rsidRPr="00B72CBB" w:rsidRDefault="0091519B" w:rsidP="008A42A4">
      <w:pPr>
        <w:jc w:val="both"/>
        <w:rPr>
          <w:b/>
          <w:bCs/>
        </w:rPr>
      </w:pPr>
      <w:r w:rsidRPr="00B72CBB">
        <w:rPr>
          <w:b/>
          <w:bCs/>
        </w:rPr>
        <w:t>The loss of communion</w:t>
      </w:r>
    </w:p>
    <w:p w14:paraId="641BE332" w14:textId="46BBF55E" w:rsidR="0091519B" w:rsidRDefault="0091519B" w:rsidP="008A42A4">
      <w:pPr>
        <w:jc w:val="both"/>
      </w:pPr>
      <w:r>
        <w:lastRenderedPageBreak/>
        <w:t xml:space="preserve">Though there are no hints in the Hebrew, since </w:t>
      </w:r>
      <w:r w:rsidRPr="00B72CBB">
        <w:rPr>
          <w:i/>
          <w:iCs/>
        </w:rPr>
        <w:t>malum</w:t>
      </w:r>
      <w:r>
        <w:t xml:space="preserve"> in Latin can mean ‘apple’ or ‘evil thing’, the fruit has been thus identified and symbolised as such for </w:t>
      </w:r>
      <w:r w:rsidR="00B72CBB">
        <w:t>millennia</w:t>
      </w:r>
      <w:r>
        <w:t xml:space="preserve"> – most recently and successfully by a leading computer company!</w:t>
      </w:r>
      <w:r w:rsidR="00B72CBB">
        <w:t xml:space="preserve"> Whatever the nature of the fruit, the act of disobedience is not seen as a good thing and unfortunately, a troubling chain of events is set in motion. The drama has the couple covering themselves before each other with the famous fig leaves and hiding from God among the trees of the garden (3:7-8). </w:t>
      </w:r>
      <w:r w:rsidR="00B72CBB" w:rsidRPr="00DB7414">
        <w:rPr>
          <w:highlight w:val="yellow"/>
        </w:rPr>
        <w:t xml:space="preserve">The call ‘Where are you?’ may be thought to </w:t>
      </w:r>
      <w:r w:rsidR="00665109" w:rsidRPr="00DB7414">
        <w:rPr>
          <w:highlight w:val="yellow"/>
        </w:rPr>
        <w:t>demonstrate</w:t>
      </w:r>
      <w:r w:rsidR="00B72CBB" w:rsidRPr="00DB7414">
        <w:rPr>
          <w:highlight w:val="yellow"/>
        </w:rPr>
        <w:t xml:space="preserve"> ignorance on the part of God thus challenging the idea of God’s omniscient </w:t>
      </w:r>
      <w:proofErr w:type="spellStart"/>
      <w:r w:rsidR="00B72CBB" w:rsidRPr="00DB7414">
        <w:rPr>
          <w:highlight w:val="yellow"/>
        </w:rPr>
        <w:t>‘all</w:t>
      </w:r>
      <w:proofErr w:type="spellEnd"/>
      <w:r w:rsidR="00B72CBB" w:rsidRPr="00DB7414">
        <w:rPr>
          <w:highlight w:val="yellow"/>
        </w:rPr>
        <w:t xml:space="preserve"> knowing’ nature, but it is just as likely to be a literary device in the story to build up the tension</w:t>
      </w:r>
      <w:r w:rsidR="00B72CBB">
        <w:t xml:space="preserve">. There is no doubt that </w:t>
      </w:r>
      <w:r w:rsidR="00B72CBB" w:rsidRPr="00DB7414">
        <w:rPr>
          <w:highlight w:val="yellow"/>
        </w:rPr>
        <w:t xml:space="preserve">God is </w:t>
      </w:r>
      <w:proofErr w:type="gramStart"/>
      <w:r w:rsidR="00B72CBB" w:rsidRPr="00DB7414">
        <w:rPr>
          <w:highlight w:val="yellow"/>
        </w:rPr>
        <w:t>definitely more</w:t>
      </w:r>
      <w:proofErr w:type="gramEnd"/>
      <w:r w:rsidR="00B72CBB" w:rsidRPr="00DB7414">
        <w:rPr>
          <w:highlight w:val="yellow"/>
        </w:rPr>
        <w:t xml:space="preserve"> ‘anthropomorphic’ – ‘human-shaped’ or ‘human-like’ in this account by comparison with Chapter 1, but the pathos of God’s cry is to emphasise the breaking down of communion between humanity and God.</w:t>
      </w:r>
      <w:r w:rsidR="00B72CBB">
        <w:t xml:space="preserve"> </w:t>
      </w:r>
      <w:r w:rsidR="00B72CBB" w:rsidRPr="00DB7414">
        <w:rPr>
          <w:highlight w:val="yellow"/>
        </w:rPr>
        <w:t xml:space="preserve">Note the wonderfully human avoidance of responsibility whereby the man blames </w:t>
      </w:r>
      <w:proofErr w:type="gramStart"/>
      <w:r w:rsidR="00B72CBB" w:rsidRPr="00DB7414">
        <w:rPr>
          <w:highlight w:val="yellow"/>
        </w:rPr>
        <w:t>God</w:t>
      </w:r>
      <w:proofErr w:type="gramEnd"/>
      <w:r w:rsidR="00B72CBB" w:rsidRPr="00DB7414">
        <w:rPr>
          <w:highlight w:val="yellow"/>
        </w:rPr>
        <w:t xml:space="preserve"> and the woman blames the snake (Gen 3:9-13). Not only d</w:t>
      </w:r>
      <w:r w:rsidR="00DB7414">
        <w:rPr>
          <w:highlight w:val="yellow"/>
        </w:rPr>
        <w:t>o</w:t>
      </w:r>
      <w:r w:rsidR="00B72CBB" w:rsidRPr="00DB7414">
        <w:rPr>
          <w:highlight w:val="yellow"/>
        </w:rPr>
        <w:t xml:space="preserve">es the text here hold up a mirror to the way we </w:t>
      </w:r>
      <w:proofErr w:type="gramStart"/>
      <w:r w:rsidR="00B72CBB" w:rsidRPr="00DB7414">
        <w:rPr>
          <w:highlight w:val="yellow"/>
        </w:rPr>
        <w:t>actually are</w:t>
      </w:r>
      <w:proofErr w:type="gramEnd"/>
      <w:r w:rsidR="00B72CBB" w:rsidRPr="00DB7414">
        <w:rPr>
          <w:highlight w:val="yellow"/>
        </w:rPr>
        <w:t xml:space="preserve"> when things go wrong, it continues with a series of curses that have clear ‘aetiological’ – ‘’why things are as they are’ – roots.</w:t>
      </w:r>
      <w:r w:rsidR="00B72CBB">
        <w:t xml:space="preserve"> The serpent or dragon is now going to slither around and crawl on its belly – it has been deprived of </w:t>
      </w:r>
      <w:proofErr w:type="gramStart"/>
      <w:r w:rsidR="00B72CBB">
        <w:t>legs</w:t>
      </w:r>
      <w:proofErr w:type="gramEnd"/>
      <w:r w:rsidR="00B72CBB">
        <w:t xml:space="preserve"> and its spitting action is interpreted as an eating of dust (3:14). From being in cahoots with the woman, the snake will now be at war with her children. While later Christian writers will link this text with Mary and the enmity between her son Jesus and Satan, here the aetiology is explaining an obvious feature of hot climates where snakes that bite the heels of humans are likely to </w:t>
      </w:r>
      <w:r w:rsidR="00665109">
        <w:t>have their heads crushed (3:15). Snakes are one thing, but unfortunately for the man and woman there are problems much nearer home.</w:t>
      </w:r>
    </w:p>
    <w:p w14:paraId="04E8786A" w14:textId="497E8B6F" w:rsidR="00665109" w:rsidRPr="00665109" w:rsidRDefault="00665109" w:rsidP="008A42A4">
      <w:pPr>
        <w:jc w:val="both"/>
        <w:rPr>
          <w:b/>
          <w:bCs/>
        </w:rPr>
      </w:pPr>
      <w:r w:rsidRPr="00665109">
        <w:rPr>
          <w:b/>
          <w:bCs/>
        </w:rPr>
        <w:t>The Battles of the Sexes</w:t>
      </w:r>
    </w:p>
    <w:p w14:paraId="34996FF8" w14:textId="1A191DCF" w:rsidR="00606971" w:rsidRDefault="00665109" w:rsidP="00606971">
      <w:pPr>
        <w:jc w:val="both"/>
      </w:pPr>
      <w:r>
        <w:t>The first of the woman’s curses is well known – the traumatic pain of childbirth articulates the life-giving but always life-risking experience of motherhood. The account is emphasising the haunting paradox of childbirth – that it has for most of human history been the most lethal physical thing a woman could undergo</w:t>
      </w:r>
      <w:r w:rsidR="00606971">
        <w:t>…</w:t>
      </w:r>
    </w:p>
    <w:p w14:paraId="366102FB" w14:textId="3419D9B2" w:rsidR="008553AC" w:rsidRDefault="008553AC" w:rsidP="00606971">
      <w:pPr>
        <w:jc w:val="both"/>
      </w:pPr>
      <w:r w:rsidRPr="00673624">
        <w:rPr>
          <w:highlight w:val="yellow"/>
        </w:rPr>
        <w:t>Meanwhile for man, the curse for his disobedience will be that the soil fr</w:t>
      </w:r>
      <w:r w:rsidR="00673624" w:rsidRPr="00673624">
        <w:rPr>
          <w:highlight w:val="yellow"/>
        </w:rPr>
        <w:t>o</w:t>
      </w:r>
      <w:r w:rsidRPr="00673624">
        <w:rPr>
          <w:highlight w:val="yellow"/>
        </w:rPr>
        <w:t>m which he is taken and has yielded the fruits to sustain his lif</w:t>
      </w:r>
      <w:r w:rsidR="00261992" w:rsidRPr="00673624">
        <w:rPr>
          <w:highlight w:val="yellow"/>
        </w:rPr>
        <w:t xml:space="preserve">e, will now be his grave and consume him in death. </w:t>
      </w:r>
      <w:proofErr w:type="gramStart"/>
      <w:r w:rsidR="00261992" w:rsidRPr="00673624">
        <w:rPr>
          <w:highlight w:val="yellow"/>
        </w:rPr>
        <w:t>Again</w:t>
      </w:r>
      <w:proofErr w:type="gramEnd"/>
      <w:r w:rsidR="00261992" w:rsidRPr="00673624">
        <w:rPr>
          <w:highlight w:val="yellow"/>
        </w:rPr>
        <w:t xml:space="preserve"> the aetiological themes are strong. The fertility of the land in a rural society is a constant and often losing battle. Work is hard. The Clod creature having received the breath of life</w:t>
      </w:r>
      <w:r w:rsidR="008B728C" w:rsidRPr="00673624">
        <w:rPr>
          <w:highlight w:val="yellow"/>
        </w:rPr>
        <w:t xml:space="preserve"> will now return to being </w:t>
      </w:r>
      <w:r w:rsidR="008B728C" w:rsidRPr="00673624">
        <w:rPr>
          <w:highlight w:val="yellow"/>
        </w:rPr>
        <w:t>just</w:t>
      </w:r>
      <w:r w:rsidR="008B728C" w:rsidRPr="00673624">
        <w:rPr>
          <w:highlight w:val="yellow"/>
        </w:rPr>
        <w:t xml:space="preserve"> earth again. The groundling who should feel so at one with earth and inharmony with it has now </w:t>
      </w:r>
      <w:r w:rsidR="005F0465" w:rsidRPr="00673624">
        <w:rPr>
          <w:highlight w:val="yellow"/>
        </w:rPr>
        <w:t>become its enemy instead of its custodian. In a deep sense, the text is describing the alienation and the estrangement of humans from their own nature (3:18-19).</w:t>
      </w:r>
    </w:p>
    <w:p w14:paraId="515F5FDA" w14:textId="5EB00DAA" w:rsidR="00821EF0" w:rsidRDefault="00821EF0" w:rsidP="00606971">
      <w:pPr>
        <w:jc w:val="both"/>
      </w:pPr>
      <w:r>
        <w:t xml:space="preserve">…it serves for now to accent the immediate consequences that follow on from the loss of friendship between humanity and God because the biblical text quickly shows them to be disastrous at family, tribal, human and cosmic levels…a contrast with the first creation </w:t>
      </w:r>
      <w:r>
        <w:lastRenderedPageBreak/>
        <w:t xml:space="preserve">account can be discerned whereby </w:t>
      </w:r>
      <w:r w:rsidRPr="00673624">
        <w:rPr>
          <w:highlight w:val="yellow"/>
        </w:rPr>
        <w:t xml:space="preserve">if in Genesis 1 humanity is created in the </w:t>
      </w:r>
      <w:r w:rsidRPr="00673624">
        <w:rPr>
          <w:i/>
          <w:iCs/>
          <w:highlight w:val="yellow"/>
        </w:rPr>
        <w:t>image</w:t>
      </w:r>
      <w:r w:rsidRPr="00673624">
        <w:rPr>
          <w:highlight w:val="yellow"/>
        </w:rPr>
        <w:t xml:space="preserve"> of God, by the end of Genesis 3 they may be said to no longer bear God’s </w:t>
      </w:r>
      <w:r w:rsidRPr="00673624">
        <w:rPr>
          <w:i/>
          <w:iCs/>
          <w:highlight w:val="yellow"/>
        </w:rPr>
        <w:t>likeness</w:t>
      </w:r>
      <w:r>
        <w:t>.</w:t>
      </w:r>
    </w:p>
    <w:p w14:paraId="2FC47DC5" w14:textId="51060CE9" w:rsidR="00821EF0" w:rsidRPr="00544AF8" w:rsidRDefault="00821EF0" w:rsidP="00606971">
      <w:pPr>
        <w:jc w:val="both"/>
      </w:pPr>
      <w:r>
        <w:t>Theologically, the depiction of ‘The Fall’ of Adam and Eve and its consequences has been of MASSIVE significance. It has not only conditioned the way theologians have viewed who and what we are as human beings, but…</w:t>
      </w:r>
      <w:r w:rsidRPr="00673624">
        <w:rPr>
          <w:highlight w:val="yellow"/>
        </w:rPr>
        <w:t>the loss of this original state of bliss will be used to explain the work of Christ and the entire destiny of the cosmos</w:t>
      </w:r>
      <w:r>
        <w:t>.</w:t>
      </w:r>
    </w:p>
    <w:p w14:paraId="44AC7F26" w14:textId="4B7D9E71" w:rsidR="00665109" w:rsidRPr="00544AF8" w:rsidRDefault="00665109" w:rsidP="00665109">
      <w:pPr>
        <w:jc w:val="both"/>
      </w:pPr>
    </w:p>
    <w:sectPr w:rsidR="00665109" w:rsidRPr="00544AF8">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3E7D2" w14:textId="77777777" w:rsidR="00C370CC" w:rsidRDefault="00C370CC" w:rsidP="00C370CC">
      <w:pPr>
        <w:spacing w:after="0" w:line="240" w:lineRule="auto"/>
      </w:pPr>
      <w:r>
        <w:separator/>
      </w:r>
    </w:p>
  </w:endnote>
  <w:endnote w:type="continuationSeparator" w:id="0">
    <w:p w14:paraId="41315C2D" w14:textId="77777777" w:rsidR="00C370CC" w:rsidRDefault="00C370CC" w:rsidP="00C37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798DA" w14:textId="77777777" w:rsidR="00C370CC" w:rsidRDefault="00C370CC" w:rsidP="00C370CC">
      <w:pPr>
        <w:spacing w:after="0" w:line="240" w:lineRule="auto"/>
      </w:pPr>
      <w:r>
        <w:separator/>
      </w:r>
    </w:p>
  </w:footnote>
  <w:footnote w:type="continuationSeparator" w:id="0">
    <w:p w14:paraId="324775A5" w14:textId="77777777" w:rsidR="00C370CC" w:rsidRDefault="00C370CC" w:rsidP="00C370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07504" w14:textId="62575B14" w:rsidR="00C370CC" w:rsidRDefault="00C370CC" w:rsidP="00C370CC">
    <w:pPr>
      <w:pStyle w:val="Header"/>
      <w:jc w:val="right"/>
    </w:pPr>
    <w:r>
      <w:t>NB: highlighted sections relate specifically to the verses identified, but the read in context is helpful for teacher understanding.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352"/>
    <w:rsid w:val="000C4DBE"/>
    <w:rsid w:val="000F56A3"/>
    <w:rsid w:val="00261992"/>
    <w:rsid w:val="002C6451"/>
    <w:rsid w:val="005201C8"/>
    <w:rsid w:val="00544AF8"/>
    <w:rsid w:val="00591C3E"/>
    <w:rsid w:val="005C12BE"/>
    <w:rsid w:val="005F0465"/>
    <w:rsid w:val="00606971"/>
    <w:rsid w:val="00665109"/>
    <w:rsid w:val="00673624"/>
    <w:rsid w:val="00821EF0"/>
    <w:rsid w:val="008553AC"/>
    <w:rsid w:val="008A42A4"/>
    <w:rsid w:val="008B728C"/>
    <w:rsid w:val="0091519B"/>
    <w:rsid w:val="009A7E66"/>
    <w:rsid w:val="00A851E5"/>
    <w:rsid w:val="00AD0554"/>
    <w:rsid w:val="00AF0352"/>
    <w:rsid w:val="00B72CBB"/>
    <w:rsid w:val="00B96F3F"/>
    <w:rsid w:val="00C370CC"/>
    <w:rsid w:val="00DB7414"/>
    <w:rsid w:val="00F54403"/>
    <w:rsid w:val="00F563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E2DA1"/>
  <w15:chartTrackingRefBased/>
  <w15:docId w15:val="{FF0B0808-AB1E-4A2B-BCCA-C438F5E5B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03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03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03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03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03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03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03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03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03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03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03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03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03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03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03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03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03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0352"/>
    <w:rPr>
      <w:rFonts w:eastAsiaTheme="majorEastAsia" w:cstheme="majorBidi"/>
      <w:color w:val="272727" w:themeColor="text1" w:themeTint="D8"/>
    </w:rPr>
  </w:style>
  <w:style w:type="paragraph" w:styleId="Title">
    <w:name w:val="Title"/>
    <w:basedOn w:val="Normal"/>
    <w:next w:val="Normal"/>
    <w:link w:val="TitleChar"/>
    <w:uiPriority w:val="10"/>
    <w:qFormat/>
    <w:rsid w:val="00AF03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03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03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03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0352"/>
    <w:pPr>
      <w:spacing w:before="160"/>
      <w:jc w:val="center"/>
    </w:pPr>
    <w:rPr>
      <w:i/>
      <w:iCs/>
      <w:color w:val="404040" w:themeColor="text1" w:themeTint="BF"/>
    </w:rPr>
  </w:style>
  <w:style w:type="character" w:customStyle="1" w:styleId="QuoteChar">
    <w:name w:val="Quote Char"/>
    <w:basedOn w:val="DefaultParagraphFont"/>
    <w:link w:val="Quote"/>
    <w:uiPriority w:val="29"/>
    <w:rsid w:val="00AF0352"/>
    <w:rPr>
      <w:i/>
      <w:iCs/>
      <w:color w:val="404040" w:themeColor="text1" w:themeTint="BF"/>
    </w:rPr>
  </w:style>
  <w:style w:type="paragraph" w:styleId="ListParagraph">
    <w:name w:val="List Paragraph"/>
    <w:basedOn w:val="Normal"/>
    <w:uiPriority w:val="34"/>
    <w:qFormat/>
    <w:rsid w:val="00AF0352"/>
    <w:pPr>
      <w:ind w:left="720"/>
      <w:contextualSpacing/>
    </w:pPr>
  </w:style>
  <w:style w:type="character" w:styleId="IntenseEmphasis">
    <w:name w:val="Intense Emphasis"/>
    <w:basedOn w:val="DefaultParagraphFont"/>
    <w:uiPriority w:val="21"/>
    <w:qFormat/>
    <w:rsid w:val="00AF0352"/>
    <w:rPr>
      <w:i/>
      <w:iCs/>
      <w:color w:val="0F4761" w:themeColor="accent1" w:themeShade="BF"/>
    </w:rPr>
  </w:style>
  <w:style w:type="paragraph" w:styleId="IntenseQuote">
    <w:name w:val="Intense Quote"/>
    <w:basedOn w:val="Normal"/>
    <w:next w:val="Normal"/>
    <w:link w:val="IntenseQuoteChar"/>
    <w:uiPriority w:val="30"/>
    <w:qFormat/>
    <w:rsid w:val="00AF03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0352"/>
    <w:rPr>
      <w:i/>
      <w:iCs/>
      <w:color w:val="0F4761" w:themeColor="accent1" w:themeShade="BF"/>
    </w:rPr>
  </w:style>
  <w:style w:type="character" w:styleId="IntenseReference">
    <w:name w:val="Intense Reference"/>
    <w:basedOn w:val="DefaultParagraphFont"/>
    <w:uiPriority w:val="32"/>
    <w:qFormat/>
    <w:rsid w:val="00AF0352"/>
    <w:rPr>
      <w:b/>
      <w:bCs/>
      <w:smallCaps/>
      <w:color w:val="0F4761" w:themeColor="accent1" w:themeShade="BF"/>
      <w:spacing w:val="5"/>
    </w:rPr>
  </w:style>
  <w:style w:type="paragraph" w:styleId="Header">
    <w:name w:val="header"/>
    <w:basedOn w:val="Normal"/>
    <w:link w:val="HeaderChar"/>
    <w:uiPriority w:val="99"/>
    <w:unhideWhenUsed/>
    <w:rsid w:val="00C370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70CC"/>
  </w:style>
  <w:style w:type="paragraph" w:styleId="Footer">
    <w:name w:val="footer"/>
    <w:basedOn w:val="Normal"/>
    <w:link w:val="FooterChar"/>
    <w:uiPriority w:val="99"/>
    <w:unhideWhenUsed/>
    <w:rsid w:val="00C370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70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8cc48f20d29966b801e7459eebd5834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b1ed8a290905d4c33f87de7857e68764"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902FF9-DD96-4969-9164-B20B884EFE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9F5E0D-BEDB-49A9-8CE5-59F914845586}">
  <ds:schemaRefs>
    <ds:schemaRef ds:uri="http://schemas.microsoft.com/office/2006/metadata/properties"/>
    <ds:schemaRef ds:uri="http://schemas.microsoft.com/office/infopath/2007/PartnerControls"/>
    <ds:schemaRef ds:uri="3b8d6a05-d7f0-4ebb-bcfb-d94ee5f44148"/>
    <ds:schemaRef ds:uri="7e796f44-b170-4a35-a1ab-9198968d4f1e"/>
  </ds:schemaRefs>
</ds:datastoreItem>
</file>

<file path=customXml/itemProps3.xml><?xml version="1.0" encoding="utf-8"?>
<ds:datastoreItem xmlns:ds="http://schemas.openxmlformats.org/officeDocument/2006/customXml" ds:itemID="{9776E0BA-FBC4-46DE-AAF8-60C919E47E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4</Pages>
  <Words>1476</Words>
  <Characters>8417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14</cp:revision>
  <dcterms:created xsi:type="dcterms:W3CDTF">2025-06-30T11:05:00Z</dcterms:created>
  <dcterms:modified xsi:type="dcterms:W3CDTF">2025-06-30T14:21:00Z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0x010100343CEB8C560E6542BF35FF585A6481A0</vt:lpwstr>
  </property>
  <property fmtid="{D5CDD505-2E9C-101B-9397-08002B2CF9AE}" pid="3" name="MediaServiceImageTags">
    <vt:lpwstr/>
  </property>
</Properties>
</file>