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79BD" w14:textId="55A0D6A1" w:rsidR="000F56A3" w:rsidRPr="001C3005" w:rsidRDefault="001C3005">
      <w:pPr>
        <w:rPr>
          <w:b/>
          <w:bCs/>
          <w:sz w:val="28"/>
          <w:szCs w:val="28"/>
        </w:rPr>
      </w:pPr>
      <w:r w:rsidRPr="001C3005">
        <w:rPr>
          <w:b/>
          <w:bCs/>
          <w:sz w:val="28"/>
          <w:szCs w:val="28"/>
        </w:rPr>
        <w:t>Commentary on the events of Holy Week according to St John’s Gospel</w:t>
      </w:r>
    </w:p>
    <w:p w14:paraId="18CD55F9" w14:textId="485847B1" w:rsidR="001C3005" w:rsidRDefault="001C3005">
      <w:r>
        <w:t xml:space="preserve">Commentaries written by The Very Reverend Henry Wansborough OSB, English biblical scholar, Catholic priest and monk of Ampleforth Abbey. Commentary shared via </w:t>
      </w:r>
      <w:hyperlink r:id="rId4" w:history="1">
        <w:r w:rsidRPr="001C3005">
          <w:rPr>
            <w:rStyle w:val="Hyperlink"/>
          </w:rPr>
          <w:t>Universalis</w:t>
        </w:r>
      </w:hyperlink>
      <w:r>
        <w:t xml:space="preserve"> </w:t>
      </w:r>
    </w:p>
    <w:p w14:paraId="2D7EBC27" w14:textId="5CBC0AB8" w:rsidR="001C3005" w:rsidRDefault="001C3005">
      <w:pPr>
        <w:rPr>
          <w:b/>
          <w:bCs/>
        </w:rPr>
      </w:pPr>
      <w:r w:rsidRPr="001C3005">
        <w:rPr>
          <w:b/>
          <w:bCs/>
        </w:rPr>
        <w:t>The anointing at Bethany (Jn 12: 1-11)</w:t>
      </w:r>
    </w:p>
    <w:p w14:paraId="3E944EE5" w14:textId="77777777" w:rsidR="001C3005" w:rsidRPr="001C3005" w:rsidRDefault="001C3005" w:rsidP="001C3005">
      <w:r w:rsidRPr="001C3005">
        <w:rPr>
          <w:i/>
          <w:iCs/>
        </w:rPr>
        <w:t xml:space="preserve">This is the story of the anointing of Jesus’ feet with costly ointment at Bethany. In Mark and </w:t>
      </w:r>
      <w:proofErr w:type="gramStart"/>
      <w:r w:rsidRPr="001C3005">
        <w:rPr>
          <w:i/>
          <w:iCs/>
        </w:rPr>
        <w:t>Matthew</w:t>
      </w:r>
      <w:proofErr w:type="gramEnd"/>
      <w:r w:rsidRPr="001C3005">
        <w:rPr>
          <w:i/>
          <w:iCs/>
        </w:rPr>
        <w:t xml:space="preserve"> the woman is unnamed, but John names her as Mary, sister of Martha and Lazarus. John is more familiar with Jerusalem and its environs than are the </w:t>
      </w:r>
      <w:proofErr w:type="gramStart"/>
      <w:r w:rsidRPr="001C3005">
        <w:rPr>
          <w:i/>
          <w:iCs/>
        </w:rPr>
        <w:t>Synoptics, and</w:t>
      </w:r>
      <w:proofErr w:type="gramEnd"/>
      <w:r w:rsidRPr="001C3005">
        <w:rPr>
          <w:i/>
          <w:iCs/>
        </w:rPr>
        <w:t xml:space="preserve"> may have the family as his source. </w:t>
      </w:r>
    </w:p>
    <w:p w14:paraId="5AA387C6" w14:textId="77777777" w:rsidR="001C3005" w:rsidRPr="001C3005" w:rsidRDefault="001C3005" w:rsidP="001C3005">
      <w:r w:rsidRPr="001C3005">
        <w:rPr>
          <w:i/>
          <w:iCs/>
        </w:rPr>
        <w:t xml:space="preserve">Mary’s act of loving, personal affection and devotion is treasured. The evangelist’s comment that the scent filled the house shows a touching approval too. It will be remembered that Mary was the sister who stayed listening at Jesus’ side while Martha busied herself with practical details.  This casts her as a figure of prayer and listening – perhaps a patron of </w:t>
      </w:r>
      <w:r w:rsidRPr="001C3005">
        <w:t xml:space="preserve">lectio </w:t>
      </w:r>
      <w:proofErr w:type="spellStart"/>
      <w:r w:rsidRPr="001C3005">
        <w:t>divina</w:t>
      </w:r>
      <w:proofErr w:type="spellEnd"/>
      <w:r w:rsidRPr="001C3005">
        <w:rPr>
          <w:i/>
          <w:iCs/>
        </w:rPr>
        <w:t xml:space="preserve">? Her sign of affection must have been valuable to Jesus as he rested at Bethany after the threatening controversies in the Temple. His response shows just how tense Jesus must have been. In the Gospel of </w:t>
      </w:r>
      <w:proofErr w:type="gramStart"/>
      <w:r w:rsidRPr="001C3005">
        <w:rPr>
          <w:i/>
          <w:iCs/>
        </w:rPr>
        <w:t>Mark</w:t>
      </w:r>
      <w:proofErr w:type="gramEnd"/>
      <w:r w:rsidRPr="001C3005">
        <w:rPr>
          <w:i/>
          <w:iCs/>
        </w:rPr>
        <w:t xml:space="preserve"> he responds that Mary’s loving tribute will be remembered wherever the gospel is proclaimed. At this tense moment it makes Judas’ response seem unimaginative and brutal – no matter how practical it might have been on other occasions. </w:t>
      </w:r>
    </w:p>
    <w:p w14:paraId="4E9C95F0" w14:textId="77777777" w:rsidR="001C3005" w:rsidRPr="001C3005" w:rsidRDefault="001C3005" w:rsidP="001C3005">
      <w:r w:rsidRPr="001C3005">
        <w:rPr>
          <w:i/>
          <w:iCs/>
        </w:rPr>
        <w:t xml:space="preserve">It is always a problem to decide how to apportion gifts, how much to the poor and how much in precious objects to enhance the liturgy and devotion in prayer. There were no gold chalices or silver candlesticks at the Last Supper, but these things are expressions of love and reverence, </w:t>
      </w:r>
      <w:proofErr w:type="gramStart"/>
      <w:r w:rsidRPr="001C3005">
        <w:rPr>
          <w:i/>
          <w:iCs/>
        </w:rPr>
        <w:t>and also</w:t>
      </w:r>
      <w:proofErr w:type="gramEnd"/>
      <w:r w:rsidRPr="001C3005">
        <w:rPr>
          <w:i/>
          <w:iCs/>
        </w:rPr>
        <w:t xml:space="preserve"> of appreciation of God’s gifts of natural and artistic beauty – even if they receive no mention in the Parable of the Sheep and the Goats.</w:t>
      </w:r>
    </w:p>
    <w:p w14:paraId="140648AD" w14:textId="7F89E763" w:rsidR="001C3005" w:rsidRPr="00D80E23" w:rsidRDefault="001C3005">
      <w:pPr>
        <w:rPr>
          <w:b/>
          <w:bCs/>
        </w:rPr>
      </w:pPr>
      <w:r w:rsidRPr="00D80E23">
        <w:rPr>
          <w:b/>
          <w:bCs/>
        </w:rPr>
        <w:t>Jesus washes his disciples’ feet (Jn 13: 1-17)</w:t>
      </w:r>
    </w:p>
    <w:p w14:paraId="520F8294" w14:textId="77777777" w:rsidR="001C3005" w:rsidRPr="001C3005" w:rsidRDefault="001C3005" w:rsidP="001C3005">
      <w:r w:rsidRPr="001C3005">
        <w:rPr>
          <w:i/>
          <w:iCs/>
        </w:rPr>
        <w:t xml:space="preserve">The feast of the Passover was taken up by Jesus as the occasion for him to make his own new covenant, fulfilling the promises made by the prophets of a new covenant to replace the old covenant so definitively broken at the time of the Babylonian Exile. Jesus himself was the lamb who was to be sacrificed, and his new covenant was sealed, not in blood sprinkled but in his own blood consumed. It was a ‘memorial’, that is, an effective re-enactment, </w:t>
      </w:r>
      <w:proofErr w:type="gramStart"/>
      <w:r w:rsidRPr="001C3005">
        <w:rPr>
          <w:i/>
          <w:iCs/>
        </w:rPr>
        <w:t>actually renewing</w:t>
      </w:r>
      <w:proofErr w:type="gramEnd"/>
      <w:r w:rsidRPr="001C3005">
        <w:rPr>
          <w:i/>
          <w:iCs/>
        </w:rPr>
        <w:t xml:space="preserve"> the act of dedication and union.</w:t>
      </w:r>
    </w:p>
    <w:p w14:paraId="38113D42" w14:textId="77777777" w:rsidR="001C3005" w:rsidRPr="001C3005" w:rsidRDefault="001C3005" w:rsidP="001C3005">
      <w:r w:rsidRPr="001C3005">
        <w:rPr>
          <w:i/>
          <w:iCs/>
        </w:rPr>
        <w:t xml:space="preserve">Jesus’s extraordinary gesture recorded in the Gospel of John shows us the full meaning of what he was doing. The narrative stresses that Jesus knew what was to come; he was showing his disciples the meaning of the events. By the act of rising from the table and performing the demeaning act of stripping down and washing the feet of his followers, his guests, he was showing the meaning of the dire events to come – Peter’s horror says it all, but there was far worse to come. It was a pre-enactment of his great act of serving </w:t>
      </w:r>
      <w:r w:rsidRPr="001C3005">
        <w:rPr>
          <w:i/>
          <w:iCs/>
        </w:rPr>
        <w:lastRenderedPageBreak/>
        <w:t>his community, the new family which he was binding to himself by this new covenant, the foundational act of service in the Church.</w:t>
      </w:r>
    </w:p>
    <w:p w14:paraId="2E9E5C9F" w14:textId="58BD80B9" w:rsidR="001C3005" w:rsidRPr="00D80E23" w:rsidRDefault="001C3005" w:rsidP="00D80E23">
      <w:pPr>
        <w:rPr>
          <w:b/>
          <w:bCs/>
        </w:rPr>
      </w:pPr>
      <w:r w:rsidRPr="00D80E23">
        <w:rPr>
          <w:b/>
          <w:bCs/>
        </w:rPr>
        <w:t>The arrest of Jesus (Jn 18: 1-11)</w:t>
      </w:r>
      <w:r w:rsidR="00D80E23" w:rsidRPr="00D80E23">
        <w:rPr>
          <w:b/>
          <w:bCs/>
        </w:rPr>
        <w:t xml:space="preserve">; </w:t>
      </w:r>
      <w:r w:rsidR="00D80E23" w:rsidRPr="00D80E23">
        <w:rPr>
          <w:b/>
          <w:bCs/>
        </w:rPr>
        <w:t>Jesus before Pilate (Jn 18:28-40, 19:4-6)</w:t>
      </w:r>
      <w:r w:rsidR="00D80E23" w:rsidRPr="00D80E23">
        <w:rPr>
          <w:b/>
          <w:bCs/>
        </w:rPr>
        <w:t xml:space="preserve">; </w:t>
      </w:r>
      <w:r w:rsidR="00D80E23" w:rsidRPr="00D80E23">
        <w:rPr>
          <w:b/>
          <w:bCs/>
        </w:rPr>
        <w:t>The Crucifixion (Jn 19:17-22)</w:t>
      </w:r>
      <w:r w:rsidR="00D80E23" w:rsidRPr="00D80E23">
        <w:rPr>
          <w:b/>
          <w:bCs/>
        </w:rPr>
        <w:t xml:space="preserve">; </w:t>
      </w:r>
      <w:r w:rsidR="00D80E23" w:rsidRPr="00D80E23">
        <w:rPr>
          <w:b/>
          <w:bCs/>
        </w:rPr>
        <w:t>Jesus and his mother (Jn 19:25-27)</w:t>
      </w:r>
      <w:r w:rsidR="00D80E23" w:rsidRPr="00D80E23">
        <w:rPr>
          <w:b/>
          <w:bCs/>
        </w:rPr>
        <w:t xml:space="preserve">; </w:t>
      </w:r>
      <w:r w:rsidR="00D80E23" w:rsidRPr="00D80E23">
        <w:rPr>
          <w:b/>
          <w:bCs/>
        </w:rPr>
        <w:t>The death of Jesus (Jn 19:28-37)</w:t>
      </w:r>
    </w:p>
    <w:p w14:paraId="66B3D915" w14:textId="77777777" w:rsidR="00D80E23" w:rsidRPr="00D80E23" w:rsidRDefault="00D80E23" w:rsidP="00D80E23">
      <w:r w:rsidRPr="00D80E23">
        <w:rPr>
          <w:i/>
          <w:iCs/>
        </w:rPr>
        <w:t xml:space="preserve">John’s narrative of the Passion is different from that of the synoptic Gospels in important respects. Some of these differences are matters of emphasis, others spring from a set of different facts. After Caiaphas’s decision no Jewish trial scene before the high priest, no meeting of a Sanhedrin to prepare a charge to put before Pilate, was necessary. </w:t>
      </w:r>
      <w:proofErr w:type="gramStart"/>
      <w:r w:rsidRPr="00D80E23">
        <w:rPr>
          <w:i/>
          <w:iCs/>
        </w:rPr>
        <w:t>Instead</w:t>
      </w:r>
      <w:proofErr w:type="gramEnd"/>
      <w:r w:rsidRPr="00D80E23">
        <w:rPr>
          <w:i/>
          <w:iCs/>
        </w:rPr>
        <w:t xml:space="preserve"> John gives an interrogation before Annas, the ex-high priest and father-in-law of Caiaphas. The trial before Pilate may well be built on the same incident as that of the synoptics, but in John it is highly elaborated for theological reasons.</w:t>
      </w:r>
    </w:p>
    <w:p w14:paraId="1C9BEEFF" w14:textId="77777777" w:rsidR="00D80E23" w:rsidRPr="00D80E23" w:rsidRDefault="00D80E23" w:rsidP="00D80E23">
      <w:r w:rsidRPr="00D80E23">
        <w:rPr>
          <w:i/>
          <w:iCs/>
        </w:rPr>
        <w:t xml:space="preserve">The Johannine account is not the story of a condemned criminal being dragged to the disgraceful and tortured death reserved for slaves. Jesus is the majestic king, who proceeds royally to his triumph in death. There is no painful prayer for release in Gethsemane. From the beginning it is stressed that Jesus is fully aware of what is to happen. Before he can be arrested his captors repeatedly fall to the ground in an involuntary gesture of reverence at Jesus’s pronouncement of the divine name, “I am”. Jesus commands them to let his followers </w:t>
      </w:r>
      <w:proofErr w:type="gramStart"/>
      <w:r w:rsidRPr="00D80E23">
        <w:rPr>
          <w:i/>
          <w:iCs/>
        </w:rPr>
        <w:t>go, and</w:t>
      </w:r>
      <w:proofErr w:type="gramEnd"/>
      <w:r w:rsidRPr="00D80E23">
        <w:rPr>
          <w:i/>
          <w:iCs/>
        </w:rPr>
        <w:t xml:space="preserve"> is taken only when he gives the word (18:11). The humiliating elements of the other accounts, such as buffeting, spitting and the challenge to prophesy, have disappeared. Jesus is emphatically declared king in the three great world languages by the very man who condemns him to death (19:20-22). John even notes that the proclamation was publicly acknowledged by “many of the Jews”. not only is </w:t>
      </w:r>
      <w:proofErr w:type="gramStart"/>
      <w:r w:rsidRPr="00D80E23">
        <w:rPr>
          <w:i/>
          <w:iCs/>
        </w:rPr>
        <w:t>Jesus</w:t>
      </w:r>
      <w:proofErr w:type="gramEnd"/>
      <w:r w:rsidRPr="00D80E23">
        <w:rPr>
          <w:i/>
          <w:iCs/>
        </w:rPr>
        <w:t xml:space="preserve"> king; he continues his role as revealer and judge as well. In the interview with </w:t>
      </w:r>
      <w:proofErr w:type="gramStart"/>
      <w:r w:rsidRPr="00D80E23">
        <w:rPr>
          <w:i/>
          <w:iCs/>
        </w:rPr>
        <w:t>Annas</w:t>
      </w:r>
      <w:proofErr w:type="gramEnd"/>
      <w:r w:rsidRPr="00D80E23">
        <w:rPr>
          <w:i/>
          <w:iCs/>
        </w:rPr>
        <w:t xml:space="preserve"> it is Jesus who challenges and questions the high priest, reiterating his own teaching which he has given for all the world to hear. Similarly at the trial before Pilate, Jesus questions the governor and shows his control, until Pilate collapses with the feeble evasion, “What is truth?” – a humiliating self-condemnation in this gospel of truth. The judgement reaches its climax when the Jewish leaders, in a formal and balanced scene, condemn themselves before Jesus: he is enthroned on the judgement seat as judge and crowned – with thorns – as king, still wearing the royal purple robe of his mockery, while they deny the very existence of Judaism by declaring, “We have no king but Caesar” (19:15). If the God of Israel is not universal king, then Israel has no point or purpose.</w:t>
      </w:r>
    </w:p>
    <w:p w14:paraId="252C637C" w14:textId="77777777" w:rsidR="00D80E23" w:rsidRPr="00D80E23" w:rsidRDefault="00D80E23" w:rsidP="00D80E23">
      <w:r w:rsidRPr="00D80E23">
        <w:rPr>
          <w:i/>
          <w:iCs/>
        </w:rPr>
        <w:t xml:space="preserve">The final scene has special significance. Jesus carries his own cross, unaided, and is enthroned on it – no agonising details of nailing and hoisting – between two attendants. There is no final psalm quotation of seeming despair (as in Mark and Matthew) or of resignation (as in Luke), no wordless “great cry” as Jesus expires. In John Jesus prepares the community of the future. In contrast to the other Gospels, Mary and the Beloved </w:t>
      </w:r>
      <w:r w:rsidRPr="00D80E23">
        <w:rPr>
          <w:i/>
          <w:iCs/>
        </w:rPr>
        <w:lastRenderedPageBreak/>
        <w:t xml:space="preserve">Disciple stand at the foot of the cross and are entrusted to each other’s care to constitute the first Christian community, the woman and the man, the mother and the ideal disciple. This is cemented by the gift of the Spirit, as Jesus – with typical Johannine ambiguity – “gave over his spirit”. Does this mean “breathed his last” or “gave them the Holy Spirit”? Only then does </w:t>
      </w:r>
      <w:proofErr w:type="gramStart"/>
      <w:r w:rsidRPr="00D80E23">
        <w:rPr>
          <w:i/>
          <w:iCs/>
        </w:rPr>
        <w:t>Jesus</w:t>
      </w:r>
      <w:proofErr w:type="gramEnd"/>
      <w:r w:rsidRPr="00D80E23">
        <w:rPr>
          <w:i/>
          <w:iCs/>
        </w:rPr>
        <w:t xml:space="preserve"> consent to die, with the words, “It is fulfilled”.</w:t>
      </w:r>
    </w:p>
    <w:p w14:paraId="73F72CD9" w14:textId="77777777" w:rsidR="001C3005" w:rsidRPr="001C3005" w:rsidRDefault="001C3005"/>
    <w:sectPr w:rsidR="001C3005" w:rsidRPr="001C30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05"/>
    <w:rsid w:val="000F56A3"/>
    <w:rsid w:val="001C3005"/>
    <w:rsid w:val="00752DB8"/>
    <w:rsid w:val="00AD0554"/>
    <w:rsid w:val="00D80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E7EE"/>
  <w15:chartTrackingRefBased/>
  <w15:docId w15:val="{AFA4846B-AA11-4D97-A3B3-F21601DF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005"/>
    <w:rPr>
      <w:rFonts w:eastAsiaTheme="majorEastAsia" w:cstheme="majorBidi"/>
      <w:color w:val="272727" w:themeColor="text1" w:themeTint="D8"/>
    </w:rPr>
  </w:style>
  <w:style w:type="paragraph" w:styleId="Title">
    <w:name w:val="Title"/>
    <w:basedOn w:val="Normal"/>
    <w:next w:val="Normal"/>
    <w:link w:val="TitleChar"/>
    <w:uiPriority w:val="10"/>
    <w:qFormat/>
    <w:rsid w:val="001C3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005"/>
    <w:pPr>
      <w:spacing w:before="160"/>
      <w:jc w:val="center"/>
    </w:pPr>
    <w:rPr>
      <w:i/>
      <w:iCs/>
      <w:color w:val="404040" w:themeColor="text1" w:themeTint="BF"/>
    </w:rPr>
  </w:style>
  <w:style w:type="character" w:customStyle="1" w:styleId="QuoteChar">
    <w:name w:val="Quote Char"/>
    <w:basedOn w:val="DefaultParagraphFont"/>
    <w:link w:val="Quote"/>
    <w:uiPriority w:val="29"/>
    <w:rsid w:val="001C3005"/>
    <w:rPr>
      <w:i/>
      <w:iCs/>
      <w:color w:val="404040" w:themeColor="text1" w:themeTint="BF"/>
    </w:rPr>
  </w:style>
  <w:style w:type="paragraph" w:styleId="ListParagraph">
    <w:name w:val="List Paragraph"/>
    <w:basedOn w:val="Normal"/>
    <w:uiPriority w:val="34"/>
    <w:qFormat/>
    <w:rsid w:val="001C3005"/>
    <w:pPr>
      <w:ind w:left="720"/>
      <w:contextualSpacing/>
    </w:pPr>
  </w:style>
  <w:style w:type="character" w:styleId="IntenseEmphasis">
    <w:name w:val="Intense Emphasis"/>
    <w:basedOn w:val="DefaultParagraphFont"/>
    <w:uiPriority w:val="21"/>
    <w:qFormat/>
    <w:rsid w:val="001C3005"/>
    <w:rPr>
      <w:i/>
      <w:iCs/>
      <w:color w:val="0F4761" w:themeColor="accent1" w:themeShade="BF"/>
    </w:rPr>
  </w:style>
  <w:style w:type="paragraph" w:styleId="IntenseQuote">
    <w:name w:val="Intense Quote"/>
    <w:basedOn w:val="Normal"/>
    <w:next w:val="Normal"/>
    <w:link w:val="IntenseQuoteChar"/>
    <w:uiPriority w:val="30"/>
    <w:qFormat/>
    <w:rsid w:val="001C3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005"/>
    <w:rPr>
      <w:i/>
      <w:iCs/>
      <w:color w:val="0F4761" w:themeColor="accent1" w:themeShade="BF"/>
    </w:rPr>
  </w:style>
  <w:style w:type="character" w:styleId="IntenseReference">
    <w:name w:val="Intense Reference"/>
    <w:basedOn w:val="DefaultParagraphFont"/>
    <w:uiPriority w:val="32"/>
    <w:qFormat/>
    <w:rsid w:val="001C3005"/>
    <w:rPr>
      <w:b/>
      <w:bCs/>
      <w:smallCaps/>
      <w:color w:val="0F4761" w:themeColor="accent1" w:themeShade="BF"/>
      <w:spacing w:val="5"/>
    </w:rPr>
  </w:style>
  <w:style w:type="character" w:styleId="Hyperlink">
    <w:name w:val="Hyperlink"/>
    <w:basedOn w:val="DefaultParagraphFont"/>
    <w:uiPriority w:val="99"/>
    <w:unhideWhenUsed/>
    <w:rsid w:val="001C3005"/>
    <w:rPr>
      <w:color w:val="467886" w:themeColor="hyperlink"/>
      <w:u w:val="single"/>
    </w:rPr>
  </w:style>
  <w:style w:type="character" w:styleId="UnresolvedMention">
    <w:name w:val="Unresolved Mention"/>
    <w:basedOn w:val="DefaultParagraphFont"/>
    <w:uiPriority w:val="99"/>
    <w:semiHidden/>
    <w:unhideWhenUsed/>
    <w:rsid w:val="001C3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versalis.com/index.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C145E034-DD1D-402A-9D10-C9EF481AFA52}"/>
</file>

<file path=customXml/itemProps2.xml><?xml version="1.0" encoding="utf-8"?>
<ds:datastoreItem xmlns:ds="http://schemas.openxmlformats.org/officeDocument/2006/customXml" ds:itemID="{1FD4963C-1F62-4C60-9015-4C02BBED9AED}"/>
</file>

<file path=customXml/itemProps3.xml><?xml version="1.0" encoding="utf-8"?>
<ds:datastoreItem xmlns:ds="http://schemas.openxmlformats.org/officeDocument/2006/customXml" ds:itemID="{43CB70D3-E88B-47F4-B4C8-3CE6208699E8}"/>
</file>

<file path=docProps/app.xml><?xml version="1.0" encoding="utf-8"?>
<Properties xmlns="http://schemas.openxmlformats.org/officeDocument/2006/extended-properties" xmlns:vt="http://schemas.openxmlformats.org/officeDocument/2006/docPropsVTypes">
  <Template>Normal</Template>
  <TotalTime>17</TotalTime>
  <Pages>3</Pages>
  <Words>1108</Words>
  <Characters>5464</Characters>
  <Application>Microsoft Office Word</Application>
  <DocSecurity>0</DocSecurity>
  <Lines>147</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cp:revision>
  <dcterms:created xsi:type="dcterms:W3CDTF">2026-02-04T11:56:00Z</dcterms:created>
  <dcterms:modified xsi:type="dcterms:W3CDTF">2026-02-04T12:15:00Z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