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23B4" w14:textId="77777777" w:rsidR="009C1141" w:rsidRDefault="009C1141" w:rsidP="009C1141">
      <w:pPr>
        <w:jc w:val="center"/>
        <w:rPr>
          <w:b/>
          <w:bCs/>
          <w:sz w:val="28"/>
          <w:szCs w:val="28"/>
        </w:rPr>
      </w:pPr>
      <w:r>
        <w:rPr>
          <w:b/>
          <w:bCs/>
          <w:sz w:val="28"/>
          <w:szCs w:val="28"/>
        </w:rPr>
        <w:t>PLAT ACT AFFIDAVIT</w:t>
      </w:r>
    </w:p>
    <w:p w14:paraId="479486EF" w14:textId="77777777" w:rsidR="009C1141" w:rsidRDefault="009C1141" w:rsidP="009C1141">
      <w:pPr>
        <w:rPr>
          <w:sz w:val="22"/>
          <w:szCs w:val="22"/>
        </w:rPr>
      </w:pPr>
      <w:r>
        <w:rPr>
          <w:sz w:val="22"/>
          <w:szCs w:val="22"/>
        </w:rPr>
        <w:t>State of _________________</w:t>
      </w:r>
    </w:p>
    <w:p w14:paraId="280950CC" w14:textId="77777777" w:rsidR="009C1141" w:rsidRDefault="009C1141" w:rsidP="009C1141">
      <w:pPr>
        <w:rPr>
          <w:sz w:val="22"/>
          <w:szCs w:val="22"/>
        </w:rPr>
      </w:pPr>
      <w:r>
        <w:rPr>
          <w:sz w:val="22"/>
          <w:szCs w:val="22"/>
        </w:rPr>
        <w:t>County of ________________</w:t>
      </w:r>
    </w:p>
    <w:p w14:paraId="086D7103" w14:textId="77777777" w:rsidR="009C1141" w:rsidRDefault="009C1141" w:rsidP="009C1141">
      <w:pPr>
        <w:rPr>
          <w:sz w:val="22"/>
          <w:szCs w:val="22"/>
        </w:rPr>
      </w:pPr>
      <w:r>
        <w:rPr>
          <w:sz w:val="22"/>
          <w:szCs w:val="22"/>
        </w:rPr>
        <w:t>_____________________, being duly sworn on oath, states that ________________ resides</w:t>
      </w:r>
    </w:p>
    <w:p w14:paraId="69953DD4" w14:textId="77777777" w:rsidR="009C1141" w:rsidRDefault="009C1141" w:rsidP="009C1141">
      <w:pPr>
        <w:rPr>
          <w:sz w:val="22"/>
          <w:szCs w:val="22"/>
        </w:rPr>
      </w:pPr>
      <w:r>
        <w:rPr>
          <w:sz w:val="22"/>
          <w:szCs w:val="22"/>
        </w:rPr>
        <w:t>at _____________________. That the attached deed is not in violation of 765 ILCS 205/1 for one of the following reasons:</w:t>
      </w:r>
    </w:p>
    <w:p w14:paraId="1D71E1A2" w14:textId="77777777" w:rsidR="009C1141" w:rsidRDefault="009C1141" w:rsidP="009C1141">
      <w:pPr>
        <w:rPr>
          <w:sz w:val="22"/>
          <w:szCs w:val="22"/>
        </w:rPr>
      </w:pPr>
    </w:p>
    <w:p w14:paraId="34E9C1BE" w14:textId="77777777" w:rsidR="009C1141" w:rsidRDefault="009C1141" w:rsidP="009C1141">
      <w:pPr>
        <w:ind w:left="720" w:hanging="720"/>
        <w:rPr>
          <w:sz w:val="22"/>
          <w:szCs w:val="22"/>
        </w:rPr>
      </w:pPr>
      <w:r>
        <w:rPr>
          <w:sz w:val="22"/>
          <w:szCs w:val="22"/>
        </w:rPr>
        <w:t>1</w:t>
      </w:r>
      <w:proofErr w:type="gramStart"/>
      <w:r>
        <w:rPr>
          <w:sz w:val="22"/>
          <w:szCs w:val="22"/>
        </w:rPr>
        <w:t xml:space="preserve">. </w:t>
      </w:r>
      <w:r>
        <w:rPr>
          <w:sz w:val="22"/>
          <w:szCs w:val="22"/>
        </w:rPr>
        <w:tab/>
        <w:t>Said</w:t>
      </w:r>
      <w:proofErr w:type="gramEnd"/>
      <w:r>
        <w:rPr>
          <w:sz w:val="22"/>
          <w:szCs w:val="22"/>
        </w:rPr>
        <w:t xml:space="preserve"> Act is not applicable as the grantors own no adjoining property to the premises described in said </w:t>
      </w:r>
      <w:proofErr w:type="gramStart"/>
      <w:r>
        <w:rPr>
          <w:sz w:val="22"/>
          <w:szCs w:val="22"/>
        </w:rPr>
        <w:t>deed;</w:t>
      </w:r>
      <w:proofErr w:type="gramEnd"/>
    </w:p>
    <w:p w14:paraId="06BA7137" w14:textId="77777777" w:rsidR="009C1141" w:rsidRDefault="009C1141" w:rsidP="009C1141">
      <w:pPr>
        <w:ind w:firstLine="720"/>
        <w:rPr>
          <w:sz w:val="22"/>
          <w:szCs w:val="22"/>
        </w:rPr>
      </w:pPr>
      <w:r>
        <w:rPr>
          <w:sz w:val="22"/>
          <w:szCs w:val="22"/>
        </w:rPr>
        <w:t>- OR -</w:t>
      </w:r>
    </w:p>
    <w:p w14:paraId="399600A1" w14:textId="77777777" w:rsidR="009C1141" w:rsidRDefault="009C1141" w:rsidP="009C1141">
      <w:pPr>
        <w:ind w:left="720"/>
        <w:rPr>
          <w:sz w:val="22"/>
          <w:szCs w:val="22"/>
        </w:rPr>
      </w:pPr>
      <w:proofErr w:type="gramStart"/>
      <w:r>
        <w:rPr>
          <w:sz w:val="22"/>
          <w:szCs w:val="22"/>
        </w:rPr>
        <w:t>the</w:t>
      </w:r>
      <w:proofErr w:type="gramEnd"/>
      <w:r>
        <w:rPr>
          <w:sz w:val="22"/>
          <w:szCs w:val="22"/>
        </w:rPr>
        <w:t xml:space="preserve"> conveyance falls in one of the following exemptions as shown by Amended Act which became effective July 17, 1959.</w:t>
      </w:r>
    </w:p>
    <w:p w14:paraId="4AA2FC6D" w14:textId="77777777" w:rsidR="009C1141" w:rsidRDefault="009C1141" w:rsidP="009C1141">
      <w:pPr>
        <w:ind w:left="720" w:hanging="720"/>
        <w:rPr>
          <w:sz w:val="22"/>
          <w:szCs w:val="22"/>
        </w:rPr>
      </w:pPr>
      <w:r>
        <w:rPr>
          <w:sz w:val="22"/>
          <w:szCs w:val="22"/>
        </w:rPr>
        <w:t>2</w:t>
      </w:r>
      <w:proofErr w:type="gramStart"/>
      <w:r>
        <w:rPr>
          <w:sz w:val="22"/>
          <w:szCs w:val="22"/>
        </w:rPr>
        <w:t xml:space="preserve">. </w:t>
      </w:r>
      <w:r>
        <w:rPr>
          <w:sz w:val="22"/>
          <w:szCs w:val="22"/>
        </w:rPr>
        <w:tab/>
        <w:t>The</w:t>
      </w:r>
      <w:proofErr w:type="gramEnd"/>
      <w:r>
        <w:rPr>
          <w:sz w:val="22"/>
          <w:szCs w:val="22"/>
        </w:rPr>
        <w:t xml:space="preserve"> division or subdivision of the land into parcels or tracts of five acres or more in size which does not involve any new streets or easements of access.</w:t>
      </w:r>
    </w:p>
    <w:p w14:paraId="69BAB690" w14:textId="77777777" w:rsidR="009C1141" w:rsidRDefault="009C1141" w:rsidP="009C1141">
      <w:pPr>
        <w:ind w:left="720" w:hanging="720"/>
        <w:rPr>
          <w:sz w:val="22"/>
          <w:szCs w:val="22"/>
        </w:rPr>
      </w:pPr>
      <w:r>
        <w:rPr>
          <w:sz w:val="22"/>
          <w:szCs w:val="22"/>
        </w:rPr>
        <w:t>3</w:t>
      </w:r>
      <w:proofErr w:type="gramStart"/>
      <w:r>
        <w:rPr>
          <w:sz w:val="22"/>
          <w:szCs w:val="22"/>
        </w:rPr>
        <w:t xml:space="preserve">. </w:t>
      </w:r>
      <w:r>
        <w:rPr>
          <w:sz w:val="22"/>
          <w:szCs w:val="22"/>
        </w:rPr>
        <w:tab/>
        <w:t>The</w:t>
      </w:r>
      <w:proofErr w:type="gramEnd"/>
      <w:r>
        <w:rPr>
          <w:sz w:val="22"/>
          <w:szCs w:val="22"/>
        </w:rPr>
        <w:t xml:space="preserve"> divisions of lots or blocks of less than one acre in any recorded subdivision which </w:t>
      </w:r>
      <w:proofErr w:type="gramStart"/>
      <w:r>
        <w:rPr>
          <w:sz w:val="22"/>
          <w:szCs w:val="22"/>
        </w:rPr>
        <w:t>does</w:t>
      </w:r>
      <w:proofErr w:type="gramEnd"/>
      <w:r>
        <w:rPr>
          <w:sz w:val="22"/>
          <w:szCs w:val="22"/>
        </w:rPr>
        <w:t xml:space="preserve"> not involve any new streets or easements of access.</w:t>
      </w:r>
    </w:p>
    <w:p w14:paraId="3AFAB1C4" w14:textId="77777777" w:rsidR="009C1141" w:rsidRDefault="009C1141" w:rsidP="009C1141">
      <w:pPr>
        <w:ind w:left="720" w:hanging="720"/>
        <w:rPr>
          <w:sz w:val="22"/>
          <w:szCs w:val="22"/>
        </w:rPr>
      </w:pPr>
      <w:r>
        <w:rPr>
          <w:sz w:val="22"/>
          <w:szCs w:val="22"/>
        </w:rPr>
        <w:t>4</w:t>
      </w:r>
      <w:proofErr w:type="gramStart"/>
      <w:r>
        <w:rPr>
          <w:sz w:val="22"/>
          <w:szCs w:val="22"/>
        </w:rPr>
        <w:t xml:space="preserve">. </w:t>
      </w:r>
      <w:r>
        <w:rPr>
          <w:sz w:val="22"/>
          <w:szCs w:val="22"/>
        </w:rPr>
        <w:tab/>
        <w:t>The</w:t>
      </w:r>
      <w:proofErr w:type="gramEnd"/>
      <w:r>
        <w:rPr>
          <w:sz w:val="22"/>
          <w:szCs w:val="22"/>
        </w:rPr>
        <w:t xml:space="preserve"> sale or exchange </w:t>
      </w:r>
      <w:proofErr w:type="gramStart"/>
      <w:r>
        <w:rPr>
          <w:sz w:val="22"/>
          <w:szCs w:val="22"/>
        </w:rPr>
        <w:t>or</w:t>
      </w:r>
      <w:proofErr w:type="gramEnd"/>
      <w:r>
        <w:rPr>
          <w:sz w:val="22"/>
          <w:szCs w:val="22"/>
        </w:rPr>
        <w:t xml:space="preserve"> parcels of land between owners of adjoining and contiguous land.</w:t>
      </w:r>
    </w:p>
    <w:p w14:paraId="3E8284EB" w14:textId="77777777" w:rsidR="009C1141" w:rsidRDefault="009C1141" w:rsidP="009C1141">
      <w:pPr>
        <w:ind w:left="720" w:hanging="720"/>
        <w:rPr>
          <w:sz w:val="22"/>
          <w:szCs w:val="22"/>
        </w:rPr>
      </w:pPr>
      <w:r>
        <w:rPr>
          <w:sz w:val="22"/>
          <w:szCs w:val="22"/>
        </w:rPr>
        <w:t>5</w:t>
      </w:r>
      <w:proofErr w:type="gramStart"/>
      <w:r>
        <w:rPr>
          <w:sz w:val="22"/>
          <w:szCs w:val="22"/>
        </w:rPr>
        <w:t xml:space="preserve">. </w:t>
      </w:r>
      <w:r>
        <w:rPr>
          <w:sz w:val="22"/>
          <w:szCs w:val="22"/>
        </w:rPr>
        <w:tab/>
        <w:t>The</w:t>
      </w:r>
      <w:proofErr w:type="gramEnd"/>
      <w:r>
        <w:rPr>
          <w:sz w:val="22"/>
          <w:szCs w:val="22"/>
        </w:rPr>
        <w:t xml:space="preserve"> conveyance of parcels of land or interests therein for use as right of way </w:t>
      </w:r>
      <w:proofErr w:type="spellStart"/>
      <w:proofErr w:type="gramStart"/>
      <w:r>
        <w:rPr>
          <w:sz w:val="22"/>
          <w:szCs w:val="22"/>
        </w:rPr>
        <w:t>fro</w:t>
      </w:r>
      <w:proofErr w:type="spellEnd"/>
      <w:proofErr w:type="gramEnd"/>
      <w:r>
        <w:rPr>
          <w:sz w:val="22"/>
          <w:szCs w:val="22"/>
        </w:rPr>
        <w:t xml:space="preserve"> railroads or other public utility facilities, which does not involve any new streets or easements of access.</w:t>
      </w:r>
    </w:p>
    <w:p w14:paraId="3032079C" w14:textId="77777777" w:rsidR="009C1141" w:rsidRDefault="009C1141" w:rsidP="009C1141">
      <w:pPr>
        <w:ind w:left="720" w:hanging="720"/>
        <w:rPr>
          <w:sz w:val="22"/>
          <w:szCs w:val="22"/>
        </w:rPr>
      </w:pPr>
      <w:r>
        <w:rPr>
          <w:sz w:val="22"/>
          <w:szCs w:val="22"/>
        </w:rPr>
        <w:t>6</w:t>
      </w:r>
      <w:proofErr w:type="gramStart"/>
      <w:r>
        <w:rPr>
          <w:sz w:val="22"/>
          <w:szCs w:val="22"/>
        </w:rPr>
        <w:t xml:space="preserve">. </w:t>
      </w:r>
      <w:r>
        <w:rPr>
          <w:sz w:val="22"/>
          <w:szCs w:val="22"/>
        </w:rPr>
        <w:tab/>
        <w:t>The</w:t>
      </w:r>
      <w:proofErr w:type="gramEnd"/>
      <w:r>
        <w:rPr>
          <w:sz w:val="22"/>
          <w:szCs w:val="22"/>
        </w:rPr>
        <w:t xml:space="preserve"> conveyance of land owned by a railroad or other public utility which does not involve any new streets or easements of access.</w:t>
      </w:r>
    </w:p>
    <w:p w14:paraId="0A5AB627" w14:textId="77777777" w:rsidR="009C1141" w:rsidRDefault="009C1141" w:rsidP="009C1141">
      <w:pPr>
        <w:ind w:left="720" w:hanging="720"/>
        <w:rPr>
          <w:sz w:val="22"/>
          <w:szCs w:val="22"/>
        </w:rPr>
      </w:pPr>
      <w:r>
        <w:rPr>
          <w:sz w:val="22"/>
          <w:szCs w:val="22"/>
        </w:rPr>
        <w:t>7</w:t>
      </w:r>
      <w:proofErr w:type="gramStart"/>
      <w:r>
        <w:rPr>
          <w:sz w:val="22"/>
          <w:szCs w:val="22"/>
        </w:rPr>
        <w:t xml:space="preserve">. </w:t>
      </w:r>
      <w:r>
        <w:rPr>
          <w:sz w:val="22"/>
          <w:szCs w:val="22"/>
        </w:rPr>
        <w:tab/>
        <w:t>The</w:t>
      </w:r>
      <w:proofErr w:type="gramEnd"/>
      <w:r>
        <w:rPr>
          <w:sz w:val="22"/>
          <w:szCs w:val="22"/>
        </w:rPr>
        <w:t xml:space="preserve"> conveyance of land for </w:t>
      </w:r>
      <w:proofErr w:type="gramStart"/>
      <w:r>
        <w:rPr>
          <w:sz w:val="22"/>
          <w:szCs w:val="22"/>
        </w:rPr>
        <w:t>highway</w:t>
      </w:r>
      <w:proofErr w:type="gramEnd"/>
      <w:r>
        <w:rPr>
          <w:sz w:val="22"/>
          <w:szCs w:val="22"/>
        </w:rPr>
        <w:t xml:space="preserve"> or other public purposes or grants or conveyances relating to the dedication of land for public use or instruments relating to the vacation of land impressed with </w:t>
      </w:r>
      <w:proofErr w:type="gramStart"/>
      <w:r>
        <w:rPr>
          <w:sz w:val="22"/>
          <w:szCs w:val="22"/>
        </w:rPr>
        <w:t>a public</w:t>
      </w:r>
      <w:proofErr w:type="gramEnd"/>
      <w:r>
        <w:rPr>
          <w:sz w:val="22"/>
          <w:szCs w:val="22"/>
        </w:rPr>
        <w:t xml:space="preserve"> use.</w:t>
      </w:r>
    </w:p>
    <w:p w14:paraId="550ABEC6" w14:textId="77777777" w:rsidR="009C1141" w:rsidRDefault="009C1141" w:rsidP="009C1141">
      <w:pPr>
        <w:rPr>
          <w:sz w:val="22"/>
          <w:szCs w:val="22"/>
        </w:rPr>
      </w:pPr>
      <w:r>
        <w:rPr>
          <w:sz w:val="22"/>
          <w:szCs w:val="22"/>
        </w:rPr>
        <w:t>8</w:t>
      </w:r>
      <w:proofErr w:type="gramStart"/>
      <w:r>
        <w:rPr>
          <w:sz w:val="22"/>
          <w:szCs w:val="22"/>
        </w:rPr>
        <w:t xml:space="preserve">. </w:t>
      </w:r>
      <w:r>
        <w:rPr>
          <w:sz w:val="22"/>
          <w:szCs w:val="22"/>
        </w:rPr>
        <w:tab/>
        <w:t>Conveyances</w:t>
      </w:r>
      <w:proofErr w:type="gramEnd"/>
      <w:r>
        <w:rPr>
          <w:sz w:val="22"/>
          <w:szCs w:val="22"/>
        </w:rPr>
        <w:t xml:space="preserve"> made to correct descriptions in prior conveyances.</w:t>
      </w:r>
    </w:p>
    <w:p w14:paraId="18458C25" w14:textId="77777777" w:rsidR="009C1141" w:rsidRDefault="009C1141" w:rsidP="009C1141">
      <w:pPr>
        <w:ind w:left="720" w:hanging="720"/>
        <w:rPr>
          <w:sz w:val="22"/>
          <w:szCs w:val="22"/>
        </w:rPr>
      </w:pPr>
      <w:r>
        <w:rPr>
          <w:sz w:val="22"/>
          <w:szCs w:val="22"/>
        </w:rPr>
        <w:t>9</w:t>
      </w:r>
      <w:proofErr w:type="gramStart"/>
      <w:r>
        <w:rPr>
          <w:sz w:val="22"/>
          <w:szCs w:val="22"/>
        </w:rPr>
        <w:t xml:space="preserve">. </w:t>
      </w:r>
      <w:r>
        <w:rPr>
          <w:sz w:val="22"/>
          <w:szCs w:val="22"/>
        </w:rPr>
        <w:tab/>
        <w:t>The</w:t>
      </w:r>
      <w:proofErr w:type="gramEnd"/>
      <w:r>
        <w:rPr>
          <w:sz w:val="22"/>
          <w:szCs w:val="22"/>
        </w:rPr>
        <w:t xml:space="preserve"> sale or exchange of parcels or tracts of land existing on the date of the amendatory Act into no more than two parts and not involving any new streets or easements of access.</w:t>
      </w:r>
    </w:p>
    <w:p w14:paraId="3F1E3598" w14:textId="77777777" w:rsidR="009C1141" w:rsidRDefault="009C1141" w:rsidP="009C1141">
      <w:pPr>
        <w:ind w:left="720" w:hanging="720"/>
        <w:rPr>
          <w:sz w:val="22"/>
          <w:szCs w:val="22"/>
        </w:rPr>
      </w:pPr>
      <w:r>
        <w:rPr>
          <w:sz w:val="22"/>
          <w:szCs w:val="22"/>
        </w:rPr>
        <w:t xml:space="preserve">10. </w:t>
      </w:r>
      <w:r>
        <w:rPr>
          <w:sz w:val="22"/>
          <w:szCs w:val="22"/>
        </w:rPr>
        <w:tab/>
        <w:t xml:space="preserve">The sale of a single lot of less than 5.0 acres from a larger tract when a survey is made by an Illinois registered surveyor; provided, that this exemption shall not apply to the sale of any subsequent lots from the same larger tract of land, as determined by the dimensions and configuration of the larger tract on October 1, 1973, and provided also that this exemption does not invalidate any local requirements applicable to the subdivision of land. Amended by P.A. 80-318, 1 eff. October 1, 1977. </w:t>
      </w:r>
    </w:p>
    <w:p w14:paraId="04FACD02" w14:textId="77777777" w:rsidR="009C1141" w:rsidRDefault="009C1141" w:rsidP="009C1141">
      <w:pPr>
        <w:ind w:left="720" w:hanging="720"/>
        <w:rPr>
          <w:sz w:val="22"/>
          <w:szCs w:val="22"/>
        </w:rPr>
      </w:pPr>
    </w:p>
    <w:p w14:paraId="24976F77" w14:textId="77777777" w:rsidR="009C1141" w:rsidRDefault="009C1141" w:rsidP="009C1141">
      <w:pPr>
        <w:ind w:left="720" w:hanging="720"/>
        <w:rPr>
          <w:sz w:val="22"/>
          <w:szCs w:val="22"/>
        </w:rPr>
      </w:pPr>
      <w:r>
        <w:rPr>
          <w:sz w:val="22"/>
          <w:szCs w:val="22"/>
        </w:rPr>
        <w:t>CIRCLE THE NUMBER ABOVE WHICH IS APPLICABLE TO THE ATTACHED DEED.</w:t>
      </w:r>
    </w:p>
    <w:p w14:paraId="609BE260" w14:textId="77777777" w:rsidR="009C1141" w:rsidRDefault="009C1141" w:rsidP="009C1141">
      <w:pPr>
        <w:ind w:left="720" w:hanging="720"/>
        <w:rPr>
          <w:sz w:val="22"/>
          <w:szCs w:val="22"/>
        </w:rPr>
      </w:pPr>
    </w:p>
    <w:p w14:paraId="574854EA" w14:textId="77777777" w:rsidR="009C1141" w:rsidRDefault="009C1141" w:rsidP="009C1141">
      <w:pPr>
        <w:rPr>
          <w:sz w:val="22"/>
          <w:szCs w:val="22"/>
        </w:rPr>
      </w:pPr>
      <w:r>
        <w:rPr>
          <w:sz w:val="22"/>
          <w:szCs w:val="22"/>
        </w:rPr>
        <w:t xml:space="preserve">Affiant further state that____________ makes this affidavit for the purpose of inducing the Recorder of Deeds of_________ </w:t>
      </w:r>
      <w:proofErr w:type="gramStart"/>
      <w:r>
        <w:rPr>
          <w:sz w:val="22"/>
          <w:szCs w:val="22"/>
        </w:rPr>
        <w:t>County,  _</w:t>
      </w:r>
      <w:proofErr w:type="gramEnd"/>
      <w:r>
        <w:rPr>
          <w:sz w:val="22"/>
          <w:szCs w:val="22"/>
        </w:rPr>
        <w:t>__________, to accept the attached deed for recording.</w:t>
      </w:r>
    </w:p>
    <w:p w14:paraId="0CEE7F42" w14:textId="77777777" w:rsidR="009C1141" w:rsidRDefault="009C1141" w:rsidP="009C1141">
      <w:pPr>
        <w:jc w:val="right"/>
        <w:rPr>
          <w:sz w:val="22"/>
          <w:szCs w:val="22"/>
        </w:rPr>
      </w:pPr>
      <w:r>
        <w:rPr>
          <w:sz w:val="22"/>
          <w:szCs w:val="22"/>
        </w:rPr>
        <w:t>_________________________________</w:t>
      </w:r>
    </w:p>
    <w:p w14:paraId="3494D02F" w14:textId="77777777" w:rsidR="009C1141" w:rsidRDefault="009C1141" w:rsidP="009C1141">
      <w:pPr>
        <w:rPr>
          <w:sz w:val="22"/>
          <w:szCs w:val="22"/>
        </w:rPr>
      </w:pPr>
    </w:p>
    <w:p w14:paraId="4C03604F" w14:textId="77777777" w:rsidR="009C1141" w:rsidRDefault="009C1141" w:rsidP="009C1141">
      <w:pPr>
        <w:rPr>
          <w:sz w:val="22"/>
          <w:szCs w:val="22"/>
        </w:rPr>
      </w:pPr>
      <w:r>
        <w:rPr>
          <w:sz w:val="22"/>
          <w:szCs w:val="22"/>
        </w:rPr>
        <w:t>SUBSCRIBED and SWORN to before me</w:t>
      </w:r>
    </w:p>
    <w:p w14:paraId="38928A3F" w14:textId="77777777" w:rsidR="009C1141" w:rsidRDefault="009C1141" w:rsidP="009C1141">
      <w:pPr>
        <w:rPr>
          <w:sz w:val="22"/>
          <w:szCs w:val="22"/>
        </w:rPr>
      </w:pPr>
      <w:r>
        <w:rPr>
          <w:sz w:val="22"/>
          <w:szCs w:val="22"/>
        </w:rPr>
        <w:t>this ____</w:t>
      </w:r>
      <w:proofErr w:type="gramStart"/>
      <w:r>
        <w:rPr>
          <w:sz w:val="22"/>
          <w:szCs w:val="22"/>
        </w:rPr>
        <w:t>_  day</w:t>
      </w:r>
      <w:proofErr w:type="gramEnd"/>
      <w:r>
        <w:rPr>
          <w:sz w:val="22"/>
          <w:szCs w:val="22"/>
        </w:rPr>
        <w:t xml:space="preserve"> of___________</w:t>
      </w:r>
      <w:proofErr w:type="gramStart"/>
      <w:r>
        <w:rPr>
          <w:sz w:val="22"/>
          <w:szCs w:val="22"/>
        </w:rPr>
        <w:t>_ ,</w:t>
      </w:r>
      <w:proofErr w:type="gramEnd"/>
      <w:r>
        <w:rPr>
          <w:sz w:val="22"/>
          <w:szCs w:val="22"/>
        </w:rPr>
        <w:t xml:space="preserve"> 20_</w:t>
      </w:r>
      <w:proofErr w:type="gramStart"/>
      <w:r>
        <w:rPr>
          <w:sz w:val="22"/>
          <w:szCs w:val="22"/>
        </w:rPr>
        <w:t>_ .</w:t>
      </w:r>
      <w:proofErr w:type="gramEnd"/>
    </w:p>
    <w:p w14:paraId="68CE5AAA" w14:textId="77777777" w:rsidR="009C1141" w:rsidRDefault="009C1141" w:rsidP="009C1141">
      <w:pPr>
        <w:rPr>
          <w:sz w:val="22"/>
          <w:szCs w:val="22"/>
        </w:rPr>
      </w:pPr>
      <w:r>
        <w:rPr>
          <w:sz w:val="22"/>
          <w:szCs w:val="22"/>
        </w:rPr>
        <w:t>_________________________________</w:t>
      </w:r>
    </w:p>
    <w:p w14:paraId="22798F5A" w14:textId="77777777" w:rsidR="00581A40" w:rsidRDefault="00581A40"/>
    <w:sectPr w:rsidR="00581A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8C02" w14:textId="77777777" w:rsidR="008B0EA7" w:rsidRDefault="008B0EA7" w:rsidP="009C1141">
      <w:r>
        <w:separator/>
      </w:r>
    </w:p>
  </w:endnote>
  <w:endnote w:type="continuationSeparator" w:id="0">
    <w:p w14:paraId="4F006FE7" w14:textId="77777777" w:rsidR="008B0EA7" w:rsidRDefault="008B0EA7" w:rsidP="009C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8EDE" w14:textId="77777777" w:rsidR="008B0EA7" w:rsidRDefault="008B0EA7" w:rsidP="009C1141">
      <w:r>
        <w:separator/>
      </w:r>
    </w:p>
  </w:footnote>
  <w:footnote w:type="continuationSeparator" w:id="0">
    <w:p w14:paraId="7A06482A" w14:textId="77777777" w:rsidR="008B0EA7" w:rsidRDefault="008B0EA7" w:rsidP="009C1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A524" w14:textId="416C7DA8" w:rsidR="009C1141" w:rsidRDefault="009C1141">
    <w:pPr>
      <w:pStyle w:val="Header"/>
    </w:pPr>
    <w:r>
      <w:rPr>
        <w:noProof/>
        <w14:ligatures w14:val="standardContextual"/>
      </w:rPr>
      <w:drawing>
        <wp:inline distT="0" distB="0" distL="0" distR="0" wp14:anchorId="7A1D5A5D" wp14:editId="347B9834">
          <wp:extent cx="1466805" cy="1112520"/>
          <wp:effectExtent l="0" t="0" r="635" b="0"/>
          <wp:docPr id="1410795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95560" name=""/>
                  <pic:cNvPicPr/>
                </pic:nvPicPr>
                <pic:blipFill>
                  <a:blip r:embed="rId1"/>
                  <a:stretch>
                    <a:fillRect/>
                  </a:stretch>
                </pic:blipFill>
                <pic:spPr>
                  <a:xfrm>
                    <a:off x="0" y="0"/>
                    <a:ext cx="1475690" cy="11192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41"/>
    <w:rsid w:val="00143FFD"/>
    <w:rsid w:val="002A756C"/>
    <w:rsid w:val="00415FFB"/>
    <w:rsid w:val="004568DD"/>
    <w:rsid w:val="00581A40"/>
    <w:rsid w:val="008B0EA7"/>
    <w:rsid w:val="009C1141"/>
    <w:rsid w:val="00A7156C"/>
    <w:rsid w:val="00B729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F9AB"/>
  <w15:chartTrackingRefBased/>
  <w15:docId w15:val="{ACF3695F-A215-4CAA-9DB7-E467A8DD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41"/>
    <w:pPr>
      <w:spacing w:after="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C114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C114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C1141"/>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C1141"/>
    <w:pPr>
      <w:keepNext/>
      <w:keepLines/>
      <w:spacing w:before="80" w:after="40" w:line="278"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C1141"/>
    <w:pPr>
      <w:keepNext/>
      <w:keepLines/>
      <w:spacing w:before="80" w:after="40" w:line="278"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C1141"/>
    <w:pPr>
      <w:keepNext/>
      <w:keepLines/>
      <w:spacing w:before="4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C1141"/>
    <w:pPr>
      <w:keepNext/>
      <w:keepLines/>
      <w:spacing w:before="4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C1141"/>
    <w:pPr>
      <w:keepNext/>
      <w:keepLines/>
      <w:spacing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C1141"/>
    <w:pPr>
      <w:keepNext/>
      <w:keepLines/>
      <w:spacing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1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1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11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1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141"/>
    <w:rPr>
      <w:rFonts w:eastAsiaTheme="majorEastAsia" w:cstheme="majorBidi"/>
      <w:color w:val="272727" w:themeColor="text1" w:themeTint="D8"/>
    </w:rPr>
  </w:style>
  <w:style w:type="paragraph" w:styleId="Title">
    <w:name w:val="Title"/>
    <w:basedOn w:val="Normal"/>
    <w:next w:val="Normal"/>
    <w:link w:val="TitleChar"/>
    <w:uiPriority w:val="10"/>
    <w:qFormat/>
    <w:rsid w:val="009C114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C1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14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C1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141"/>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C1141"/>
    <w:rPr>
      <w:i/>
      <w:iCs/>
      <w:color w:val="404040" w:themeColor="text1" w:themeTint="BF"/>
    </w:rPr>
  </w:style>
  <w:style w:type="paragraph" w:styleId="ListParagraph">
    <w:name w:val="List Paragraph"/>
    <w:basedOn w:val="Normal"/>
    <w:uiPriority w:val="34"/>
    <w:qFormat/>
    <w:rsid w:val="009C1141"/>
    <w:pPr>
      <w:spacing w:after="160"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C1141"/>
    <w:rPr>
      <w:i/>
      <w:iCs/>
      <w:color w:val="2F5496" w:themeColor="accent1" w:themeShade="BF"/>
    </w:rPr>
  </w:style>
  <w:style w:type="paragraph" w:styleId="IntenseQuote">
    <w:name w:val="Intense Quote"/>
    <w:basedOn w:val="Normal"/>
    <w:next w:val="Normal"/>
    <w:link w:val="IntenseQuoteChar"/>
    <w:uiPriority w:val="30"/>
    <w:qFormat/>
    <w:rsid w:val="009C11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C1141"/>
    <w:rPr>
      <w:i/>
      <w:iCs/>
      <w:color w:val="2F5496" w:themeColor="accent1" w:themeShade="BF"/>
    </w:rPr>
  </w:style>
  <w:style w:type="character" w:styleId="IntenseReference">
    <w:name w:val="Intense Reference"/>
    <w:basedOn w:val="DefaultParagraphFont"/>
    <w:uiPriority w:val="32"/>
    <w:qFormat/>
    <w:rsid w:val="009C1141"/>
    <w:rPr>
      <w:b/>
      <w:bCs/>
      <w:smallCaps/>
      <w:color w:val="2F5496" w:themeColor="accent1" w:themeShade="BF"/>
      <w:spacing w:val="5"/>
    </w:rPr>
  </w:style>
  <w:style w:type="paragraph" w:styleId="Header">
    <w:name w:val="header"/>
    <w:basedOn w:val="Normal"/>
    <w:link w:val="HeaderChar"/>
    <w:uiPriority w:val="99"/>
    <w:unhideWhenUsed/>
    <w:rsid w:val="009C1141"/>
    <w:pPr>
      <w:tabs>
        <w:tab w:val="center" w:pos="4680"/>
        <w:tab w:val="right" w:pos="9360"/>
      </w:tabs>
    </w:pPr>
  </w:style>
  <w:style w:type="character" w:customStyle="1" w:styleId="HeaderChar">
    <w:name w:val="Header Char"/>
    <w:basedOn w:val="DefaultParagraphFont"/>
    <w:link w:val="Header"/>
    <w:uiPriority w:val="99"/>
    <w:rsid w:val="009C1141"/>
    <w:rPr>
      <w:rFonts w:eastAsiaTheme="minorEastAsia"/>
      <w:kern w:val="0"/>
      <w:lang w:eastAsia="ja-JP"/>
      <w14:ligatures w14:val="none"/>
    </w:rPr>
  </w:style>
  <w:style w:type="paragraph" w:styleId="Footer">
    <w:name w:val="footer"/>
    <w:basedOn w:val="Normal"/>
    <w:link w:val="FooterChar"/>
    <w:uiPriority w:val="99"/>
    <w:unhideWhenUsed/>
    <w:rsid w:val="009C1141"/>
    <w:pPr>
      <w:tabs>
        <w:tab w:val="center" w:pos="4680"/>
        <w:tab w:val="right" w:pos="9360"/>
      </w:tabs>
    </w:pPr>
  </w:style>
  <w:style w:type="character" w:customStyle="1" w:styleId="FooterChar">
    <w:name w:val="Footer Char"/>
    <w:basedOn w:val="DefaultParagraphFont"/>
    <w:link w:val="Footer"/>
    <w:uiPriority w:val="99"/>
    <w:rsid w:val="009C1141"/>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2232</Characters>
  <Application>Microsoft Office Word</Application>
  <DocSecurity>4</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Stendig</dc:creator>
  <cp:keywords/>
  <dc:description/>
  <cp:lastModifiedBy>Pearl Stendig</cp:lastModifiedBy>
  <cp:revision>2</cp:revision>
  <dcterms:created xsi:type="dcterms:W3CDTF">2026-04-30T20:48:00Z</dcterms:created>
  <dcterms:modified xsi:type="dcterms:W3CDTF">2026-04-30T20:48:00Z</dcterms:modified>
</cp:coreProperties>
</file>