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607.7952755905511"/>
        <w:jc w:val="right"/>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Last updated on September 08, 2026</w:t>
      </w:r>
    </w:p>
    <w:p w:rsidR="00000000" w:rsidDel="00000000" w:rsidP="00000000" w:rsidRDefault="00000000" w:rsidRPr="00000000" w14:paraId="00000002">
      <w:pPr>
        <w:ind w:right="-607.7952755905511"/>
        <w:jc w:val="right"/>
        <w:rPr>
          <w:rFonts w:ascii="Roboto" w:cs="Roboto" w:eastAsia="Roboto" w:hAnsi="Roboto"/>
          <w:i w:val="1"/>
          <w:iCs w:val="1"/>
          <w:sz w:val="24"/>
          <w:szCs w:val="24"/>
        </w:rPr>
      </w:pPr>
      <w:r w:rsidDel="00000000" w:rsidR="00000000" w:rsidRPr="00000000">
        <w:rPr>
          <w:rtl w:val="0"/>
        </w:rPr>
      </w:r>
    </w:p>
    <w:p w:rsidR="00000000" w:rsidDel="00000000" w:rsidP="00000000" w:rsidRDefault="00000000" w:rsidRPr="00000000" w14:paraId="00000003">
      <w:pPr>
        <w:ind w:right="-607.7952755905511"/>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Anti-Money Laundering Compliance Program</w:t>
      </w:r>
      <w:r w:rsidDel="00000000" w:rsidR="00000000" w:rsidRPr="00000000">
        <w:rPr>
          <w:rFonts w:ascii="Roboto" w:cs="Roboto" w:eastAsia="Roboto" w:hAnsi="Roboto"/>
          <w:sz w:val="28"/>
          <w:szCs w:val="28"/>
          <w:rtl w:val="0"/>
        </w:rPr>
        <w:t xml:space="preserve"> </w:t>
      </w:r>
      <w:r w:rsidDel="00000000" w:rsidR="00000000" w:rsidRPr="00000000">
        <w:rPr>
          <w:rFonts w:ascii="Roboto" w:cs="Roboto" w:eastAsia="Roboto" w:hAnsi="Roboto"/>
          <w:b w:val="1"/>
          <w:bCs w:val="1"/>
          <w:sz w:val="28"/>
          <w:szCs w:val="28"/>
          <w:rtl w:val="0"/>
        </w:rPr>
        <w:t xml:space="preserve">– Paycific Canada </w:t>
      </w:r>
    </w:p>
    <w:p w:rsidR="00000000" w:rsidDel="00000000" w:rsidP="00000000" w:rsidRDefault="00000000" w:rsidRPr="00000000" w14:paraId="00000004">
      <w:pPr>
        <w:ind w:right="-607.7952755905511"/>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05">
      <w:pPr>
        <w:numPr>
          <w:ilvl w:val="0"/>
          <w:numId w:val="2"/>
        </w:numPr>
        <w:ind w:left="720" w:right="-607.7952755905511" w:hanging="36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Introduction</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06">
      <w:pPr>
        <w:spacing w:after="0" w:before="0" w:lineRule="auto"/>
        <w:ind w:left="0" w:right="-607.7952755905511" w:firstLine="70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Frapex Inc., a company incorporated under the laws of Alberta, Canada under Company Registration Number 2027786017, having its registered address at 700-602 12 Ave SW, Calgary, Alberta, T2R 1J3, Canada, operates under the commercial brand Paycific (hereinafter – “</w:t>
      </w:r>
      <w:r w:rsidDel="00000000" w:rsidR="00000000" w:rsidRPr="00000000">
        <w:rPr>
          <w:rFonts w:ascii="Roboto" w:cs="Roboto" w:eastAsia="Roboto" w:hAnsi="Roboto"/>
          <w:b w:val="1"/>
          <w:bCs w:val="1"/>
          <w:sz w:val="24"/>
          <w:szCs w:val="24"/>
          <w:rtl w:val="0"/>
        </w:rPr>
        <w:t xml:space="preserve">Paycific Canada</w:t>
      </w:r>
      <w:r w:rsidDel="00000000" w:rsidR="00000000" w:rsidRPr="00000000">
        <w:rPr>
          <w:rFonts w:ascii="Roboto" w:cs="Roboto" w:eastAsia="Roboto" w:hAnsi="Roboto"/>
          <w:sz w:val="24"/>
          <w:szCs w:val="24"/>
          <w:rtl w:val="0"/>
        </w:rPr>
        <w:t xml:space="preserve">”, the “</w:t>
      </w:r>
      <w:r w:rsidDel="00000000" w:rsidR="00000000" w:rsidRPr="00000000">
        <w:rPr>
          <w:rFonts w:ascii="Roboto" w:cs="Roboto" w:eastAsia="Roboto" w:hAnsi="Roboto"/>
          <w:b w:val="1"/>
          <w:bCs w:val="1"/>
          <w:sz w:val="24"/>
          <w:szCs w:val="24"/>
          <w:rtl w:val="0"/>
        </w:rPr>
        <w:t xml:space="preserve">Company</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We</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Our</w:t>
      </w:r>
      <w:r w:rsidDel="00000000" w:rsidR="00000000" w:rsidRPr="00000000">
        <w:rPr>
          <w:rFonts w:ascii="Roboto" w:cs="Roboto" w:eastAsia="Roboto" w:hAnsi="Roboto"/>
          <w:sz w:val="24"/>
          <w:szCs w:val="24"/>
          <w:rtl w:val="0"/>
        </w:rPr>
        <w:t xml:space="preserve">” or “</w:t>
      </w:r>
      <w:r w:rsidDel="00000000" w:rsidR="00000000" w:rsidRPr="00000000">
        <w:rPr>
          <w:rFonts w:ascii="Roboto" w:cs="Roboto" w:eastAsia="Roboto" w:hAnsi="Roboto"/>
          <w:b w:val="1"/>
          <w:bCs w:val="1"/>
          <w:sz w:val="24"/>
          <w:szCs w:val="24"/>
          <w:rtl w:val="0"/>
        </w:rPr>
        <w:t xml:space="preserve">Us</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07">
      <w:pPr>
        <w:spacing w:after="0" w:before="0" w:lineRule="auto"/>
        <w:ind w:left="0" w:right="-607.7952755905511" w:firstLine="70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is a commercial brand under which over-the-counter virtual currency exchange services may be made available by separate legal entities operating in the United States and Canada.</w:t>
      </w:r>
    </w:p>
    <w:p w:rsidR="00000000" w:rsidDel="00000000" w:rsidP="00000000" w:rsidRDefault="00000000" w:rsidRPr="00000000" w14:paraId="00000008">
      <w:pPr>
        <w:spacing w:after="0" w:before="0" w:lineRule="auto"/>
        <w:ind w:left="0" w:right="-607.7952755905511" w:firstLine="70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Canada currently provides private bilateral spot over-the-counter virtual currency exchange services, including exchanges of fiat currency for virtual currency, virtual currency for fiat currency, and one virtual currency for another.</w:t>
      </w:r>
    </w:p>
    <w:p w:rsidR="00000000" w:rsidDel="00000000" w:rsidP="00000000" w:rsidRDefault="00000000" w:rsidRPr="00000000" w14:paraId="00000009">
      <w:pPr>
        <w:spacing w:after="0" w:before="0" w:lineRule="auto"/>
        <w:ind w:left="0" w:right="-607.7952755905511" w:firstLine="70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Canada maintains an AML/ATF compliance framework designed to comply with the Proceeds of Crime (Money Laundering) and Terrorist Financing Act </w:t>
      </w:r>
      <w:r w:rsidDel="00000000" w:rsidR="00000000" w:rsidRPr="00000000">
        <w:rPr>
          <w:rFonts w:ascii="Roboto" w:cs="Roboto" w:eastAsia="Roboto" w:hAnsi="Roboto"/>
          <w:sz w:val="24"/>
          <w:szCs w:val="24"/>
          <w:rtl w:val="0"/>
        </w:rPr>
        <w:t xml:space="preserve">(hereinafter – “</w:t>
      </w:r>
      <w:r w:rsidDel="00000000" w:rsidR="00000000" w:rsidRPr="00000000">
        <w:rPr>
          <w:rFonts w:ascii="Roboto" w:cs="Roboto" w:eastAsia="Roboto" w:hAnsi="Roboto"/>
          <w:b w:val="1"/>
          <w:bCs w:val="1"/>
          <w:sz w:val="24"/>
          <w:szCs w:val="24"/>
          <w:rtl w:val="0"/>
        </w:rPr>
        <w:t xml:space="preserve">PCMLTFA</w:t>
      </w:r>
      <w:r w:rsidDel="00000000" w:rsidR="00000000" w:rsidRPr="00000000">
        <w:rPr>
          <w:rFonts w:ascii="Roboto" w:cs="Roboto" w:eastAsia="Roboto" w:hAnsi="Roboto"/>
          <w:sz w:val="24"/>
          <w:szCs w:val="24"/>
          <w:rtl w:val="0"/>
        </w:rPr>
        <w:t xml:space="preserve">”), applicable regulations and requirements of FINTRAC, and applicable Canadian sanctions requirements.</w:t>
      </w:r>
    </w:p>
    <w:p w:rsidR="00000000" w:rsidDel="00000000" w:rsidP="00000000" w:rsidRDefault="00000000" w:rsidRPr="00000000" w14:paraId="0000000A">
      <w:pPr>
        <w:spacing w:after="0" w:before="0" w:lineRule="auto"/>
        <w:ind w:left="0" w:right="-607.7952755905511" w:firstLine="70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Anti-Money Laundering Compliance Program (hereinafter – “</w:t>
      </w:r>
      <w:r w:rsidDel="00000000" w:rsidR="00000000" w:rsidRPr="00000000">
        <w:rPr>
          <w:rFonts w:ascii="Roboto" w:cs="Roboto" w:eastAsia="Roboto" w:hAnsi="Roboto"/>
          <w:b w:val="1"/>
          <w:bCs w:val="1"/>
          <w:sz w:val="24"/>
          <w:szCs w:val="24"/>
          <w:rtl w:val="0"/>
        </w:rPr>
        <w:t xml:space="preserve">Program</w:t>
      </w:r>
      <w:r w:rsidDel="00000000" w:rsidR="00000000" w:rsidRPr="00000000">
        <w:rPr>
          <w:rFonts w:ascii="Roboto" w:cs="Roboto" w:eastAsia="Roboto" w:hAnsi="Roboto"/>
          <w:sz w:val="24"/>
          <w:szCs w:val="24"/>
          <w:rtl w:val="0"/>
        </w:rPr>
        <w:t xml:space="preserve">”) describes the principal standards, controls and compliance commitments applied by Paycific Canada in order to fulfil its obligations under applicable Canadian AML/ATF and sanctions laws and to protect its services from being used for unlawful or prohibited purposes.</w:t>
      </w:r>
    </w:p>
    <w:p w:rsidR="00000000" w:rsidDel="00000000" w:rsidP="00000000" w:rsidRDefault="00000000" w:rsidRPr="00000000" w14:paraId="0000000B">
      <w:pPr>
        <w:spacing w:after="0" w:before="0" w:lineRule="auto"/>
        <w:ind w:left="0" w:right="-607.7952755905511" w:firstLine="70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Program applies exclusively to Paycific Canada.</w:t>
      </w:r>
    </w:p>
    <w:p w:rsidR="00000000" w:rsidDel="00000000" w:rsidP="00000000" w:rsidRDefault="00000000" w:rsidRPr="00000000" w14:paraId="0000000C">
      <w:pPr>
        <w:spacing w:after="0" w:before="0" w:lineRule="auto"/>
        <w:ind w:left="0" w:right="-607.7952755905511" w:firstLine="70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Limited LLC, a company incorporated in the United States and operating under the same Paycific brand as Paycific US, is a separate legal entity and maintains its own AML/CFT compliance framework in accordance with applicable U.S. law and FinCEN requirements.</w:t>
      </w:r>
    </w:p>
    <w:p w:rsidR="00000000" w:rsidDel="00000000" w:rsidP="00000000" w:rsidRDefault="00000000" w:rsidRPr="00000000" w14:paraId="0000000D">
      <w:pPr>
        <w:spacing w:after="0" w:before="0" w:lineRule="auto"/>
        <w:ind w:left="0" w:right="-607.7952755905511" w:firstLine="70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Nothing in this Program should be interpreted as establishing a common or joint AML/ATF compliance program between Paycific Canada and Paycific US, or as making either entity responsible for the AML/CFT obligations of the other.</w:t>
      </w:r>
    </w:p>
    <w:p w:rsidR="00000000" w:rsidDel="00000000" w:rsidP="00000000" w:rsidRDefault="00000000" w:rsidRPr="00000000" w14:paraId="0000000E">
      <w:pPr>
        <w:spacing w:after="0" w:before="0" w:lineRule="auto"/>
        <w:ind w:left="0" w:right="-607.7952755905511" w:firstLine="705"/>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Program is provided for general informational purposes only and summarises Paycific Canada’s AML/ATF approach. More detailed operational requirements, internal controls, escalation procedures, reporting arrangements, risk-management measures and recordkeeping requirements are set out in Paycific Canada’s internal AML/ATF framework and are implemented through its onboarding, compliance and operational processes.</w:t>
      </w:r>
    </w:p>
    <w:p w:rsidR="00000000" w:rsidDel="00000000" w:rsidP="00000000" w:rsidRDefault="00000000" w:rsidRPr="00000000" w14:paraId="0000000F">
      <w:pPr>
        <w:ind w:left="0" w:right="-607.7952755905511"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0">
      <w:pPr>
        <w:numPr>
          <w:ilvl w:val="0"/>
          <w:numId w:val="2"/>
        </w:numPr>
        <w:ind w:left="720" w:right="-607.7952755905511" w:hanging="360"/>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Program Governance and Internal Controls</w:t>
      </w:r>
    </w:p>
    <w:p w:rsidR="00000000" w:rsidDel="00000000" w:rsidP="00000000" w:rsidRDefault="00000000" w:rsidRPr="00000000" w14:paraId="00000011">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maintain internal policies, procedures and controls designed to comply with applicable Canadian AML/ATF and sanctions requirements and to support the effective operation of Our compliance framework.</w:t>
      </w:r>
    </w:p>
    <w:p w:rsidR="00000000" w:rsidDel="00000000" w:rsidP="00000000" w:rsidRDefault="00000000" w:rsidRPr="00000000" w14:paraId="00000012">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As part of this framework, the Company designates appropriate personnel responsible for AML/ATF compliance, applies Customer identification and verification measures, conducts sanctions and other relevant screening, monitors Customer and transaction activity, maintains required records, provides AML/ATF training to relevant personnel, and conducts periodic reviews of the effectiveness of its AML/ATF framework.</w:t>
      </w:r>
    </w:p>
    <w:p w:rsidR="00000000" w:rsidDel="00000000" w:rsidP="00000000" w:rsidRDefault="00000000" w:rsidRPr="00000000" w14:paraId="00000013">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may also use approved third-party service providers to support certain elements of its Program. The use of such providers does not limit or replace Our responsibility for compliance with applicable law.</w:t>
      </w:r>
    </w:p>
    <w:p w:rsidR="00000000" w:rsidDel="00000000" w:rsidP="00000000" w:rsidRDefault="00000000" w:rsidRPr="00000000" w14:paraId="00000014">
      <w:pPr>
        <w:ind w:left="0" w:right="-607.7952755905511" w:firstLine="72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5">
      <w:pPr>
        <w:numPr>
          <w:ilvl w:val="0"/>
          <w:numId w:val="2"/>
        </w:numPr>
        <w:ind w:left="720" w:right="-607.7952755905511" w:hanging="360"/>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Customer Access, Identification and Verification</w:t>
      </w:r>
    </w:p>
    <w:p w:rsidR="00000000" w:rsidDel="00000000" w:rsidP="00000000" w:rsidRDefault="00000000" w:rsidRPr="00000000" w14:paraId="00000016">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 order to access the Company’s services, Customers are required, as applicable, to complete identification, verification and screening measures in accordance with applicable Canadian AML/ATF and sanctions requirements and Our internal controls.</w:t>
      </w:r>
    </w:p>
    <w:p w:rsidR="00000000" w:rsidDel="00000000" w:rsidP="00000000" w:rsidRDefault="00000000" w:rsidRPr="00000000" w14:paraId="00000017">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These measures help Us verify Customer identity, understand ownership and control, assess Customer risk, detect and prevent the misuse of Our services, and support compliance with applicable legal and regulatory obligations.</w:t>
      </w:r>
    </w:p>
    <w:p w:rsidR="00000000" w:rsidDel="00000000" w:rsidP="00000000" w:rsidRDefault="00000000" w:rsidRPr="00000000" w14:paraId="00000018">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may require Customers to provide information and documentation relating to their identity, ownership and control, authorized representatives, the purpose and intended nature of the relationship, expected activity and source of funds or virtual currency.</w:t>
      </w:r>
    </w:p>
    <w:p w:rsidR="00000000" w:rsidDel="00000000" w:rsidP="00000000" w:rsidRDefault="00000000" w:rsidRPr="00000000" w14:paraId="00000019">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scope of such measures may vary depending on the nature of the Customer, the requested service, the relevant risk profile and applicable legal or regulatory requirements. We may request additional information or documentation or apply enhanced measures where warranted by the circumstances.</w:t>
      </w:r>
    </w:p>
    <w:p w:rsidR="00000000" w:rsidDel="00000000" w:rsidP="00000000" w:rsidRDefault="00000000" w:rsidRPr="00000000" w14:paraId="0000001A">
      <w:pPr>
        <w:ind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B">
      <w:pPr>
        <w:numPr>
          <w:ilvl w:val="0"/>
          <w:numId w:val="2"/>
        </w:numPr>
        <w:ind w:left="720" w:right="-607.7952755905511" w:hanging="360"/>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Transaction Monitoring and Suspicious Activity Reporting</w:t>
      </w:r>
    </w:p>
    <w:p w:rsidR="00000000" w:rsidDel="00000000" w:rsidP="00000000" w:rsidRDefault="00000000" w:rsidRPr="00000000" w14:paraId="0000001C">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maintain controls designed to detect unusual, suspicious or otherwise elevated-risk activity in connection with Our services.</w:t>
      </w:r>
    </w:p>
    <w:p w:rsidR="00000000" w:rsidDel="00000000" w:rsidP="00000000" w:rsidRDefault="00000000" w:rsidRPr="00000000" w14:paraId="0000001D">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activity gives rise to concern, it may be subject to further review and escalation within the Company’s AML/ATF framework. Where permitted or required by applicable law and the Company’s internal controls, transactions or activity presenting elevated or unacceptable risk may be delayed, declined, restricted or otherwise not processed.</w:t>
      </w:r>
    </w:p>
    <w:p w:rsidR="00000000" w:rsidDel="00000000" w:rsidP="00000000" w:rsidRDefault="00000000" w:rsidRPr="00000000" w14:paraId="0000001E">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required under applicable law, We may submit reports to the Financial Transactions and Reports Analysis Centre of Canada (hereinafter – </w:t>
      </w:r>
      <w:r w:rsidDel="00000000" w:rsidR="00000000" w:rsidRPr="00000000">
        <w:rPr>
          <w:rFonts w:ascii="Roboto" w:cs="Roboto" w:eastAsia="Roboto" w:hAnsi="Roboto"/>
          <w:b w:val="1"/>
          <w:bCs w:val="1"/>
          <w:sz w:val="24"/>
          <w:szCs w:val="24"/>
          <w:rtl w:val="0"/>
        </w:rPr>
        <w:t xml:space="preserve">“FINTRAC”</w:t>
      </w:r>
      <w:r w:rsidDel="00000000" w:rsidR="00000000" w:rsidRPr="00000000">
        <w:rPr>
          <w:rFonts w:ascii="Roboto" w:cs="Roboto" w:eastAsia="Roboto" w:hAnsi="Roboto"/>
          <w:sz w:val="24"/>
          <w:szCs w:val="24"/>
          <w:rtl w:val="0"/>
        </w:rPr>
        <w:t xml:space="preserve">), including Suspicious Transaction Reports (hereinafter - </w:t>
      </w:r>
      <w:r w:rsidDel="00000000" w:rsidR="00000000" w:rsidRPr="00000000">
        <w:rPr>
          <w:rFonts w:ascii="Roboto" w:cs="Roboto" w:eastAsia="Roboto" w:hAnsi="Roboto"/>
          <w:b w:val="1"/>
          <w:bCs w:val="1"/>
          <w:sz w:val="24"/>
          <w:szCs w:val="24"/>
          <w:rtl w:val="0"/>
        </w:rPr>
        <w:t xml:space="preserve">“STRs”</w:t>
      </w:r>
      <w:r w:rsidDel="00000000" w:rsidR="00000000" w:rsidRPr="00000000">
        <w:rPr>
          <w:rFonts w:ascii="Roboto" w:cs="Roboto" w:eastAsia="Roboto" w:hAnsi="Roboto"/>
          <w:sz w:val="24"/>
          <w:szCs w:val="24"/>
          <w:rtl w:val="0"/>
        </w:rPr>
        <w:t xml:space="preserve">) in relation to suspected money laundering, terrorist financing or sanctions evasion, Large Virtual Currency Transaction Reports (hereinafter - </w:t>
      </w:r>
      <w:r w:rsidDel="00000000" w:rsidR="00000000" w:rsidRPr="00000000">
        <w:rPr>
          <w:rFonts w:ascii="Roboto" w:cs="Roboto" w:eastAsia="Roboto" w:hAnsi="Roboto"/>
          <w:b w:val="1"/>
          <w:bCs w:val="1"/>
          <w:sz w:val="24"/>
          <w:szCs w:val="24"/>
          <w:rtl w:val="0"/>
        </w:rPr>
        <w:t xml:space="preserve">“LVCTRs”</w:t>
      </w:r>
      <w:r w:rsidDel="00000000" w:rsidR="00000000" w:rsidRPr="00000000">
        <w:rPr>
          <w:rFonts w:ascii="Roboto" w:cs="Roboto" w:eastAsia="Roboto" w:hAnsi="Roboto"/>
          <w:sz w:val="24"/>
          <w:szCs w:val="24"/>
          <w:rtl w:val="0"/>
        </w:rPr>
        <w:t xml:space="preserve">), Electronic Funds Transfer Reports (hereinafter - </w:t>
      </w:r>
      <w:r w:rsidDel="00000000" w:rsidR="00000000" w:rsidRPr="00000000">
        <w:rPr>
          <w:rFonts w:ascii="Roboto" w:cs="Roboto" w:eastAsia="Roboto" w:hAnsi="Roboto"/>
          <w:b w:val="1"/>
          <w:bCs w:val="1"/>
          <w:sz w:val="24"/>
          <w:szCs w:val="24"/>
          <w:rtl w:val="0"/>
        </w:rPr>
        <w:t xml:space="preserve">“EFTRs”</w:t>
      </w:r>
      <w:r w:rsidDel="00000000" w:rsidR="00000000" w:rsidRPr="00000000">
        <w:rPr>
          <w:rFonts w:ascii="Roboto" w:cs="Roboto" w:eastAsia="Roboto" w:hAnsi="Roboto"/>
          <w:sz w:val="24"/>
          <w:szCs w:val="24"/>
          <w:rtl w:val="0"/>
        </w:rPr>
        <w:t xml:space="preserve">), Listed Person or Entity Property Reports, and any other reports or disclosures required under applicable law.</w:t>
      </w:r>
    </w:p>
    <w:p w:rsidR="00000000" w:rsidDel="00000000" w:rsidP="00000000" w:rsidRDefault="00000000" w:rsidRPr="00000000" w14:paraId="0000001F">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does not disclose information relating to internal monitoring, investigations, reporting decisions or other confidential compliance measures where such disclosure is prohibited by applicable law.</w:t>
      </w:r>
    </w:p>
    <w:p w:rsidR="00000000" w:rsidDel="00000000" w:rsidP="00000000" w:rsidRDefault="00000000" w:rsidRPr="00000000" w14:paraId="00000020">
      <w:pPr>
        <w:ind w:left="0" w:right="-607.7952755905511" w:firstLine="72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1">
      <w:pPr>
        <w:numPr>
          <w:ilvl w:val="0"/>
          <w:numId w:val="2"/>
        </w:numPr>
        <w:ind w:left="720" w:right="-607.7952755905511" w:hanging="360"/>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Third-Party Providers</w:t>
      </w:r>
    </w:p>
    <w:p w:rsidR="00000000" w:rsidDel="00000000" w:rsidP="00000000" w:rsidRDefault="00000000" w:rsidRPr="00000000" w14:paraId="00000022">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engage third-party service providers to support specific components of Our AML/ATF compliance framework, including, where relevant, identity verification, business verification, sanctions and Politically Exposed Persons (hereinafter – </w:t>
      </w:r>
      <w:r w:rsidDel="00000000" w:rsidR="00000000" w:rsidRPr="00000000">
        <w:rPr>
          <w:rFonts w:ascii="Roboto" w:cs="Roboto" w:eastAsia="Roboto" w:hAnsi="Roboto"/>
          <w:b w:val="1"/>
          <w:bCs w:val="1"/>
          <w:sz w:val="24"/>
          <w:szCs w:val="24"/>
          <w:rtl w:val="0"/>
        </w:rPr>
        <w:t xml:space="preserve">“PEPs”</w:t>
      </w:r>
      <w:r w:rsidDel="00000000" w:rsidR="00000000" w:rsidRPr="00000000">
        <w:rPr>
          <w:rFonts w:ascii="Roboto" w:cs="Roboto" w:eastAsia="Roboto" w:hAnsi="Roboto"/>
          <w:sz w:val="24"/>
          <w:szCs w:val="24"/>
          <w:rtl w:val="0"/>
        </w:rPr>
        <w:t xml:space="preserve">)/ Heads of International Organizations (hereinafter – </w:t>
      </w:r>
      <w:r w:rsidDel="00000000" w:rsidR="00000000" w:rsidRPr="00000000">
        <w:rPr>
          <w:rFonts w:ascii="Roboto" w:cs="Roboto" w:eastAsia="Roboto" w:hAnsi="Roboto"/>
          <w:b w:val="1"/>
          <w:bCs w:val="1"/>
          <w:sz w:val="24"/>
          <w:szCs w:val="24"/>
          <w:rtl w:val="0"/>
        </w:rPr>
        <w:t xml:space="preserve">“HIOs”</w:t>
      </w:r>
      <w:r w:rsidDel="00000000" w:rsidR="00000000" w:rsidRPr="00000000">
        <w:rPr>
          <w:rFonts w:ascii="Roboto" w:cs="Roboto" w:eastAsia="Roboto" w:hAnsi="Roboto"/>
          <w:sz w:val="24"/>
          <w:szCs w:val="24"/>
          <w:rtl w:val="0"/>
        </w:rPr>
        <w:t xml:space="preserve">) screening, transaction monitoring, blockchain and wallet analytics, payment or settlement support, Travel Rule compliance, or recordkeeping-related support.</w:t>
      </w:r>
    </w:p>
    <w:p w:rsidR="00000000" w:rsidDel="00000000" w:rsidP="00000000" w:rsidRDefault="00000000" w:rsidRPr="00000000" w14:paraId="00000023">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applies appropriate selection, oversight and control measures in relation to such providers and remains responsible for the adequacy and effectiveness of its AML/ATF framework.</w:t>
      </w:r>
    </w:p>
    <w:p w:rsidR="00000000" w:rsidDel="00000000" w:rsidP="00000000" w:rsidRDefault="00000000" w:rsidRPr="00000000" w14:paraId="00000024">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ab/>
      </w:r>
    </w:p>
    <w:p w:rsidR="00000000" w:rsidDel="00000000" w:rsidP="00000000" w:rsidRDefault="00000000" w:rsidRPr="00000000" w14:paraId="00000025">
      <w:pPr>
        <w:numPr>
          <w:ilvl w:val="0"/>
          <w:numId w:val="2"/>
        </w:numPr>
        <w:ind w:left="720" w:right="-607.7952755905511" w:hanging="360"/>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Prohibited Customers</w:t>
      </w:r>
    </w:p>
    <w:p w:rsidR="00000000" w:rsidDel="00000000" w:rsidP="00000000" w:rsidRDefault="00000000" w:rsidRPr="00000000" w14:paraId="00000026">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applies access restrictions in accordance with applicable law and its internal risk-based framework. Certain categories of Customers are prohibited and will not be accepted, or, where identified after onboarding, may be subject to restriction, suspension or termination of the business relationship.</w:t>
      </w:r>
    </w:p>
    <w:p w:rsidR="00000000" w:rsidDel="00000000" w:rsidP="00000000" w:rsidRDefault="00000000" w:rsidRPr="00000000" w14:paraId="00000027">
      <w:pPr>
        <w:ind w:left="0" w:right="-607.7952755905511" w:firstLine="720"/>
        <w:jc w:val="both"/>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Prohibited Customers include:</w:t>
      </w:r>
    </w:p>
    <w:p w:rsidR="00000000" w:rsidDel="00000000" w:rsidP="00000000" w:rsidRDefault="00000000" w:rsidRPr="00000000" w14:paraId="00000028">
      <w:pPr>
        <w:numPr>
          <w:ilvl w:val="0"/>
          <w:numId w:val="1"/>
        </w:numPr>
        <w:ind w:left="720" w:right="-607.7952755905511" w:hanging="360"/>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subject to applicable sanctions or other legal restrictions;</w:t>
      </w:r>
    </w:p>
    <w:p w:rsidR="00000000" w:rsidDel="00000000" w:rsidP="00000000" w:rsidRDefault="00000000" w:rsidRPr="00000000" w14:paraId="00000029">
      <w:pPr>
        <w:numPr>
          <w:ilvl w:val="0"/>
          <w:numId w:val="1"/>
        </w:numPr>
        <w:ind w:left="720" w:right="-607.7952755905511" w:hanging="360"/>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PEPs, HIOs, and their family members or close associates;</w:t>
      </w:r>
    </w:p>
    <w:p w:rsidR="00000000" w:rsidDel="00000000" w:rsidP="00000000" w:rsidRDefault="00000000" w:rsidRPr="00000000" w14:paraId="0000002A">
      <w:pPr>
        <w:numPr>
          <w:ilvl w:val="0"/>
          <w:numId w:val="1"/>
        </w:numPr>
        <w:ind w:left="720" w:right="-607.7952755905511" w:hanging="360"/>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whose identity, ownership or control cannot be verified to Our satisfaction;</w:t>
      </w:r>
    </w:p>
    <w:p w:rsidR="00000000" w:rsidDel="00000000" w:rsidP="00000000" w:rsidRDefault="00000000" w:rsidRPr="00000000" w14:paraId="0000002B">
      <w:pPr>
        <w:numPr>
          <w:ilvl w:val="0"/>
          <w:numId w:val="1"/>
        </w:numPr>
        <w:ind w:left="720" w:right="-607.7952755905511" w:hanging="360"/>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that refuse to provide information or documentation reasonably required for due diligence or compliance purposes;</w:t>
      </w:r>
    </w:p>
    <w:p w:rsidR="00000000" w:rsidDel="00000000" w:rsidP="00000000" w:rsidRDefault="00000000" w:rsidRPr="00000000" w14:paraId="0000002C">
      <w:pPr>
        <w:numPr>
          <w:ilvl w:val="0"/>
          <w:numId w:val="1"/>
        </w:numPr>
        <w:ind w:left="720" w:right="-607.7952755905511" w:hanging="360"/>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that We have reasonable grounds to believe are using, or intend to use, Our services for unlawful purposes; and</w:t>
      </w:r>
    </w:p>
    <w:p w:rsidR="00000000" w:rsidDel="00000000" w:rsidP="00000000" w:rsidRDefault="00000000" w:rsidRPr="00000000" w14:paraId="0000002D">
      <w:pPr>
        <w:numPr>
          <w:ilvl w:val="0"/>
          <w:numId w:val="1"/>
        </w:numPr>
        <w:ind w:left="720" w:right="-607.7952755905511" w:hanging="360"/>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that otherwise fall within prohibited categories or outside Our internal risk appetite and Customer acceptance parameters.</w:t>
      </w:r>
    </w:p>
    <w:p w:rsidR="00000000" w:rsidDel="00000000" w:rsidP="00000000" w:rsidRDefault="00000000" w:rsidRPr="00000000" w14:paraId="0000002E">
      <w:pPr>
        <w:ind w:left="0" w:right="-607.7952755905511"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ab/>
      </w:r>
    </w:p>
    <w:p w:rsidR="00000000" w:rsidDel="00000000" w:rsidP="00000000" w:rsidRDefault="00000000" w:rsidRPr="00000000" w14:paraId="0000002F">
      <w:pPr>
        <w:numPr>
          <w:ilvl w:val="0"/>
          <w:numId w:val="2"/>
        </w:numPr>
        <w:ind w:left="720" w:right="-607.7952755905511" w:hanging="360"/>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Data Retention and Record Keeping</w:t>
      </w:r>
    </w:p>
    <w:p w:rsidR="00000000" w:rsidDel="00000000" w:rsidP="00000000" w:rsidRDefault="00000000" w:rsidRPr="00000000" w14:paraId="00000030">
      <w:pPr>
        <w:ind w:left="0" w:right="-607.7952755905511" w:firstLine="0"/>
        <w:jc w:val="both"/>
        <w:rPr>
          <w:rFonts w:ascii="Roboto" w:cs="Roboto" w:eastAsia="Roboto" w:hAnsi="Roboto"/>
          <w:sz w:val="24"/>
          <w:szCs w:val="24"/>
        </w:rPr>
      </w:pPr>
      <w:r w:rsidDel="00000000" w:rsidR="00000000" w:rsidRPr="00000000">
        <w:rPr>
          <w:rFonts w:ascii="Roboto" w:cs="Roboto" w:eastAsia="Roboto" w:hAnsi="Roboto"/>
          <w:sz w:val="24"/>
          <w:szCs w:val="24"/>
          <w:rtl w:val="0"/>
        </w:rPr>
        <w:tab/>
        <w:t xml:space="preserve">The Company collects, maintains and retains records in connection with its AML/ATF obligations under applicable Canadian law.</w:t>
      </w:r>
    </w:p>
    <w:p w:rsidR="00000000" w:rsidDel="00000000" w:rsidP="00000000" w:rsidRDefault="00000000" w:rsidRPr="00000000" w14:paraId="00000031">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may include records relating to Customer identification and verification, due diligence, transactions, screening results, monitoring activity and regulatory reporting.</w:t>
      </w:r>
    </w:p>
    <w:p w:rsidR="00000000" w:rsidDel="00000000" w:rsidP="00000000" w:rsidRDefault="00000000" w:rsidRPr="00000000" w14:paraId="00000032">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Records are retained for the applicable periods required under Canadian law and Our internal recordkeeping framework. The applicable retention period and the date from which it is calculated may vary depending on the type of record and the relevant legal requirement.</w:t>
      </w:r>
    </w:p>
    <w:p w:rsidR="00000000" w:rsidDel="00000000" w:rsidP="00000000" w:rsidRDefault="00000000" w:rsidRPr="00000000" w14:paraId="00000033">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Copies of STRs and Listed Person or Entity Property Reports are retained for at least five (5) years after submission, while copies of LVCTRs and EFTRs are retained for at least five (5) years from the date they are created.</w:t>
      </w:r>
    </w:p>
    <w:p w:rsidR="00000000" w:rsidDel="00000000" w:rsidP="00000000" w:rsidRDefault="00000000" w:rsidRPr="00000000" w14:paraId="00000034">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maintains appropriate controls to preserve the confidentiality, integrity, accessibility and retrievability of such records in accordance with its legal and compliance obligations.</w:t>
      </w:r>
    </w:p>
    <w:p w:rsidR="00000000" w:rsidDel="00000000" w:rsidP="00000000" w:rsidRDefault="00000000" w:rsidRPr="00000000" w14:paraId="00000035">
      <w:pPr>
        <w:ind w:left="0" w:right="-607.7952755905511"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6">
      <w:pPr>
        <w:numPr>
          <w:ilvl w:val="0"/>
          <w:numId w:val="2"/>
        </w:numPr>
        <w:ind w:left="720" w:right="-607.7952755905511" w:hanging="360"/>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Amendments to this Program</w:t>
      </w:r>
    </w:p>
    <w:p w:rsidR="00000000" w:rsidDel="00000000" w:rsidP="00000000" w:rsidRDefault="00000000" w:rsidRPr="00000000" w14:paraId="00000037">
      <w:pPr>
        <w:ind w:left="0" w:right="-607.7952755905511" w:firstLine="720"/>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regularly reviews its AML/ATF standards and may revise or supplement this Program from time to time to reflect changes in applicable law, regulation, regulatory expectations, business operations, identified risks or the Company’s internal compliance framework.</w:t>
      </w:r>
    </w:p>
    <w:p w:rsidR="00000000" w:rsidDel="00000000" w:rsidP="00000000" w:rsidRDefault="00000000" w:rsidRPr="00000000" w14:paraId="00000038">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200" w:lineRule="auto"/>
        <w:ind w:left="720" w:right="-607.7952755905511" w:hanging="360"/>
        <w:jc w:val="center"/>
        <w:rPr>
          <w:rFonts w:ascii="Roboto" w:cs="Roboto" w:eastAsia="Roboto" w:hAnsi="Roboto"/>
          <w:b w:val="1"/>
          <w:bCs w:val="1"/>
          <w:color w:val="0d0d0d"/>
          <w:sz w:val="26"/>
          <w:szCs w:val="26"/>
          <w:u w:val="none"/>
        </w:rPr>
      </w:pPr>
      <w:bookmarkStart w:colFirst="0" w:colLast="0" w:name="_oq3xqoitvw0j" w:id="0"/>
      <w:bookmarkEnd w:id="0"/>
      <w:r w:rsidDel="00000000" w:rsidR="00000000" w:rsidRPr="00000000">
        <w:rPr>
          <w:rFonts w:ascii="Roboto" w:cs="Roboto" w:eastAsia="Roboto" w:hAnsi="Roboto"/>
          <w:b w:val="1"/>
          <w:bCs w:val="1"/>
          <w:color w:val="0d0d0d"/>
          <w:sz w:val="26"/>
          <w:szCs w:val="26"/>
          <w:rtl w:val="0"/>
        </w:rPr>
        <w:t xml:space="preserve">Contacts</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Questions, notices, requests and other communications relating specifically to this Program or the AML/CFT framework of Paycific Canada may be directed to Paycific Canada using the following contact details:</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Frapex Inc.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700-602 12 Ave SW, Calgary, Alberta, T2R 1J3, Canada.</w:t>
        <w:br w:type="textWrapping"/>
        <w:tab/>
      </w:r>
      <w:r w:rsidDel="00000000" w:rsidR="00000000" w:rsidRPr="00000000">
        <w:rPr>
          <w:rFonts w:ascii="Roboto" w:cs="Roboto" w:eastAsia="Roboto" w:hAnsi="Roboto"/>
          <w:b w:val="1"/>
          <w:bCs w:val="1"/>
          <w:sz w:val="24"/>
          <w:szCs w:val="24"/>
          <w:rtl w:val="0"/>
        </w:rPr>
        <w:t xml:space="preserve">FINTRAC MSB Registration Number:</w:t>
      </w:r>
      <w:r w:rsidDel="00000000" w:rsidR="00000000" w:rsidRPr="00000000">
        <w:rPr>
          <w:rFonts w:ascii="Roboto" w:cs="Roboto" w:eastAsia="Roboto" w:hAnsi="Roboto"/>
          <w:sz w:val="24"/>
          <w:szCs w:val="24"/>
          <w:rtl w:val="0"/>
        </w:rPr>
        <w:t xml:space="preserve"> N300001650.</w:t>
      </w:r>
      <w:r w:rsidDel="00000000" w:rsidR="00000000" w:rsidRPr="00000000">
        <w:rPr>
          <w:rFonts w:ascii="Roboto" w:cs="Roboto" w:eastAsia="Roboto" w:hAnsi="Roboto"/>
          <w:sz w:val="24"/>
          <w:szCs w:val="24"/>
          <w:highlight w:val="yellow"/>
          <w:rtl w:val="0"/>
        </w:rPr>
        <w:br w:type="textWrapping"/>
      </w:r>
      <w:r w:rsidDel="00000000" w:rsidR="00000000" w:rsidRPr="00000000">
        <w:rPr>
          <w:rFonts w:ascii="Roboto" w:cs="Roboto" w:eastAsia="Roboto" w:hAnsi="Roboto"/>
          <w:sz w:val="24"/>
          <w:szCs w:val="24"/>
          <w:rtl w:val="0"/>
        </w:rPr>
        <w:tab/>
      </w:r>
      <w:r w:rsidDel="00000000" w:rsidR="00000000" w:rsidRPr="00000000">
        <w:rPr>
          <w:rFonts w:ascii="Roboto" w:cs="Roboto" w:eastAsia="Roboto" w:hAnsi="Roboto"/>
          <w:b w:val="1"/>
          <w:bCs w:val="1"/>
          <w:sz w:val="24"/>
          <w:szCs w:val="24"/>
          <w:rtl w:val="0"/>
        </w:rPr>
        <w:t xml:space="preserve">Website:</w:t>
      </w:r>
      <w:hyperlink r:id="rId6">
        <w:r w:rsidDel="00000000" w:rsidR="00000000" w:rsidRPr="00000000">
          <w:rPr>
            <w:rFonts w:ascii="Roboto" w:cs="Roboto" w:eastAsia="Roboto" w:hAnsi="Roboto"/>
            <w:sz w:val="24"/>
            <w:szCs w:val="24"/>
            <w:rtl w:val="0"/>
          </w:rPr>
          <w:t xml:space="preserve"> </w:t>
        </w:r>
      </w:hyperlink>
      <w:hyperlink r:id="rId7">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t xml:space="preserve">Email:</w:t>
      </w:r>
      <w:r w:rsidDel="00000000" w:rsidR="00000000" w:rsidRPr="00000000">
        <w:rPr>
          <w:rFonts w:ascii="Roboto" w:cs="Roboto" w:eastAsia="Roboto" w:hAnsi="Roboto"/>
          <w:sz w:val="24"/>
          <w:szCs w:val="24"/>
          <w:rtl w:val="0"/>
        </w:rPr>
        <w:t xml:space="preserve"> </w:t>
      </w:r>
      <w:hyperlink r:id="rId8">
        <w:r w:rsidDel="00000000" w:rsidR="00000000" w:rsidRPr="00000000">
          <w:rPr>
            <w:rFonts w:ascii="Roboto" w:cs="Roboto" w:eastAsia="Roboto" w:hAnsi="Roboto"/>
            <w:color w:val="1155cc"/>
            <w:sz w:val="24"/>
            <w:szCs w:val="24"/>
            <w:u w:val="single"/>
            <w:rtl w:val="0"/>
          </w:rPr>
          <w:t xml:space="preserve">officialfrapexinc@gmail.com</w:t>
        </w:r>
      </w:hyperlink>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Canada may update its contact details from time to time through the Website or other appropriate communication channels.</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20"/>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ind w:right="-607.7952755905511"/>
        <w:jc w:val="both"/>
        <w:rPr/>
      </w:pPr>
      <w:r w:rsidDel="00000000" w:rsidR="00000000" w:rsidRPr="00000000">
        <w:rPr>
          <w:rFonts w:ascii="Roboto" w:cs="Roboto" w:eastAsia="Roboto" w:hAnsi="Roboto"/>
          <w:color w:val="0d0d0d"/>
          <w:sz w:val="24"/>
          <w:szCs w:val="24"/>
          <w:rtl w:val="0"/>
        </w:rPr>
        <w:tab/>
      </w:r>
      <w:r w:rsidDel="00000000" w:rsidR="00000000" w:rsidRPr="00000000">
        <w:rPr>
          <w:rtl w:val="0"/>
        </w:rPr>
      </w:r>
    </w:p>
    <w:p w:rsidR="00000000" w:rsidDel="00000000" w:rsidP="00000000" w:rsidRDefault="00000000" w:rsidRPr="00000000" w14:paraId="0000003F">
      <w:pPr>
        <w:ind w:right="-607.7952755905511" w:firstLine="720"/>
        <w:jc w:val="both"/>
        <w:rPr>
          <w:rFonts w:ascii="Roboto" w:cs="Roboto" w:eastAsia="Roboto" w:hAnsi="Roboto"/>
          <w:b w:val="1"/>
          <w:bCs w:val="1"/>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rFonts w:ascii="Arial" w:cs="Arial" w:eastAsia="Arial" w:hAnsi="Arial"/>
        <w:b w:val="1"/>
        <w:bCs w:val="1"/>
        <w:sz w:val="24"/>
        <w:szCs w:val="24"/>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aycific.io/" TargetMode="External"/><Relationship Id="rId7" Type="http://schemas.openxmlformats.org/officeDocument/2006/relationships/hyperlink" Target="https://paycific.io/" TargetMode="External"/><Relationship Id="rId8" Type="http://schemas.openxmlformats.org/officeDocument/2006/relationships/hyperlink" Target="mailto:officialfrapexinc@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