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036970" w14:textId="34C7983F" w:rsidR="0097628A" w:rsidRPr="00392B98" w:rsidRDefault="0097628A" w:rsidP="0097628A">
      <w:pPr>
        <w:spacing w:line="276" w:lineRule="auto"/>
        <w:rPr>
          <w:rFonts w:ascii="Century Gothic" w:hAnsi="Century Gothic"/>
          <w:b/>
          <w:bCs/>
          <w:sz w:val="36"/>
          <w:szCs w:val="36"/>
        </w:rPr>
      </w:pPr>
      <w:r w:rsidRPr="00392B98">
        <w:rPr>
          <w:rFonts w:ascii="Century Gothic" w:hAnsi="Century Gothic"/>
          <w:b/>
          <w:bCs/>
          <w:sz w:val="36"/>
          <w:szCs w:val="36"/>
        </w:rPr>
        <w:t xml:space="preserve">TIAKI episode </w:t>
      </w:r>
      <w:r w:rsidR="00DC3EE9">
        <w:rPr>
          <w:rFonts w:ascii="Century Gothic" w:hAnsi="Century Gothic"/>
          <w:b/>
          <w:bCs/>
          <w:sz w:val="36"/>
          <w:szCs w:val="36"/>
        </w:rPr>
        <w:t>4</w:t>
      </w:r>
      <w:r w:rsidRPr="00392B98">
        <w:rPr>
          <w:rFonts w:ascii="Century Gothic" w:hAnsi="Century Gothic"/>
          <w:b/>
          <w:bCs/>
          <w:sz w:val="36"/>
          <w:szCs w:val="36"/>
        </w:rPr>
        <w:t xml:space="preserve"> summary </w:t>
      </w:r>
    </w:p>
    <w:p w14:paraId="14F0CA01" w14:textId="77777777" w:rsidR="0097628A" w:rsidRPr="00392B98" w:rsidRDefault="0097628A" w:rsidP="0097628A">
      <w:pPr>
        <w:spacing w:line="276" w:lineRule="auto"/>
        <w:rPr>
          <w:rFonts w:ascii="Century Gothic" w:hAnsi="Century Gothic"/>
        </w:rPr>
      </w:pPr>
    </w:p>
    <w:p w14:paraId="74823372" w14:textId="71F8B019" w:rsidR="0097628A" w:rsidRDefault="0097628A" w:rsidP="0097628A">
      <w:pPr>
        <w:spacing w:line="276" w:lineRule="auto"/>
        <w:rPr>
          <w:rFonts w:ascii="Century Gothic" w:hAnsi="Century Gothic"/>
        </w:rPr>
      </w:pPr>
      <w:r w:rsidRPr="00392B98">
        <w:rPr>
          <w:rFonts w:ascii="Century Gothic" w:hAnsi="Century Gothic"/>
        </w:rPr>
        <w:t xml:space="preserve">Welcome to </w:t>
      </w:r>
      <w:r>
        <w:rPr>
          <w:rFonts w:ascii="Century Gothic" w:hAnsi="Century Gothic"/>
        </w:rPr>
        <w:t xml:space="preserve">episode </w:t>
      </w:r>
      <w:r w:rsidR="00DC3EE9">
        <w:rPr>
          <w:rFonts w:ascii="Century Gothic" w:hAnsi="Century Gothic"/>
        </w:rPr>
        <w:t>4</w:t>
      </w:r>
      <w:r>
        <w:rPr>
          <w:rFonts w:ascii="Century Gothic" w:hAnsi="Century Gothic"/>
        </w:rPr>
        <w:t xml:space="preserve"> of </w:t>
      </w:r>
      <w:r w:rsidRPr="00392B98">
        <w:rPr>
          <w:rFonts w:ascii="Century Gothic" w:hAnsi="Century Gothic"/>
        </w:rPr>
        <w:t xml:space="preserve">the TIAKI podcast. </w:t>
      </w:r>
    </w:p>
    <w:p w14:paraId="333CA0AF" w14:textId="77777777" w:rsidR="0097628A" w:rsidRDefault="0097628A" w:rsidP="0097628A">
      <w:pPr>
        <w:spacing w:line="276" w:lineRule="auto"/>
        <w:rPr>
          <w:rFonts w:ascii="Century Gothic" w:hAnsi="Century Gothic"/>
        </w:rPr>
      </w:pPr>
    </w:p>
    <w:p w14:paraId="1D902C96" w14:textId="1A855D04" w:rsidR="0097628A" w:rsidRDefault="0097628A" w:rsidP="0097628A">
      <w:pPr>
        <w:spacing w:line="276" w:lineRule="auto"/>
        <w:rPr>
          <w:rFonts w:ascii="Century Gothic" w:hAnsi="Century Gothic"/>
        </w:rPr>
      </w:pPr>
      <w:r>
        <w:rPr>
          <w:rFonts w:ascii="Century Gothic" w:hAnsi="Century Gothic"/>
        </w:rPr>
        <w:t xml:space="preserve">This episode is presented by Gabrielle Baker and Associate Professor Dr Paula King. </w:t>
      </w:r>
      <w:r w:rsidR="00DC3EE9">
        <w:rPr>
          <w:rFonts w:ascii="Century Gothic" w:hAnsi="Century Gothic"/>
        </w:rPr>
        <w:t>The focus of this episode is the different ways to share research with communities.</w:t>
      </w:r>
    </w:p>
    <w:p w14:paraId="529762A4" w14:textId="77777777" w:rsidR="0097628A" w:rsidRDefault="0097628A" w:rsidP="0097628A">
      <w:pPr>
        <w:spacing w:line="276" w:lineRule="auto"/>
        <w:rPr>
          <w:rFonts w:ascii="Century Gothic" w:hAnsi="Century Gothic"/>
        </w:rPr>
      </w:pPr>
    </w:p>
    <w:p w14:paraId="1D8EE77A" w14:textId="79C48695" w:rsidR="0097628A" w:rsidRDefault="00DC3EE9" w:rsidP="0097628A">
      <w:pPr>
        <w:spacing w:line="276" w:lineRule="auto"/>
        <w:rPr>
          <w:rFonts w:ascii="Century Gothic" w:hAnsi="Century Gothic"/>
        </w:rPr>
      </w:pPr>
      <w:r>
        <w:rPr>
          <w:rFonts w:ascii="Century Gothic" w:hAnsi="Century Gothic"/>
        </w:rPr>
        <w:t xml:space="preserve">This interview features interviews with </w:t>
      </w:r>
      <w:r w:rsidR="007564D9">
        <w:rPr>
          <w:rFonts w:ascii="Century Gothic" w:hAnsi="Century Gothic"/>
        </w:rPr>
        <w:t>Professor</w:t>
      </w:r>
      <w:r>
        <w:rPr>
          <w:rFonts w:ascii="Century Gothic" w:hAnsi="Century Gothic"/>
        </w:rPr>
        <w:t xml:space="preserve"> Tracey McIntosh</w:t>
      </w:r>
      <w:r w:rsidR="007564D9">
        <w:rPr>
          <w:rFonts w:ascii="Century Gothic" w:hAnsi="Century Gothic"/>
        </w:rPr>
        <w:t xml:space="preserve"> and</w:t>
      </w:r>
      <w:r>
        <w:rPr>
          <w:rFonts w:ascii="Century Gothic" w:hAnsi="Century Gothic"/>
        </w:rPr>
        <w:t xml:space="preserve"> Associate Professor Donna Cormack, who are both from Aotearoa, Professor Kathryn Gilbey from Australia, Professor Marshall Chin from the University of Chicago, and members for our TIAKI </w:t>
      </w:r>
      <w:proofErr w:type="spellStart"/>
      <w:r>
        <w:rPr>
          <w:rFonts w:ascii="Century Gothic" w:hAnsi="Century Gothic"/>
        </w:rPr>
        <w:t>rangahau</w:t>
      </w:r>
      <w:proofErr w:type="spellEnd"/>
      <w:r>
        <w:rPr>
          <w:rFonts w:ascii="Century Gothic" w:hAnsi="Century Gothic"/>
        </w:rPr>
        <w:t xml:space="preserve"> </w:t>
      </w:r>
      <w:r w:rsidR="007564D9">
        <w:rPr>
          <w:rFonts w:ascii="Century Gothic" w:hAnsi="Century Gothic"/>
        </w:rPr>
        <w:t>rōpū</w:t>
      </w:r>
      <w:r>
        <w:rPr>
          <w:rFonts w:ascii="Century Gothic" w:hAnsi="Century Gothic"/>
        </w:rPr>
        <w:t>: Cheryl Davies, Helen Pearse</w:t>
      </w:r>
      <w:r w:rsidR="000F1CC0">
        <w:rPr>
          <w:rFonts w:ascii="Century Gothic" w:hAnsi="Century Gothic"/>
        </w:rPr>
        <w:t>-</w:t>
      </w:r>
      <w:proofErr w:type="spellStart"/>
      <w:r>
        <w:rPr>
          <w:rFonts w:ascii="Century Gothic" w:hAnsi="Century Gothic"/>
        </w:rPr>
        <w:t>Otene</w:t>
      </w:r>
      <w:proofErr w:type="spellEnd"/>
      <w:r>
        <w:rPr>
          <w:rFonts w:ascii="Century Gothic" w:hAnsi="Century Gothic"/>
        </w:rPr>
        <w:t xml:space="preserve"> and Jordan Tane. </w:t>
      </w:r>
    </w:p>
    <w:p w14:paraId="316D128D" w14:textId="77777777" w:rsidR="00DC3EE9" w:rsidRDefault="00DC3EE9" w:rsidP="0097628A">
      <w:pPr>
        <w:spacing w:line="276" w:lineRule="auto"/>
        <w:rPr>
          <w:rFonts w:ascii="Century Gothic" w:hAnsi="Century Gothic"/>
        </w:rPr>
      </w:pPr>
    </w:p>
    <w:p w14:paraId="44740A09" w14:textId="6B9B0C05" w:rsidR="00DC3EE9" w:rsidRDefault="00DC3EE9" w:rsidP="0097628A">
      <w:pPr>
        <w:spacing w:line="276" w:lineRule="auto"/>
        <w:rPr>
          <w:rFonts w:ascii="Century Gothic" w:hAnsi="Century Gothic"/>
        </w:rPr>
      </w:pPr>
      <w:r>
        <w:rPr>
          <w:rFonts w:ascii="Century Gothic" w:hAnsi="Century Gothic"/>
        </w:rPr>
        <w:t xml:space="preserve">We have a special guest appearance at the end of the episode by poet and colleague of ours Belinda Tuari-Toma. </w:t>
      </w:r>
    </w:p>
    <w:p w14:paraId="093C262A" w14:textId="77777777" w:rsidR="0097628A" w:rsidRDefault="0097628A" w:rsidP="0097628A">
      <w:pPr>
        <w:spacing w:line="276" w:lineRule="auto"/>
        <w:rPr>
          <w:rFonts w:ascii="Century Gothic" w:hAnsi="Century Gothic"/>
        </w:rPr>
      </w:pPr>
    </w:p>
    <w:p w14:paraId="031019E7" w14:textId="7C5ECC4F" w:rsidR="0097628A" w:rsidRDefault="0097628A" w:rsidP="0097628A">
      <w:pPr>
        <w:rPr>
          <w:rFonts w:ascii="Century Gothic" w:hAnsi="Century Gothic"/>
        </w:rPr>
      </w:pPr>
      <w:r>
        <w:rPr>
          <w:rFonts w:ascii="Century Gothic" w:hAnsi="Century Gothic"/>
        </w:rPr>
        <w:t>These are the main points we talk about in the podcast:</w:t>
      </w:r>
    </w:p>
    <w:p w14:paraId="7A343763" w14:textId="77777777" w:rsidR="0097628A" w:rsidRDefault="0097628A" w:rsidP="0097628A">
      <w:pPr>
        <w:rPr>
          <w:rFonts w:ascii="Century Gothic" w:hAnsi="Century Gothic"/>
        </w:rPr>
      </w:pPr>
    </w:p>
    <w:p w14:paraId="6500D3D4" w14:textId="77777777" w:rsidR="00DC3EE9" w:rsidRDefault="0097628A" w:rsidP="00A6439F">
      <w:pPr>
        <w:pStyle w:val="ListParagraph"/>
        <w:numPr>
          <w:ilvl w:val="0"/>
          <w:numId w:val="3"/>
        </w:numPr>
        <w:rPr>
          <w:rFonts w:ascii="Century Gothic" w:hAnsi="Century Gothic"/>
        </w:rPr>
      </w:pPr>
      <w:r>
        <w:rPr>
          <w:rFonts w:ascii="Century Gothic" w:hAnsi="Century Gothic"/>
        </w:rPr>
        <w:t xml:space="preserve">One </w:t>
      </w:r>
      <w:r w:rsidR="00DC3EE9">
        <w:rPr>
          <w:rFonts w:ascii="Century Gothic" w:hAnsi="Century Gothic"/>
        </w:rPr>
        <w:t xml:space="preserve">of the ways you can share research findings is through academic, peer reviewed, journals. However, these reach a narrow audience of other academics and maybe some government decision-makers – but they don’t reach our communities. </w:t>
      </w:r>
    </w:p>
    <w:p w14:paraId="5FC83ACB" w14:textId="77777777" w:rsidR="00DC3EE9" w:rsidRDefault="00DC3EE9" w:rsidP="00DC3EE9">
      <w:pPr>
        <w:rPr>
          <w:rFonts w:ascii="Century Gothic" w:hAnsi="Century Gothic"/>
        </w:rPr>
      </w:pPr>
    </w:p>
    <w:p w14:paraId="069FAAD3" w14:textId="0A98EF8A" w:rsidR="0097628A" w:rsidRPr="00DC3EE9" w:rsidRDefault="00DC3EE9" w:rsidP="00DC3EE9">
      <w:pPr>
        <w:pStyle w:val="ListParagraph"/>
        <w:numPr>
          <w:ilvl w:val="0"/>
          <w:numId w:val="3"/>
        </w:numPr>
        <w:rPr>
          <w:rFonts w:ascii="Century Gothic" w:hAnsi="Century Gothic"/>
        </w:rPr>
      </w:pPr>
      <w:r>
        <w:rPr>
          <w:rFonts w:ascii="Century Gothic" w:hAnsi="Century Gothic"/>
        </w:rPr>
        <w:t xml:space="preserve">In their interview with us, Associate Professor Donna Cormack reminds us “we might have to tell the truth lots of times in lots of different ways”. One of those is in published journal articles, but it is not the only way. </w:t>
      </w:r>
    </w:p>
    <w:p w14:paraId="20450222" w14:textId="77777777" w:rsidR="00875F57" w:rsidRPr="00A6439F" w:rsidRDefault="00875F57" w:rsidP="00875F57">
      <w:pPr>
        <w:pStyle w:val="ListParagraph"/>
        <w:rPr>
          <w:rFonts w:ascii="Century Gothic" w:hAnsi="Century Gothic"/>
        </w:rPr>
      </w:pPr>
    </w:p>
    <w:p w14:paraId="5BAD998A" w14:textId="5FEE3846" w:rsidR="00A6439F" w:rsidRDefault="00DC3EE9" w:rsidP="0097628A">
      <w:pPr>
        <w:pStyle w:val="ListParagraph"/>
        <w:numPr>
          <w:ilvl w:val="0"/>
          <w:numId w:val="3"/>
        </w:numPr>
        <w:rPr>
          <w:rFonts w:ascii="Century Gothic" w:hAnsi="Century Gothic"/>
        </w:rPr>
      </w:pPr>
      <w:r>
        <w:rPr>
          <w:rFonts w:ascii="Century Gothic" w:hAnsi="Century Gothic"/>
        </w:rPr>
        <w:t xml:space="preserve">For the TIAKI rangahau rōpū the first creative way we thought about sharing information is through a podcast. We were nervous at first but now we have started recording episodes at the </w:t>
      </w:r>
      <w:proofErr w:type="spellStart"/>
      <w:r>
        <w:rPr>
          <w:rFonts w:ascii="Century Gothic" w:hAnsi="Century Gothic"/>
        </w:rPr>
        <w:t>T</w:t>
      </w:r>
      <w:r w:rsidR="003704C2">
        <w:rPr>
          <w:rFonts w:ascii="Century Gothic" w:hAnsi="Century Gothic"/>
        </w:rPr>
        <w:t>ī</w:t>
      </w:r>
      <w:r>
        <w:rPr>
          <w:rFonts w:ascii="Century Gothic" w:hAnsi="Century Gothic"/>
        </w:rPr>
        <w:t>hei</w:t>
      </w:r>
      <w:proofErr w:type="spellEnd"/>
      <w:r>
        <w:rPr>
          <w:rFonts w:ascii="Century Gothic" w:hAnsi="Century Gothic"/>
        </w:rPr>
        <w:t xml:space="preserve"> Rangatahi studio in Wainuiomata and it is nearly ready to launch we feel more confident.</w:t>
      </w:r>
    </w:p>
    <w:p w14:paraId="5CD257A6" w14:textId="77777777" w:rsidR="00875F57" w:rsidRPr="00875F57" w:rsidRDefault="00875F57" w:rsidP="00875F57">
      <w:pPr>
        <w:rPr>
          <w:rFonts w:ascii="Century Gothic" w:hAnsi="Century Gothic"/>
        </w:rPr>
      </w:pPr>
    </w:p>
    <w:p w14:paraId="28BE3A68" w14:textId="3FA7CE8F" w:rsidR="00A6439F" w:rsidRDefault="00DC3EE9" w:rsidP="0097628A">
      <w:pPr>
        <w:pStyle w:val="ListParagraph"/>
        <w:numPr>
          <w:ilvl w:val="0"/>
          <w:numId w:val="3"/>
        </w:numPr>
        <w:rPr>
          <w:rFonts w:ascii="Century Gothic" w:hAnsi="Century Gothic"/>
        </w:rPr>
      </w:pPr>
      <w:r>
        <w:rPr>
          <w:rFonts w:ascii="Century Gothic" w:hAnsi="Century Gothic"/>
        </w:rPr>
        <w:t xml:space="preserve">Another way we have shared the research is through Theatre Marae and a play called “Out the Gate”. We will talk about the play in the next episode. </w:t>
      </w:r>
    </w:p>
    <w:p w14:paraId="696DDBE0" w14:textId="77777777" w:rsidR="0003608C" w:rsidRPr="0003608C" w:rsidRDefault="0003608C" w:rsidP="0003608C">
      <w:pPr>
        <w:pStyle w:val="ListParagraph"/>
        <w:rPr>
          <w:rFonts w:ascii="Century Gothic" w:hAnsi="Century Gothic"/>
        </w:rPr>
      </w:pPr>
    </w:p>
    <w:p w14:paraId="5581A398" w14:textId="546AA678" w:rsidR="0003608C" w:rsidRDefault="0003608C" w:rsidP="0097628A">
      <w:pPr>
        <w:pStyle w:val="ListParagraph"/>
        <w:numPr>
          <w:ilvl w:val="0"/>
          <w:numId w:val="3"/>
        </w:numPr>
        <w:rPr>
          <w:rFonts w:ascii="Century Gothic" w:hAnsi="Century Gothic"/>
        </w:rPr>
      </w:pPr>
      <w:r>
        <w:rPr>
          <w:rFonts w:ascii="Century Gothic" w:hAnsi="Century Gothic"/>
        </w:rPr>
        <w:t xml:space="preserve">Professor Kathryn Gilbey also talked to us about the connection between theatre, performance, and de-colonised practice in Australia. Kathryn gave us examples of </w:t>
      </w:r>
      <w:r w:rsidR="003704C2">
        <w:rPr>
          <w:rFonts w:ascii="Century Gothic" w:hAnsi="Century Gothic"/>
        </w:rPr>
        <w:t>how she has used</w:t>
      </w:r>
      <w:r>
        <w:rPr>
          <w:rFonts w:ascii="Century Gothic" w:hAnsi="Century Gothic"/>
        </w:rPr>
        <w:t xml:space="preserve"> performance in telling and sharing </w:t>
      </w:r>
      <w:r w:rsidR="003704C2">
        <w:rPr>
          <w:rFonts w:ascii="Century Gothic" w:hAnsi="Century Gothic"/>
        </w:rPr>
        <w:t xml:space="preserve">Indigenous </w:t>
      </w:r>
      <w:r>
        <w:rPr>
          <w:rFonts w:ascii="Century Gothic" w:hAnsi="Century Gothic"/>
        </w:rPr>
        <w:t xml:space="preserve">histories and how this has helped to shift perspectives and building the knowledge and understanding of people in the audience. </w:t>
      </w:r>
    </w:p>
    <w:p w14:paraId="0F8CBCC6" w14:textId="77777777" w:rsidR="0003608C" w:rsidRPr="0003608C" w:rsidRDefault="0003608C" w:rsidP="0003608C">
      <w:pPr>
        <w:pStyle w:val="ListParagraph"/>
        <w:rPr>
          <w:rFonts w:ascii="Century Gothic" w:hAnsi="Century Gothic"/>
        </w:rPr>
      </w:pPr>
    </w:p>
    <w:p w14:paraId="31883DF1" w14:textId="44F35ACA" w:rsidR="00941F77" w:rsidRDefault="003704C2" w:rsidP="00941F77">
      <w:pPr>
        <w:pStyle w:val="ListParagraph"/>
        <w:numPr>
          <w:ilvl w:val="0"/>
          <w:numId w:val="3"/>
        </w:numPr>
        <w:rPr>
          <w:rFonts w:ascii="Century Gothic" w:hAnsi="Century Gothic"/>
        </w:rPr>
      </w:pPr>
      <w:r>
        <w:rPr>
          <w:rFonts w:ascii="Century Gothic" w:hAnsi="Century Gothic"/>
        </w:rPr>
        <w:lastRenderedPageBreak/>
        <w:t>As part of the TIAKI project, we</w:t>
      </w:r>
      <w:r w:rsidR="00941F77">
        <w:rPr>
          <w:rFonts w:ascii="Century Gothic" w:hAnsi="Century Gothic"/>
        </w:rPr>
        <w:t xml:space="preserve"> have prepared</w:t>
      </w:r>
      <w:r>
        <w:rPr>
          <w:rFonts w:ascii="Century Gothic" w:hAnsi="Century Gothic"/>
        </w:rPr>
        <w:t xml:space="preserve"> six</w:t>
      </w:r>
      <w:r w:rsidR="00941F77">
        <w:rPr>
          <w:rFonts w:ascii="Century Gothic" w:hAnsi="Century Gothic"/>
        </w:rPr>
        <w:t xml:space="preserve"> self-published booklets – also known as zines – </w:t>
      </w:r>
      <w:r>
        <w:rPr>
          <w:rFonts w:ascii="Century Gothic" w:hAnsi="Century Gothic"/>
        </w:rPr>
        <w:t xml:space="preserve">one </w:t>
      </w:r>
      <w:r w:rsidR="00941F77">
        <w:rPr>
          <w:rFonts w:ascii="Century Gothic" w:hAnsi="Century Gothic"/>
        </w:rPr>
        <w:t xml:space="preserve">for each of our podcast episodes. In this podcast episode we talk about two of our zines in more detail. </w:t>
      </w:r>
    </w:p>
    <w:p w14:paraId="290C7F4D" w14:textId="77777777" w:rsidR="00941F77" w:rsidRPr="00941F77" w:rsidRDefault="00941F77" w:rsidP="00941F77">
      <w:pPr>
        <w:pStyle w:val="ListParagraph"/>
        <w:rPr>
          <w:rFonts w:ascii="Century Gothic" w:hAnsi="Century Gothic"/>
        </w:rPr>
      </w:pPr>
    </w:p>
    <w:p w14:paraId="1E50745C" w14:textId="46EEC60F" w:rsidR="0003608C" w:rsidRDefault="00941F77" w:rsidP="0097628A">
      <w:pPr>
        <w:pStyle w:val="ListParagraph"/>
        <w:numPr>
          <w:ilvl w:val="0"/>
          <w:numId w:val="3"/>
        </w:numPr>
        <w:rPr>
          <w:rFonts w:ascii="Century Gothic" w:hAnsi="Century Gothic"/>
        </w:rPr>
      </w:pPr>
      <w:r>
        <w:rPr>
          <w:rFonts w:ascii="Century Gothic" w:hAnsi="Century Gothic"/>
        </w:rPr>
        <w:t>The first zine we talk about is</w:t>
      </w:r>
      <w:r w:rsidR="0003608C">
        <w:rPr>
          <w:rFonts w:ascii="Century Gothic" w:hAnsi="Century Gothic"/>
        </w:rPr>
        <w:t xml:space="preserve"> short comic – or as well call it graphic novella – that sets out the data findings</w:t>
      </w:r>
      <w:r>
        <w:rPr>
          <w:rFonts w:ascii="Century Gothic" w:hAnsi="Century Gothic"/>
        </w:rPr>
        <w:t xml:space="preserve"> that we also shared in podcast episode 2</w:t>
      </w:r>
      <w:r w:rsidR="0003608C">
        <w:rPr>
          <w:rFonts w:ascii="Century Gothic" w:hAnsi="Century Gothic"/>
        </w:rPr>
        <w:t xml:space="preserve">. Gabrielle and Paula wrote the words for the graphic novella, and it was beautifully illustrated by Jordan Tane who is </w:t>
      </w:r>
      <w:proofErr w:type="gramStart"/>
      <w:r w:rsidR="0003608C">
        <w:rPr>
          <w:rFonts w:ascii="Century Gothic" w:hAnsi="Century Gothic"/>
        </w:rPr>
        <w:t>really good</w:t>
      </w:r>
      <w:proofErr w:type="gramEnd"/>
      <w:r w:rsidR="0003608C">
        <w:rPr>
          <w:rFonts w:ascii="Century Gothic" w:hAnsi="Century Gothic"/>
        </w:rPr>
        <w:t xml:space="preserve"> at using graphic design and illustration to translate or share research. </w:t>
      </w:r>
    </w:p>
    <w:p w14:paraId="21F5EE70" w14:textId="77777777" w:rsidR="0003608C" w:rsidRPr="0003608C" w:rsidRDefault="0003608C" w:rsidP="0003608C">
      <w:pPr>
        <w:pStyle w:val="ListParagraph"/>
        <w:rPr>
          <w:rFonts w:ascii="Century Gothic" w:hAnsi="Century Gothic"/>
        </w:rPr>
      </w:pPr>
    </w:p>
    <w:p w14:paraId="4BDABF9E" w14:textId="4F24962E" w:rsidR="0003608C" w:rsidRDefault="0003608C" w:rsidP="0097628A">
      <w:pPr>
        <w:pStyle w:val="ListParagraph"/>
        <w:numPr>
          <w:ilvl w:val="0"/>
          <w:numId w:val="3"/>
        </w:numPr>
        <w:rPr>
          <w:rFonts w:ascii="Century Gothic" w:hAnsi="Century Gothic"/>
        </w:rPr>
      </w:pPr>
      <w:r>
        <w:rPr>
          <w:rFonts w:ascii="Century Gothic" w:hAnsi="Century Gothic"/>
        </w:rPr>
        <w:t xml:space="preserve">Our graphic novella was inspired by a comic </w:t>
      </w:r>
      <w:r w:rsidR="00941F77">
        <w:rPr>
          <w:rFonts w:ascii="Century Gothic" w:hAnsi="Century Gothic"/>
        </w:rPr>
        <w:t>by American graphic journalist Josh Neufeld t</w:t>
      </w:r>
      <w:r>
        <w:rPr>
          <w:rFonts w:ascii="Century Gothic" w:hAnsi="Century Gothic"/>
        </w:rPr>
        <w:t xml:space="preserve">hat Professor Marshall Chin was </w:t>
      </w:r>
      <w:r w:rsidR="00941F77">
        <w:rPr>
          <w:rFonts w:ascii="Century Gothic" w:hAnsi="Century Gothic"/>
        </w:rPr>
        <w:t xml:space="preserve">involved in. The comic includes an interview with Marshall about the ways he uses different artforms (like improv and standup comedy) to train medical students about being better communicators with patients. </w:t>
      </w:r>
      <w:r w:rsidR="003704C2">
        <w:rPr>
          <w:rFonts w:ascii="Century Gothic" w:hAnsi="Century Gothic"/>
        </w:rPr>
        <w:t>We have a link to this comic on our podcast website.</w:t>
      </w:r>
    </w:p>
    <w:p w14:paraId="753BF8EF" w14:textId="77777777" w:rsidR="00875F57" w:rsidRPr="00941F77" w:rsidRDefault="00875F57" w:rsidP="00941F77">
      <w:pPr>
        <w:rPr>
          <w:rFonts w:ascii="Century Gothic" w:hAnsi="Century Gothic"/>
        </w:rPr>
      </w:pPr>
    </w:p>
    <w:p w14:paraId="3619B03F" w14:textId="7AE23008" w:rsidR="00FA608A" w:rsidRDefault="00941F77" w:rsidP="0097628A">
      <w:pPr>
        <w:pStyle w:val="ListParagraph"/>
        <w:numPr>
          <w:ilvl w:val="0"/>
          <w:numId w:val="3"/>
        </w:numPr>
        <w:rPr>
          <w:rFonts w:ascii="Century Gothic" w:hAnsi="Century Gothic"/>
        </w:rPr>
      </w:pPr>
      <w:r>
        <w:rPr>
          <w:rFonts w:ascii="Century Gothic" w:hAnsi="Century Gothic"/>
        </w:rPr>
        <w:t xml:space="preserve">The second zine we talk about in this episode is an art booklet. The art </w:t>
      </w:r>
      <w:r w:rsidR="003704C2">
        <w:rPr>
          <w:rFonts w:ascii="Century Gothic" w:hAnsi="Century Gothic"/>
        </w:rPr>
        <w:t xml:space="preserve">– which includes collage, watercolours, drawings, and digital art – </w:t>
      </w:r>
      <w:r>
        <w:rPr>
          <w:rFonts w:ascii="Century Gothic" w:hAnsi="Century Gothic"/>
        </w:rPr>
        <w:t xml:space="preserve">was made in a series of community art workshops, </w:t>
      </w:r>
      <w:r w:rsidR="003704C2">
        <w:rPr>
          <w:rFonts w:ascii="Century Gothic" w:hAnsi="Century Gothic"/>
        </w:rPr>
        <w:t>inspired by</w:t>
      </w:r>
      <w:r>
        <w:rPr>
          <w:rFonts w:ascii="Century Gothic" w:hAnsi="Century Gothic"/>
        </w:rPr>
        <w:t xml:space="preserve"> what people told us in interviews. </w:t>
      </w:r>
    </w:p>
    <w:p w14:paraId="128B4093" w14:textId="77777777" w:rsidR="00FA608A" w:rsidRPr="00FA608A" w:rsidRDefault="00FA608A" w:rsidP="00FA608A">
      <w:pPr>
        <w:pStyle w:val="ListParagraph"/>
        <w:rPr>
          <w:rFonts w:ascii="Century Gothic" w:hAnsi="Century Gothic"/>
        </w:rPr>
      </w:pPr>
    </w:p>
    <w:p w14:paraId="1484C8B9" w14:textId="3A5B6F79" w:rsidR="00875F57" w:rsidRDefault="00FA608A" w:rsidP="00875F57">
      <w:pPr>
        <w:pStyle w:val="ListParagraph"/>
        <w:numPr>
          <w:ilvl w:val="0"/>
          <w:numId w:val="3"/>
        </w:numPr>
        <w:rPr>
          <w:rFonts w:ascii="Century Gothic" w:hAnsi="Century Gothic"/>
        </w:rPr>
      </w:pPr>
      <w:r w:rsidRPr="00FA608A">
        <w:rPr>
          <w:rFonts w:ascii="Century Gothic" w:hAnsi="Century Gothic"/>
        </w:rPr>
        <w:t>In the art workshops we had lots of deep kōrero about the interviews and the experiences of whānau coming out of prisons</w:t>
      </w:r>
      <w:r>
        <w:rPr>
          <w:rFonts w:ascii="Century Gothic" w:hAnsi="Century Gothic"/>
        </w:rPr>
        <w:t xml:space="preserve">, like the lack of housing, lack of employment, and not having a place where they feel like they fit. </w:t>
      </w:r>
      <w:r w:rsidRPr="00FA608A">
        <w:rPr>
          <w:rFonts w:ascii="Century Gothic" w:hAnsi="Century Gothic"/>
        </w:rPr>
        <w:t xml:space="preserve"> </w:t>
      </w:r>
      <w:r>
        <w:rPr>
          <w:rFonts w:ascii="Century Gothic" w:hAnsi="Century Gothic"/>
        </w:rPr>
        <w:t>Cheryl</w:t>
      </w:r>
      <w:r w:rsidRPr="00FA608A">
        <w:rPr>
          <w:rFonts w:ascii="Century Gothic" w:hAnsi="Century Gothic"/>
        </w:rPr>
        <w:t xml:space="preserve"> Davies told us that the workshops were a way to truly honour what </w:t>
      </w:r>
      <w:r w:rsidR="003704C2">
        <w:rPr>
          <w:rFonts w:ascii="Century Gothic" w:hAnsi="Century Gothic"/>
        </w:rPr>
        <w:t>people shared with us,</w:t>
      </w:r>
      <w:r w:rsidRPr="00FA608A">
        <w:rPr>
          <w:rFonts w:ascii="Century Gothic" w:hAnsi="Century Gothic"/>
        </w:rPr>
        <w:t xml:space="preserve"> in a way that allowed </w:t>
      </w:r>
      <w:r w:rsidR="003704C2">
        <w:rPr>
          <w:rFonts w:ascii="Century Gothic" w:hAnsi="Century Gothic"/>
        </w:rPr>
        <w:t>everyone</w:t>
      </w:r>
      <w:r w:rsidRPr="00FA608A">
        <w:rPr>
          <w:rFonts w:ascii="Century Gothic" w:hAnsi="Century Gothic"/>
        </w:rPr>
        <w:t xml:space="preserve"> to be creative</w:t>
      </w:r>
      <w:r w:rsidR="003704C2">
        <w:rPr>
          <w:rFonts w:ascii="Century Gothic" w:hAnsi="Century Gothic"/>
        </w:rPr>
        <w:t>.</w:t>
      </w:r>
    </w:p>
    <w:p w14:paraId="55FF676B" w14:textId="77777777" w:rsidR="00FA608A" w:rsidRPr="00FA608A" w:rsidRDefault="00FA608A" w:rsidP="00FA608A">
      <w:pPr>
        <w:pStyle w:val="ListParagraph"/>
        <w:rPr>
          <w:rFonts w:ascii="Century Gothic" w:hAnsi="Century Gothic"/>
        </w:rPr>
      </w:pPr>
    </w:p>
    <w:p w14:paraId="26E5B938" w14:textId="60D043DB" w:rsidR="00FA608A" w:rsidRDefault="00FA608A" w:rsidP="00875F57">
      <w:pPr>
        <w:pStyle w:val="ListParagraph"/>
        <w:numPr>
          <w:ilvl w:val="0"/>
          <w:numId w:val="3"/>
        </w:numPr>
        <w:rPr>
          <w:rFonts w:ascii="Century Gothic" w:hAnsi="Century Gothic"/>
        </w:rPr>
      </w:pPr>
      <w:r>
        <w:rPr>
          <w:rFonts w:ascii="Century Gothic" w:hAnsi="Century Gothic"/>
        </w:rPr>
        <w:t xml:space="preserve">The last thing we talk about is poetry or toi kupu. In her interview with us Professor Tracey McIntosh told us about the value of poetry in abolition work – saying that poetry allows us to imagine a new future. </w:t>
      </w:r>
    </w:p>
    <w:p w14:paraId="58B71891" w14:textId="77777777" w:rsidR="00FA608A" w:rsidRPr="00FA608A" w:rsidRDefault="00FA608A" w:rsidP="00FA608A">
      <w:pPr>
        <w:pStyle w:val="ListParagraph"/>
        <w:rPr>
          <w:rFonts w:ascii="Century Gothic" w:hAnsi="Century Gothic"/>
        </w:rPr>
      </w:pPr>
    </w:p>
    <w:p w14:paraId="535400FF" w14:textId="7A054BDC" w:rsidR="00FA608A" w:rsidRDefault="00FA608A" w:rsidP="00875F57">
      <w:pPr>
        <w:pStyle w:val="ListParagraph"/>
        <w:numPr>
          <w:ilvl w:val="0"/>
          <w:numId w:val="3"/>
        </w:numPr>
        <w:rPr>
          <w:rFonts w:ascii="Century Gothic" w:hAnsi="Century Gothic"/>
        </w:rPr>
      </w:pPr>
      <w:r>
        <w:rPr>
          <w:rFonts w:ascii="Century Gothic" w:hAnsi="Century Gothic"/>
        </w:rPr>
        <w:t xml:space="preserve">Belinda Tuari-Toma prepared and performed a poem for us about TIAKI. There is a NZSL interpretation of this poem available on our website. </w:t>
      </w:r>
    </w:p>
    <w:p w14:paraId="34D67326" w14:textId="77777777" w:rsidR="00FA608A" w:rsidRPr="00FA608A" w:rsidRDefault="00FA608A" w:rsidP="00FA608A">
      <w:pPr>
        <w:pStyle w:val="ListParagraph"/>
        <w:rPr>
          <w:rFonts w:ascii="Century Gothic" w:hAnsi="Century Gothic"/>
        </w:rPr>
      </w:pPr>
    </w:p>
    <w:p w14:paraId="798EF24D" w14:textId="28AAEF12" w:rsidR="00867122" w:rsidRPr="007564D9" w:rsidRDefault="007564D9" w:rsidP="007564D9">
      <w:pPr>
        <w:pStyle w:val="ListParagraph"/>
        <w:numPr>
          <w:ilvl w:val="0"/>
          <w:numId w:val="3"/>
        </w:numPr>
        <w:rPr>
          <w:rFonts w:ascii="Century Gothic" w:hAnsi="Century Gothic"/>
        </w:rPr>
      </w:pPr>
      <w:r>
        <w:rPr>
          <w:rFonts w:ascii="Century Gothic" w:hAnsi="Century Gothic"/>
        </w:rPr>
        <w:t xml:space="preserve">In an interview with us, Belinda shared her writing process saying that her method is whakapapa. She said “anything I do has to have that whakapapa, </w:t>
      </w:r>
      <w:proofErr w:type="gramStart"/>
      <w:r>
        <w:rPr>
          <w:rFonts w:ascii="Century Gothic" w:hAnsi="Century Gothic"/>
        </w:rPr>
        <w:t>has to</w:t>
      </w:r>
      <w:proofErr w:type="gramEnd"/>
      <w:r>
        <w:rPr>
          <w:rFonts w:ascii="Century Gothic" w:hAnsi="Century Gothic"/>
        </w:rPr>
        <w:t xml:space="preserve"> have that pūrakau, that story, because that’s the foundation. And then it just kind of grows like weeds… I don’t know how to explain it”.</w:t>
      </w:r>
      <w:r w:rsidR="00867122" w:rsidRPr="007564D9">
        <w:rPr>
          <w:rFonts w:ascii="Century Gothic" w:hAnsi="Century Gothic"/>
        </w:rPr>
        <w:t xml:space="preserve"> </w:t>
      </w:r>
    </w:p>
    <w:p w14:paraId="3252DB4A" w14:textId="77777777" w:rsidR="00867122" w:rsidRDefault="00867122" w:rsidP="00867122">
      <w:pPr>
        <w:rPr>
          <w:rFonts w:ascii="Century Gothic" w:hAnsi="Century Gothic"/>
        </w:rPr>
      </w:pPr>
    </w:p>
    <w:p w14:paraId="655CBE63" w14:textId="35054B54" w:rsidR="00867122" w:rsidRPr="00867122" w:rsidRDefault="00867122" w:rsidP="00867122">
      <w:pPr>
        <w:rPr>
          <w:rFonts w:ascii="Century Gothic" w:hAnsi="Century Gothic"/>
        </w:rPr>
      </w:pPr>
      <w:r>
        <w:rPr>
          <w:rFonts w:ascii="Century Gothic" w:hAnsi="Century Gothic"/>
        </w:rPr>
        <w:t xml:space="preserve">In the next episode we will </w:t>
      </w:r>
      <w:r w:rsidR="007564D9">
        <w:rPr>
          <w:rFonts w:ascii="Century Gothic" w:hAnsi="Century Gothic"/>
        </w:rPr>
        <w:t xml:space="preserve">discuss the Theatre Marae or play called “Out the Gate”, which was based on our TIAKI research. In that episode we will hear from the playwright, the director, the choreographer and some of the actors. Mā te wā. </w:t>
      </w:r>
      <w:r>
        <w:rPr>
          <w:rFonts w:ascii="Century Gothic" w:hAnsi="Century Gothic"/>
        </w:rPr>
        <w:t xml:space="preserve"> </w:t>
      </w:r>
    </w:p>
    <w:sectPr w:rsidR="00867122" w:rsidRPr="00867122" w:rsidSect="007564D9">
      <w:pgSz w:w="11906" w:h="16838"/>
      <w:pgMar w:top="1118"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panose1 w:val="020B0004020202020204"/>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563D05"/>
    <w:multiLevelType w:val="hybridMultilevel"/>
    <w:tmpl w:val="7792B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7850DA"/>
    <w:multiLevelType w:val="hybridMultilevel"/>
    <w:tmpl w:val="63B8F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513D87"/>
    <w:multiLevelType w:val="hybridMultilevel"/>
    <w:tmpl w:val="6BBC7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0263750">
    <w:abstractNumId w:val="0"/>
  </w:num>
  <w:num w:numId="2" w16cid:durableId="1993827503">
    <w:abstractNumId w:val="2"/>
  </w:num>
  <w:num w:numId="3" w16cid:durableId="4823478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28A"/>
    <w:rsid w:val="0001194B"/>
    <w:rsid w:val="000272E4"/>
    <w:rsid w:val="0003608C"/>
    <w:rsid w:val="000F1CC0"/>
    <w:rsid w:val="0013562A"/>
    <w:rsid w:val="00175521"/>
    <w:rsid w:val="003704C2"/>
    <w:rsid w:val="004E3B7B"/>
    <w:rsid w:val="005F2BC8"/>
    <w:rsid w:val="007564D9"/>
    <w:rsid w:val="007F2FE8"/>
    <w:rsid w:val="008070F2"/>
    <w:rsid w:val="00824FC8"/>
    <w:rsid w:val="00867122"/>
    <w:rsid w:val="00875F57"/>
    <w:rsid w:val="00941F77"/>
    <w:rsid w:val="0097628A"/>
    <w:rsid w:val="00A46D5A"/>
    <w:rsid w:val="00A6439F"/>
    <w:rsid w:val="00A97EFE"/>
    <w:rsid w:val="00AE5008"/>
    <w:rsid w:val="00C933F6"/>
    <w:rsid w:val="00DC3EE9"/>
    <w:rsid w:val="00F93897"/>
    <w:rsid w:val="00FA608A"/>
  </w:rsids>
  <m:mathPr>
    <m:mathFont m:val="Cambria Math"/>
    <m:brkBin m:val="before"/>
    <m:brkBinSub m:val="--"/>
    <m:smallFrac m:val="0"/>
    <m:dispDef/>
    <m:lMargin m:val="0"/>
    <m:rMargin m:val="0"/>
    <m:defJc m:val="centerGroup"/>
    <m:wrapIndent m:val="1440"/>
    <m:intLim m:val="subSup"/>
    <m:naryLim m:val="undOvr"/>
  </m:mathPr>
  <w:themeFontLang w:val="en-NZ"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273EA8FB"/>
  <w15:chartTrackingRefBased/>
  <w15:docId w15:val="{B9B76929-640C-EB44-A002-1329361C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28A"/>
    <w:rPr>
      <w:rFonts w:eastAsiaTheme="minorEastAsia"/>
      <w:kern w:val="0"/>
      <w:lang w:val="en-GB"/>
      <w14:ligatures w14:val="none"/>
    </w:rPr>
  </w:style>
  <w:style w:type="paragraph" w:styleId="Heading1">
    <w:name w:val="heading 1"/>
    <w:basedOn w:val="Normal"/>
    <w:next w:val="Normal"/>
    <w:link w:val="Heading1Char"/>
    <w:uiPriority w:val="9"/>
    <w:qFormat/>
    <w:rsid w:val="0097628A"/>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7628A"/>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7628A"/>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7628A"/>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7628A"/>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7628A"/>
    <w:pPr>
      <w:keepNext/>
      <w:keepLines/>
      <w:spacing w:before="4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7628A"/>
    <w:pPr>
      <w:keepNext/>
      <w:keepLines/>
      <w:spacing w:before="4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7628A"/>
    <w:pPr>
      <w:keepNext/>
      <w:keepLines/>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7628A"/>
    <w:pPr>
      <w:keepNext/>
      <w:keepLines/>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628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7628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7628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7628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7628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7628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7628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7628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7628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7628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7628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7628A"/>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7628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7628A"/>
    <w:pPr>
      <w:spacing w:before="160" w:after="160"/>
      <w:jc w:val="center"/>
    </w:pPr>
    <w:rPr>
      <w:rFonts w:eastAsiaTheme="minorHAnsi"/>
      <w:i/>
      <w:iCs/>
      <w:color w:val="404040" w:themeColor="text1" w:themeTint="BF"/>
      <w:kern w:val="2"/>
      <w14:ligatures w14:val="standardContextual"/>
    </w:rPr>
  </w:style>
  <w:style w:type="character" w:customStyle="1" w:styleId="QuoteChar">
    <w:name w:val="Quote Char"/>
    <w:basedOn w:val="DefaultParagraphFont"/>
    <w:link w:val="Quote"/>
    <w:uiPriority w:val="29"/>
    <w:rsid w:val="0097628A"/>
    <w:rPr>
      <w:i/>
      <w:iCs/>
      <w:color w:val="404040" w:themeColor="text1" w:themeTint="BF"/>
      <w:lang w:val="en-GB"/>
    </w:rPr>
  </w:style>
  <w:style w:type="paragraph" w:styleId="ListParagraph">
    <w:name w:val="List Paragraph"/>
    <w:basedOn w:val="Normal"/>
    <w:uiPriority w:val="34"/>
    <w:qFormat/>
    <w:rsid w:val="0097628A"/>
    <w:pPr>
      <w:ind w:left="720"/>
      <w:contextualSpacing/>
    </w:pPr>
    <w:rPr>
      <w:rFonts w:eastAsiaTheme="minorHAnsi"/>
      <w:kern w:val="2"/>
      <w14:ligatures w14:val="standardContextual"/>
    </w:rPr>
  </w:style>
  <w:style w:type="character" w:styleId="IntenseEmphasis">
    <w:name w:val="Intense Emphasis"/>
    <w:basedOn w:val="DefaultParagraphFont"/>
    <w:uiPriority w:val="21"/>
    <w:qFormat/>
    <w:rsid w:val="0097628A"/>
    <w:rPr>
      <w:i/>
      <w:iCs/>
      <w:color w:val="0F4761" w:themeColor="accent1" w:themeShade="BF"/>
    </w:rPr>
  </w:style>
  <w:style w:type="paragraph" w:styleId="IntenseQuote">
    <w:name w:val="Intense Quote"/>
    <w:basedOn w:val="Normal"/>
    <w:next w:val="Normal"/>
    <w:link w:val="IntenseQuoteChar"/>
    <w:uiPriority w:val="30"/>
    <w:qFormat/>
    <w:rsid w:val="0097628A"/>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7628A"/>
    <w:rPr>
      <w:i/>
      <w:iCs/>
      <w:color w:val="0F4761" w:themeColor="accent1" w:themeShade="BF"/>
      <w:lang w:val="en-GB"/>
    </w:rPr>
  </w:style>
  <w:style w:type="character" w:styleId="IntenseReference">
    <w:name w:val="Intense Reference"/>
    <w:basedOn w:val="DefaultParagraphFont"/>
    <w:uiPriority w:val="32"/>
    <w:qFormat/>
    <w:rsid w:val="0097628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692</Words>
  <Characters>3742</Characters>
  <Application>Microsoft Office Word</Application>
  <DocSecurity>0</DocSecurity>
  <Lines>207</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Gabrielle Baker</dc:creator>
  <cp:keywords/>
  <dc:description/>
  <cp:lastModifiedBy>Gabrielle Baker</cp:lastModifiedBy>
  <cp:revision>2</cp:revision>
  <dcterms:created xsi:type="dcterms:W3CDTF">2026-09-18T00:01:00Z</dcterms:created>
  <dcterms:modified xsi:type="dcterms:W3CDTF">2026-09-18T00:01:00Z</dcterms:modified>
</cp:coreProperties>
</file>