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D6A1" w14:textId="77777777" w:rsidR="003433C0" w:rsidRDefault="003433C0">
      <w:pPr>
        <w:spacing w:before="1200"/>
      </w:pPr>
    </w:p>
    <w:p w14:paraId="59FEA059" w14:textId="77777777" w:rsidR="003433C0" w:rsidRDefault="00000000">
      <w:pPr>
        <w:spacing w:after="80"/>
      </w:pPr>
      <w:r>
        <w:rPr>
          <w:b/>
          <w:bCs/>
          <w:sz w:val="54"/>
          <w:szCs w:val="54"/>
        </w:rPr>
        <w:t>Accounting Operations Manual</w:t>
      </w:r>
    </w:p>
    <w:p w14:paraId="185A6993" w14:textId="77777777" w:rsidR="003433C0" w:rsidRDefault="00000000">
      <w:pPr>
        <w:pBdr>
          <w:bottom w:val="single" w:sz="8" w:space="8" w:color="3DBF62"/>
        </w:pBdr>
        <w:spacing w:after="400"/>
      </w:pPr>
      <w:r>
        <w:rPr>
          <w:color w:val="6E6E6E"/>
          <w:sz w:val="26"/>
          <w:szCs w:val="26"/>
        </w:rPr>
        <w:t>A controller's living record of how the accounting department runs</w:t>
      </w:r>
    </w:p>
    <w:p w14:paraId="5F90EDD0" w14:textId="77777777" w:rsidR="003433C0" w:rsidRDefault="00000000">
      <w:pPr>
        <w:spacing w:after="120"/>
      </w:pPr>
      <w:r>
        <w:rPr>
          <w:b/>
          <w:bCs/>
          <w:color w:val="2EA34F"/>
        </w:rPr>
        <w:t>[ COMPANY NAME ]</w:t>
      </w:r>
    </w:p>
    <w:p w14:paraId="5600345B" w14:textId="77777777" w:rsidR="003433C0" w:rsidRDefault="00000000">
      <w:pPr>
        <w:spacing w:after="120"/>
      </w:pPr>
      <w:r>
        <w:rPr>
          <w:color w:val="6E6E6E"/>
        </w:rPr>
        <w:t xml:space="preserve">Document owner: </w:t>
      </w:r>
      <w:r>
        <w:rPr>
          <w:b/>
          <w:bCs/>
          <w:color w:val="2EA34F"/>
        </w:rPr>
        <w:t>[ Name / Title ]</w:t>
      </w:r>
    </w:p>
    <w:p w14:paraId="60E56132" w14:textId="77777777" w:rsidR="003433C0" w:rsidRDefault="00000000">
      <w:pPr>
        <w:spacing w:after="120"/>
      </w:pPr>
      <w:r>
        <w:rPr>
          <w:color w:val="6E6E6E"/>
        </w:rPr>
        <w:t xml:space="preserve">Effective date: </w:t>
      </w:r>
      <w:r>
        <w:rPr>
          <w:b/>
          <w:bCs/>
          <w:color w:val="2EA34F"/>
        </w:rPr>
        <w:t>[ Month Year ]</w:t>
      </w:r>
      <w:r>
        <w:rPr>
          <w:color w:val="6E6E6E"/>
        </w:rPr>
        <w:t xml:space="preserve">      Last reviewed: </w:t>
      </w:r>
      <w:r>
        <w:rPr>
          <w:b/>
          <w:bCs/>
          <w:color w:val="2EA34F"/>
        </w:rPr>
        <w:t>[ Month Year ]</w:t>
      </w:r>
    </w:p>
    <w:p w14:paraId="5ACEA8B5" w14:textId="77777777" w:rsidR="003433C0" w:rsidRDefault="00000000">
      <w:pPr>
        <w:spacing w:after="120"/>
      </w:pPr>
      <w:r>
        <w:rPr>
          <w:color w:val="6E6E6E"/>
        </w:rPr>
        <w:t xml:space="preserve">Version: </w:t>
      </w:r>
      <w:r>
        <w:rPr>
          <w:b/>
          <w:bCs/>
          <w:color w:val="2EA34F"/>
        </w:rPr>
        <w:t>[ 1.0 ]</w:t>
      </w:r>
    </w:p>
    <w:p w14:paraId="452B1706" w14:textId="77777777" w:rsidR="003433C0" w:rsidRDefault="00000000">
      <w:r>
        <w:br w:type="page"/>
      </w:r>
    </w:p>
    <w:p w14:paraId="211F10E8" w14:textId="77777777" w:rsidR="003433C0" w:rsidRDefault="00000000">
      <w:pPr>
        <w:pStyle w:val="Heading1"/>
      </w:pPr>
      <w:r>
        <w:lastRenderedPageBreak/>
        <w:t>How to Use This Manual</w:t>
      </w:r>
    </w:p>
    <w:p w14:paraId="3FD851F3"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Everything in a box like this one is guidance written to you — the controller building this document. Each block begins with a bold “▸ INSTRUCTION” label so it's easy to spot. Delete every one once your real content is in place. What remains in normal black is either permanent structure or example content you should overwrite with your own.</w:t>
      </w:r>
    </w:p>
    <w:p w14:paraId="68CC9D8F" w14:textId="77777777" w:rsidR="003433C0" w:rsidRDefault="00000000">
      <w:pPr>
        <w:spacing w:after="160" w:line="288" w:lineRule="auto"/>
      </w:pPr>
      <w:r>
        <w:t xml:space="preserve">This manual is the single place that answers one question: </w:t>
      </w:r>
      <w:r>
        <w:rPr>
          <w:b/>
          <w:bCs/>
        </w:rPr>
        <w:t>how does our accounting department actually run?</w:t>
      </w:r>
    </w:p>
    <w:p w14:paraId="0CC55F54" w14:textId="77777777" w:rsidR="003433C0" w:rsidRDefault="00000000">
      <w:pPr>
        <w:spacing w:after="160" w:line="288" w:lineRule="auto"/>
      </w:pPr>
      <w:r>
        <w:t>It is not a compliance binder that sits on a shelf. It is the document you hand a new hire on day one, an auditor before fieldwork, a lender during diligence, or yourself after a long quarter when you cannot remember why a policy was set the way it was. A good manual means the department survives a resignation. The method lives in this document, not in one person's memory.</w:t>
      </w:r>
    </w:p>
    <w:p w14:paraId="0AE6CDF8" w14:textId="77777777" w:rsidR="003433C0" w:rsidRDefault="00000000">
      <w:pPr>
        <w:pStyle w:val="Heading2"/>
      </w:pPr>
      <w:r>
        <w:t>Conventions used in this template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3433C0" w14:paraId="650FBF32" w14:textId="77777777">
        <w:tblPrEx>
          <w:tblCellMar>
            <w:top w:w="0" w:type="dxa"/>
            <w:bottom w:w="0" w:type="dxa"/>
          </w:tblCellMar>
        </w:tblPrEx>
        <w:trPr>
          <w:tblHeader/>
        </w:trPr>
        <w:tc>
          <w:tcPr>
            <w:tcW w:w="312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53785C43" w14:textId="77777777" w:rsidR="003433C0" w:rsidRDefault="00000000">
            <w:r>
              <w:rPr>
                <w:b/>
                <w:bCs/>
                <w:color w:val="FFFFFF"/>
                <w:sz w:val="19"/>
                <w:szCs w:val="19"/>
              </w:rPr>
              <w:t>You'll see</w:t>
            </w:r>
          </w:p>
        </w:tc>
        <w:tc>
          <w:tcPr>
            <w:tcW w:w="624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4B7866E2" w14:textId="77777777" w:rsidR="003433C0" w:rsidRDefault="00000000">
            <w:r>
              <w:rPr>
                <w:b/>
                <w:bCs/>
                <w:color w:val="FFFFFF"/>
                <w:sz w:val="19"/>
                <w:szCs w:val="19"/>
              </w:rPr>
              <w:t>It means</w:t>
            </w:r>
          </w:p>
        </w:tc>
      </w:tr>
      <w:tr w:rsidR="003433C0" w14:paraId="6AEF2F0E" w14:textId="77777777">
        <w:tblPrEx>
          <w:tblCellMar>
            <w:top w:w="0" w:type="dxa"/>
            <w:bottom w:w="0" w:type="dxa"/>
          </w:tblCellMar>
        </w:tblPrEx>
        <w:tc>
          <w:tcPr>
            <w:tcW w:w="312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826CBDD" w14:textId="77777777" w:rsidR="003433C0" w:rsidRDefault="00000000">
            <w:r>
              <w:rPr>
                <w:sz w:val="19"/>
                <w:szCs w:val="19"/>
              </w:rPr>
              <w:t>A green-bordered box beginning “▸ INSTRUCTION”</w:t>
            </w:r>
          </w:p>
        </w:tc>
        <w:tc>
          <w:tcPr>
            <w:tcW w:w="624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367A9EF" w14:textId="77777777" w:rsidR="003433C0" w:rsidRDefault="00000000">
            <w:r>
              <w:rPr>
                <w:sz w:val="19"/>
                <w:szCs w:val="19"/>
              </w:rPr>
              <w:t>Guidance to you. Read it, act on it, then delete the whole block.</w:t>
            </w:r>
          </w:p>
        </w:tc>
      </w:tr>
      <w:tr w:rsidR="003433C0" w14:paraId="781D7ED2" w14:textId="77777777">
        <w:tblPrEx>
          <w:tblCellMar>
            <w:top w:w="0" w:type="dxa"/>
            <w:bottom w:w="0" w:type="dxa"/>
          </w:tblCellMar>
        </w:tblPrEx>
        <w:tc>
          <w:tcPr>
            <w:tcW w:w="312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4ED283D" w14:textId="77777777" w:rsidR="003433C0" w:rsidRDefault="00000000">
            <w:r>
              <w:rPr>
                <w:sz w:val="19"/>
                <w:szCs w:val="19"/>
              </w:rPr>
              <w:t>[ BRACKETED GREEN TEXT ]</w:t>
            </w:r>
          </w:p>
        </w:tc>
        <w:tc>
          <w:tcPr>
            <w:tcW w:w="624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92DAB9D" w14:textId="77777777" w:rsidR="003433C0" w:rsidRDefault="00000000">
            <w:r>
              <w:rPr>
                <w:sz w:val="19"/>
                <w:szCs w:val="19"/>
              </w:rPr>
              <w:t>A placeholder. Replace with your company's real information.</w:t>
            </w:r>
          </w:p>
        </w:tc>
      </w:tr>
      <w:tr w:rsidR="003433C0" w14:paraId="721B5822" w14:textId="77777777">
        <w:tblPrEx>
          <w:tblCellMar>
            <w:top w:w="0" w:type="dxa"/>
            <w:bottom w:w="0" w:type="dxa"/>
          </w:tblCellMar>
        </w:tblPrEx>
        <w:tc>
          <w:tcPr>
            <w:tcW w:w="312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E9747DC" w14:textId="77777777" w:rsidR="003433C0" w:rsidRDefault="00000000">
            <w:r>
              <w:rPr>
                <w:sz w:val="19"/>
                <w:szCs w:val="19"/>
              </w:rPr>
              <w:t>Normal black text</w:t>
            </w:r>
          </w:p>
        </w:tc>
        <w:tc>
          <w:tcPr>
            <w:tcW w:w="624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CAC8948" w14:textId="77777777" w:rsidR="003433C0" w:rsidRDefault="00000000">
            <w:r>
              <w:rPr>
                <w:sz w:val="19"/>
                <w:szCs w:val="19"/>
              </w:rPr>
              <w:t>Example content modeled on a fictional company. Overwrite with your own, or keep what fits.</w:t>
            </w:r>
          </w:p>
        </w:tc>
      </w:tr>
    </w:tbl>
    <w:p w14:paraId="1E110D69"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The black example content throughout is written for a fictional $8M professional-services firm — “Meridian Advisory Group” — operating on a modified cash basis. It is realistic on purpose, so you can see the shape of a strong answer. None of it is advice for your company; replace every number, name, and policy with your own.</w:t>
      </w:r>
    </w:p>
    <w:p w14:paraId="0F3C2EC5" w14:textId="77777777" w:rsidR="003433C0" w:rsidRDefault="00000000">
      <w:pPr>
        <w:pStyle w:val="Heading2"/>
      </w:pPr>
      <w:r>
        <w:t>Keeping it alive</w:t>
      </w:r>
    </w:p>
    <w:p w14:paraId="12DAE2D5" w14:textId="77777777" w:rsidR="003433C0" w:rsidRDefault="00000000">
      <w:pPr>
        <w:spacing w:after="160" w:line="288" w:lineRule="auto"/>
      </w:pPr>
      <w:r>
        <w:t>A manual is only as good as its last update. Review it at least annually, and any time a policy, system, or role changes. Note the review date on the cover. The worst version of this document is one that confidently describes a process you stopped using two years ago.</w:t>
      </w:r>
    </w:p>
    <w:p w14:paraId="723CBFBF" w14:textId="77777777" w:rsidR="003433C0" w:rsidRDefault="00000000">
      <w:r>
        <w:br w:type="page"/>
      </w:r>
    </w:p>
    <w:p w14:paraId="1F94EF56" w14:textId="77777777" w:rsidR="003433C0" w:rsidRDefault="00000000">
      <w:pPr>
        <w:pStyle w:val="Heading1"/>
      </w:pPr>
      <w:r>
        <w:lastRenderedPageBreak/>
        <w:t>0. Executive Summary</w:t>
      </w:r>
    </w:p>
    <w:p w14:paraId="2FAE6DC4"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This is the 60-second snapshot — the page someone reads first when they inherit, audit, or finance this company. Fill it in last, once the rest of the manual is settled, then keep it current. If a reader can understand your entire accounting environment from this one page, it is doing its job.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960"/>
      </w:tblGrid>
      <w:tr w:rsidR="003433C0" w14:paraId="7BEDF724" w14:textId="77777777">
        <w:tblPrEx>
          <w:tblCellMar>
            <w:top w:w="0" w:type="dxa"/>
            <w:bottom w:w="0" w:type="dxa"/>
          </w:tblCellMar>
        </w:tblPrEx>
        <w:trPr>
          <w:tblHeader/>
        </w:trPr>
        <w:tc>
          <w:tcPr>
            <w:tcW w:w="34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51B5C288" w14:textId="77777777" w:rsidR="003433C0" w:rsidRDefault="00000000">
            <w:r>
              <w:rPr>
                <w:b/>
                <w:bCs/>
                <w:color w:val="FFFFFF"/>
                <w:sz w:val="19"/>
                <w:szCs w:val="19"/>
              </w:rPr>
              <w:t>Accounting environment</w:t>
            </w:r>
          </w:p>
        </w:tc>
        <w:tc>
          <w:tcPr>
            <w:tcW w:w="59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44F4BC70" w14:textId="77777777" w:rsidR="003433C0" w:rsidRDefault="003433C0"/>
        </w:tc>
      </w:tr>
      <w:tr w:rsidR="003433C0" w14:paraId="0CBC4381"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32F13D7" w14:textId="77777777" w:rsidR="003433C0" w:rsidRDefault="00000000">
            <w:r>
              <w:rPr>
                <w:sz w:val="19"/>
                <w:szCs w:val="19"/>
              </w:rPr>
              <w:t>Company</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019115E" w14:textId="77777777" w:rsidR="003433C0" w:rsidRDefault="00000000">
            <w:r>
              <w:rPr>
                <w:sz w:val="19"/>
                <w:szCs w:val="19"/>
              </w:rPr>
              <w:t>Meridian Advisory Group</w:t>
            </w:r>
          </w:p>
        </w:tc>
      </w:tr>
      <w:tr w:rsidR="003433C0" w14:paraId="5A85E6A7"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D76652F" w14:textId="77777777" w:rsidR="003433C0" w:rsidRDefault="00000000">
            <w:r>
              <w:rPr>
                <w:sz w:val="19"/>
                <w:szCs w:val="19"/>
              </w:rPr>
              <w:t>Industry</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2149431" w14:textId="77777777" w:rsidR="003433C0" w:rsidRDefault="00000000">
            <w:r>
              <w:rPr>
                <w:sz w:val="19"/>
                <w:szCs w:val="19"/>
              </w:rPr>
              <w:t>Professional services (management consulting)</w:t>
            </w:r>
          </w:p>
        </w:tc>
      </w:tr>
      <w:tr w:rsidR="003433C0" w14:paraId="55407F40"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DEE801D" w14:textId="77777777" w:rsidR="003433C0" w:rsidRDefault="00000000">
            <w:r>
              <w:rPr>
                <w:sz w:val="19"/>
                <w:szCs w:val="19"/>
              </w:rPr>
              <w:t>Annual revenue</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1B5C482" w14:textId="77777777" w:rsidR="003433C0" w:rsidRDefault="00000000">
            <w:r>
              <w:rPr>
                <w:sz w:val="19"/>
                <w:szCs w:val="19"/>
              </w:rPr>
              <w:t>~$8 million</w:t>
            </w:r>
          </w:p>
        </w:tc>
      </w:tr>
      <w:tr w:rsidR="003433C0" w14:paraId="007B2660"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65E93CB" w14:textId="77777777" w:rsidR="003433C0" w:rsidRDefault="00000000">
            <w:r>
              <w:rPr>
                <w:sz w:val="19"/>
                <w:szCs w:val="19"/>
              </w:rPr>
              <w:t>Accounting basis</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558888C" w14:textId="77777777" w:rsidR="003433C0" w:rsidRDefault="00000000">
            <w:r>
              <w:rPr>
                <w:sz w:val="19"/>
                <w:szCs w:val="19"/>
              </w:rPr>
              <w:t>Modified cash basis (see Section 4)</w:t>
            </w:r>
          </w:p>
        </w:tc>
      </w:tr>
      <w:tr w:rsidR="003433C0" w14:paraId="34B4F22D"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F7BD73E" w14:textId="77777777" w:rsidR="003433C0" w:rsidRDefault="00000000">
            <w:r>
              <w:rPr>
                <w:sz w:val="19"/>
                <w:szCs w:val="19"/>
              </w:rPr>
              <w:t>Accounting software stack</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CFD1901" w14:textId="77777777" w:rsidR="003433C0" w:rsidRDefault="00000000">
            <w:r>
              <w:rPr>
                <w:sz w:val="19"/>
                <w:szCs w:val="19"/>
              </w:rPr>
              <w:t>QuickBooks Online; dedicated payroll provider; bill-pay / expense app</w:t>
            </w:r>
          </w:p>
        </w:tc>
      </w:tr>
      <w:tr w:rsidR="003433C0" w14:paraId="7A46CED2"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CBB6A06" w14:textId="77777777" w:rsidR="003433C0" w:rsidRDefault="00000000">
            <w:r>
              <w:rPr>
                <w:sz w:val="19"/>
                <w:szCs w:val="19"/>
              </w:rPr>
              <w:t>Month-end close target</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CDF36D1" w14:textId="77777777" w:rsidR="003433C0" w:rsidRDefault="00000000">
            <w:r>
              <w:rPr>
                <w:sz w:val="19"/>
                <w:szCs w:val="19"/>
              </w:rPr>
              <w:t>5 business days</w:t>
            </w:r>
          </w:p>
        </w:tc>
      </w:tr>
      <w:tr w:rsidR="003433C0" w14:paraId="597EA70F"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9793D30" w14:textId="77777777" w:rsidR="003433C0" w:rsidRDefault="00000000">
            <w:r>
              <w:rPr>
                <w:sz w:val="19"/>
                <w:szCs w:val="19"/>
              </w:rPr>
              <w:t>Accounting staff</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B2D0753" w14:textId="77777777" w:rsidR="003433C0" w:rsidRDefault="00000000">
            <w:r>
              <w:rPr>
                <w:sz w:val="19"/>
                <w:szCs w:val="19"/>
              </w:rPr>
              <w:t>3 (Controller, Senior Accountant, AP/AR Specialist), reporting to CFO</w:t>
            </w:r>
          </w:p>
        </w:tc>
      </w:tr>
      <w:tr w:rsidR="003433C0" w14:paraId="3BABC844"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ADBD538" w14:textId="77777777" w:rsidR="003433C0" w:rsidRDefault="00000000">
            <w:r>
              <w:rPr>
                <w:sz w:val="19"/>
                <w:szCs w:val="19"/>
              </w:rPr>
              <w:t>External CPA firm</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E8FBF55" w14:textId="77777777" w:rsidR="003433C0" w:rsidRDefault="00000000">
            <w:r>
              <w:rPr>
                <w:sz w:val="19"/>
                <w:szCs w:val="19"/>
              </w:rPr>
              <w:t>[ Firm name ] — annual review and accrual conversion when required</w:t>
            </w:r>
          </w:p>
        </w:tc>
      </w:tr>
      <w:tr w:rsidR="003433C0" w14:paraId="4D8A165E"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82EAEDF" w14:textId="77777777" w:rsidR="003433C0" w:rsidRDefault="00000000">
            <w:r>
              <w:rPr>
                <w:sz w:val="19"/>
                <w:szCs w:val="19"/>
              </w:rPr>
              <w:t>Key stakeholders receiving financials</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1F77681" w14:textId="77777777" w:rsidR="003433C0" w:rsidRDefault="00000000">
            <w:r>
              <w:rPr>
                <w:sz w:val="19"/>
                <w:szCs w:val="19"/>
              </w:rPr>
              <w:t>Owner/CFO; lending bank; board (quarterly)</w:t>
            </w:r>
          </w:p>
        </w:tc>
      </w:tr>
      <w:tr w:rsidR="003433C0" w14:paraId="459C8546"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588F661" w14:textId="77777777" w:rsidR="003433C0" w:rsidRDefault="00000000">
            <w:r>
              <w:rPr>
                <w:sz w:val="19"/>
                <w:szCs w:val="19"/>
              </w:rPr>
              <w:t>Current-year materiality threshold</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260C619" w14:textId="77777777" w:rsidR="003433C0" w:rsidRDefault="00000000">
            <w:r>
              <w:rPr>
                <w:sz w:val="19"/>
                <w:szCs w:val="19"/>
              </w:rPr>
              <w:t>$1,000 general; $2,500 capitalization (see 5.4)</w:t>
            </w:r>
          </w:p>
        </w:tc>
      </w:tr>
      <w:tr w:rsidR="003433C0" w14:paraId="779959BF"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0B1A041" w14:textId="77777777" w:rsidR="003433C0" w:rsidRDefault="00000000">
            <w:r>
              <w:rPr>
                <w:sz w:val="19"/>
                <w:szCs w:val="19"/>
              </w:rPr>
              <w:t>Last manual review</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95D9E93" w14:textId="77777777" w:rsidR="003433C0" w:rsidRDefault="00000000">
            <w:r>
              <w:rPr>
                <w:sz w:val="19"/>
                <w:szCs w:val="19"/>
              </w:rPr>
              <w:t>[ Month Year ]</w:t>
            </w:r>
          </w:p>
        </w:tc>
      </w:tr>
    </w:tbl>
    <w:p w14:paraId="5114E740" w14:textId="77777777" w:rsidR="003433C0" w:rsidRDefault="00000000">
      <w:r>
        <w:br w:type="page"/>
      </w:r>
    </w:p>
    <w:p w14:paraId="29F86DA0" w14:textId="77777777" w:rsidR="003433C0" w:rsidRDefault="00000000">
      <w:pPr>
        <w:pStyle w:val="Heading1"/>
      </w:pPr>
      <w:r>
        <w:lastRenderedPageBreak/>
        <w:t>1. Accounting Department Team &amp; Duties</w:t>
      </w:r>
    </w:p>
    <w:p w14:paraId="3A9251C4"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Start with people, because every other section depends on knowing who does what. Map each role, what it owns, and — critically — where duties are separated so no single person controls both halves of a transaction. If your team is small and one person wears several hats, say so honestly and note the compensating controls (for example, owner review of the bank reconciliation). Auditors and lenders look here first.</w:t>
      </w:r>
    </w:p>
    <w:p w14:paraId="1A57A05A" w14:textId="77777777" w:rsidR="003433C0" w:rsidRDefault="00000000">
      <w:pPr>
        <w:pStyle w:val="Heading2"/>
      </w:pPr>
      <w:r>
        <w:t>1.1 Roles and responsibilities</w:t>
      </w:r>
    </w:p>
    <w:p w14:paraId="2EAF4F80" w14:textId="77777777" w:rsidR="003433C0" w:rsidRDefault="00000000">
      <w:pPr>
        <w:spacing w:after="160" w:line="288" w:lineRule="auto"/>
      </w:pPr>
      <w:r>
        <w:t>The accounting function at Meridian Advisory Group is staffed by three people reporting to the Controller, who reports to the CFO. Responsibilities are assigned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5160"/>
        <w:gridCol w:w="2000"/>
      </w:tblGrid>
      <w:tr w:rsidR="003433C0" w14:paraId="468EE44C" w14:textId="77777777">
        <w:tblPrEx>
          <w:tblCellMar>
            <w:top w:w="0" w:type="dxa"/>
            <w:bottom w:w="0" w:type="dxa"/>
          </w:tblCellMar>
        </w:tblPrEx>
        <w:trPr>
          <w:tblHeader/>
        </w:trPr>
        <w:tc>
          <w:tcPr>
            <w:tcW w:w="22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16899AD3" w14:textId="77777777" w:rsidR="003433C0" w:rsidRDefault="00000000">
            <w:r>
              <w:rPr>
                <w:b/>
                <w:bCs/>
                <w:color w:val="FFFFFF"/>
                <w:sz w:val="19"/>
                <w:szCs w:val="19"/>
              </w:rPr>
              <w:t>Role</w:t>
            </w:r>
          </w:p>
        </w:tc>
        <w:tc>
          <w:tcPr>
            <w:tcW w:w="51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38054268" w14:textId="77777777" w:rsidR="003433C0" w:rsidRDefault="00000000">
            <w:r>
              <w:rPr>
                <w:b/>
                <w:bCs/>
                <w:color w:val="FFFFFF"/>
                <w:sz w:val="19"/>
                <w:szCs w:val="19"/>
              </w:rPr>
              <w:t>Owns</w:t>
            </w:r>
          </w:p>
        </w:tc>
        <w:tc>
          <w:tcPr>
            <w:tcW w:w="20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3CD15AA3" w14:textId="77777777" w:rsidR="003433C0" w:rsidRDefault="00000000">
            <w:r>
              <w:rPr>
                <w:b/>
                <w:bCs/>
                <w:color w:val="FFFFFF"/>
                <w:sz w:val="19"/>
                <w:szCs w:val="19"/>
              </w:rPr>
              <w:t>Backup</w:t>
            </w:r>
          </w:p>
        </w:tc>
      </w:tr>
      <w:tr w:rsidR="003433C0" w14:paraId="0DF93BEB" w14:textId="77777777">
        <w:tblPrEx>
          <w:tblCellMar>
            <w:top w:w="0" w:type="dxa"/>
            <w:bottom w:w="0" w:type="dxa"/>
          </w:tblCellMar>
        </w:tblPrEx>
        <w:tc>
          <w:tcPr>
            <w:tcW w:w="2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2D92394" w14:textId="77777777" w:rsidR="003433C0" w:rsidRDefault="00000000">
            <w:r>
              <w:rPr>
                <w:sz w:val="19"/>
                <w:szCs w:val="19"/>
              </w:rPr>
              <w:t>Controller</w:t>
            </w:r>
          </w:p>
        </w:tc>
        <w:tc>
          <w:tcPr>
            <w:tcW w:w="51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F36DB28" w14:textId="77777777" w:rsidR="003433C0" w:rsidRDefault="00000000">
            <w:r>
              <w:rPr>
                <w:sz w:val="19"/>
                <w:szCs w:val="19"/>
              </w:rPr>
              <w:t>Month-end close, financial statements, policy decisions, audit and lender liaison, journal entry review and approval</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68240B5" w14:textId="77777777" w:rsidR="003433C0" w:rsidRDefault="00000000">
            <w:r>
              <w:rPr>
                <w:sz w:val="19"/>
                <w:szCs w:val="19"/>
              </w:rPr>
              <w:t>CFO</w:t>
            </w:r>
          </w:p>
        </w:tc>
      </w:tr>
      <w:tr w:rsidR="003433C0" w14:paraId="5B72903B" w14:textId="77777777">
        <w:tblPrEx>
          <w:tblCellMar>
            <w:top w:w="0" w:type="dxa"/>
            <w:bottom w:w="0" w:type="dxa"/>
          </w:tblCellMar>
        </w:tblPrEx>
        <w:tc>
          <w:tcPr>
            <w:tcW w:w="2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D7C69E2" w14:textId="77777777" w:rsidR="003433C0" w:rsidRDefault="00000000">
            <w:r>
              <w:rPr>
                <w:sz w:val="19"/>
                <w:szCs w:val="19"/>
              </w:rPr>
              <w:t>Senior Accountant</w:t>
            </w:r>
          </w:p>
        </w:tc>
        <w:tc>
          <w:tcPr>
            <w:tcW w:w="51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8F6CFD5" w14:textId="77777777" w:rsidR="003433C0" w:rsidRDefault="00000000">
            <w:r>
              <w:rPr>
                <w:sz w:val="19"/>
                <w:szCs w:val="19"/>
              </w:rPr>
              <w:t>General ledger, reconciliations, recurring journal entries, supporting schedules (prepaid, fixed assets, deferred revenue)</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F8FD1DB" w14:textId="77777777" w:rsidR="003433C0" w:rsidRDefault="00000000">
            <w:r>
              <w:rPr>
                <w:sz w:val="19"/>
                <w:szCs w:val="19"/>
              </w:rPr>
              <w:t>Controller</w:t>
            </w:r>
          </w:p>
        </w:tc>
      </w:tr>
      <w:tr w:rsidR="003433C0" w14:paraId="617810D3" w14:textId="77777777">
        <w:tblPrEx>
          <w:tblCellMar>
            <w:top w:w="0" w:type="dxa"/>
            <w:bottom w:w="0" w:type="dxa"/>
          </w:tblCellMar>
        </w:tblPrEx>
        <w:tc>
          <w:tcPr>
            <w:tcW w:w="2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51400D2" w14:textId="77777777" w:rsidR="003433C0" w:rsidRDefault="00000000">
            <w:r>
              <w:rPr>
                <w:sz w:val="19"/>
                <w:szCs w:val="19"/>
              </w:rPr>
              <w:t>AP / AR Specialist</w:t>
            </w:r>
          </w:p>
        </w:tc>
        <w:tc>
          <w:tcPr>
            <w:tcW w:w="51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B706CE0" w14:textId="77777777" w:rsidR="003433C0" w:rsidRDefault="00000000">
            <w:r>
              <w:rPr>
                <w:sz w:val="19"/>
                <w:szCs w:val="19"/>
              </w:rPr>
              <w:t>Vendor bills, customer invoicing, collections, expense reports, deposits</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30DBF7E" w14:textId="77777777" w:rsidR="003433C0" w:rsidRDefault="00000000">
            <w:r>
              <w:rPr>
                <w:sz w:val="19"/>
                <w:szCs w:val="19"/>
              </w:rPr>
              <w:t>Senior Accountant</w:t>
            </w:r>
          </w:p>
        </w:tc>
      </w:tr>
    </w:tbl>
    <w:p w14:paraId="562A5680" w14:textId="77777777" w:rsidR="003433C0" w:rsidRDefault="00000000">
      <w:pPr>
        <w:pStyle w:val="Heading2"/>
      </w:pPr>
      <w:r>
        <w:t>1.2 Segregation of duties</w:t>
      </w:r>
    </w:p>
    <w:p w14:paraId="31456343"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Document who can and cannot do each part of a transaction. Where you cannot fully separate duties because the team is small, name the compensating control instead of pretending the separation exists. Honesty here is what makes the document credible.</w:t>
      </w:r>
    </w:p>
    <w:p w14:paraId="4DFDD75B" w14:textId="77777777" w:rsidR="003433C0" w:rsidRDefault="00000000">
      <w:pPr>
        <w:spacing w:after="160" w:line="288" w:lineRule="auto"/>
      </w:pPr>
      <w:r>
        <w:t>No single individual initiates, approves, and records the same transaction. Key separations:</w:t>
      </w:r>
    </w:p>
    <w:p w14:paraId="1E3BABFB" w14:textId="77777777" w:rsidR="003433C0" w:rsidRDefault="00000000">
      <w:pPr>
        <w:pStyle w:val="ListParagraph"/>
        <w:numPr>
          <w:ilvl w:val="0"/>
          <w:numId w:val="2"/>
        </w:numPr>
        <w:spacing w:after="60" w:line="276" w:lineRule="auto"/>
      </w:pPr>
      <w:r>
        <w:t>Payments: the AP/AR Specialist enters bills; the Controller approves payment runs; the CFO is the sole check signer / wire approver above $10,000.</w:t>
      </w:r>
    </w:p>
    <w:p w14:paraId="72418190" w14:textId="77777777" w:rsidR="003433C0" w:rsidRDefault="00000000">
      <w:pPr>
        <w:pStyle w:val="ListParagraph"/>
        <w:numPr>
          <w:ilvl w:val="0"/>
          <w:numId w:val="2"/>
        </w:numPr>
        <w:spacing w:after="60" w:line="276" w:lineRule="auto"/>
      </w:pPr>
      <w:r>
        <w:t>Payroll: prepared by the Senior Accountant, approved by the Controller, funded by the CFO.</w:t>
      </w:r>
    </w:p>
    <w:p w14:paraId="56147928" w14:textId="77777777" w:rsidR="003433C0" w:rsidRDefault="00000000">
      <w:pPr>
        <w:pStyle w:val="ListParagraph"/>
        <w:numPr>
          <w:ilvl w:val="0"/>
          <w:numId w:val="2"/>
        </w:numPr>
        <w:spacing w:after="60" w:line="276" w:lineRule="auto"/>
      </w:pPr>
      <w:r>
        <w:t>Bank reconciliations: prepared by the Senior Accountant, reviewed and signed off by the Controller monthly.</w:t>
      </w:r>
    </w:p>
    <w:p w14:paraId="6A78D982" w14:textId="77777777" w:rsidR="003433C0" w:rsidRDefault="00000000">
      <w:pPr>
        <w:spacing w:after="160" w:line="288" w:lineRule="auto"/>
      </w:pPr>
      <w:r>
        <w:t>Compensating control: because the team is three people, the Controller both approves payments and reviews reconciliations. To offset this, the CFO independently reviews the monthly bank statement and the full check register.</w:t>
      </w:r>
    </w:p>
    <w:p w14:paraId="393D323C" w14:textId="77777777" w:rsidR="003433C0" w:rsidRDefault="00000000">
      <w:pPr>
        <w:pStyle w:val="Heading2"/>
      </w:pPr>
      <w:r>
        <w:t>1.3 Authorization and approval limits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3433C0" w14:paraId="1CBD7C09" w14:textId="77777777">
        <w:tblPrEx>
          <w:tblCellMar>
            <w:top w:w="0" w:type="dxa"/>
            <w:bottom w:w="0" w:type="dxa"/>
          </w:tblCellMar>
        </w:tblPrEx>
        <w:trPr>
          <w:tblHeader/>
        </w:trPr>
        <w:tc>
          <w:tcPr>
            <w:tcW w:w="468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7BBCF1BF" w14:textId="77777777" w:rsidR="003433C0" w:rsidRDefault="00000000">
            <w:r>
              <w:rPr>
                <w:b/>
                <w:bCs/>
                <w:color w:val="FFFFFF"/>
                <w:sz w:val="19"/>
                <w:szCs w:val="19"/>
              </w:rPr>
              <w:t>Action</w:t>
            </w:r>
          </w:p>
        </w:tc>
        <w:tc>
          <w:tcPr>
            <w:tcW w:w="468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1A93374E" w14:textId="77777777" w:rsidR="003433C0" w:rsidRDefault="00000000">
            <w:r>
              <w:rPr>
                <w:b/>
                <w:bCs/>
                <w:color w:val="FFFFFF"/>
                <w:sz w:val="19"/>
                <w:szCs w:val="19"/>
              </w:rPr>
              <w:t>Approval required</w:t>
            </w:r>
          </w:p>
        </w:tc>
      </w:tr>
      <w:tr w:rsidR="003433C0" w14:paraId="43A4C4BE"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C4C30CC" w14:textId="77777777" w:rsidR="003433C0" w:rsidRDefault="00000000">
            <w:r>
              <w:rPr>
                <w:sz w:val="19"/>
                <w:szCs w:val="19"/>
              </w:rPr>
              <w:t>Purchases up to $2,500</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1F8DF8D" w14:textId="77777777" w:rsidR="003433C0" w:rsidRDefault="00000000">
            <w:r>
              <w:rPr>
                <w:sz w:val="19"/>
                <w:szCs w:val="19"/>
              </w:rPr>
              <w:t>Department manager</w:t>
            </w:r>
          </w:p>
        </w:tc>
      </w:tr>
      <w:tr w:rsidR="003433C0" w14:paraId="5E797F17"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31C806C" w14:textId="77777777" w:rsidR="003433C0" w:rsidRDefault="00000000">
            <w:r>
              <w:rPr>
                <w:sz w:val="19"/>
                <w:szCs w:val="19"/>
              </w:rPr>
              <w:t>Purchases $2,501 – $10,000</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7778016" w14:textId="77777777" w:rsidR="003433C0" w:rsidRDefault="00000000">
            <w:r>
              <w:rPr>
                <w:sz w:val="19"/>
                <w:szCs w:val="19"/>
              </w:rPr>
              <w:t>Controller</w:t>
            </w:r>
          </w:p>
        </w:tc>
      </w:tr>
      <w:tr w:rsidR="003433C0" w14:paraId="398CE7EE"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60D90E9" w14:textId="77777777" w:rsidR="003433C0" w:rsidRDefault="00000000">
            <w:r>
              <w:rPr>
                <w:sz w:val="19"/>
                <w:szCs w:val="19"/>
              </w:rPr>
              <w:t>Purchases over $10,000</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17D28A5" w14:textId="77777777" w:rsidR="003433C0" w:rsidRDefault="00000000">
            <w:r>
              <w:rPr>
                <w:sz w:val="19"/>
                <w:szCs w:val="19"/>
              </w:rPr>
              <w:t>CFO</w:t>
            </w:r>
          </w:p>
        </w:tc>
      </w:tr>
      <w:tr w:rsidR="003433C0" w14:paraId="10EA0669"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DAA72D2" w14:textId="77777777" w:rsidR="003433C0" w:rsidRDefault="00000000">
            <w:r>
              <w:rPr>
                <w:sz w:val="19"/>
                <w:szCs w:val="19"/>
              </w:rPr>
              <w:t>New vendor setup</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F03D408" w14:textId="77777777" w:rsidR="003433C0" w:rsidRDefault="00000000">
            <w:r>
              <w:rPr>
                <w:sz w:val="19"/>
                <w:szCs w:val="19"/>
              </w:rPr>
              <w:t>Controller (verifies against AP/AR Specialist entry)</w:t>
            </w:r>
          </w:p>
        </w:tc>
      </w:tr>
      <w:tr w:rsidR="003433C0" w14:paraId="021E8B6E"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D0492E7" w14:textId="77777777" w:rsidR="003433C0" w:rsidRDefault="00000000">
            <w:r>
              <w:rPr>
                <w:sz w:val="19"/>
                <w:szCs w:val="19"/>
              </w:rPr>
              <w:lastRenderedPageBreak/>
              <w:t>Journal entries</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384A0EE" w14:textId="77777777" w:rsidR="003433C0" w:rsidRDefault="00000000">
            <w:r>
              <w:rPr>
                <w:sz w:val="19"/>
                <w:szCs w:val="19"/>
              </w:rPr>
              <w:t>Prepared by Senior Accountant, approved by Controller</w:t>
            </w:r>
          </w:p>
        </w:tc>
      </w:tr>
    </w:tbl>
    <w:p w14:paraId="68D79A94" w14:textId="77777777" w:rsidR="003433C0" w:rsidRDefault="00000000">
      <w:r>
        <w:br w:type="page"/>
      </w:r>
    </w:p>
    <w:p w14:paraId="325212A2" w14:textId="77777777" w:rsidR="003433C0" w:rsidRDefault="00000000">
      <w:pPr>
        <w:pStyle w:val="Heading1"/>
      </w:pPr>
      <w:r>
        <w:lastRenderedPageBreak/>
        <w:t>2. Accounting Calendar</w:t>
      </w:r>
    </w:p>
    <w:p w14:paraId="11A1ACCB"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This is the rhythm of the department — what happens, when. Capture the recurring cadence so nothing is forgotten when a key person is out. Include the close timeline, recurring deadlines, and the annual events (audit, tax, insurance renewals, budget). A new hire should be able to read this and know what is due next week.</w:t>
      </w:r>
    </w:p>
    <w:p w14:paraId="026E965B" w14:textId="77777777" w:rsidR="003433C0" w:rsidRDefault="00000000">
      <w:pPr>
        <w:pStyle w:val="Heading2"/>
      </w:pPr>
      <w:r>
        <w:t>2.1 Monthly close timeline</w:t>
      </w:r>
    </w:p>
    <w:p w14:paraId="678AD3C8" w14:textId="77777777" w:rsidR="003433C0" w:rsidRDefault="00000000">
      <w:pPr>
        <w:spacing w:after="160" w:line="288" w:lineRule="auto"/>
      </w:pPr>
      <w:r>
        <w:t>Meridian targets a five-business-day close. The schedule below is measured in business days from month-end (BD1 = first business day of the new month).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5960"/>
        <w:gridCol w:w="2000"/>
      </w:tblGrid>
      <w:tr w:rsidR="003433C0" w14:paraId="2DF7844A" w14:textId="77777777">
        <w:tblPrEx>
          <w:tblCellMar>
            <w:top w:w="0" w:type="dxa"/>
            <w:bottom w:w="0" w:type="dxa"/>
          </w:tblCellMar>
        </w:tblPrEx>
        <w:trPr>
          <w:tblHeader/>
        </w:trPr>
        <w:tc>
          <w:tcPr>
            <w:tcW w:w="14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53EB9EBC" w14:textId="77777777" w:rsidR="003433C0" w:rsidRDefault="00000000">
            <w:r>
              <w:rPr>
                <w:b/>
                <w:bCs/>
                <w:color w:val="FFFFFF"/>
                <w:sz w:val="19"/>
                <w:szCs w:val="19"/>
              </w:rPr>
              <w:t>When</w:t>
            </w:r>
          </w:p>
        </w:tc>
        <w:tc>
          <w:tcPr>
            <w:tcW w:w="59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1135858A" w14:textId="77777777" w:rsidR="003433C0" w:rsidRDefault="00000000">
            <w:r>
              <w:rPr>
                <w:b/>
                <w:bCs/>
                <w:color w:val="FFFFFF"/>
                <w:sz w:val="19"/>
                <w:szCs w:val="19"/>
              </w:rPr>
              <w:t>Task</w:t>
            </w:r>
          </w:p>
        </w:tc>
        <w:tc>
          <w:tcPr>
            <w:tcW w:w="20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4D50C08B" w14:textId="77777777" w:rsidR="003433C0" w:rsidRDefault="00000000">
            <w:r>
              <w:rPr>
                <w:b/>
                <w:bCs/>
                <w:color w:val="FFFFFF"/>
                <w:sz w:val="19"/>
                <w:szCs w:val="19"/>
              </w:rPr>
              <w:t>Owner</w:t>
            </w:r>
          </w:p>
        </w:tc>
      </w:tr>
      <w:tr w:rsidR="003433C0" w14:paraId="50907C06" w14:textId="77777777">
        <w:tblPrEx>
          <w:tblCellMar>
            <w:top w:w="0" w:type="dxa"/>
            <w:bottom w:w="0" w:type="dxa"/>
          </w:tblCellMar>
        </w:tblPrEx>
        <w:tc>
          <w:tcPr>
            <w:tcW w:w="1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B9AE506" w14:textId="77777777" w:rsidR="003433C0" w:rsidRDefault="00000000">
            <w:r>
              <w:rPr>
                <w:sz w:val="19"/>
                <w:szCs w:val="19"/>
              </w:rPr>
              <w:t>BD1</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050DE5C" w14:textId="77777777" w:rsidR="003433C0" w:rsidRDefault="00000000">
            <w:r>
              <w:rPr>
                <w:sz w:val="19"/>
                <w:szCs w:val="19"/>
              </w:rPr>
              <w:t>Cut off AP/AR; confirm all bills and invoices entered</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96F5EB1" w14:textId="77777777" w:rsidR="003433C0" w:rsidRDefault="00000000">
            <w:r>
              <w:rPr>
                <w:sz w:val="19"/>
                <w:szCs w:val="19"/>
              </w:rPr>
              <w:t>AP/AR Specialist</w:t>
            </w:r>
          </w:p>
        </w:tc>
      </w:tr>
      <w:tr w:rsidR="003433C0" w14:paraId="43F8BB59" w14:textId="77777777">
        <w:tblPrEx>
          <w:tblCellMar>
            <w:top w:w="0" w:type="dxa"/>
            <w:bottom w:w="0" w:type="dxa"/>
          </w:tblCellMar>
        </w:tblPrEx>
        <w:tc>
          <w:tcPr>
            <w:tcW w:w="1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1F2D635" w14:textId="77777777" w:rsidR="003433C0" w:rsidRDefault="00000000">
            <w:r>
              <w:rPr>
                <w:sz w:val="19"/>
                <w:szCs w:val="19"/>
              </w:rPr>
              <w:t>BD1–BD2</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C109BE6" w14:textId="77777777" w:rsidR="003433C0" w:rsidRDefault="00000000">
            <w:r>
              <w:rPr>
                <w:sz w:val="19"/>
                <w:szCs w:val="19"/>
              </w:rPr>
              <w:t>Bank and credit card reconciliations</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439AEEE" w14:textId="77777777" w:rsidR="003433C0" w:rsidRDefault="00000000">
            <w:r>
              <w:rPr>
                <w:sz w:val="19"/>
                <w:szCs w:val="19"/>
              </w:rPr>
              <w:t>Senior Accountant</w:t>
            </w:r>
          </w:p>
        </w:tc>
      </w:tr>
      <w:tr w:rsidR="003433C0" w14:paraId="364529BA" w14:textId="77777777">
        <w:tblPrEx>
          <w:tblCellMar>
            <w:top w:w="0" w:type="dxa"/>
            <w:bottom w:w="0" w:type="dxa"/>
          </w:tblCellMar>
        </w:tblPrEx>
        <w:tc>
          <w:tcPr>
            <w:tcW w:w="1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8382BD6" w14:textId="77777777" w:rsidR="003433C0" w:rsidRDefault="00000000">
            <w:r>
              <w:rPr>
                <w:sz w:val="19"/>
                <w:szCs w:val="19"/>
              </w:rPr>
              <w:t>BD2–BD3</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DF676CC" w14:textId="77777777" w:rsidR="003433C0" w:rsidRDefault="00000000">
            <w:r>
              <w:rPr>
                <w:sz w:val="19"/>
                <w:szCs w:val="19"/>
              </w:rPr>
              <w:t>Recurring journal entries; prepaid, fixed asset, deferred revenue schedules updated</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33869F1" w14:textId="77777777" w:rsidR="003433C0" w:rsidRDefault="00000000">
            <w:r>
              <w:rPr>
                <w:sz w:val="19"/>
                <w:szCs w:val="19"/>
              </w:rPr>
              <w:t>Senior Accountant</w:t>
            </w:r>
          </w:p>
        </w:tc>
      </w:tr>
      <w:tr w:rsidR="003433C0" w14:paraId="77827804" w14:textId="77777777">
        <w:tblPrEx>
          <w:tblCellMar>
            <w:top w:w="0" w:type="dxa"/>
            <w:bottom w:w="0" w:type="dxa"/>
          </w:tblCellMar>
        </w:tblPrEx>
        <w:tc>
          <w:tcPr>
            <w:tcW w:w="1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65EA2FC" w14:textId="77777777" w:rsidR="003433C0" w:rsidRDefault="00000000">
            <w:r>
              <w:rPr>
                <w:sz w:val="19"/>
                <w:szCs w:val="19"/>
              </w:rPr>
              <w:t>BD3</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79F4BED" w14:textId="77777777" w:rsidR="003433C0" w:rsidRDefault="00000000">
            <w:r>
              <w:rPr>
                <w:sz w:val="19"/>
                <w:szCs w:val="19"/>
              </w:rPr>
              <w:t>Accrual entries (bonus, unbilled, known liabilities)</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530ADA5" w14:textId="77777777" w:rsidR="003433C0" w:rsidRDefault="00000000">
            <w:r>
              <w:rPr>
                <w:sz w:val="19"/>
                <w:szCs w:val="19"/>
              </w:rPr>
              <w:t>Senior Accountant</w:t>
            </w:r>
          </w:p>
        </w:tc>
      </w:tr>
      <w:tr w:rsidR="003433C0" w14:paraId="4AD1C754" w14:textId="77777777">
        <w:tblPrEx>
          <w:tblCellMar>
            <w:top w:w="0" w:type="dxa"/>
            <w:bottom w:w="0" w:type="dxa"/>
          </w:tblCellMar>
        </w:tblPrEx>
        <w:tc>
          <w:tcPr>
            <w:tcW w:w="1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34332ED" w14:textId="77777777" w:rsidR="003433C0" w:rsidRDefault="00000000">
            <w:r>
              <w:rPr>
                <w:sz w:val="19"/>
                <w:szCs w:val="19"/>
              </w:rPr>
              <w:t>BD4</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405A982" w14:textId="77777777" w:rsidR="003433C0" w:rsidRDefault="00000000">
            <w:r>
              <w:rPr>
                <w:sz w:val="19"/>
                <w:szCs w:val="19"/>
              </w:rPr>
              <w:t>Controller review; flux analysis; adjusting entries</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84499ED" w14:textId="77777777" w:rsidR="003433C0" w:rsidRDefault="00000000">
            <w:r>
              <w:rPr>
                <w:sz w:val="19"/>
                <w:szCs w:val="19"/>
              </w:rPr>
              <w:t>Controller</w:t>
            </w:r>
          </w:p>
        </w:tc>
      </w:tr>
      <w:tr w:rsidR="003433C0" w14:paraId="72D373BF" w14:textId="77777777">
        <w:tblPrEx>
          <w:tblCellMar>
            <w:top w:w="0" w:type="dxa"/>
            <w:bottom w:w="0" w:type="dxa"/>
          </w:tblCellMar>
        </w:tblPrEx>
        <w:tc>
          <w:tcPr>
            <w:tcW w:w="1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CD8BE20" w14:textId="77777777" w:rsidR="003433C0" w:rsidRDefault="00000000">
            <w:r>
              <w:rPr>
                <w:sz w:val="19"/>
                <w:szCs w:val="19"/>
              </w:rPr>
              <w:t>BD5</w:t>
            </w:r>
          </w:p>
        </w:tc>
        <w:tc>
          <w:tcPr>
            <w:tcW w:w="5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202BEF2" w14:textId="77777777" w:rsidR="003433C0" w:rsidRDefault="00000000">
            <w:r>
              <w:rPr>
                <w:sz w:val="19"/>
                <w:szCs w:val="19"/>
              </w:rPr>
              <w:t>Financial statements finalized and distributed</w:t>
            </w:r>
          </w:p>
        </w:tc>
        <w:tc>
          <w:tcPr>
            <w:tcW w:w="2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E64245A" w14:textId="77777777" w:rsidR="003433C0" w:rsidRDefault="00000000">
            <w:r>
              <w:rPr>
                <w:sz w:val="19"/>
                <w:szCs w:val="19"/>
              </w:rPr>
              <w:t>Controller</w:t>
            </w:r>
          </w:p>
        </w:tc>
      </w:tr>
    </w:tbl>
    <w:p w14:paraId="350C6B89" w14:textId="77777777" w:rsidR="003433C0" w:rsidRDefault="00000000">
      <w:pPr>
        <w:pStyle w:val="Heading2"/>
      </w:pPr>
      <w:r>
        <w:t>2.2 Recurring deadlines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7460"/>
      </w:tblGrid>
      <w:tr w:rsidR="003433C0" w14:paraId="79F94BD2" w14:textId="77777777">
        <w:tblPrEx>
          <w:tblCellMar>
            <w:top w:w="0" w:type="dxa"/>
            <w:bottom w:w="0" w:type="dxa"/>
          </w:tblCellMar>
        </w:tblPrEx>
        <w:trPr>
          <w:tblHeader/>
        </w:trPr>
        <w:tc>
          <w:tcPr>
            <w:tcW w:w="19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38863811" w14:textId="77777777" w:rsidR="003433C0" w:rsidRDefault="00000000">
            <w:r>
              <w:rPr>
                <w:b/>
                <w:bCs/>
                <w:color w:val="FFFFFF"/>
                <w:sz w:val="19"/>
                <w:szCs w:val="19"/>
              </w:rPr>
              <w:t>Cadence</w:t>
            </w:r>
          </w:p>
        </w:tc>
        <w:tc>
          <w:tcPr>
            <w:tcW w:w="74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1021C117" w14:textId="77777777" w:rsidR="003433C0" w:rsidRDefault="00000000">
            <w:r>
              <w:rPr>
                <w:b/>
                <w:bCs/>
                <w:color w:val="FFFFFF"/>
                <w:sz w:val="19"/>
                <w:szCs w:val="19"/>
              </w:rPr>
              <w:t>Item</w:t>
            </w:r>
          </w:p>
        </w:tc>
      </w:tr>
      <w:tr w:rsidR="003433C0" w14:paraId="11968A2C" w14:textId="77777777">
        <w:tblPrEx>
          <w:tblCellMar>
            <w:top w:w="0" w:type="dxa"/>
            <w:bottom w:w="0" w:type="dxa"/>
          </w:tblCellMar>
        </w:tblPrEx>
        <w:tc>
          <w:tcPr>
            <w:tcW w:w="19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BDEA787" w14:textId="77777777" w:rsidR="003433C0" w:rsidRDefault="00000000">
            <w:r>
              <w:rPr>
                <w:sz w:val="19"/>
                <w:szCs w:val="19"/>
              </w:rPr>
              <w:t>Weekly</w:t>
            </w:r>
          </w:p>
        </w:tc>
        <w:tc>
          <w:tcPr>
            <w:tcW w:w="74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7CDE9FE" w14:textId="77777777" w:rsidR="003433C0" w:rsidRDefault="00000000">
            <w:r>
              <w:rPr>
                <w:sz w:val="19"/>
                <w:szCs w:val="19"/>
              </w:rPr>
              <w:t>AP payment run (Thursdays); cash position report to CFO (Mondays)</w:t>
            </w:r>
          </w:p>
        </w:tc>
      </w:tr>
      <w:tr w:rsidR="003433C0" w14:paraId="452701C9" w14:textId="77777777">
        <w:tblPrEx>
          <w:tblCellMar>
            <w:top w:w="0" w:type="dxa"/>
            <w:bottom w:w="0" w:type="dxa"/>
          </w:tblCellMar>
        </w:tblPrEx>
        <w:tc>
          <w:tcPr>
            <w:tcW w:w="19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73F65BE" w14:textId="77777777" w:rsidR="003433C0" w:rsidRDefault="00000000">
            <w:r>
              <w:rPr>
                <w:sz w:val="19"/>
                <w:szCs w:val="19"/>
              </w:rPr>
              <w:t>Monthly</w:t>
            </w:r>
          </w:p>
        </w:tc>
        <w:tc>
          <w:tcPr>
            <w:tcW w:w="74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62F06DC" w14:textId="77777777" w:rsidR="003433C0" w:rsidRDefault="00000000">
            <w:r>
              <w:rPr>
                <w:sz w:val="19"/>
                <w:szCs w:val="19"/>
              </w:rPr>
              <w:t>Close (BD5); sales tax filing; payroll tax deposits</w:t>
            </w:r>
          </w:p>
        </w:tc>
      </w:tr>
      <w:tr w:rsidR="003433C0" w14:paraId="728607E1" w14:textId="77777777">
        <w:tblPrEx>
          <w:tblCellMar>
            <w:top w:w="0" w:type="dxa"/>
            <w:bottom w:w="0" w:type="dxa"/>
          </w:tblCellMar>
        </w:tblPrEx>
        <w:tc>
          <w:tcPr>
            <w:tcW w:w="19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47C4A06" w14:textId="77777777" w:rsidR="003433C0" w:rsidRDefault="00000000">
            <w:r>
              <w:rPr>
                <w:sz w:val="19"/>
                <w:szCs w:val="19"/>
              </w:rPr>
              <w:t>Quarterly</w:t>
            </w:r>
          </w:p>
        </w:tc>
        <w:tc>
          <w:tcPr>
            <w:tcW w:w="74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F307F07" w14:textId="77777777" w:rsidR="003433C0" w:rsidRDefault="00000000">
            <w:r>
              <w:rPr>
                <w:sz w:val="19"/>
                <w:szCs w:val="19"/>
              </w:rPr>
              <w:t>Board reporting package; estimated income tax payments; balance sheet reconciliation review</w:t>
            </w:r>
          </w:p>
        </w:tc>
      </w:tr>
      <w:tr w:rsidR="003433C0" w14:paraId="5BEFB675" w14:textId="77777777">
        <w:tblPrEx>
          <w:tblCellMar>
            <w:top w:w="0" w:type="dxa"/>
            <w:bottom w:w="0" w:type="dxa"/>
          </w:tblCellMar>
        </w:tblPrEx>
        <w:tc>
          <w:tcPr>
            <w:tcW w:w="19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AE948DD" w14:textId="77777777" w:rsidR="003433C0" w:rsidRDefault="00000000">
            <w:r>
              <w:rPr>
                <w:sz w:val="19"/>
                <w:szCs w:val="19"/>
              </w:rPr>
              <w:t>Annually</w:t>
            </w:r>
          </w:p>
        </w:tc>
        <w:tc>
          <w:tcPr>
            <w:tcW w:w="74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29CFF03" w14:textId="77777777" w:rsidR="003433C0" w:rsidRDefault="00000000">
            <w:r>
              <w:rPr>
                <w:sz w:val="19"/>
                <w:szCs w:val="19"/>
              </w:rPr>
              <w:t>External CPA review/conversion; budget; insurance renewals; 1099 filing; W-2 processing; operations manual review</w:t>
            </w:r>
          </w:p>
        </w:tc>
      </w:tr>
    </w:tbl>
    <w:p w14:paraId="16379255" w14:textId="77777777" w:rsidR="003433C0" w:rsidRDefault="00000000">
      <w:r>
        <w:br w:type="page"/>
      </w:r>
    </w:p>
    <w:p w14:paraId="6CF5799A" w14:textId="77777777" w:rsidR="003433C0" w:rsidRDefault="00000000">
      <w:pPr>
        <w:pStyle w:val="Heading1"/>
      </w:pPr>
      <w:r>
        <w:lastRenderedPageBreak/>
        <w:t>3. Accounting Software &amp; Tools</w:t>
      </w:r>
    </w:p>
    <w:p w14:paraId="20470807"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Document the stack — what system holds what. Be explicit about the difference between the ledger (where balances live) and the supporting workbooks (where the explanations live). When a schedule lives in a spreadsheet rather than the accounting system, say where it is stored and who owns it. This is where a new controller learns the geography of your data.</w:t>
      </w:r>
    </w:p>
    <w:p w14:paraId="600BAA6A" w14:textId="77777777" w:rsidR="003433C0" w:rsidRDefault="00000000">
      <w:pPr>
        <w:pStyle w:val="Heading2"/>
      </w:pPr>
      <w:r>
        <w:t>3.1 Systems of record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4360"/>
        <w:gridCol w:w="2400"/>
      </w:tblGrid>
      <w:tr w:rsidR="003433C0" w14:paraId="09AD6997" w14:textId="77777777">
        <w:tblPrEx>
          <w:tblCellMar>
            <w:top w:w="0" w:type="dxa"/>
            <w:bottom w:w="0" w:type="dxa"/>
          </w:tblCellMar>
        </w:tblPrEx>
        <w:trPr>
          <w:tblHeader/>
        </w:trPr>
        <w:tc>
          <w:tcPr>
            <w:tcW w:w="26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3A95955A" w14:textId="77777777" w:rsidR="003433C0" w:rsidRDefault="00000000">
            <w:r>
              <w:rPr>
                <w:b/>
                <w:bCs/>
                <w:color w:val="FFFFFF"/>
                <w:sz w:val="19"/>
                <w:szCs w:val="19"/>
              </w:rPr>
              <w:t>System</w:t>
            </w:r>
          </w:p>
        </w:tc>
        <w:tc>
          <w:tcPr>
            <w:tcW w:w="43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178F664E" w14:textId="77777777" w:rsidR="003433C0" w:rsidRDefault="00000000">
            <w:r>
              <w:rPr>
                <w:b/>
                <w:bCs/>
                <w:color w:val="FFFFFF"/>
                <w:sz w:val="19"/>
                <w:szCs w:val="19"/>
              </w:rPr>
              <w:t>Holds</w:t>
            </w:r>
          </w:p>
        </w:tc>
        <w:tc>
          <w:tcPr>
            <w:tcW w:w="24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7354722F" w14:textId="77777777" w:rsidR="003433C0" w:rsidRDefault="00000000">
            <w:r>
              <w:rPr>
                <w:b/>
                <w:bCs/>
                <w:color w:val="FFFFFF"/>
                <w:sz w:val="19"/>
                <w:szCs w:val="19"/>
              </w:rPr>
              <w:t>Owner / access</w:t>
            </w:r>
          </w:p>
        </w:tc>
      </w:tr>
      <w:tr w:rsidR="003433C0" w14:paraId="3EC9B14D" w14:textId="77777777">
        <w:tblPrEx>
          <w:tblCellMar>
            <w:top w:w="0" w:type="dxa"/>
            <w:bottom w:w="0" w:type="dxa"/>
          </w:tblCellMar>
        </w:tblPrEx>
        <w:tc>
          <w:tcPr>
            <w:tcW w:w="2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CB88AB7" w14:textId="77777777" w:rsidR="003433C0" w:rsidRDefault="00000000">
            <w:r>
              <w:rPr>
                <w:sz w:val="19"/>
                <w:szCs w:val="19"/>
              </w:rPr>
              <w:t>QuickBooks Online</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EAE658C" w14:textId="77777777" w:rsidR="003433C0" w:rsidRDefault="00000000">
            <w:r>
              <w:rPr>
                <w:sz w:val="19"/>
                <w:szCs w:val="19"/>
              </w:rPr>
              <w:t>General ledger, AP, AR, bank feeds, financial statements</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37A883E" w14:textId="77777777" w:rsidR="003433C0" w:rsidRDefault="00000000">
            <w:r>
              <w:rPr>
                <w:sz w:val="19"/>
                <w:szCs w:val="19"/>
              </w:rPr>
              <w:t>Controller (admin); team (role-based)</w:t>
            </w:r>
          </w:p>
        </w:tc>
      </w:tr>
      <w:tr w:rsidR="003433C0" w14:paraId="3038128A" w14:textId="77777777">
        <w:tblPrEx>
          <w:tblCellMar>
            <w:top w:w="0" w:type="dxa"/>
            <w:bottom w:w="0" w:type="dxa"/>
          </w:tblCellMar>
        </w:tblPrEx>
        <w:tc>
          <w:tcPr>
            <w:tcW w:w="2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AA3BDB3" w14:textId="77777777" w:rsidR="003433C0" w:rsidRDefault="00000000">
            <w:r>
              <w:rPr>
                <w:sz w:val="19"/>
                <w:szCs w:val="19"/>
              </w:rPr>
              <w:t>Payroll provider</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6B156FD" w14:textId="77777777" w:rsidR="003433C0" w:rsidRDefault="00000000">
            <w:r>
              <w:rPr>
                <w:sz w:val="19"/>
                <w:szCs w:val="19"/>
              </w:rPr>
              <w:t>Payroll, payroll tax filings, employee records</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C631561" w14:textId="77777777" w:rsidR="003433C0" w:rsidRDefault="00000000">
            <w:r>
              <w:rPr>
                <w:sz w:val="19"/>
                <w:szCs w:val="19"/>
              </w:rPr>
              <w:t>Controller, Senior Accountant</w:t>
            </w:r>
          </w:p>
        </w:tc>
      </w:tr>
      <w:tr w:rsidR="003433C0" w14:paraId="73760D3D" w14:textId="77777777">
        <w:tblPrEx>
          <w:tblCellMar>
            <w:top w:w="0" w:type="dxa"/>
            <w:bottom w:w="0" w:type="dxa"/>
          </w:tblCellMar>
        </w:tblPrEx>
        <w:tc>
          <w:tcPr>
            <w:tcW w:w="2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22C0BFA" w14:textId="77777777" w:rsidR="003433C0" w:rsidRDefault="00000000">
            <w:r>
              <w:rPr>
                <w:sz w:val="19"/>
                <w:szCs w:val="19"/>
              </w:rPr>
              <w:t>Expense / bill-pay app</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ED4597A" w14:textId="77777777" w:rsidR="003433C0" w:rsidRDefault="00000000">
            <w:r>
              <w:rPr>
                <w:sz w:val="19"/>
                <w:szCs w:val="19"/>
              </w:rPr>
              <w:t>Employee expenses, vendor bill approvals</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3796720" w14:textId="77777777" w:rsidR="003433C0" w:rsidRDefault="00000000">
            <w:r>
              <w:rPr>
                <w:sz w:val="19"/>
                <w:szCs w:val="19"/>
              </w:rPr>
              <w:t>AP/AR Specialist, Controller</w:t>
            </w:r>
          </w:p>
        </w:tc>
      </w:tr>
      <w:tr w:rsidR="003433C0" w14:paraId="27F9DDE0" w14:textId="77777777">
        <w:tblPrEx>
          <w:tblCellMar>
            <w:top w:w="0" w:type="dxa"/>
            <w:bottom w:w="0" w:type="dxa"/>
          </w:tblCellMar>
        </w:tblPrEx>
        <w:tc>
          <w:tcPr>
            <w:tcW w:w="2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2E6DC77" w14:textId="77777777" w:rsidR="003433C0" w:rsidRDefault="00000000">
            <w:r>
              <w:rPr>
                <w:sz w:val="19"/>
                <w:szCs w:val="19"/>
              </w:rPr>
              <w:t>Shared drive — /Accounting</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DA48C16" w14:textId="77777777" w:rsidR="003433C0" w:rsidRDefault="00000000">
            <w:r>
              <w:rPr>
                <w:sz w:val="19"/>
                <w:szCs w:val="19"/>
              </w:rPr>
              <w:t>Supporting workbooks, reconciliations, this manual, audit files</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C9EED13" w14:textId="77777777" w:rsidR="003433C0" w:rsidRDefault="00000000">
            <w:r>
              <w:rPr>
                <w:sz w:val="19"/>
                <w:szCs w:val="19"/>
              </w:rPr>
              <w:t>All; Controller maintains structure</w:t>
            </w:r>
          </w:p>
        </w:tc>
      </w:tr>
    </w:tbl>
    <w:p w14:paraId="37C1AA79" w14:textId="77777777" w:rsidR="003433C0" w:rsidRDefault="00000000">
      <w:pPr>
        <w:pStyle w:val="Heading2"/>
      </w:pPr>
      <w:r>
        <w:t>3.2 Supporting workbooks</w:t>
      </w:r>
    </w:p>
    <w:p w14:paraId="1BB5C478"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List the schedules that live outside the accounting system — the ones that explain timing and judgment the ledger can't. Each should have a named owner and a known location. If a schedule exists only on one person's laptop, that is a risk this section is meant to surface.</w:t>
      </w:r>
    </w:p>
    <w:p w14:paraId="273EE146" w14:textId="77777777" w:rsidR="003433C0" w:rsidRDefault="00000000">
      <w:pPr>
        <w:spacing w:after="160" w:line="288" w:lineRule="auto"/>
      </w:pPr>
      <w:r>
        <w:t>The following schedules are maintained in Excel on the shared drive and reconciled to the general ledger each month: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4160"/>
        <w:gridCol w:w="2200"/>
      </w:tblGrid>
      <w:tr w:rsidR="003433C0" w14:paraId="7433BD89" w14:textId="77777777">
        <w:tblPrEx>
          <w:tblCellMar>
            <w:top w:w="0" w:type="dxa"/>
            <w:bottom w:w="0" w:type="dxa"/>
          </w:tblCellMar>
        </w:tblPrEx>
        <w:trPr>
          <w:tblHeader/>
        </w:trPr>
        <w:tc>
          <w:tcPr>
            <w:tcW w:w="30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3254FE51" w14:textId="77777777" w:rsidR="003433C0" w:rsidRDefault="00000000">
            <w:r>
              <w:rPr>
                <w:b/>
                <w:bCs/>
                <w:color w:val="FFFFFF"/>
                <w:sz w:val="19"/>
                <w:szCs w:val="19"/>
              </w:rPr>
              <w:t>Schedule</w:t>
            </w:r>
          </w:p>
        </w:tc>
        <w:tc>
          <w:tcPr>
            <w:tcW w:w="41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01AD32A3" w14:textId="77777777" w:rsidR="003433C0" w:rsidRDefault="00000000">
            <w:r>
              <w:rPr>
                <w:b/>
                <w:bCs/>
                <w:color w:val="FFFFFF"/>
                <w:sz w:val="19"/>
                <w:szCs w:val="19"/>
              </w:rPr>
              <w:t>Location</w:t>
            </w:r>
          </w:p>
        </w:tc>
        <w:tc>
          <w:tcPr>
            <w:tcW w:w="22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6C7C3615" w14:textId="77777777" w:rsidR="003433C0" w:rsidRDefault="00000000">
            <w:r>
              <w:rPr>
                <w:b/>
                <w:bCs/>
                <w:color w:val="FFFFFF"/>
                <w:sz w:val="19"/>
                <w:szCs w:val="19"/>
              </w:rPr>
              <w:t>Owner</w:t>
            </w:r>
          </w:p>
        </w:tc>
      </w:tr>
      <w:tr w:rsidR="003433C0" w14:paraId="6588AF9B" w14:textId="77777777">
        <w:tblPrEx>
          <w:tblCellMar>
            <w:top w:w="0" w:type="dxa"/>
            <w:bottom w:w="0" w:type="dxa"/>
          </w:tblCellMar>
        </w:tblPrEx>
        <w:tc>
          <w:tcPr>
            <w:tcW w:w="3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FFB35EA" w14:textId="77777777" w:rsidR="003433C0" w:rsidRDefault="00000000">
            <w:r>
              <w:rPr>
                <w:sz w:val="19"/>
                <w:szCs w:val="19"/>
              </w:rPr>
              <w:t>Prepaid expense schedule</w:t>
            </w:r>
          </w:p>
        </w:tc>
        <w:tc>
          <w:tcPr>
            <w:tcW w:w="41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35049AB" w14:textId="77777777" w:rsidR="003433C0" w:rsidRDefault="00000000">
            <w:r>
              <w:rPr>
                <w:sz w:val="19"/>
                <w:szCs w:val="19"/>
              </w:rPr>
              <w:t>/Accounting/Schedules/Prepaid</w:t>
            </w:r>
          </w:p>
        </w:tc>
        <w:tc>
          <w:tcPr>
            <w:tcW w:w="2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A27021C" w14:textId="77777777" w:rsidR="003433C0" w:rsidRDefault="00000000">
            <w:r>
              <w:rPr>
                <w:sz w:val="19"/>
                <w:szCs w:val="19"/>
              </w:rPr>
              <w:t>Senior Accountant</w:t>
            </w:r>
          </w:p>
        </w:tc>
      </w:tr>
      <w:tr w:rsidR="003433C0" w14:paraId="58ADA0D1" w14:textId="77777777">
        <w:tblPrEx>
          <w:tblCellMar>
            <w:top w:w="0" w:type="dxa"/>
            <w:bottom w:w="0" w:type="dxa"/>
          </w:tblCellMar>
        </w:tblPrEx>
        <w:tc>
          <w:tcPr>
            <w:tcW w:w="3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7C5B96E" w14:textId="77777777" w:rsidR="003433C0" w:rsidRDefault="00000000">
            <w:r>
              <w:rPr>
                <w:sz w:val="19"/>
                <w:szCs w:val="19"/>
              </w:rPr>
              <w:t>Fixed asset and depreciation schedule</w:t>
            </w:r>
          </w:p>
        </w:tc>
        <w:tc>
          <w:tcPr>
            <w:tcW w:w="41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7678EED" w14:textId="77777777" w:rsidR="003433C0" w:rsidRDefault="00000000">
            <w:r>
              <w:rPr>
                <w:sz w:val="19"/>
                <w:szCs w:val="19"/>
              </w:rPr>
              <w:t>/Accounting/Schedules/FixedAssets</w:t>
            </w:r>
          </w:p>
        </w:tc>
        <w:tc>
          <w:tcPr>
            <w:tcW w:w="2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AE2C508" w14:textId="77777777" w:rsidR="003433C0" w:rsidRDefault="00000000">
            <w:r>
              <w:rPr>
                <w:sz w:val="19"/>
                <w:szCs w:val="19"/>
              </w:rPr>
              <w:t>Senior Accountant</w:t>
            </w:r>
          </w:p>
        </w:tc>
      </w:tr>
      <w:tr w:rsidR="003433C0" w14:paraId="6FAC6EC2" w14:textId="77777777">
        <w:tblPrEx>
          <w:tblCellMar>
            <w:top w:w="0" w:type="dxa"/>
            <w:bottom w:w="0" w:type="dxa"/>
          </w:tblCellMar>
        </w:tblPrEx>
        <w:tc>
          <w:tcPr>
            <w:tcW w:w="3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7FF54C2" w14:textId="77777777" w:rsidR="003433C0" w:rsidRDefault="00000000">
            <w:r>
              <w:rPr>
                <w:sz w:val="19"/>
                <w:szCs w:val="19"/>
              </w:rPr>
              <w:t>Deferred revenue waterfall</w:t>
            </w:r>
          </w:p>
        </w:tc>
        <w:tc>
          <w:tcPr>
            <w:tcW w:w="41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963605B" w14:textId="77777777" w:rsidR="003433C0" w:rsidRDefault="00000000">
            <w:r>
              <w:rPr>
                <w:sz w:val="19"/>
                <w:szCs w:val="19"/>
              </w:rPr>
              <w:t>/Accounting/Schedules/DeferredRevenue</w:t>
            </w:r>
          </w:p>
        </w:tc>
        <w:tc>
          <w:tcPr>
            <w:tcW w:w="2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47460A5" w14:textId="77777777" w:rsidR="003433C0" w:rsidRDefault="00000000">
            <w:r>
              <w:rPr>
                <w:sz w:val="19"/>
                <w:szCs w:val="19"/>
              </w:rPr>
              <w:t>Senior Accountant</w:t>
            </w:r>
          </w:p>
        </w:tc>
      </w:tr>
      <w:tr w:rsidR="003433C0" w14:paraId="7DE25925" w14:textId="77777777">
        <w:tblPrEx>
          <w:tblCellMar>
            <w:top w:w="0" w:type="dxa"/>
            <w:bottom w:w="0" w:type="dxa"/>
          </w:tblCellMar>
        </w:tblPrEx>
        <w:tc>
          <w:tcPr>
            <w:tcW w:w="3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521F9FE" w14:textId="77777777" w:rsidR="003433C0" w:rsidRDefault="00000000">
            <w:r>
              <w:rPr>
                <w:sz w:val="19"/>
                <w:szCs w:val="19"/>
              </w:rPr>
              <w:t>Accrual and reversal log</w:t>
            </w:r>
          </w:p>
        </w:tc>
        <w:tc>
          <w:tcPr>
            <w:tcW w:w="41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380664E" w14:textId="77777777" w:rsidR="003433C0" w:rsidRDefault="00000000">
            <w:r>
              <w:rPr>
                <w:sz w:val="19"/>
                <w:szCs w:val="19"/>
              </w:rPr>
              <w:t>/Accounting/Schedules/Accruals</w:t>
            </w:r>
          </w:p>
        </w:tc>
        <w:tc>
          <w:tcPr>
            <w:tcW w:w="2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FE1A0CB" w14:textId="77777777" w:rsidR="003433C0" w:rsidRDefault="00000000">
            <w:r>
              <w:rPr>
                <w:sz w:val="19"/>
                <w:szCs w:val="19"/>
              </w:rPr>
              <w:t>Senior Accountant</w:t>
            </w:r>
          </w:p>
        </w:tc>
      </w:tr>
    </w:tbl>
    <w:p w14:paraId="6F82D2A1" w14:textId="77777777" w:rsidR="003433C0" w:rsidRDefault="00000000">
      <w:pPr>
        <w:pStyle w:val="Heading2"/>
      </w:pPr>
      <w:r>
        <w:t>3.3 Access and security</w:t>
      </w:r>
    </w:p>
    <w:p w14:paraId="08D763CD" w14:textId="77777777" w:rsidR="003433C0" w:rsidRDefault="00000000">
      <w:pPr>
        <w:spacing w:after="160" w:line="288" w:lineRule="auto"/>
      </w:pPr>
      <w:r>
        <w:t>Access follows least privilege: each role has the minimum access needed. Access is reviewed when anyone joins, changes role, or leaves. Administrator rights to the accounting system are held only by the Controller and CFO.</w:t>
      </w:r>
    </w:p>
    <w:p w14:paraId="4A1C65F2" w14:textId="77777777" w:rsidR="003433C0" w:rsidRDefault="00000000">
      <w:r>
        <w:br w:type="page"/>
      </w:r>
    </w:p>
    <w:p w14:paraId="3E7FD0C7" w14:textId="77777777" w:rsidR="003433C0" w:rsidRDefault="00000000">
      <w:pPr>
        <w:pStyle w:val="Heading1"/>
      </w:pPr>
      <w:r>
        <w:lastRenderedPageBreak/>
        <w:t>4. Accounting Basis</w:t>
      </w:r>
    </w:p>
    <w:p w14:paraId="4879304B"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This is the declaration that gives the whole document its spine. State plainly whether you keep the books on cash, accrual, or modified basis. If modified — which is most companies — list exactly which accrual concepts you apply and which you intentionally do not. The goal is that no one ever has to guess what basis a given account is on. Ambiguity here is what creates problems later; clarity here is the entire point.</w:t>
      </w:r>
    </w:p>
    <w:p w14:paraId="6C3E8A74" w14:textId="77777777" w:rsidR="003433C0" w:rsidRDefault="00000000">
      <w:pPr>
        <w:pStyle w:val="Heading2"/>
      </w:pPr>
      <w:r>
        <w:t>4.1 Basis of accounting</w:t>
      </w:r>
    </w:p>
    <w:p w14:paraId="365282D8" w14:textId="77777777" w:rsidR="003433C0" w:rsidRDefault="00000000">
      <w:pPr>
        <w:spacing w:after="160" w:line="288" w:lineRule="auto"/>
      </w:pPr>
      <w:r>
        <w:t xml:space="preserve">Meridian Advisory Group maintains its books on a </w:t>
      </w:r>
      <w:r>
        <w:rPr>
          <w:b/>
          <w:bCs/>
        </w:rPr>
        <w:t>modified cash basis</w:t>
      </w:r>
      <w:r>
        <w:t>. The company runs day-to-day on cash-basis principles because that is how management evaluates the business, and it applies specific accrual policies where they materially improve the accuracy of the financial statements. When full accrual, GAAP-basis statements are required by an outside party, the company's external CPA firm converts the books for that purpose (see Section 4.4).</w:t>
      </w:r>
    </w:p>
    <w:p w14:paraId="1672784E" w14:textId="77777777" w:rsidR="003433C0" w:rsidRDefault="00000000">
      <w:pPr>
        <w:pStyle w:val="Heading2"/>
      </w:pPr>
      <w:r>
        <w:t>4.2 Accrual policies we DO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3433C0" w14:paraId="22AD3F5E" w14:textId="77777777">
        <w:tblPrEx>
          <w:tblCellMar>
            <w:top w:w="0" w:type="dxa"/>
            <w:bottom w:w="0" w:type="dxa"/>
          </w:tblCellMar>
        </w:tblPrEx>
        <w:trPr>
          <w:tblHeader/>
        </w:trPr>
        <w:tc>
          <w:tcPr>
            <w:tcW w:w="24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407E0806" w14:textId="77777777" w:rsidR="003433C0" w:rsidRDefault="00000000">
            <w:r>
              <w:rPr>
                <w:b/>
                <w:bCs/>
                <w:color w:val="FFFFFF"/>
                <w:sz w:val="19"/>
                <w:szCs w:val="19"/>
              </w:rPr>
              <w:t>Area</w:t>
            </w:r>
          </w:p>
        </w:tc>
        <w:tc>
          <w:tcPr>
            <w:tcW w:w="69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3E06B728" w14:textId="77777777" w:rsidR="003433C0" w:rsidRDefault="00000000">
            <w:r>
              <w:rPr>
                <w:b/>
                <w:bCs/>
                <w:color w:val="FFFFFF"/>
                <w:sz w:val="19"/>
                <w:szCs w:val="19"/>
              </w:rPr>
              <w:t>Treatment</w:t>
            </w:r>
          </w:p>
        </w:tc>
      </w:tr>
      <w:tr w:rsidR="003433C0" w14:paraId="27676E52" w14:textId="77777777">
        <w:tblPrEx>
          <w:tblCellMar>
            <w:top w:w="0" w:type="dxa"/>
            <w:bottom w:w="0" w:type="dxa"/>
          </w:tblCellMar>
        </w:tblPrEx>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B64B7B6" w14:textId="77777777" w:rsidR="003433C0" w:rsidRDefault="00000000">
            <w:r>
              <w:rPr>
                <w:sz w:val="19"/>
                <w:szCs w:val="19"/>
              </w:rPr>
              <w:t>Fixed assets</w:t>
            </w:r>
          </w:p>
        </w:tc>
        <w:tc>
          <w:tcPr>
            <w:tcW w:w="6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1E8B4A9" w14:textId="77777777" w:rsidR="003433C0" w:rsidRDefault="00000000">
            <w:r>
              <w:rPr>
                <w:sz w:val="19"/>
                <w:szCs w:val="19"/>
              </w:rPr>
              <w:t>Capitalized and depreciated (see capitalization policy, 5.2)</w:t>
            </w:r>
          </w:p>
        </w:tc>
      </w:tr>
      <w:tr w:rsidR="003433C0" w14:paraId="0833F349" w14:textId="77777777">
        <w:tblPrEx>
          <w:tblCellMar>
            <w:top w:w="0" w:type="dxa"/>
            <w:bottom w:w="0" w:type="dxa"/>
          </w:tblCellMar>
        </w:tblPrEx>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5FFF8BC" w14:textId="77777777" w:rsidR="003433C0" w:rsidRDefault="00000000">
            <w:r>
              <w:rPr>
                <w:sz w:val="19"/>
                <w:szCs w:val="19"/>
              </w:rPr>
              <w:t>Prepaid expenses</w:t>
            </w:r>
          </w:p>
        </w:tc>
        <w:tc>
          <w:tcPr>
            <w:tcW w:w="6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7F61FF0" w14:textId="77777777" w:rsidR="003433C0" w:rsidRDefault="00000000">
            <w:r>
              <w:rPr>
                <w:sz w:val="19"/>
                <w:szCs w:val="19"/>
              </w:rPr>
              <w:t>Amortized over benefit period above the materiality threshold (5.3)</w:t>
            </w:r>
          </w:p>
        </w:tc>
      </w:tr>
      <w:tr w:rsidR="003433C0" w14:paraId="63572F20" w14:textId="77777777">
        <w:tblPrEx>
          <w:tblCellMar>
            <w:top w:w="0" w:type="dxa"/>
            <w:bottom w:w="0" w:type="dxa"/>
          </w:tblCellMar>
        </w:tblPrEx>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C08FABB" w14:textId="77777777" w:rsidR="003433C0" w:rsidRDefault="00000000">
            <w:r>
              <w:rPr>
                <w:sz w:val="19"/>
                <w:szCs w:val="19"/>
              </w:rPr>
              <w:t>Deferred revenue</w:t>
            </w:r>
          </w:p>
        </w:tc>
        <w:tc>
          <w:tcPr>
            <w:tcW w:w="6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F87AF27" w14:textId="77777777" w:rsidR="003433C0" w:rsidRDefault="00000000">
            <w:r>
              <w:rPr>
                <w:sz w:val="19"/>
                <w:szCs w:val="19"/>
              </w:rPr>
              <w:t>Recognized over the service/contract period for annual agreements (5.1)</w:t>
            </w:r>
          </w:p>
        </w:tc>
      </w:tr>
      <w:tr w:rsidR="003433C0" w14:paraId="2A65A96F" w14:textId="77777777">
        <w:tblPrEx>
          <w:tblCellMar>
            <w:top w:w="0" w:type="dxa"/>
            <w:bottom w:w="0" w:type="dxa"/>
          </w:tblCellMar>
        </w:tblPrEx>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2B7D52A" w14:textId="77777777" w:rsidR="003433C0" w:rsidRDefault="00000000">
            <w:r>
              <w:rPr>
                <w:sz w:val="19"/>
                <w:szCs w:val="19"/>
              </w:rPr>
              <w:t>Accrued liabilities</w:t>
            </w:r>
          </w:p>
        </w:tc>
        <w:tc>
          <w:tcPr>
            <w:tcW w:w="69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1796D60" w14:textId="77777777" w:rsidR="003433C0" w:rsidRDefault="00000000">
            <w:r>
              <w:rPr>
                <w:sz w:val="19"/>
                <w:szCs w:val="19"/>
              </w:rPr>
              <w:t>Recorded for known, material obligations (e.g., annual bonus, unbilled vendor costs)</w:t>
            </w:r>
          </w:p>
        </w:tc>
      </w:tr>
    </w:tbl>
    <w:p w14:paraId="1921CB96" w14:textId="77777777" w:rsidR="003433C0" w:rsidRDefault="00000000">
      <w:pPr>
        <w:pStyle w:val="Heading2"/>
      </w:pPr>
      <w:r>
        <w:t>4.3 Accrual concepts we INTENTIONALLY do NOT apply</w:t>
      </w:r>
    </w:p>
    <w:p w14:paraId="408C0AAD"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This list is what separates a documented modified basis from a sloppy one. Stating what you deliberately skip — and why — turns an unwritten habit into a defensible policy. Be specific.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3433C0" w14:paraId="362644C7" w14:textId="77777777">
        <w:tblPrEx>
          <w:tblCellMar>
            <w:top w:w="0" w:type="dxa"/>
            <w:bottom w:w="0" w:type="dxa"/>
          </w:tblCellMar>
        </w:tblPrEx>
        <w:trPr>
          <w:tblHeader/>
        </w:trPr>
        <w:tc>
          <w:tcPr>
            <w:tcW w:w="30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5782747D" w14:textId="77777777" w:rsidR="003433C0" w:rsidRDefault="00000000">
            <w:r>
              <w:rPr>
                <w:b/>
                <w:bCs/>
                <w:color w:val="FFFFFF"/>
                <w:sz w:val="19"/>
                <w:szCs w:val="19"/>
              </w:rPr>
              <w:t>Area</w:t>
            </w:r>
          </w:p>
        </w:tc>
        <w:tc>
          <w:tcPr>
            <w:tcW w:w="63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42BBB547" w14:textId="77777777" w:rsidR="003433C0" w:rsidRDefault="00000000">
            <w:r>
              <w:rPr>
                <w:b/>
                <w:bCs/>
                <w:color w:val="FFFFFF"/>
                <w:sz w:val="19"/>
                <w:szCs w:val="19"/>
              </w:rPr>
              <w:t>Treatment and rationale</w:t>
            </w:r>
          </w:p>
        </w:tc>
      </w:tr>
      <w:tr w:rsidR="003433C0" w14:paraId="0BD2B578" w14:textId="77777777">
        <w:tblPrEx>
          <w:tblCellMar>
            <w:top w:w="0" w:type="dxa"/>
            <w:bottom w:w="0" w:type="dxa"/>
          </w:tblCellMar>
        </w:tblPrEx>
        <w:tc>
          <w:tcPr>
            <w:tcW w:w="3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52953EA" w14:textId="77777777" w:rsidR="003433C0" w:rsidRDefault="00000000">
            <w:r>
              <w:rPr>
                <w:sz w:val="19"/>
                <w:szCs w:val="19"/>
              </w:rPr>
              <w:t>Accrued vacation / PTO</w:t>
            </w:r>
          </w:p>
        </w:tc>
        <w:tc>
          <w:tcPr>
            <w:tcW w:w="6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D853F1A" w14:textId="77777777" w:rsidR="003433C0" w:rsidRDefault="00000000">
            <w:r>
              <w:rPr>
                <w:sz w:val="19"/>
                <w:szCs w:val="19"/>
              </w:rPr>
              <w:t>Not accrued. Immaterial to results given low balances and stable headcount; revisited annually.</w:t>
            </w:r>
          </w:p>
        </w:tc>
      </w:tr>
      <w:tr w:rsidR="003433C0" w14:paraId="1A8EA2F0" w14:textId="77777777">
        <w:tblPrEx>
          <w:tblCellMar>
            <w:top w:w="0" w:type="dxa"/>
            <w:bottom w:w="0" w:type="dxa"/>
          </w:tblCellMar>
        </w:tblPrEx>
        <w:tc>
          <w:tcPr>
            <w:tcW w:w="3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D887B16" w14:textId="77777777" w:rsidR="003433C0" w:rsidRDefault="00000000">
            <w:r>
              <w:rPr>
                <w:sz w:val="19"/>
                <w:szCs w:val="19"/>
              </w:rPr>
              <w:t>Immaterial accrued liabilities</w:t>
            </w:r>
          </w:p>
        </w:tc>
        <w:tc>
          <w:tcPr>
            <w:tcW w:w="6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7E6C133" w14:textId="77777777" w:rsidR="003433C0" w:rsidRDefault="00000000">
            <w:r>
              <w:rPr>
                <w:sz w:val="19"/>
                <w:szCs w:val="19"/>
              </w:rPr>
              <w:t>Items below the materiality threshold (5.4) are expensed when paid.</w:t>
            </w:r>
          </w:p>
        </w:tc>
      </w:tr>
      <w:tr w:rsidR="003433C0" w14:paraId="07ED58EB" w14:textId="77777777">
        <w:tblPrEx>
          <w:tblCellMar>
            <w:top w:w="0" w:type="dxa"/>
            <w:bottom w:w="0" w:type="dxa"/>
          </w:tblCellMar>
        </w:tblPrEx>
        <w:tc>
          <w:tcPr>
            <w:tcW w:w="30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D0D89C2" w14:textId="77777777" w:rsidR="003433C0" w:rsidRDefault="00000000">
            <w:r>
              <w:rPr>
                <w:sz w:val="19"/>
                <w:szCs w:val="19"/>
              </w:rPr>
              <w:t>Allowance for doubtful accounts</w:t>
            </w:r>
          </w:p>
        </w:tc>
        <w:tc>
          <w:tcPr>
            <w:tcW w:w="6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B6AB6A3" w14:textId="77777777" w:rsidR="003433C0" w:rsidRDefault="00000000">
            <w:r>
              <w:rPr>
                <w:sz w:val="19"/>
                <w:szCs w:val="19"/>
              </w:rPr>
              <w:t>Not maintained; receivables written off directly when deemed uncollectible, given short collection cycle.</w:t>
            </w:r>
          </w:p>
        </w:tc>
      </w:tr>
    </w:tbl>
    <w:p w14:paraId="3778F0B6" w14:textId="77777777" w:rsidR="003433C0" w:rsidRDefault="00000000">
      <w:pPr>
        <w:pStyle w:val="Heading2"/>
      </w:pPr>
      <w:r>
        <w:t>4.4 Conversion to accrual / GAAP when required</w:t>
      </w:r>
    </w:p>
    <w:p w14:paraId="35B73894" w14:textId="77777777" w:rsidR="003433C0" w:rsidRDefault="00000000">
      <w:pPr>
        <w:spacing w:after="160" w:line="288" w:lineRule="auto"/>
      </w:pPr>
      <w:r>
        <w:t>When a lender, investor, board, auditor, or buyer requires full accrual or GAAP-basis financial statements, Meridian engages its external CPA firm to convert the modified-cash books for the relevant period. The operating books remain on modified cash basis year-round; accrual statements are produced as a deliverable for specific readers, not maintained continuously.</w:t>
      </w:r>
    </w:p>
    <w:p w14:paraId="51026406" w14:textId="77777777" w:rsidR="003433C0" w:rsidRDefault="00000000">
      <w:r>
        <w:br w:type="page"/>
      </w:r>
    </w:p>
    <w:p w14:paraId="63C42759" w14:textId="77777777" w:rsidR="003433C0" w:rsidRDefault="00000000">
      <w:pPr>
        <w:pStyle w:val="Heading1"/>
      </w:pPr>
      <w:r>
        <w:lastRenderedPageBreak/>
        <w:t>5. Accounting Policies</w:t>
      </w:r>
    </w:p>
    <w:p w14:paraId="7726741E"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These are the rules behind the judgment calls — the answers to “when do we capitalize,” “when do we defer,” “what counts as material.” Write each policy so that two different people applying it would reach the same answer. Where you set a threshold, state the number. A policy without a number is just an opinion.</w:t>
      </w:r>
    </w:p>
    <w:p w14:paraId="1941AD98" w14:textId="77777777" w:rsidR="003433C0" w:rsidRDefault="00000000">
      <w:pPr>
        <w:pStyle w:val="Heading2"/>
      </w:pPr>
      <w:r>
        <w:t>5.1 Revenue recognition</w:t>
      </w:r>
    </w:p>
    <w:p w14:paraId="07AD5C17" w14:textId="77777777" w:rsidR="003433C0" w:rsidRDefault="00000000">
      <w:pPr>
        <w:spacing w:after="160" w:line="288" w:lineRule="auto"/>
      </w:pPr>
      <w:r>
        <w:t>Revenue from time-and-materials engagements is recognized as services are delivered and billed. Revenue from annual retainer or subscription agreements is deferred and recognized ratably over the contract term. Deposits and advance payments are recorded as deferred revenue until earned.</w:t>
      </w:r>
    </w:p>
    <w:p w14:paraId="20B296DB" w14:textId="77777777" w:rsidR="003433C0" w:rsidRDefault="00000000">
      <w:pPr>
        <w:pStyle w:val="Heading2"/>
      </w:pPr>
      <w:r>
        <w:t>5.2 Capitalization policy</w:t>
      </w:r>
    </w:p>
    <w:p w14:paraId="7E520162" w14:textId="77777777" w:rsidR="003433C0" w:rsidRDefault="00000000">
      <w:pPr>
        <w:spacing w:after="160" w:line="288" w:lineRule="auto"/>
      </w:pPr>
      <w:r>
        <w:t xml:space="preserve">Tangible assets with a useful life greater than one year and a unit cost of </w:t>
      </w:r>
      <w:r>
        <w:rPr>
          <w:b/>
          <w:bCs/>
        </w:rPr>
        <w:t>$2,500</w:t>
      </w:r>
      <w:r>
        <w:t xml:space="preserve"> or more are capitalized and depreciated on a straight-line basis over their useful life. Purchases below the threshold are expensed when incurred. Useful lives: computer equipment, 3 years; furniture and fixtures, 7 years; leasehold improvements, over the lesser of useful life or lease term.</w:t>
      </w:r>
    </w:p>
    <w:p w14:paraId="2B0C04CA" w14:textId="77777777" w:rsidR="003433C0" w:rsidRDefault="00000000">
      <w:pPr>
        <w:pStyle w:val="Heading2"/>
      </w:pPr>
      <w:r>
        <w:t>5.3 Prepaid expense policy</w:t>
      </w:r>
    </w:p>
    <w:p w14:paraId="07207A59" w14:textId="77777777" w:rsidR="003433C0" w:rsidRDefault="00000000">
      <w:pPr>
        <w:spacing w:after="160" w:line="288" w:lineRule="auto"/>
      </w:pPr>
      <w:r>
        <w:t xml:space="preserve">Prepaid items with a benefit period extending beyond one month and a value of </w:t>
      </w:r>
      <w:r>
        <w:rPr>
          <w:b/>
          <w:bCs/>
        </w:rPr>
        <w:t>$1,000</w:t>
      </w:r>
      <w:r>
        <w:t xml:space="preserve"> or more are recorded as prepaid assets and amortized over the benefit period. Items below the threshold are expensed when paid. Common prepaids: insurance, software subscriptions, annual dues.</w:t>
      </w:r>
    </w:p>
    <w:p w14:paraId="04026E52" w14:textId="77777777" w:rsidR="003433C0" w:rsidRDefault="00000000">
      <w:pPr>
        <w:pStyle w:val="Heading2"/>
      </w:pPr>
      <w:r>
        <w:t>5.4 Materiality thresholds</w:t>
      </w:r>
    </w:p>
    <w:p w14:paraId="6C4EE5ED"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Set the dollar lines that decide whether something gets a schedule or just gets expensed. These thresholds are what let your team stop debating small items and focus on what moves the statements. Pick numbers that fit your company's size.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3433C0" w14:paraId="07C157D7" w14:textId="77777777">
        <w:tblPrEx>
          <w:tblCellMar>
            <w:top w:w="0" w:type="dxa"/>
            <w:bottom w:w="0" w:type="dxa"/>
          </w:tblCellMar>
        </w:tblPrEx>
        <w:trPr>
          <w:tblHeader/>
        </w:trPr>
        <w:tc>
          <w:tcPr>
            <w:tcW w:w="468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29D7A066" w14:textId="77777777" w:rsidR="003433C0" w:rsidRDefault="00000000">
            <w:r>
              <w:rPr>
                <w:b/>
                <w:bCs/>
                <w:color w:val="FFFFFF"/>
                <w:sz w:val="19"/>
                <w:szCs w:val="19"/>
              </w:rPr>
              <w:t>Policy area</w:t>
            </w:r>
          </w:p>
        </w:tc>
        <w:tc>
          <w:tcPr>
            <w:tcW w:w="468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503120BA" w14:textId="77777777" w:rsidR="003433C0" w:rsidRDefault="00000000">
            <w:r>
              <w:rPr>
                <w:b/>
                <w:bCs/>
                <w:color w:val="FFFFFF"/>
                <w:sz w:val="19"/>
                <w:szCs w:val="19"/>
              </w:rPr>
              <w:t>Threshold</w:t>
            </w:r>
          </w:p>
        </w:tc>
      </w:tr>
      <w:tr w:rsidR="003433C0" w14:paraId="63166E64"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F538589" w14:textId="77777777" w:rsidR="003433C0" w:rsidRDefault="00000000">
            <w:r>
              <w:rPr>
                <w:sz w:val="19"/>
                <w:szCs w:val="19"/>
              </w:rPr>
              <w:t>Capitalize vs. expense</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236959C" w14:textId="77777777" w:rsidR="003433C0" w:rsidRDefault="00000000">
            <w:r>
              <w:rPr>
                <w:sz w:val="19"/>
                <w:szCs w:val="19"/>
              </w:rPr>
              <w:t>$2,500 per unit</w:t>
            </w:r>
          </w:p>
        </w:tc>
      </w:tr>
      <w:tr w:rsidR="003433C0" w14:paraId="0D335056"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E95E1AB" w14:textId="77777777" w:rsidR="003433C0" w:rsidRDefault="00000000">
            <w:r>
              <w:rPr>
                <w:sz w:val="19"/>
                <w:szCs w:val="19"/>
              </w:rPr>
              <w:t>Prepaid vs. expense</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6FF5A2E" w14:textId="77777777" w:rsidR="003433C0" w:rsidRDefault="00000000">
            <w:r>
              <w:rPr>
                <w:sz w:val="19"/>
                <w:szCs w:val="19"/>
              </w:rPr>
              <w:t>$1,000 and benefit beyond one month</w:t>
            </w:r>
          </w:p>
        </w:tc>
      </w:tr>
      <w:tr w:rsidR="003433C0" w14:paraId="1E24DF2B"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49D9A82" w14:textId="77777777" w:rsidR="003433C0" w:rsidRDefault="00000000">
            <w:r>
              <w:rPr>
                <w:sz w:val="19"/>
                <w:szCs w:val="19"/>
              </w:rPr>
              <w:t>Accrue vs. expense-when-paid</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D3D2799" w14:textId="77777777" w:rsidR="003433C0" w:rsidRDefault="00000000">
            <w:r>
              <w:rPr>
                <w:sz w:val="19"/>
                <w:szCs w:val="19"/>
              </w:rPr>
              <w:t>$1,000 for individual known liabilities</w:t>
            </w:r>
          </w:p>
        </w:tc>
      </w:tr>
      <w:tr w:rsidR="003433C0" w14:paraId="59B1D399" w14:textId="77777777">
        <w:tblPrEx>
          <w:tblCellMar>
            <w:top w:w="0" w:type="dxa"/>
            <w:bottom w:w="0" w:type="dxa"/>
          </w:tblCellMar>
        </w:tblPrEx>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7922C26" w14:textId="77777777" w:rsidR="003433C0" w:rsidRDefault="00000000">
            <w:r>
              <w:rPr>
                <w:sz w:val="19"/>
                <w:szCs w:val="19"/>
              </w:rPr>
              <w:t>Investigate reconciling items</w:t>
            </w:r>
          </w:p>
        </w:tc>
        <w:tc>
          <w:tcPr>
            <w:tcW w:w="468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DB451C6" w14:textId="77777777" w:rsidR="003433C0" w:rsidRDefault="00000000">
            <w:r>
              <w:rPr>
                <w:sz w:val="19"/>
                <w:szCs w:val="19"/>
              </w:rPr>
              <w:t>$500 unexplained variance</w:t>
            </w:r>
          </w:p>
        </w:tc>
      </w:tr>
    </w:tbl>
    <w:p w14:paraId="160F770A" w14:textId="77777777" w:rsidR="003433C0" w:rsidRDefault="00000000">
      <w:pPr>
        <w:pStyle w:val="Heading2"/>
      </w:pPr>
      <w:r>
        <w:t>5.5 Month-end close assumptions</w:t>
      </w:r>
    </w:p>
    <w:p w14:paraId="6A568808" w14:textId="77777777" w:rsidR="003433C0" w:rsidRDefault="00000000">
      <w:pPr>
        <w:spacing w:after="160" w:line="288" w:lineRule="auto"/>
      </w:pPr>
      <w:r>
        <w:t>Standard recurring accruals are booked each month using the prior period as a baseline and adjusted for known changes. Estimates (e.g., unbilled vendor costs) are trued up when actual invoices arrive. Any estimate exceeding the materiality threshold is supported by a documented calculation in the accrual log.</w:t>
      </w:r>
    </w:p>
    <w:p w14:paraId="14AD8D1A" w14:textId="77777777" w:rsidR="003433C0" w:rsidRDefault="00000000">
      <w:pPr>
        <w:pStyle w:val="Heading2"/>
      </w:pPr>
      <w:r>
        <w:t>5.6 Financial statement disclosures</w:t>
      </w:r>
    </w:p>
    <w:p w14:paraId="610ACB07" w14:textId="77777777" w:rsidR="003433C0" w:rsidRDefault="00000000">
      <w:pPr>
        <w:spacing w:after="160" w:line="288" w:lineRule="auto"/>
      </w:pPr>
      <w:r>
        <w:t xml:space="preserve">Because the financial statements are prepared on a modified cash basis, they are labeled as such. When statements are distributed externally, a note describes the basis of accounting and the </w:t>
      </w:r>
      <w:r>
        <w:lastRenderedPageBreak/>
        <w:t>significant modifications applied, so the reader understands what they are looking at. Statements are never represented as GAAP-compliant unless converted per Section 4.4.</w:t>
      </w:r>
    </w:p>
    <w:p w14:paraId="761BA84D" w14:textId="77777777" w:rsidR="003433C0" w:rsidRDefault="00000000">
      <w:pPr>
        <w:pStyle w:val="Heading2"/>
      </w:pPr>
      <w:r>
        <w:t>5.7 Known accounting judgments</w:t>
      </w:r>
    </w:p>
    <w:p w14:paraId="1E148D3B"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This is different from the policies above. A policy is the rule you apply to any similar item. A judgment is a specific, non-obvious call you made on one thing — often for a good reason that won't be obvious to the next person. These are exactly the decisions that disappear when someone leaves and the new accountant asks “wait, why do we do it this way?” Log each one with its rationale and date. This single table may save the next controller weeks.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4360"/>
        <w:gridCol w:w="1600"/>
      </w:tblGrid>
      <w:tr w:rsidR="003433C0" w14:paraId="57E48A49" w14:textId="77777777">
        <w:tblPrEx>
          <w:tblCellMar>
            <w:top w:w="0" w:type="dxa"/>
            <w:bottom w:w="0" w:type="dxa"/>
          </w:tblCellMar>
        </w:tblPrEx>
        <w:trPr>
          <w:tblHeader/>
        </w:trPr>
        <w:tc>
          <w:tcPr>
            <w:tcW w:w="34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157AE2A2" w14:textId="77777777" w:rsidR="003433C0" w:rsidRDefault="00000000">
            <w:r>
              <w:rPr>
                <w:b/>
                <w:bCs/>
                <w:color w:val="FFFFFF"/>
                <w:sz w:val="19"/>
                <w:szCs w:val="19"/>
              </w:rPr>
              <w:t>Judgment</w:t>
            </w:r>
          </w:p>
        </w:tc>
        <w:tc>
          <w:tcPr>
            <w:tcW w:w="43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26551E4B" w14:textId="77777777" w:rsidR="003433C0" w:rsidRDefault="00000000">
            <w:r>
              <w:rPr>
                <w:b/>
                <w:bCs/>
                <w:color w:val="FFFFFF"/>
                <w:sz w:val="19"/>
                <w:szCs w:val="19"/>
              </w:rPr>
              <w:t>Rationale</w:t>
            </w:r>
          </w:p>
        </w:tc>
        <w:tc>
          <w:tcPr>
            <w:tcW w:w="16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2A77FAFD" w14:textId="77777777" w:rsidR="003433C0" w:rsidRDefault="00000000">
            <w:r>
              <w:rPr>
                <w:b/>
                <w:bCs/>
                <w:color w:val="FFFFFF"/>
                <w:sz w:val="19"/>
                <w:szCs w:val="19"/>
              </w:rPr>
              <w:t>Date / by</w:t>
            </w:r>
          </w:p>
        </w:tc>
      </w:tr>
      <w:tr w:rsidR="003433C0" w14:paraId="7C1218FD"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599EC35" w14:textId="77777777" w:rsidR="003433C0" w:rsidRDefault="00000000">
            <w:r>
              <w:rPr>
                <w:sz w:val="19"/>
                <w:szCs w:val="19"/>
              </w:rPr>
              <w:t>A multi-year retainer is recognized ratably over 12 months, not the full contract term</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D07975B" w14:textId="77777777" w:rsidR="003433C0" w:rsidRDefault="00000000">
            <w:r>
              <w:rPr>
                <w:sz w:val="19"/>
                <w:szCs w:val="19"/>
              </w:rPr>
              <w:t>Client renews annually in practice; matching to the active year better reflects delivery</w:t>
            </w:r>
          </w:p>
        </w:tc>
        <w:tc>
          <w:tcPr>
            <w:tcW w:w="1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7463954" w14:textId="77777777" w:rsidR="003433C0" w:rsidRDefault="00000000">
            <w:r>
              <w:rPr>
                <w:sz w:val="19"/>
                <w:szCs w:val="19"/>
              </w:rPr>
              <w:t>Mar 2025 / Controller</w:t>
            </w:r>
          </w:p>
        </w:tc>
      </w:tr>
      <w:tr w:rsidR="003433C0" w14:paraId="41A804FF"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D559B11" w14:textId="77777777" w:rsidR="003433C0" w:rsidRDefault="00000000">
            <w:r>
              <w:rPr>
                <w:sz w:val="19"/>
                <w:szCs w:val="19"/>
              </w:rPr>
              <w:t>Software implementation costs are expensed, not capitalized</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82AD070" w14:textId="77777777" w:rsidR="003433C0" w:rsidRDefault="00000000">
            <w:r>
              <w:rPr>
                <w:sz w:val="19"/>
                <w:szCs w:val="19"/>
              </w:rPr>
              <w:t>Below capitalization threshold individually; benefit period uncertain</w:t>
            </w:r>
          </w:p>
        </w:tc>
        <w:tc>
          <w:tcPr>
            <w:tcW w:w="1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D8B3CCA" w14:textId="77777777" w:rsidR="003433C0" w:rsidRDefault="00000000">
            <w:r>
              <w:rPr>
                <w:sz w:val="19"/>
                <w:szCs w:val="19"/>
              </w:rPr>
              <w:t>Jan 2025 / Controller</w:t>
            </w:r>
          </w:p>
        </w:tc>
      </w:tr>
      <w:tr w:rsidR="003433C0" w14:paraId="0DD0AE2C"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65D48EE4" w14:textId="77777777" w:rsidR="003433C0" w:rsidRDefault="00000000">
            <w:r>
              <w:rPr>
                <w:sz w:val="19"/>
                <w:szCs w:val="19"/>
              </w:rPr>
              <w:t>Owner distributions recorded to equity, not run through payroll</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67A9C05" w14:textId="77777777" w:rsidR="003433C0" w:rsidRDefault="00000000">
            <w:r>
              <w:rPr>
                <w:sz w:val="19"/>
                <w:szCs w:val="19"/>
              </w:rPr>
              <w:t>Owner takes draws, not W-2 salary, per the entity structure</w:t>
            </w:r>
          </w:p>
        </w:tc>
        <w:tc>
          <w:tcPr>
            <w:tcW w:w="1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8C02177" w14:textId="77777777" w:rsidR="003433C0" w:rsidRDefault="00000000">
            <w:r>
              <w:rPr>
                <w:sz w:val="19"/>
                <w:szCs w:val="19"/>
              </w:rPr>
              <w:t>Standing / CFO</w:t>
            </w:r>
          </w:p>
        </w:tc>
      </w:tr>
      <w:tr w:rsidR="003433C0" w14:paraId="51C395B9" w14:textId="77777777">
        <w:tblPrEx>
          <w:tblCellMar>
            <w:top w:w="0" w:type="dxa"/>
            <w:bottom w:w="0" w:type="dxa"/>
          </w:tblCellMar>
        </w:tblPrEx>
        <w:tc>
          <w:tcPr>
            <w:tcW w:w="3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19B67C98" w14:textId="77777777" w:rsidR="003433C0" w:rsidRDefault="00000000">
            <w:r>
              <w:rPr>
                <w:sz w:val="19"/>
                <w:szCs w:val="19"/>
              </w:rPr>
              <w:t>No bad-debt allowance maintained</w:t>
            </w:r>
          </w:p>
        </w:tc>
        <w:tc>
          <w:tcPr>
            <w:tcW w:w="43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8D685F3" w14:textId="77777777" w:rsidR="003433C0" w:rsidRDefault="00000000">
            <w:r>
              <w:rPr>
                <w:sz w:val="19"/>
                <w:szCs w:val="19"/>
              </w:rPr>
              <w:t>Short collection cycle and low historical write-offs; receivables written off directly</w:t>
            </w:r>
          </w:p>
        </w:tc>
        <w:tc>
          <w:tcPr>
            <w:tcW w:w="16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8DD6DA2" w14:textId="77777777" w:rsidR="003433C0" w:rsidRDefault="00000000">
            <w:r>
              <w:rPr>
                <w:sz w:val="19"/>
                <w:szCs w:val="19"/>
              </w:rPr>
              <w:t>Reviewed annually / Controller</w:t>
            </w:r>
          </w:p>
        </w:tc>
      </w:tr>
    </w:tbl>
    <w:p w14:paraId="5753CB0C" w14:textId="77777777" w:rsidR="003433C0" w:rsidRDefault="00000000">
      <w:r>
        <w:br w:type="page"/>
      </w:r>
    </w:p>
    <w:p w14:paraId="44A17A54" w14:textId="77777777" w:rsidR="003433C0" w:rsidRDefault="00000000">
      <w:pPr>
        <w:pStyle w:val="Heading1"/>
      </w:pPr>
      <w:r>
        <w:lastRenderedPageBreak/>
        <w:t>6. Accounting Bookkeeping &amp; Workflow Steps</w:t>
      </w:r>
    </w:p>
    <w:p w14:paraId="01DEC2BC"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This is the how — the repeatable procedures for recurring work, written step by step so someone new could follow them. You don't need to document every task; focus on the ones that recur and the ones that break when the usual person is out. Reference the schedules and systems named earlier rather than re-explaining them.</w:t>
      </w:r>
    </w:p>
    <w:p w14:paraId="59E14E15" w14:textId="77777777" w:rsidR="003433C0" w:rsidRDefault="00000000">
      <w:pPr>
        <w:pStyle w:val="Heading2"/>
      </w:pPr>
      <w:r>
        <w:t>6.1 Accounts payable</w:t>
      </w:r>
    </w:p>
    <w:p w14:paraId="337D66C8" w14:textId="77777777" w:rsidR="003433C0" w:rsidRDefault="00000000">
      <w:pPr>
        <w:pStyle w:val="ListParagraph"/>
        <w:numPr>
          <w:ilvl w:val="0"/>
          <w:numId w:val="3"/>
        </w:numPr>
        <w:spacing w:after="60" w:line="276" w:lineRule="auto"/>
      </w:pPr>
      <w:r>
        <w:t>Vendor submits invoice to the AP inbox; AP/AR Specialist enters it in the bill-pay app and codes it to the correct account.</w:t>
      </w:r>
    </w:p>
    <w:p w14:paraId="6CDCC764" w14:textId="77777777" w:rsidR="003433C0" w:rsidRDefault="00000000">
      <w:pPr>
        <w:pStyle w:val="ListParagraph"/>
        <w:numPr>
          <w:ilvl w:val="0"/>
          <w:numId w:val="3"/>
        </w:numPr>
        <w:spacing w:after="60" w:line="276" w:lineRule="auto"/>
      </w:pPr>
      <w:r>
        <w:t>Bills route for approval per the authorization limits in Section 1.3.</w:t>
      </w:r>
    </w:p>
    <w:p w14:paraId="6CDA4521" w14:textId="77777777" w:rsidR="003433C0" w:rsidRDefault="00000000">
      <w:pPr>
        <w:pStyle w:val="ListParagraph"/>
        <w:numPr>
          <w:ilvl w:val="0"/>
          <w:numId w:val="3"/>
        </w:numPr>
        <w:spacing w:after="60" w:line="276" w:lineRule="auto"/>
      </w:pPr>
      <w:r>
        <w:t>Approved bills are scheduled for the weekly Thursday payment run.</w:t>
      </w:r>
    </w:p>
    <w:p w14:paraId="0C9B024B" w14:textId="77777777" w:rsidR="003433C0" w:rsidRDefault="00000000">
      <w:pPr>
        <w:pStyle w:val="ListParagraph"/>
        <w:numPr>
          <w:ilvl w:val="0"/>
          <w:numId w:val="3"/>
        </w:numPr>
        <w:spacing w:after="60" w:line="276" w:lineRule="auto"/>
      </w:pPr>
      <w:r>
        <w:t>Controller approves the payment run; CFO signs/approves any payment over $10,000.</w:t>
      </w:r>
    </w:p>
    <w:p w14:paraId="31B3C21A" w14:textId="77777777" w:rsidR="003433C0" w:rsidRDefault="00000000">
      <w:pPr>
        <w:pStyle w:val="ListParagraph"/>
        <w:numPr>
          <w:ilvl w:val="0"/>
          <w:numId w:val="3"/>
        </w:numPr>
        <w:spacing w:after="60" w:line="276" w:lineRule="auto"/>
      </w:pPr>
      <w:r>
        <w:t>Payments sync to QuickBooks Online; AP/AR Specialist files support in /Accounting.</w:t>
      </w:r>
    </w:p>
    <w:p w14:paraId="582A2487" w14:textId="77777777" w:rsidR="003433C0" w:rsidRDefault="00000000">
      <w:pPr>
        <w:pStyle w:val="Heading2"/>
      </w:pPr>
      <w:r>
        <w:t>6.2 Accounts receivable</w:t>
      </w:r>
    </w:p>
    <w:p w14:paraId="63C83B03" w14:textId="77777777" w:rsidR="003433C0" w:rsidRDefault="00000000">
      <w:pPr>
        <w:pStyle w:val="ListParagraph"/>
        <w:numPr>
          <w:ilvl w:val="0"/>
          <w:numId w:val="3"/>
        </w:numPr>
        <w:spacing w:after="60" w:line="276" w:lineRule="auto"/>
      </w:pPr>
      <w:r>
        <w:t>Engagement details confirmed; AP/AR Specialist issues invoice per the revenue recognition policy (5.1).</w:t>
      </w:r>
    </w:p>
    <w:p w14:paraId="138CD87B" w14:textId="77777777" w:rsidR="003433C0" w:rsidRDefault="00000000">
      <w:pPr>
        <w:pStyle w:val="ListParagraph"/>
        <w:numPr>
          <w:ilvl w:val="0"/>
          <w:numId w:val="3"/>
        </w:numPr>
        <w:spacing w:after="60" w:line="276" w:lineRule="auto"/>
      </w:pPr>
      <w:r>
        <w:t>Annual/retainer billings posted to deferred revenue and released monthly via the deferred revenue waterfall.</w:t>
      </w:r>
    </w:p>
    <w:p w14:paraId="1D5999DD" w14:textId="77777777" w:rsidR="003433C0" w:rsidRDefault="00000000">
      <w:pPr>
        <w:pStyle w:val="ListParagraph"/>
        <w:numPr>
          <w:ilvl w:val="0"/>
          <w:numId w:val="3"/>
        </w:numPr>
        <w:spacing w:after="60" w:line="276" w:lineRule="auto"/>
      </w:pPr>
      <w:r>
        <w:t>Collections monitored weekly; balances over 60 days escalated to the Controller.</w:t>
      </w:r>
    </w:p>
    <w:p w14:paraId="11706916" w14:textId="77777777" w:rsidR="003433C0" w:rsidRDefault="00000000">
      <w:pPr>
        <w:pStyle w:val="Heading2"/>
      </w:pPr>
      <w:r>
        <w:t>6.3 Month-end close</w:t>
      </w:r>
    </w:p>
    <w:p w14:paraId="207C3481" w14:textId="77777777" w:rsidR="003433C0" w:rsidRDefault="00000000">
      <w:pPr>
        <w:spacing w:after="160" w:line="288" w:lineRule="auto"/>
      </w:pPr>
      <w:r>
        <w:t>Follow the timeline in Section 2.1. Each supporting schedule (3.2) is updated and reconciled to the general ledger before the Controller's BD4 review. The close is considered complete when all balance sheet accounts are reconciled, the flux analysis is reviewed, and statements are distributed.</w:t>
      </w:r>
    </w:p>
    <w:p w14:paraId="57F70597" w14:textId="77777777" w:rsidR="003433C0" w:rsidRDefault="00000000">
      <w:pPr>
        <w:pStyle w:val="Heading2"/>
      </w:pPr>
      <w:r>
        <w:t>6.4 Recurring journal entries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400"/>
        <w:gridCol w:w="3760"/>
      </w:tblGrid>
      <w:tr w:rsidR="003433C0" w14:paraId="621DC613" w14:textId="77777777">
        <w:tblPrEx>
          <w:tblCellMar>
            <w:top w:w="0" w:type="dxa"/>
            <w:bottom w:w="0" w:type="dxa"/>
          </w:tblCellMar>
        </w:tblPrEx>
        <w:trPr>
          <w:tblHeader/>
        </w:trPr>
        <w:tc>
          <w:tcPr>
            <w:tcW w:w="32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3A9E4BB2" w14:textId="77777777" w:rsidR="003433C0" w:rsidRDefault="00000000">
            <w:r>
              <w:rPr>
                <w:b/>
                <w:bCs/>
                <w:color w:val="FFFFFF"/>
                <w:sz w:val="19"/>
                <w:szCs w:val="19"/>
              </w:rPr>
              <w:t>Entry</w:t>
            </w:r>
          </w:p>
        </w:tc>
        <w:tc>
          <w:tcPr>
            <w:tcW w:w="240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65CABD55" w14:textId="77777777" w:rsidR="003433C0" w:rsidRDefault="00000000">
            <w:r>
              <w:rPr>
                <w:b/>
                <w:bCs/>
                <w:color w:val="FFFFFF"/>
                <w:sz w:val="19"/>
                <w:szCs w:val="19"/>
              </w:rPr>
              <w:t>Frequency</w:t>
            </w:r>
          </w:p>
        </w:tc>
        <w:tc>
          <w:tcPr>
            <w:tcW w:w="3760" w:type="dxa"/>
            <w:tcBorders>
              <w:top w:val="single" w:sz="1" w:space="0" w:color="D9D9D9"/>
              <w:left w:val="single" w:sz="1" w:space="0" w:color="D9D9D9"/>
              <w:bottom w:val="single" w:sz="1" w:space="0" w:color="D9D9D9"/>
              <w:right w:val="single" w:sz="1" w:space="0" w:color="D9D9D9"/>
            </w:tcBorders>
            <w:shd w:val="clear" w:color="auto" w:fill="3DBF62"/>
            <w:tcMar>
              <w:top w:w="80" w:type="dxa"/>
              <w:left w:w="120" w:type="dxa"/>
              <w:bottom w:w="80" w:type="dxa"/>
              <w:right w:w="120" w:type="dxa"/>
            </w:tcMar>
          </w:tcPr>
          <w:p w14:paraId="2DCE65A2" w14:textId="77777777" w:rsidR="003433C0" w:rsidRDefault="00000000">
            <w:r>
              <w:rPr>
                <w:b/>
                <w:bCs/>
                <w:color w:val="FFFFFF"/>
                <w:sz w:val="19"/>
                <w:szCs w:val="19"/>
              </w:rPr>
              <w:t>Source</w:t>
            </w:r>
          </w:p>
        </w:tc>
      </w:tr>
      <w:tr w:rsidR="003433C0" w14:paraId="5D485102" w14:textId="77777777">
        <w:tblPrEx>
          <w:tblCellMar>
            <w:top w:w="0" w:type="dxa"/>
            <w:bottom w:w="0" w:type="dxa"/>
          </w:tblCellMar>
        </w:tblPrEx>
        <w:tc>
          <w:tcPr>
            <w:tcW w:w="3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B44B905" w14:textId="77777777" w:rsidR="003433C0" w:rsidRDefault="00000000">
            <w:r>
              <w:rPr>
                <w:sz w:val="19"/>
                <w:szCs w:val="19"/>
              </w:rPr>
              <w:t>Depreciation</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067AC0CC" w14:textId="77777777" w:rsidR="003433C0" w:rsidRDefault="00000000">
            <w:r>
              <w:rPr>
                <w:sz w:val="19"/>
                <w:szCs w:val="19"/>
              </w:rPr>
              <w:t>Monthly</w:t>
            </w:r>
          </w:p>
        </w:tc>
        <w:tc>
          <w:tcPr>
            <w:tcW w:w="37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E430CA1" w14:textId="77777777" w:rsidR="003433C0" w:rsidRDefault="00000000">
            <w:r>
              <w:rPr>
                <w:sz w:val="19"/>
                <w:szCs w:val="19"/>
              </w:rPr>
              <w:t>Fixed asset schedule (3.2)</w:t>
            </w:r>
          </w:p>
        </w:tc>
      </w:tr>
      <w:tr w:rsidR="003433C0" w14:paraId="6102DA27" w14:textId="77777777">
        <w:tblPrEx>
          <w:tblCellMar>
            <w:top w:w="0" w:type="dxa"/>
            <w:bottom w:w="0" w:type="dxa"/>
          </w:tblCellMar>
        </w:tblPrEx>
        <w:tc>
          <w:tcPr>
            <w:tcW w:w="3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A588F5F" w14:textId="77777777" w:rsidR="003433C0" w:rsidRDefault="00000000">
            <w:r>
              <w:rPr>
                <w:sz w:val="19"/>
                <w:szCs w:val="19"/>
              </w:rPr>
              <w:t>Prepaid amortization</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7280FA96" w14:textId="77777777" w:rsidR="003433C0" w:rsidRDefault="00000000">
            <w:r>
              <w:rPr>
                <w:sz w:val="19"/>
                <w:szCs w:val="19"/>
              </w:rPr>
              <w:t>Monthly</w:t>
            </w:r>
          </w:p>
        </w:tc>
        <w:tc>
          <w:tcPr>
            <w:tcW w:w="37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91A4CD8" w14:textId="77777777" w:rsidR="003433C0" w:rsidRDefault="00000000">
            <w:r>
              <w:rPr>
                <w:sz w:val="19"/>
                <w:szCs w:val="19"/>
              </w:rPr>
              <w:t>Prepaid schedule (3.2)</w:t>
            </w:r>
          </w:p>
        </w:tc>
      </w:tr>
      <w:tr w:rsidR="003433C0" w14:paraId="15710AFA" w14:textId="77777777">
        <w:tblPrEx>
          <w:tblCellMar>
            <w:top w:w="0" w:type="dxa"/>
            <w:bottom w:w="0" w:type="dxa"/>
          </w:tblCellMar>
        </w:tblPrEx>
        <w:tc>
          <w:tcPr>
            <w:tcW w:w="3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4577E249" w14:textId="77777777" w:rsidR="003433C0" w:rsidRDefault="00000000">
            <w:r>
              <w:rPr>
                <w:sz w:val="19"/>
                <w:szCs w:val="19"/>
              </w:rPr>
              <w:t>Deferred revenue release</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330D560" w14:textId="77777777" w:rsidR="003433C0" w:rsidRDefault="00000000">
            <w:r>
              <w:rPr>
                <w:sz w:val="19"/>
                <w:szCs w:val="19"/>
              </w:rPr>
              <w:t>Monthly</w:t>
            </w:r>
          </w:p>
        </w:tc>
        <w:tc>
          <w:tcPr>
            <w:tcW w:w="37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37688F6" w14:textId="77777777" w:rsidR="003433C0" w:rsidRDefault="00000000">
            <w:r>
              <w:rPr>
                <w:sz w:val="19"/>
                <w:szCs w:val="19"/>
              </w:rPr>
              <w:t>Deferred revenue waterfall (3.2)</w:t>
            </w:r>
          </w:p>
        </w:tc>
      </w:tr>
      <w:tr w:rsidR="003433C0" w14:paraId="20B9F657" w14:textId="77777777">
        <w:tblPrEx>
          <w:tblCellMar>
            <w:top w:w="0" w:type="dxa"/>
            <w:bottom w:w="0" w:type="dxa"/>
          </w:tblCellMar>
        </w:tblPrEx>
        <w:tc>
          <w:tcPr>
            <w:tcW w:w="32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2CBEE8D8" w14:textId="77777777" w:rsidR="003433C0" w:rsidRDefault="00000000">
            <w:r>
              <w:rPr>
                <w:sz w:val="19"/>
                <w:szCs w:val="19"/>
              </w:rPr>
              <w:t>Bonus accrual</w:t>
            </w:r>
          </w:p>
        </w:tc>
        <w:tc>
          <w:tcPr>
            <w:tcW w:w="240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32F78002" w14:textId="77777777" w:rsidR="003433C0" w:rsidRDefault="00000000">
            <w:r>
              <w:rPr>
                <w:sz w:val="19"/>
                <w:szCs w:val="19"/>
              </w:rPr>
              <w:t>Monthly</w:t>
            </w:r>
          </w:p>
        </w:tc>
        <w:tc>
          <w:tcPr>
            <w:tcW w:w="3760" w:type="dxa"/>
            <w:tcBorders>
              <w:top w:val="single" w:sz="1" w:space="0" w:color="D9D9D9"/>
              <w:left w:val="single" w:sz="1" w:space="0" w:color="D9D9D9"/>
              <w:bottom w:val="single" w:sz="1" w:space="0" w:color="D9D9D9"/>
              <w:right w:val="single" w:sz="1" w:space="0" w:color="D9D9D9"/>
            </w:tcBorders>
            <w:tcMar>
              <w:top w:w="80" w:type="dxa"/>
              <w:left w:w="120" w:type="dxa"/>
              <w:bottom w:w="80" w:type="dxa"/>
              <w:right w:w="120" w:type="dxa"/>
            </w:tcMar>
          </w:tcPr>
          <w:p w14:paraId="5BF6A8E3" w14:textId="77777777" w:rsidR="003433C0" w:rsidRDefault="00000000">
            <w:r>
              <w:rPr>
                <w:sz w:val="19"/>
                <w:szCs w:val="19"/>
              </w:rPr>
              <w:t>Accrual log (3.2)</w:t>
            </w:r>
          </w:p>
        </w:tc>
      </w:tr>
    </w:tbl>
    <w:p w14:paraId="192C3456" w14:textId="77777777" w:rsidR="003433C0" w:rsidRDefault="003433C0">
      <w:pPr>
        <w:spacing w:after="60"/>
      </w:pPr>
    </w:p>
    <w:p w14:paraId="4FE07AB8" w14:textId="77777777" w:rsidR="003433C0" w:rsidRDefault="00000000">
      <w:pPr>
        <w:pBdr>
          <w:left w:val="single" w:sz="18" w:space="8" w:color="3DBF62"/>
        </w:pBdr>
        <w:shd w:val="clear" w:color="auto" w:fill="EAFBF0"/>
        <w:spacing w:after="120" w:line="276" w:lineRule="auto"/>
        <w:ind w:left="200" w:right="200"/>
      </w:pPr>
      <w:r>
        <w:rPr>
          <w:b/>
          <w:bCs/>
          <w:color w:val="2EA34F"/>
          <w:sz w:val="18"/>
          <w:szCs w:val="18"/>
        </w:rPr>
        <w:t xml:space="preserve">▸ INSTRUCTION — delete this block before publishing.  </w:t>
      </w:r>
      <w:r>
        <w:rPr>
          <w:i/>
          <w:iCs/>
          <w:color w:val="6E6E6E"/>
          <w:sz w:val="19"/>
          <w:szCs w:val="19"/>
        </w:rPr>
        <w:t>End of template. Before you put this manual to use: delete every gray instruction block, replace all bracketed placeholders, overwrite the Meridian example content with your company's reality, and set the review date on the cover. Then hand it to someone who has never seen your books and ask whether they could run the department from it. Their questions are your next edits.</w:t>
      </w:r>
    </w:p>
    <w:sectPr w:rsidR="003433C0">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2E047" w14:textId="77777777" w:rsidR="00766391" w:rsidRDefault="00766391">
      <w:r>
        <w:separator/>
      </w:r>
    </w:p>
  </w:endnote>
  <w:endnote w:type="continuationSeparator" w:id="0">
    <w:p w14:paraId="252F82CD" w14:textId="77777777" w:rsidR="00766391" w:rsidRDefault="0076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2291" w14:textId="77777777" w:rsidR="003433C0" w:rsidRDefault="00000000">
    <w:pPr>
      <w:pBdr>
        <w:top w:val="single" w:sz="4" w:space="6" w:color="D9D9D9"/>
      </w:pBdr>
      <w:tabs>
        <w:tab w:val="right" w:pos="9360"/>
      </w:tabs>
    </w:pPr>
    <w:r>
      <w:rPr>
        <w:color w:val="6E6E6E"/>
        <w:sz w:val="16"/>
        <w:szCs w:val="16"/>
      </w:rPr>
      <w:t>Accounting Operations Manual</w:t>
    </w:r>
    <w:r>
      <w:tab/>
    </w: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AA5FA3">
      <w:rPr>
        <w:noProof/>
        <w:color w:val="6E6E6E"/>
        <w:sz w:val="16"/>
        <w:szCs w:val="16"/>
      </w:rPr>
      <w:t>1</w:t>
    </w:r>
    <w:r>
      <w:rPr>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F17A3" w14:textId="77777777" w:rsidR="00766391" w:rsidRDefault="00766391">
      <w:r>
        <w:separator/>
      </w:r>
    </w:p>
  </w:footnote>
  <w:footnote w:type="continuationSeparator" w:id="0">
    <w:p w14:paraId="40000746" w14:textId="77777777" w:rsidR="00766391" w:rsidRDefault="00766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CellMar>
        <w:left w:w="10" w:type="dxa"/>
        <w:right w:w="10" w:type="dxa"/>
      </w:tblCellMar>
      <w:tblLook w:val="0000" w:firstRow="0" w:lastRow="0" w:firstColumn="0" w:lastColumn="0" w:noHBand="0" w:noVBand="0"/>
    </w:tblPr>
    <w:tblGrid>
      <w:gridCol w:w="9360"/>
    </w:tblGrid>
    <w:tr w:rsidR="003433C0" w14:paraId="33B94AAB" w14:textId="77777777">
      <w:tblPrEx>
        <w:tblCellMar>
          <w:top w:w="0" w:type="dxa"/>
          <w:bottom w:w="0" w:type="dxa"/>
        </w:tblCellMar>
      </w:tblPrEx>
      <w:tc>
        <w:tcPr>
          <w:tcW w:w="9360" w:type="dxa"/>
          <w:shd w:val="clear" w:color="auto" w:fill="000000"/>
          <w:tcMar>
            <w:top w:w="100" w:type="dxa"/>
            <w:left w:w="160" w:type="dxa"/>
            <w:bottom w:w="100" w:type="dxa"/>
            <w:right w:w="160" w:type="dxa"/>
          </w:tcMar>
        </w:tcPr>
        <w:p w14:paraId="5F96B562" w14:textId="77777777" w:rsidR="003433C0" w:rsidRDefault="00000000">
          <w:r>
            <w:rPr>
              <w:noProof/>
            </w:rPr>
            <w:drawing>
              <wp:inline distT="0" distB="0" distL="0" distR="0" wp14:anchorId="6873EA9E" wp14:editId="41FC9A06">
                <wp:extent cx="1143000" cy="37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43000" cy="371475"/>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1F35"/>
    <w:multiLevelType w:val="hybridMultilevel"/>
    <w:tmpl w:val="CCFECE42"/>
    <w:lvl w:ilvl="0" w:tplc="4C445A9E">
      <w:start w:val="1"/>
      <w:numFmt w:val="bullet"/>
      <w:lvlText w:val="•"/>
      <w:lvlJc w:val="left"/>
      <w:pPr>
        <w:ind w:left="620" w:hanging="280"/>
      </w:pPr>
    </w:lvl>
    <w:lvl w:ilvl="1" w:tplc="D9FAF5C2">
      <w:numFmt w:val="decimal"/>
      <w:lvlText w:val=""/>
      <w:lvlJc w:val="left"/>
    </w:lvl>
    <w:lvl w:ilvl="2" w:tplc="B5981C54">
      <w:numFmt w:val="decimal"/>
      <w:lvlText w:val=""/>
      <w:lvlJc w:val="left"/>
    </w:lvl>
    <w:lvl w:ilvl="3" w:tplc="16508130">
      <w:numFmt w:val="decimal"/>
      <w:lvlText w:val=""/>
      <w:lvlJc w:val="left"/>
    </w:lvl>
    <w:lvl w:ilvl="4" w:tplc="8BD63164">
      <w:numFmt w:val="decimal"/>
      <w:lvlText w:val=""/>
      <w:lvlJc w:val="left"/>
    </w:lvl>
    <w:lvl w:ilvl="5" w:tplc="583EC4A2">
      <w:numFmt w:val="decimal"/>
      <w:lvlText w:val=""/>
      <w:lvlJc w:val="left"/>
    </w:lvl>
    <w:lvl w:ilvl="6" w:tplc="F7029090">
      <w:numFmt w:val="decimal"/>
      <w:lvlText w:val=""/>
      <w:lvlJc w:val="left"/>
    </w:lvl>
    <w:lvl w:ilvl="7" w:tplc="4A7C0C60">
      <w:numFmt w:val="decimal"/>
      <w:lvlText w:val=""/>
      <w:lvlJc w:val="left"/>
    </w:lvl>
    <w:lvl w:ilvl="8" w:tplc="3BAA6ADC">
      <w:numFmt w:val="decimal"/>
      <w:lvlText w:val=""/>
      <w:lvlJc w:val="left"/>
    </w:lvl>
  </w:abstractNum>
  <w:abstractNum w:abstractNumId="1" w15:restartNumberingAfterBreak="0">
    <w:nsid w:val="4D9B6731"/>
    <w:multiLevelType w:val="hybridMultilevel"/>
    <w:tmpl w:val="FC5AA8C2"/>
    <w:lvl w:ilvl="0" w:tplc="A656BE58">
      <w:start w:val="1"/>
      <w:numFmt w:val="decimal"/>
      <w:lvlText w:val="%1."/>
      <w:lvlJc w:val="left"/>
      <w:pPr>
        <w:ind w:left="620" w:hanging="320"/>
      </w:pPr>
    </w:lvl>
    <w:lvl w:ilvl="1" w:tplc="EB0A5D70">
      <w:numFmt w:val="decimal"/>
      <w:lvlText w:val=""/>
      <w:lvlJc w:val="left"/>
    </w:lvl>
    <w:lvl w:ilvl="2" w:tplc="1C4A8A36">
      <w:numFmt w:val="decimal"/>
      <w:lvlText w:val=""/>
      <w:lvlJc w:val="left"/>
    </w:lvl>
    <w:lvl w:ilvl="3" w:tplc="9E826CE8">
      <w:numFmt w:val="decimal"/>
      <w:lvlText w:val=""/>
      <w:lvlJc w:val="left"/>
    </w:lvl>
    <w:lvl w:ilvl="4" w:tplc="92927664">
      <w:numFmt w:val="decimal"/>
      <w:lvlText w:val=""/>
      <w:lvlJc w:val="left"/>
    </w:lvl>
    <w:lvl w:ilvl="5" w:tplc="6C825552">
      <w:numFmt w:val="decimal"/>
      <w:lvlText w:val=""/>
      <w:lvlJc w:val="left"/>
    </w:lvl>
    <w:lvl w:ilvl="6" w:tplc="9606FF74">
      <w:numFmt w:val="decimal"/>
      <w:lvlText w:val=""/>
      <w:lvlJc w:val="left"/>
    </w:lvl>
    <w:lvl w:ilvl="7" w:tplc="B56CA112">
      <w:numFmt w:val="decimal"/>
      <w:lvlText w:val=""/>
      <w:lvlJc w:val="left"/>
    </w:lvl>
    <w:lvl w:ilvl="8" w:tplc="D994B502">
      <w:numFmt w:val="decimal"/>
      <w:lvlText w:val=""/>
      <w:lvlJc w:val="left"/>
    </w:lvl>
  </w:abstractNum>
  <w:abstractNum w:abstractNumId="2" w15:restartNumberingAfterBreak="0">
    <w:nsid w:val="588B063C"/>
    <w:multiLevelType w:val="hybridMultilevel"/>
    <w:tmpl w:val="9474B5BC"/>
    <w:lvl w:ilvl="0" w:tplc="65A84B70">
      <w:start w:val="1"/>
      <w:numFmt w:val="bullet"/>
      <w:lvlText w:val="●"/>
      <w:lvlJc w:val="left"/>
      <w:pPr>
        <w:ind w:left="720" w:hanging="360"/>
      </w:pPr>
    </w:lvl>
    <w:lvl w:ilvl="1" w:tplc="9A089B98">
      <w:start w:val="1"/>
      <w:numFmt w:val="bullet"/>
      <w:lvlText w:val="○"/>
      <w:lvlJc w:val="left"/>
      <w:pPr>
        <w:ind w:left="1440" w:hanging="360"/>
      </w:pPr>
    </w:lvl>
    <w:lvl w:ilvl="2" w:tplc="9F6A4082">
      <w:start w:val="1"/>
      <w:numFmt w:val="bullet"/>
      <w:lvlText w:val="■"/>
      <w:lvlJc w:val="left"/>
      <w:pPr>
        <w:ind w:left="2160" w:hanging="360"/>
      </w:pPr>
    </w:lvl>
    <w:lvl w:ilvl="3" w:tplc="4A143EA2">
      <w:start w:val="1"/>
      <w:numFmt w:val="bullet"/>
      <w:lvlText w:val="●"/>
      <w:lvlJc w:val="left"/>
      <w:pPr>
        <w:ind w:left="2880" w:hanging="360"/>
      </w:pPr>
    </w:lvl>
    <w:lvl w:ilvl="4" w:tplc="36908CCE">
      <w:start w:val="1"/>
      <w:numFmt w:val="bullet"/>
      <w:lvlText w:val="○"/>
      <w:lvlJc w:val="left"/>
      <w:pPr>
        <w:ind w:left="3600" w:hanging="360"/>
      </w:pPr>
    </w:lvl>
    <w:lvl w:ilvl="5" w:tplc="339C6E76">
      <w:start w:val="1"/>
      <w:numFmt w:val="bullet"/>
      <w:lvlText w:val="■"/>
      <w:lvlJc w:val="left"/>
      <w:pPr>
        <w:ind w:left="4320" w:hanging="360"/>
      </w:pPr>
    </w:lvl>
    <w:lvl w:ilvl="6" w:tplc="204C5474">
      <w:start w:val="1"/>
      <w:numFmt w:val="bullet"/>
      <w:lvlText w:val="●"/>
      <w:lvlJc w:val="left"/>
      <w:pPr>
        <w:ind w:left="5040" w:hanging="360"/>
      </w:pPr>
    </w:lvl>
    <w:lvl w:ilvl="7" w:tplc="6B2AA3E6">
      <w:start w:val="1"/>
      <w:numFmt w:val="bullet"/>
      <w:lvlText w:val="●"/>
      <w:lvlJc w:val="left"/>
      <w:pPr>
        <w:ind w:left="5760" w:hanging="360"/>
      </w:pPr>
    </w:lvl>
    <w:lvl w:ilvl="8" w:tplc="4B5C873E">
      <w:start w:val="1"/>
      <w:numFmt w:val="bullet"/>
      <w:lvlText w:val="●"/>
      <w:lvlJc w:val="left"/>
      <w:pPr>
        <w:ind w:left="6480" w:hanging="360"/>
      </w:pPr>
    </w:lvl>
  </w:abstractNum>
  <w:num w:numId="1" w16cid:durableId="1380326336">
    <w:abstractNumId w:val="2"/>
    <w:lvlOverride w:ilvl="0">
      <w:startOverride w:val="1"/>
    </w:lvlOverride>
  </w:num>
  <w:num w:numId="2" w16cid:durableId="1744256377">
    <w:abstractNumId w:val="0"/>
    <w:lvlOverride w:ilvl="0">
      <w:startOverride w:val="1"/>
    </w:lvlOverride>
  </w:num>
  <w:num w:numId="3" w16cid:durableId="70845997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3C0"/>
    <w:rsid w:val="003433C0"/>
    <w:rsid w:val="00766391"/>
    <w:rsid w:val="00AA5FA3"/>
    <w:rsid w:val="00AD6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8DFE47"/>
  <w15:docId w15:val="{02D249D9-57C9-F04E-BC20-DA4E6BC4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6" w:color="3DBF62"/>
      </w:pBdr>
      <w:spacing w:before="120" w:after="160"/>
      <w:outlineLvl w:val="0"/>
    </w:pPr>
    <w:rPr>
      <w:b/>
      <w:bCs/>
      <w:sz w:val="30"/>
      <w:szCs w:val="30"/>
    </w:rPr>
  </w:style>
  <w:style w:type="paragraph" w:styleId="Heading2">
    <w:name w:val="heading 2"/>
    <w:uiPriority w:val="9"/>
    <w:unhideWhenUsed/>
    <w:qFormat/>
    <w:pPr>
      <w:spacing w:before="240" w:after="100"/>
      <w:outlineLvl w:val="1"/>
    </w:pPr>
    <w:rPr>
      <w:b/>
      <w:bCs/>
      <w:color w:val="2EA34F"/>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2648</Words>
  <Characters>15099</Characters>
  <Application>Microsoft Office Word</Application>
  <DocSecurity>0</DocSecurity>
  <Lines>125</Lines>
  <Paragraphs>35</Paragraphs>
  <ScaleCrop>false</ScaleCrop>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Tammie Parks</cp:lastModifiedBy>
  <cp:revision>2</cp:revision>
  <dcterms:created xsi:type="dcterms:W3CDTF">2026-06-15T20:53:00Z</dcterms:created>
  <dcterms:modified xsi:type="dcterms:W3CDTF">2026-06-15T20:53:00Z</dcterms:modified>
</cp:coreProperties>
</file>