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3098AB69" w:rsidP="605DC8B8" w:rsidRDefault="3098AB69" w14:paraId="3EDA8E1E" w14:textId="117E6606">
      <w:pPr>
        <w:spacing w:before="0" w:after="0" w:line="24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3098AB69" w:rsidP="605DC8B8" w:rsidRDefault="3098AB69" w14:paraId="2A43F060" w14:textId="5C55C5C8">
      <w:pPr>
        <w:spacing w:before="0" w:after="0" w:line="240" w:lineRule="auto"/>
        <w:rPr>
          <w:rFonts w:ascii="Arial" w:hAnsi="Arial" w:eastAsia="Arial" w:cs="Arial"/>
          <w:b w:val="1"/>
          <w:bCs w:val="1"/>
          <w:sz w:val="28"/>
          <w:szCs w:val="28"/>
        </w:rPr>
      </w:pPr>
    </w:p>
    <w:p w:rsidR="006D00F5" w:rsidP="605DC8B8" w:rsidRDefault="00A9786F" w14:paraId="6F51FE13" w14:textId="1A8BAC26">
      <w:pPr>
        <w:spacing w:before="0" w:after="0" w:line="240" w:lineRule="auto"/>
        <w:rPr>
          <w:rFonts w:ascii="Arial" w:hAnsi="Arial" w:eastAsia="Arial" w:cs="Arial"/>
          <w:sz w:val="24"/>
          <w:szCs w:val="24"/>
        </w:rPr>
      </w:pPr>
      <w:r w:rsidRPr="605DC8B8" w:rsidR="00A9786F">
        <w:rPr>
          <w:rFonts w:ascii="Arial" w:hAnsi="Arial" w:eastAsia="Arial" w:cs="Arial"/>
          <w:b w:val="1"/>
          <w:bCs w:val="1"/>
          <w:sz w:val="24"/>
          <w:szCs w:val="24"/>
        </w:rPr>
        <w:t>NEWSLETTER COPY FOR STAKEHOLDER GROUPS</w:t>
      </w:r>
    </w:p>
    <w:p w:rsidR="006D00F5" w:rsidP="605DC8B8" w:rsidRDefault="006D00F5" w14:paraId="378D08A1" w14:textId="77777777">
      <w:pPr>
        <w:spacing w:before="0" w:after="0" w:line="240" w:lineRule="auto"/>
        <w:rPr>
          <w:rFonts w:ascii="Arial" w:hAnsi="Arial" w:eastAsia="Arial" w:cs="Arial"/>
        </w:rPr>
      </w:pPr>
    </w:p>
    <w:p w:rsidR="001917E1" w:rsidP="605DC8B8" w:rsidRDefault="001917E1" w14:paraId="48DE9618" w14:textId="77777777">
      <w:pPr>
        <w:spacing w:before="0" w:after="0" w:line="240" w:lineRule="auto"/>
        <w:rPr>
          <w:rFonts w:ascii="Arial" w:hAnsi="Arial" w:eastAsia="Arial" w:cs="Arial"/>
          <w:b w:val="1"/>
          <w:bCs w:val="1"/>
        </w:rPr>
      </w:pPr>
    </w:p>
    <w:p w:rsidRPr="00CC6BCF" w:rsidR="006D00F5" w:rsidP="605DC8B8" w:rsidRDefault="00CC6BCF" w14:paraId="3890C75B" w14:textId="2169140C">
      <w:pPr>
        <w:spacing w:before="0" w:after="0" w:line="240" w:lineRule="auto"/>
        <w:rPr>
          <w:rFonts w:ascii="Arial" w:hAnsi="Arial" w:eastAsia="Arial" w:cs="Arial"/>
          <w:b w:val="1"/>
          <w:bCs w:val="1"/>
          <w:sz w:val="24"/>
          <w:szCs w:val="24"/>
        </w:rPr>
      </w:pPr>
      <w:r w:rsidRPr="605DC8B8" w:rsidR="00CC6BCF">
        <w:rPr>
          <w:rFonts w:ascii="Arial" w:hAnsi="Arial" w:eastAsia="Arial" w:cs="Arial"/>
          <w:b w:val="1"/>
          <w:bCs w:val="1"/>
          <w:sz w:val="24"/>
          <w:szCs w:val="24"/>
        </w:rPr>
        <w:t>The end date for cheques in Australia is approaching</w:t>
      </w:r>
    </w:p>
    <w:p w:rsidRPr="000A3777" w:rsidR="006D00F5" w:rsidP="605DC8B8" w:rsidRDefault="006D00F5" w14:paraId="253CB0BF" w14:textId="77777777">
      <w:pPr>
        <w:spacing w:before="0" w:after="0" w:line="240" w:lineRule="auto"/>
        <w:rPr>
          <w:rFonts w:ascii="Arial" w:hAnsi="Arial" w:eastAsia="Arial" w:cs="Arial"/>
        </w:rPr>
      </w:pPr>
    </w:p>
    <w:p w:rsidRPr="000A3777" w:rsidR="006D00F5" w:rsidP="605DC8B8" w:rsidRDefault="00B0547F" w14:paraId="24555C31" w14:textId="0D305C8F">
      <w:pPr>
        <w:spacing w:before="0" w:after="0" w:line="240" w:lineRule="auto"/>
        <w:rPr>
          <w:rFonts w:ascii="Arial" w:hAnsi="Arial" w:eastAsia="Arial" w:cs="Arial"/>
        </w:rPr>
      </w:pPr>
      <w:r w:rsidRPr="605DC8B8" w:rsidR="00B0547F">
        <w:rPr>
          <w:rFonts w:ascii="Arial" w:hAnsi="Arial" w:eastAsia="Arial" w:cs="Arial"/>
          <w:color w:val="auto"/>
        </w:rPr>
        <w:t>While everyday banking won’t suddenly change</w:t>
      </w:r>
      <w:r w:rsidRPr="605DC8B8" w:rsidR="00B0547F">
        <w:rPr>
          <w:rFonts w:ascii="Arial" w:hAnsi="Arial" w:eastAsia="Arial" w:cs="Arial"/>
          <w:color w:val="auto"/>
        </w:rPr>
        <w:t xml:space="preserve">, </w:t>
      </w:r>
      <w:r w:rsidRPr="605DC8B8" w:rsidR="00B0547F">
        <w:rPr>
          <w:rFonts w:ascii="Arial" w:hAnsi="Arial" w:eastAsia="Arial" w:cs="Arial"/>
        </w:rPr>
        <w:t>i</w:t>
      </w:r>
      <w:r w:rsidRPr="605DC8B8" w:rsidR="00A9786F">
        <w:rPr>
          <w:rFonts w:ascii="Arial" w:hAnsi="Arial" w:eastAsia="Arial" w:cs="Arial"/>
        </w:rPr>
        <w:t xml:space="preserve">t’s time to </w:t>
      </w:r>
      <w:r w:rsidRPr="605DC8B8" w:rsidR="0087371E">
        <w:rPr>
          <w:rFonts w:ascii="Arial" w:hAnsi="Arial" w:eastAsia="Arial" w:cs="Arial"/>
        </w:rPr>
        <w:t xml:space="preserve">prepare </w:t>
      </w:r>
      <w:r w:rsidRPr="605DC8B8" w:rsidR="00A9786F">
        <w:rPr>
          <w:rFonts w:ascii="Arial" w:hAnsi="Arial" w:eastAsia="Arial" w:cs="Arial"/>
        </w:rPr>
        <w:t xml:space="preserve">for the day when cheques are no longer part of the Australian payments system. </w:t>
      </w:r>
    </w:p>
    <w:p w:rsidRPr="000A3777" w:rsidR="006D00F5" w:rsidP="605DC8B8" w:rsidRDefault="006D00F5" w14:paraId="79BE7E3E" w14:textId="77777777">
      <w:pPr>
        <w:spacing w:before="0" w:after="0" w:line="240" w:lineRule="auto"/>
        <w:rPr>
          <w:rFonts w:ascii="Arial" w:hAnsi="Arial" w:eastAsia="Arial" w:cs="Arial"/>
        </w:rPr>
      </w:pPr>
    </w:p>
    <w:p w:rsidR="00D01759" w:rsidP="605DC8B8" w:rsidRDefault="00A9786F" w14:paraId="2C644415" w14:textId="3F66D3D5">
      <w:pPr>
        <w:spacing w:before="0" w:after="0" w:line="240" w:lineRule="auto"/>
        <w:rPr>
          <w:rFonts w:ascii="Arial" w:hAnsi="Arial" w:eastAsia="Arial" w:cs="Arial"/>
        </w:rPr>
      </w:pPr>
      <w:r w:rsidRPr="605DC8B8" w:rsidR="00A9786F">
        <w:rPr>
          <w:rFonts w:ascii="Arial" w:hAnsi="Arial" w:eastAsia="Arial" w:cs="Arial"/>
        </w:rPr>
        <w:t>In late 2024</w:t>
      </w:r>
      <w:r w:rsidRPr="605DC8B8" w:rsidR="00A9786F">
        <w:rPr>
          <w:rFonts w:ascii="Arial" w:hAnsi="Arial" w:eastAsia="Arial" w:cs="Arial"/>
        </w:rPr>
        <w:t>,</w:t>
      </w:r>
      <w:r w:rsidRPr="605DC8B8" w:rsidR="00A9786F">
        <w:rPr>
          <w:rFonts w:ascii="Arial" w:hAnsi="Arial" w:eastAsia="Arial" w:cs="Arial"/>
        </w:rPr>
        <w:t xml:space="preserve"> the Australian Government announced the</w:t>
      </w:r>
      <w:r w:rsidRPr="605DC8B8" w:rsidR="00A9786F">
        <w:rPr>
          <w:rFonts w:ascii="Arial" w:hAnsi="Arial" w:eastAsia="Arial" w:cs="Arial"/>
          <w:color w:val="auto"/>
        </w:rPr>
        <w:t xml:space="preserve"> </w:t>
      </w:r>
      <w:hyperlink r:id="R5fad188cac7c41f2">
        <w:r w:rsidRPr="605DC8B8" w:rsidR="00A9786F">
          <w:rPr>
            <w:rStyle w:val="Hyperlink"/>
            <w:rFonts w:ascii="Arial" w:hAnsi="Arial" w:eastAsia="Arial" w:cs="Arial"/>
            <w:color w:val="auto"/>
          </w:rPr>
          <w:t>Cheques Transition Plan</w:t>
        </w:r>
      </w:hyperlink>
      <w:r w:rsidRPr="605DC8B8" w:rsidR="00A9786F">
        <w:rPr>
          <w:rFonts w:ascii="Arial" w:hAnsi="Arial" w:eastAsia="Arial" w:cs="Arial"/>
        </w:rPr>
        <w:t xml:space="preserve"> - a timeline</w:t>
      </w:r>
      <w:r w:rsidRPr="605DC8B8" w:rsidR="4B7972B2">
        <w:rPr>
          <w:rFonts w:ascii="Arial" w:hAnsi="Arial" w:eastAsia="Arial" w:cs="Arial"/>
        </w:rPr>
        <w:t xml:space="preserve"> to </w:t>
      </w:r>
      <w:r w:rsidRPr="605DC8B8" w:rsidR="4B7972B2">
        <w:rPr>
          <w:rFonts w:ascii="Arial" w:hAnsi="Arial" w:eastAsia="Arial" w:cs="Arial"/>
        </w:rPr>
        <w:t>assist</w:t>
      </w:r>
      <w:r w:rsidRPr="605DC8B8" w:rsidR="4B7972B2">
        <w:rPr>
          <w:rFonts w:ascii="Arial" w:hAnsi="Arial" w:eastAsia="Arial" w:cs="Arial"/>
        </w:rPr>
        <w:t xml:space="preserve"> a smooth and orderly </w:t>
      </w:r>
      <w:r w:rsidRPr="605DC8B8" w:rsidR="00A9786F">
        <w:rPr>
          <w:rFonts w:ascii="Arial" w:hAnsi="Arial" w:eastAsia="Arial" w:cs="Arial"/>
        </w:rPr>
        <w:t xml:space="preserve">wind down </w:t>
      </w:r>
      <w:r w:rsidRPr="605DC8B8" w:rsidR="21A1B899">
        <w:rPr>
          <w:rFonts w:ascii="Arial" w:hAnsi="Arial" w:eastAsia="Arial" w:cs="Arial"/>
        </w:rPr>
        <w:t xml:space="preserve">of </w:t>
      </w:r>
      <w:r w:rsidRPr="605DC8B8" w:rsidR="00A9786F">
        <w:rPr>
          <w:rFonts w:ascii="Arial" w:hAnsi="Arial" w:eastAsia="Arial" w:cs="Arial"/>
        </w:rPr>
        <w:t>the cheque</w:t>
      </w:r>
      <w:r w:rsidRPr="605DC8B8" w:rsidR="4BE1D1AF">
        <w:rPr>
          <w:rFonts w:ascii="Arial" w:hAnsi="Arial" w:eastAsia="Arial" w:cs="Arial"/>
        </w:rPr>
        <w:t>s</w:t>
      </w:r>
      <w:r w:rsidRPr="605DC8B8" w:rsidR="00A9786F">
        <w:rPr>
          <w:rFonts w:ascii="Arial" w:hAnsi="Arial" w:eastAsia="Arial" w:cs="Arial"/>
        </w:rPr>
        <w:t xml:space="preserve"> system in Australia. Under the plan, the wind</w:t>
      </w:r>
      <w:r w:rsidRPr="605DC8B8" w:rsidR="01B81E96">
        <w:rPr>
          <w:rFonts w:ascii="Arial" w:hAnsi="Arial" w:eastAsia="Arial" w:cs="Arial"/>
        </w:rPr>
        <w:t xml:space="preserve"> </w:t>
      </w:r>
      <w:r w:rsidRPr="605DC8B8" w:rsidR="00A9786F">
        <w:rPr>
          <w:rFonts w:ascii="Arial" w:hAnsi="Arial" w:eastAsia="Arial" w:cs="Arial"/>
        </w:rPr>
        <w:t>down of cheques will occur in two stages:</w:t>
      </w:r>
    </w:p>
    <w:p w:rsidR="0087371E" w:rsidP="605DC8B8" w:rsidRDefault="0087371E" w14:paraId="553ADD28" w14:textId="77777777">
      <w:pPr>
        <w:spacing w:before="0" w:after="0" w:line="240" w:lineRule="auto"/>
        <w:rPr>
          <w:rFonts w:ascii="Arial" w:hAnsi="Arial" w:eastAsia="Arial" w:cs="Arial"/>
        </w:rPr>
      </w:pPr>
    </w:p>
    <w:p w:rsidR="0087371E" w:rsidP="605DC8B8" w:rsidRDefault="0087371E" w14:paraId="01D6DA81" w14:textId="77777777">
      <w:pPr>
        <w:spacing w:before="0" w:after="0" w:line="240" w:lineRule="auto"/>
        <w:rPr>
          <w:rFonts w:ascii="Arial" w:hAnsi="Arial" w:eastAsia="Arial" w:cs="Arial"/>
        </w:rPr>
      </w:pPr>
    </w:p>
    <w:tbl>
      <w:tblPr>
        <w:tblStyle w:val="TableGrid"/>
        <w:tblW w:w="8685" w:type="dxa"/>
        <w:tblLook w:val="04A0" w:firstRow="1" w:lastRow="0" w:firstColumn="1" w:lastColumn="0" w:noHBand="0" w:noVBand="1"/>
      </w:tblPr>
      <w:tblGrid>
        <w:gridCol w:w="4410"/>
        <w:gridCol w:w="4275"/>
      </w:tblGrid>
      <w:tr w:rsidR="0087371E" w:rsidTr="605DC8B8" w14:paraId="2DE8EDD6" w14:textId="77777777">
        <w:tc>
          <w:tcPr>
            <w:tcW w:w="4410" w:type="dxa"/>
            <w:tcMar/>
          </w:tcPr>
          <w:p w:rsidRPr="008E75CA" w:rsidR="0087371E" w:rsidP="605DC8B8" w:rsidRDefault="0087371E" w14:paraId="5AD56B05" w14:textId="0B807B6B">
            <w:pPr>
              <w:spacing w:after="120"/>
              <w:rPr>
                <w:rFonts w:ascii="Arial" w:hAnsi="Arial" w:eastAsia="Arial" w:cs="Arial"/>
                <w:b w:val="1"/>
                <w:bCs w:val="1"/>
              </w:rPr>
            </w:pPr>
            <w:r w:rsidRPr="605DC8B8" w:rsidR="0087371E">
              <w:rPr>
                <w:rFonts w:ascii="Arial" w:hAnsi="Arial" w:eastAsia="Arial" w:cs="Arial"/>
                <w:b w:val="1"/>
                <w:bCs w:val="1"/>
              </w:rPr>
              <w:t xml:space="preserve">By 30 June 2028 </w:t>
            </w:r>
          </w:p>
        </w:tc>
        <w:tc>
          <w:tcPr>
            <w:tcW w:w="4275" w:type="dxa"/>
            <w:tcMar/>
          </w:tcPr>
          <w:p w:rsidRPr="008E75CA" w:rsidR="0087371E" w:rsidP="605DC8B8" w:rsidRDefault="00E70116" w14:paraId="48779055" w14:textId="161F7541">
            <w:pPr>
              <w:spacing w:after="120"/>
              <w:rPr>
                <w:rFonts w:ascii="Arial" w:hAnsi="Arial" w:eastAsia="Arial" w:cs="Arial"/>
                <w:b w:val="1"/>
                <w:bCs w:val="1"/>
              </w:rPr>
            </w:pPr>
            <w:r w:rsidRPr="605DC8B8" w:rsidR="74F8BFAB">
              <w:rPr>
                <w:rFonts w:ascii="Arial" w:hAnsi="Arial" w:eastAsia="Arial" w:cs="Arial"/>
                <w:b w:val="1"/>
                <w:bCs w:val="1"/>
              </w:rPr>
              <w:t>On</w:t>
            </w:r>
            <w:r w:rsidRPr="605DC8B8" w:rsidR="0087371E">
              <w:rPr>
                <w:rFonts w:ascii="Arial" w:hAnsi="Arial" w:eastAsia="Arial" w:cs="Arial"/>
                <w:b w:val="1"/>
                <w:bCs w:val="1"/>
              </w:rPr>
              <w:t xml:space="preserve"> 30 September 2029</w:t>
            </w:r>
          </w:p>
        </w:tc>
      </w:tr>
      <w:tr w:rsidR="0087371E" w:rsidTr="605DC8B8" w14:paraId="32F34075" w14:textId="77777777">
        <w:tc>
          <w:tcPr>
            <w:tcW w:w="4410" w:type="dxa"/>
            <w:tcMar/>
          </w:tcPr>
          <w:p w:rsidRPr="008E75CA" w:rsidR="0087371E" w:rsidP="605DC8B8" w:rsidRDefault="0087371E" w14:paraId="4CA5CEE2" w14:textId="77777777">
            <w:pPr>
              <w:spacing w:after="120"/>
              <w:rPr>
                <w:rFonts w:ascii="Arial" w:hAnsi="Arial" w:eastAsia="Arial" w:cs="Arial"/>
              </w:rPr>
            </w:pPr>
            <w:r w:rsidRPr="605DC8B8" w:rsidR="0087371E">
              <w:rPr>
                <w:rFonts w:ascii="Arial" w:hAnsi="Arial" w:eastAsia="Arial" w:cs="Arial"/>
              </w:rPr>
              <w:t>Personal, commercial, government and bank cheques are no longer issued.</w:t>
            </w:r>
          </w:p>
          <w:p w:rsidRPr="008E75CA" w:rsidR="0087371E" w:rsidP="605DC8B8" w:rsidRDefault="0087371E" w14:paraId="5BF9063A" w14:textId="433D6B64">
            <w:pPr>
              <w:spacing w:after="120"/>
              <w:rPr>
                <w:rFonts w:ascii="Arial" w:hAnsi="Arial" w:eastAsia="Arial" w:cs="Arial"/>
              </w:rPr>
            </w:pPr>
            <w:r w:rsidRPr="605DC8B8" w:rsidR="0087371E">
              <w:rPr>
                <w:rFonts w:ascii="Arial" w:hAnsi="Arial" w:eastAsia="Arial" w:cs="Arial"/>
              </w:rPr>
              <w:t>Cheques written after this date will not be accepted, and no payment will be made.</w:t>
            </w:r>
          </w:p>
        </w:tc>
        <w:tc>
          <w:tcPr>
            <w:tcW w:w="4275" w:type="dxa"/>
            <w:tcMar/>
          </w:tcPr>
          <w:p w:rsidRPr="008E75CA" w:rsidR="0087371E" w:rsidP="605DC8B8" w:rsidRDefault="0087371E" w14:paraId="552049F9" w14:textId="77777777">
            <w:pPr>
              <w:spacing w:after="120"/>
              <w:rPr>
                <w:rFonts w:ascii="Arial" w:hAnsi="Arial" w:eastAsia="Arial" w:cs="Arial"/>
              </w:rPr>
            </w:pPr>
            <w:r w:rsidRPr="605DC8B8" w:rsidR="0087371E">
              <w:rPr>
                <w:rFonts w:ascii="Arial" w:hAnsi="Arial" w:eastAsia="Arial" w:cs="Arial"/>
              </w:rPr>
              <w:t xml:space="preserve">Personal, commercial, government and bank cheques are no longer accepted for payment by financial institutions. </w:t>
            </w:r>
          </w:p>
          <w:p w:rsidRPr="008E75CA" w:rsidR="0087371E" w:rsidP="605DC8B8" w:rsidRDefault="0087371E" w14:paraId="7B70D6F4" w14:textId="119AEA7C">
            <w:pPr>
              <w:spacing w:after="120"/>
              <w:rPr>
                <w:rFonts w:ascii="Arial" w:hAnsi="Arial" w:eastAsia="Arial" w:cs="Arial"/>
              </w:rPr>
            </w:pPr>
            <w:r w:rsidRPr="605DC8B8" w:rsidR="0087371E">
              <w:rPr>
                <w:rFonts w:ascii="Arial" w:hAnsi="Arial" w:eastAsia="Arial" w:cs="Arial"/>
              </w:rPr>
              <w:t>The cheques system is closed.</w:t>
            </w:r>
          </w:p>
        </w:tc>
      </w:tr>
    </w:tbl>
    <w:p w:rsidR="0087371E" w:rsidP="605DC8B8" w:rsidRDefault="0087371E" w14:paraId="6E50849D" w14:textId="77777777">
      <w:pPr>
        <w:spacing w:before="0" w:after="0" w:line="240" w:lineRule="auto"/>
        <w:rPr>
          <w:rFonts w:ascii="Arial" w:hAnsi="Arial" w:eastAsia="Arial" w:cs="Arial"/>
        </w:rPr>
      </w:pPr>
    </w:p>
    <w:p w:rsidRPr="000A3777" w:rsidR="006D00F5" w:rsidP="605DC8B8" w:rsidRDefault="00D01759" w14:paraId="72EAD78A" w14:textId="6719CCB6">
      <w:pPr>
        <w:spacing w:before="0" w:after="0" w:line="240" w:lineRule="auto"/>
        <w:rPr>
          <w:rFonts w:ascii="Arial" w:hAnsi="Arial" w:eastAsia="Arial" w:cs="Arial"/>
        </w:rPr>
      </w:pPr>
      <w:r w:rsidRPr="605DC8B8" w:rsidR="00D01759">
        <w:rPr>
          <w:rFonts w:ascii="Arial" w:hAnsi="Arial" w:eastAsia="Arial" w:cs="Arial"/>
        </w:rPr>
        <w:t xml:space="preserve">The plan </w:t>
      </w:r>
      <w:r w:rsidRPr="605DC8B8" w:rsidR="00A9786F">
        <w:rPr>
          <w:rFonts w:ascii="Arial" w:hAnsi="Arial" w:eastAsia="Arial" w:cs="Arial"/>
        </w:rPr>
        <w:t xml:space="preserve">to close cheques are part of efforts to modernise Australia’s payment system and follow a sustained long-term decline in cheque usage, as consumers and businesses increasingly turn to cheaper, faster, more convenient and secure payment methods. </w:t>
      </w:r>
    </w:p>
    <w:p w:rsidRPr="000A3777" w:rsidR="006D00F5" w:rsidP="605DC8B8" w:rsidRDefault="006D00F5" w14:paraId="365BB7CE" w14:textId="77777777">
      <w:pPr>
        <w:spacing w:before="0" w:after="0" w:line="240" w:lineRule="auto"/>
        <w:rPr>
          <w:rFonts w:ascii="Arial" w:hAnsi="Arial" w:eastAsia="Arial" w:cs="Arial"/>
        </w:rPr>
      </w:pPr>
    </w:p>
    <w:p w:rsidRPr="000A3777" w:rsidR="006D00F5" w:rsidP="605DC8B8" w:rsidRDefault="00A9786F" w14:paraId="77A71840" w14:textId="77777777">
      <w:pPr>
        <w:spacing w:before="0" w:after="0" w:line="240" w:lineRule="auto"/>
        <w:rPr>
          <w:rFonts w:ascii="Arial" w:hAnsi="Arial" w:eastAsia="Arial" w:cs="Arial"/>
        </w:rPr>
      </w:pPr>
      <w:r w:rsidRPr="605DC8B8" w:rsidR="00A9786F">
        <w:rPr>
          <w:rFonts w:ascii="Arial" w:hAnsi="Arial" w:eastAsia="Arial" w:cs="Arial"/>
        </w:rPr>
        <w:t>While they were commonplace as recently as 20 years ago, cheques today account for less than 0.1% of all retail payments in Australia.</w:t>
      </w:r>
    </w:p>
    <w:p w:rsidRPr="000A3777" w:rsidR="00CC6BCF" w:rsidP="605DC8B8" w:rsidRDefault="00CC6BCF" w14:paraId="2B0D27F5" w14:textId="4EE2B581">
      <w:pPr>
        <w:spacing w:before="0" w:after="0" w:line="240" w:lineRule="auto"/>
        <w:rPr>
          <w:rFonts w:ascii="Arial" w:hAnsi="Arial" w:eastAsia="Arial" w:cs="Arial"/>
          <w:b w:val="1"/>
          <w:bCs w:val="1"/>
        </w:rPr>
      </w:pPr>
      <w:r>
        <w:br/>
      </w:r>
      <w:r w:rsidRPr="605DC8B8" w:rsidR="16B457B7">
        <w:rPr>
          <w:rFonts w:ascii="Arial" w:hAnsi="Arial" w:eastAsia="Arial" w:cs="Arial"/>
          <w:b w:val="1"/>
          <w:bCs w:val="1"/>
        </w:rPr>
        <w:t xml:space="preserve">Helping cheque users to make the shift </w:t>
      </w:r>
    </w:p>
    <w:p w:rsidRPr="000A3777" w:rsidR="00CC6BCF" w:rsidP="605DC8B8" w:rsidRDefault="00CC6BCF" w14:paraId="72E10852" w14:textId="7AB48043">
      <w:pPr>
        <w:spacing w:before="0" w:after="0" w:line="240" w:lineRule="auto"/>
        <w:rPr>
          <w:rFonts w:ascii="Arial" w:hAnsi="Arial" w:eastAsia="Arial" w:cs="Arial"/>
        </w:rPr>
      </w:pPr>
      <w:r>
        <w:br/>
      </w:r>
      <w:r w:rsidRPr="605DC8B8" w:rsidR="464A7AF6">
        <w:rPr>
          <w:rFonts w:ascii="Arial" w:hAnsi="Arial" w:eastAsia="Arial" w:cs="Arial"/>
        </w:rPr>
        <w:t>Governments and the payments industry are working together to ensure a smooth and orderly transition away from cheques. As part of this work, it is important that Australians who still use cheques understand the alternative payment methods</w:t>
      </w:r>
      <w:r w:rsidRPr="605DC8B8" w:rsidR="5FFBBDB0">
        <w:rPr>
          <w:rFonts w:ascii="Arial" w:hAnsi="Arial" w:eastAsia="Arial" w:cs="Arial"/>
        </w:rPr>
        <w:t xml:space="preserve">. </w:t>
      </w:r>
      <w:r w:rsidRPr="605DC8B8" w:rsidR="3A6E3119">
        <w:rPr>
          <w:rFonts w:ascii="Arial" w:hAnsi="Arial" w:eastAsia="Arial" w:cs="Arial"/>
          <w:color w:val="auto"/>
        </w:rPr>
        <w:t>Adopting new</w:t>
      </w:r>
      <w:r w:rsidRPr="605DC8B8" w:rsidR="7EA97273">
        <w:rPr>
          <w:rFonts w:ascii="Arial" w:hAnsi="Arial" w:eastAsia="Arial" w:cs="Arial"/>
          <w:color w:val="auto"/>
        </w:rPr>
        <w:t xml:space="preserve"> payment methods may be difficult for some people</w:t>
      </w:r>
      <w:r w:rsidRPr="605DC8B8" w:rsidR="3A6E3119">
        <w:rPr>
          <w:rFonts w:ascii="Arial" w:hAnsi="Arial" w:eastAsia="Arial" w:cs="Arial"/>
          <w:color w:val="auto"/>
        </w:rPr>
        <w:t xml:space="preserve">, including </w:t>
      </w:r>
      <w:r w:rsidRPr="605DC8B8" w:rsidR="764092B9">
        <w:rPr>
          <w:rFonts w:ascii="Arial" w:hAnsi="Arial" w:eastAsia="Arial" w:cs="Arial"/>
          <w:color w:val="auto"/>
        </w:rPr>
        <w:t>older Australians</w:t>
      </w:r>
      <w:r w:rsidRPr="605DC8B8" w:rsidR="5F443182">
        <w:rPr>
          <w:rFonts w:ascii="Arial" w:hAnsi="Arial" w:eastAsia="Arial" w:cs="Arial"/>
          <w:color w:val="auto"/>
        </w:rPr>
        <w:t xml:space="preserve"> and those living in remote communities</w:t>
      </w:r>
      <w:r w:rsidRPr="605DC8B8" w:rsidR="7EA97273">
        <w:rPr>
          <w:rFonts w:ascii="Arial" w:hAnsi="Arial" w:eastAsia="Arial" w:cs="Arial"/>
          <w:color w:val="auto"/>
        </w:rPr>
        <w:t xml:space="preserve">. </w:t>
      </w:r>
      <w:r w:rsidRPr="605DC8B8" w:rsidR="2740B2D5">
        <w:rPr>
          <w:rFonts w:ascii="Arial" w:hAnsi="Arial" w:eastAsia="Arial" w:cs="Arial"/>
          <w:color w:val="auto"/>
        </w:rPr>
        <w:t xml:space="preserve">Banks and financial institutions are ready to support </w:t>
      </w:r>
      <w:r w:rsidRPr="605DC8B8" w:rsidR="58F8BF5E">
        <w:rPr>
          <w:rFonts w:ascii="Arial" w:hAnsi="Arial" w:eastAsia="Arial" w:cs="Arial"/>
          <w:color w:val="auto"/>
        </w:rPr>
        <w:t>cheque users in their transition</w:t>
      </w:r>
      <w:r w:rsidRPr="605DC8B8" w:rsidR="7EA97273">
        <w:rPr>
          <w:rFonts w:ascii="Arial" w:hAnsi="Arial" w:eastAsia="Arial" w:cs="Arial"/>
          <w:color w:val="auto"/>
        </w:rPr>
        <w:t>.</w:t>
      </w:r>
    </w:p>
    <w:p w:rsidRPr="00D332CE" w:rsidR="00CC6BCF" w:rsidP="605DC8B8" w:rsidRDefault="00A2673A" w14:paraId="7F996892" w14:textId="094A358B">
      <w:pPr>
        <w:rPr>
          <w:rFonts w:ascii="Arial" w:hAnsi="Arial" w:eastAsia="Arial" w:cs="Arial"/>
          <w:b w:val="1"/>
          <w:bCs w:val="1"/>
        </w:rPr>
      </w:pPr>
      <w:r>
        <w:br/>
      </w:r>
      <w:r w:rsidRPr="605DC8B8" w:rsidR="00CC6BCF">
        <w:rPr>
          <w:rFonts w:ascii="Arial" w:hAnsi="Arial" w:eastAsia="Arial" w:cs="Arial"/>
          <w:b w:val="1"/>
          <w:bCs w:val="1"/>
        </w:rPr>
        <w:t>Alternative ways to pay</w:t>
      </w:r>
    </w:p>
    <w:p w:rsidRPr="000A3777" w:rsidR="00CC6BCF" w:rsidP="605DC8B8" w:rsidRDefault="00CC6BCF" w14:paraId="748BF584" w14:textId="6B064683">
      <w:pPr>
        <w:tabs>
          <w:tab w:val="left" w:pos="3156"/>
        </w:tabs>
        <w:rPr>
          <w:rFonts w:ascii="Arial" w:hAnsi="Arial" w:eastAsia="Arial" w:cs="Arial"/>
        </w:rPr>
      </w:pPr>
      <w:r w:rsidRPr="605DC8B8" w:rsidR="00CC6BCF">
        <w:rPr>
          <w:rFonts w:ascii="Arial" w:hAnsi="Arial" w:eastAsia="Arial" w:cs="Arial"/>
        </w:rPr>
        <w:t>There are many alternative ways to pay that are faster, more efficient, convenient and have additional protection measures. These alternatives include: </w:t>
      </w:r>
    </w:p>
    <w:p w:rsidRPr="000A3777" w:rsidR="00CC6BCF" w:rsidP="605DC8B8" w:rsidRDefault="52CA51EE" w14:paraId="01478BA9" w14:textId="65DADECE">
      <w:pPr>
        <w:pStyle w:val="ListParagraph"/>
        <w:numPr>
          <w:ilvl w:val="0"/>
          <w:numId w:val="3"/>
        </w:numPr>
        <w:tabs>
          <w:tab w:val="left" w:pos="3156"/>
        </w:tabs>
        <w:spacing w:before="0"/>
        <w:rPr>
          <w:rFonts w:ascii="Arial" w:hAnsi="Arial" w:eastAsia="Arial" w:cs="Arial"/>
        </w:rPr>
      </w:pPr>
      <w:r w:rsidRPr="605DC8B8" w:rsidR="52CA51EE">
        <w:rPr>
          <w:rFonts w:ascii="Arial" w:hAnsi="Arial" w:eastAsia="Arial" w:cs="Arial"/>
        </w:rPr>
        <w:t>Direct deposit (bank account transfer)</w:t>
      </w:r>
    </w:p>
    <w:p w:rsidRPr="000A3777" w:rsidR="00CC6BCF" w:rsidP="605DC8B8" w:rsidRDefault="52CA51EE" w14:paraId="2A0D62FA" w14:textId="68511DC8">
      <w:pPr>
        <w:pStyle w:val="ListParagraph"/>
        <w:numPr>
          <w:ilvl w:val="0"/>
          <w:numId w:val="3"/>
        </w:numPr>
        <w:tabs>
          <w:tab w:val="left" w:pos="3156"/>
        </w:tabs>
        <w:rPr>
          <w:rFonts w:ascii="Arial" w:hAnsi="Arial" w:eastAsia="Arial" w:cs="Arial"/>
        </w:rPr>
      </w:pPr>
      <w:r w:rsidRPr="605DC8B8" w:rsidR="52CA51EE">
        <w:rPr>
          <w:rFonts w:ascii="Arial" w:hAnsi="Arial" w:eastAsia="Arial" w:cs="Arial"/>
        </w:rPr>
        <w:t>Bank@Post</w:t>
      </w:r>
    </w:p>
    <w:p w:rsidRPr="000A3777" w:rsidR="00CC6BCF" w:rsidP="605DC8B8" w:rsidRDefault="52CA51EE" w14:paraId="7CB68C1F" w14:textId="21AE3FFA">
      <w:pPr>
        <w:pStyle w:val="ListParagraph"/>
        <w:numPr>
          <w:ilvl w:val="0"/>
          <w:numId w:val="3"/>
        </w:numPr>
        <w:tabs>
          <w:tab w:val="left" w:pos="3156"/>
        </w:tabs>
        <w:rPr>
          <w:rFonts w:ascii="Arial" w:hAnsi="Arial" w:eastAsia="Arial" w:cs="Arial"/>
        </w:rPr>
      </w:pPr>
      <w:r w:rsidRPr="605DC8B8" w:rsidR="52CA51EE">
        <w:rPr>
          <w:rFonts w:ascii="Arial" w:hAnsi="Arial" w:eastAsia="Arial" w:cs="Arial"/>
        </w:rPr>
        <w:t>BPAY</w:t>
      </w:r>
    </w:p>
    <w:p w:rsidRPr="000A3777" w:rsidR="00CC6BCF" w:rsidP="605DC8B8" w:rsidRDefault="52CA51EE" w14:paraId="6C26CEDA" w14:textId="16565CC1">
      <w:pPr>
        <w:pStyle w:val="ListParagraph"/>
        <w:numPr>
          <w:ilvl w:val="0"/>
          <w:numId w:val="3"/>
        </w:numPr>
        <w:tabs>
          <w:tab w:val="left" w:pos="3156"/>
        </w:tabs>
        <w:rPr>
          <w:rFonts w:ascii="Arial" w:hAnsi="Arial" w:eastAsia="Arial" w:cs="Arial"/>
        </w:rPr>
      </w:pPr>
      <w:r w:rsidRPr="605DC8B8" w:rsidR="52CA51EE">
        <w:rPr>
          <w:rFonts w:ascii="Arial" w:hAnsi="Arial" w:eastAsia="Arial" w:cs="Arial"/>
        </w:rPr>
        <w:t xml:space="preserve">Credit and debit cards </w:t>
      </w:r>
    </w:p>
    <w:p w:rsidRPr="000A3777" w:rsidR="00CC6BCF" w:rsidP="605DC8B8" w:rsidRDefault="52CA51EE" w14:paraId="2818A72C" w14:textId="08FAF40F">
      <w:pPr>
        <w:pStyle w:val="ListParagraph"/>
        <w:numPr>
          <w:ilvl w:val="0"/>
          <w:numId w:val="3"/>
        </w:numPr>
        <w:tabs>
          <w:tab w:val="left" w:pos="3156"/>
        </w:tabs>
        <w:rPr>
          <w:rFonts w:ascii="Arial" w:hAnsi="Arial" w:eastAsia="Arial" w:cs="Arial"/>
        </w:rPr>
      </w:pPr>
      <w:r w:rsidRPr="605DC8B8" w:rsidR="52CA51EE">
        <w:rPr>
          <w:rFonts w:ascii="Arial" w:hAnsi="Arial" w:eastAsia="Arial" w:cs="Arial"/>
        </w:rPr>
        <w:t xml:space="preserve">Account-to-account direct debit </w:t>
      </w:r>
    </w:p>
    <w:p w:rsidRPr="000A3777" w:rsidR="00CC6BCF" w:rsidP="605DC8B8" w:rsidRDefault="52CA51EE" w14:paraId="2EB971ED" w14:textId="408B6AC6">
      <w:pPr>
        <w:pStyle w:val="ListParagraph"/>
        <w:numPr>
          <w:ilvl w:val="0"/>
          <w:numId w:val="3"/>
        </w:numPr>
        <w:tabs>
          <w:tab w:val="left" w:pos="3156"/>
        </w:tabs>
        <w:rPr>
          <w:rFonts w:ascii="Arial" w:hAnsi="Arial" w:eastAsia="Arial" w:cs="Arial"/>
        </w:rPr>
      </w:pPr>
      <w:r w:rsidRPr="605DC8B8" w:rsidR="52CA51EE">
        <w:rPr>
          <w:rFonts w:ascii="Arial" w:hAnsi="Arial" w:eastAsia="Arial" w:cs="Arial"/>
        </w:rPr>
        <w:t>Digital wallets</w:t>
      </w:r>
    </w:p>
    <w:p w:rsidRPr="000A3777" w:rsidR="00CC6BCF" w:rsidP="605DC8B8" w:rsidRDefault="52CA51EE" w14:paraId="60D6748F" w14:textId="1C55C3A4">
      <w:pPr>
        <w:pStyle w:val="ListParagraph"/>
        <w:numPr>
          <w:ilvl w:val="0"/>
          <w:numId w:val="3"/>
        </w:numPr>
        <w:tabs>
          <w:tab w:val="left" w:pos="3156"/>
        </w:tabs>
        <w:rPr>
          <w:rFonts w:ascii="Arial" w:hAnsi="Arial" w:eastAsia="Arial" w:cs="Arial"/>
        </w:rPr>
      </w:pPr>
      <w:r w:rsidRPr="605DC8B8" w:rsidR="52CA51EE">
        <w:rPr>
          <w:rFonts w:ascii="Arial" w:hAnsi="Arial" w:eastAsia="Arial" w:cs="Arial"/>
        </w:rPr>
        <w:t>Cash.</w:t>
      </w:r>
    </w:p>
    <w:p w:rsidRPr="000A3777" w:rsidR="00CC6BCF" w:rsidP="605DC8B8" w:rsidRDefault="00CC6BCF" w14:paraId="5F55F75D" w14:textId="107AB96A">
      <w:pPr>
        <w:tabs>
          <w:tab w:val="left" w:pos="3156"/>
        </w:tabs>
        <w:rPr>
          <w:rFonts w:ascii="Arial" w:hAnsi="Arial" w:eastAsia="Arial" w:cs="Arial"/>
        </w:rPr>
      </w:pPr>
      <w:r w:rsidRPr="605DC8B8" w:rsidR="00CC6BCF">
        <w:rPr>
          <w:rFonts w:ascii="Arial" w:hAnsi="Arial" w:eastAsia="Arial" w:cs="Arial"/>
        </w:rPr>
        <w:t xml:space="preserve">While cheques can take several business days to clear, these payment methods are fast, efficient, convenient and </w:t>
      </w:r>
      <w:r w:rsidRPr="605DC8B8" w:rsidR="00CC6BCF">
        <w:rPr>
          <w:rFonts w:ascii="Arial" w:hAnsi="Arial" w:eastAsia="Arial" w:cs="Arial"/>
          <w:color w:val="auto"/>
        </w:rPr>
        <w:t xml:space="preserve">have </w:t>
      </w:r>
      <w:r w:rsidRPr="605DC8B8" w:rsidR="00247740">
        <w:rPr>
          <w:rFonts w:ascii="Arial" w:hAnsi="Arial" w:eastAsia="Arial" w:cs="Arial"/>
          <w:color w:val="auto"/>
        </w:rPr>
        <w:t>added security protections</w:t>
      </w:r>
      <w:r w:rsidRPr="605DC8B8" w:rsidR="00CC6BCF">
        <w:rPr>
          <w:rFonts w:ascii="Arial" w:hAnsi="Arial" w:eastAsia="Arial" w:cs="Arial"/>
          <w:color w:val="auto"/>
        </w:rPr>
        <w:t xml:space="preserve">. </w:t>
      </w:r>
    </w:p>
    <w:p w:rsidRPr="000A3777" w:rsidR="00CC6BCF" w:rsidP="605DC8B8" w:rsidRDefault="00CC6BCF" w14:paraId="0BE57964" w14:textId="77777777">
      <w:pPr>
        <w:tabs>
          <w:tab w:val="left" w:pos="3156"/>
        </w:tabs>
        <w:rPr>
          <w:rFonts w:ascii="Arial" w:hAnsi="Arial" w:eastAsia="Arial" w:cs="Arial"/>
        </w:rPr>
      </w:pPr>
      <w:r w:rsidRPr="605DC8B8" w:rsidR="00CC6BCF">
        <w:rPr>
          <w:rFonts w:ascii="Arial" w:hAnsi="Arial" w:eastAsia="Arial" w:cs="Arial"/>
        </w:rPr>
        <w:t xml:space="preserve">[Insert </w:t>
      </w:r>
      <w:r w:rsidRPr="605DC8B8" w:rsidR="00CC6BCF">
        <w:rPr>
          <w:rFonts w:ascii="Arial" w:hAnsi="Arial" w:eastAsia="Arial" w:cs="Arial"/>
        </w:rPr>
        <w:t xml:space="preserve">any </w:t>
      </w:r>
      <w:r w:rsidRPr="605DC8B8" w:rsidR="00CC6BCF">
        <w:rPr>
          <w:rFonts w:ascii="Arial" w:hAnsi="Arial" w:eastAsia="Arial" w:cs="Arial"/>
        </w:rPr>
        <w:t>messaging specific to stakeholder group</w:t>
      </w:r>
      <w:r w:rsidRPr="605DC8B8" w:rsidR="00CC6BCF">
        <w:rPr>
          <w:rFonts w:ascii="Arial" w:hAnsi="Arial" w:eastAsia="Arial" w:cs="Arial"/>
        </w:rPr>
        <w:t>]</w:t>
      </w:r>
    </w:p>
    <w:p w:rsidR="00CC6BCF" w:rsidP="605DC8B8" w:rsidRDefault="00CC6BCF" w14:paraId="299CCE53" w14:textId="0F01BF19">
      <w:pPr>
        <w:tabs>
          <w:tab w:val="left" w:pos="3156"/>
        </w:tabs>
        <w:rPr>
          <w:rFonts w:ascii="Arial" w:hAnsi="Arial" w:eastAsia="Arial" w:cs="Arial"/>
        </w:rPr>
      </w:pPr>
      <w:r w:rsidRPr="605DC8B8" w:rsidR="00CC6BCF">
        <w:rPr>
          <w:rFonts w:ascii="Arial" w:hAnsi="Arial" w:eastAsia="Arial" w:cs="Arial"/>
        </w:rPr>
        <w:t>Banks and financial institutions are on hand to help you make the transition to alternative payment methods - contact yours if you want to know more.</w:t>
      </w:r>
      <w:r w:rsidRPr="605DC8B8" w:rsidR="7D3BD342">
        <w:rPr>
          <w:rFonts w:ascii="Arial" w:hAnsi="Arial" w:eastAsia="Arial" w:cs="Arial"/>
        </w:rPr>
        <w:t xml:space="preserve"> </w:t>
      </w:r>
    </w:p>
    <w:sectPr w:rsidR="00CC6BCF" w:rsidSect="00A2673A">
      <w:pgSz w:w="11906" w:h="16838" w:orient="portrait"/>
      <w:pgMar w:top="360" w:right="1440" w:bottom="728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6054F" w:rsidP="000A3777" w:rsidRDefault="00F6054F" w14:paraId="45D70764" w14:textId="77777777">
      <w:pPr>
        <w:spacing w:before="0" w:after="0" w:line="240" w:lineRule="auto"/>
      </w:pPr>
      <w:r>
        <w:separator/>
      </w:r>
    </w:p>
  </w:endnote>
  <w:endnote w:type="continuationSeparator" w:id="0">
    <w:p w:rsidR="00F6054F" w:rsidP="000A3777" w:rsidRDefault="00F6054F" w14:paraId="65AE57E3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0EFD5157-70CB-469E-9C71-10E9183051ED}" r:id="rId1"/>
    <w:embedBold w:fontKey="{E34683B7-6286-44A6-9BD6-EEDBC5C37431}" r:id="rId2"/>
    <w:embedItalic w:fontKey="{1A6027BA-A419-47DB-84B5-C767465F26B9}" r:id="rId3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w:fontKey="{7715D839-C1D9-4D70-876F-40C45F8F2677}" r:id="rId4"/>
  </w:font>
  <w:font w:name="Open Sans SemiBold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w:fontKey="{3CC9AFCC-B211-49FE-9A00-55F920BAA089}" r:id="rId5"/>
    <w:embedItalic w:fontKey="{897C2069-615C-47EA-B87E-615DF4C803C6}" r:id="rId6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w:fontKey="{DAB07E9A-5AF5-43E4-9FAE-146D8F961EE2}" r:id="rId7"/>
    <w:embedBold w:fontKey="{E369F555-5741-4E01-9F07-7378DD0F0A0B}" r:id="rId8"/>
  </w:font>
  <w:font w:name="Angsana New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30C2D1AD-7A00-413D-9949-B744FD22562D}" r:id="rId9"/>
  </w:font>
  <w:font w:name="Aptos">
    <w:panose1 w:val="00000000000000000000"/>
    <w:charset w:val="00"/>
    <w:family w:val="roman"/>
    <w:notTrueType/>
    <w:pitch w:val="default"/>
    <w:embedRegular w:fontKey="{7844E659-A0B2-46A2-B5B8-42ECA8474006}" r:id="rId10"/>
    <w:embedBold w:fontKey="{A67F8984-586F-4C1B-B793-6712B2258E5F}" r:id="rId11"/>
  </w:font>
  <w:font w:name="Cordia New">
    <w:panose1 w:val="020B0304020202020204"/>
    <w:charset w:val="DE"/>
    <w:family w:val="roman"/>
    <w:pitch w:val="variable"/>
    <w:sig w:usb0="01000001" w:usb1="00000000" w:usb2="00000000" w:usb3="00000000" w:csb0="0001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6054F" w:rsidP="000A3777" w:rsidRDefault="00F6054F" w14:paraId="5B06F98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F6054F" w:rsidP="000A3777" w:rsidRDefault="00F6054F" w14:paraId="3D132A00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F747FB"/>
    <w:multiLevelType w:val="multilevel"/>
    <w:tmpl w:val="406619B4"/>
    <w:lvl w:ilvl="0">
      <w:start w:val="1"/>
      <w:numFmt w:val="decimal"/>
      <w:pStyle w:val="ListBullet3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C894664"/>
    <w:multiLevelType w:val="hybridMultilevel"/>
    <w:tmpl w:val="52308794"/>
    <w:lvl w:ilvl="0" w:tplc="0C090005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66DB2F69"/>
    <w:multiLevelType w:val="multilevel"/>
    <w:tmpl w:val="30F236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001395121">
    <w:abstractNumId w:val="2"/>
  </w:num>
  <w:num w:numId="2" w16cid:durableId="700476353">
    <w:abstractNumId w:val="0"/>
  </w:num>
  <w:num w:numId="3" w16cid:durableId="19821555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0F5"/>
    <w:rsid w:val="00016365"/>
    <w:rsid w:val="0006271B"/>
    <w:rsid w:val="00062EA2"/>
    <w:rsid w:val="000964FE"/>
    <w:rsid w:val="000A3777"/>
    <w:rsid w:val="000D66B6"/>
    <w:rsid w:val="000E2D98"/>
    <w:rsid w:val="000E4B8A"/>
    <w:rsid w:val="00102A8D"/>
    <w:rsid w:val="00136020"/>
    <w:rsid w:val="0015061D"/>
    <w:rsid w:val="001871BD"/>
    <w:rsid w:val="001917E1"/>
    <w:rsid w:val="001E6DE4"/>
    <w:rsid w:val="002155EF"/>
    <w:rsid w:val="00247740"/>
    <w:rsid w:val="003309EC"/>
    <w:rsid w:val="00380F7B"/>
    <w:rsid w:val="004F3CB6"/>
    <w:rsid w:val="0056516C"/>
    <w:rsid w:val="005E607D"/>
    <w:rsid w:val="006D00F5"/>
    <w:rsid w:val="006D38C2"/>
    <w:rsid w:val="00710FAF"/>
    <w:rsid w:val="0072496E"/>
    <w:rsid w:val="00760F64"/>
    <w:rsid w:val="00793108"/>
    <w:rsid w:val="007E3595"/>
    <w:rsid w:val="007E4AB9"/>
    <w:rsid w:val="007E63A9"/>
    <w:rsid w:val="00814E59"/>
    <w:rsid w:val="00853B5A"/>
    <w:rsid w:val="0087371E"/>
    <w:rsid w:val="008B4722"/>
    <w:rsid w:val="008E75CA"/>
    <w:rsid w:val="00910A86"/>
    <w:rsid w:val="009B2F66"/>
    <w:rsid w:val="00A2673A"/>
    <w:rsid w:val="00A41FB2"/>
    <w:rsid w:val="00A51BA9"/>
    <w:rsid w:val="00A75E7F"/>
    <w:rsid w:val="00A9786F"/>
    <w:rsid w:val="00AA0C75"/>
    <w:rsid w:val="00B0547F"/>
    <w:rsid w:val="00B36BCA"/>
    <w:rsid w:val="00C07626"/>
    <w:rsid w:val="00C116BA"/>
    <w:rsid w:val="00CA11CB"/>
    <w:rsid w:val="00CB7302"/>
    <w:rsid w:val="00CC6BCF"/>
    <w:rsid w:val="00D01759"/>
    <w:rsid w:val="00D0350B"/>
    <w:rsid w:val="00D0618E"/>
    <w:rsid w:val="00D13612"/>
    <w:rsid w:val="00D24E2E"/>
    <w:rsid w:val="00D332CE"/>
    <w:rsid w:val="00D94F2D"/>
    <w:rsid w:val="00E2455E"/>
    <w:rsid w:val="00E379ED"/>
    <w:rsid w:val="00E46E6C"/>
    <w:rsid w:val="00E70116"/>
    <w:rsid w:val="00EC39C8"/>
    <w:rsid w:val="00F35EC5"/>
    <w:rsid w:val="00F6054F"/>
    <w:rsid w:val="019BBAF0"/>
    <w:rsid w:val="01B81E96"/>
    <w:rsid w:val="10AFE4B6"/>
    <w:rsid w:val="16B457B7"/>
    <w:rsid w:val="19F970CE"/>
    <w:rsid w:val="1E46F3B1"/>
    <w:rsid w:val="21A1B899"/>
    <w:rsid w:val="2740B2D5"/>
    <w:rsid w:val="2A78259C"/>
    <w:rsid w:val="3098AB69"/>
    <w:rsid w:val="3A6E3119"/>
    <w:rsid w:val="3BA2E316"/>
    <w:rsid w:val="3C04177F"/>
    <w:rsid w:val="464A7AF6"/>
    <w:rsid w:val="4B7972B2"/>
    <w:rsid w:val="4BE1D1AF"/>
    <w:rsid w:val="52CA51EE"/>
    <w:rsid w:val="58F8BF5E"/>
    <w:rsid w:val="5EF214F2"/>
    <w:rsid w:val="5F443182"/>
    <w:rsid w:val="5FFBBDB0"/>
    <w:rsid w:val="605DC8B8"/>
    <w:rsid w:val="627FF768"/>
    <w:rsid w:val="6289C5E7"/>
    <w:rsid w:val="66A336FC"/>
    <w:rsid w:val="74F8BFAB"/>
    <w:rsid w:val="764092B9"/>
    <w:rsid w:val="79F45C10"/>
    <w:rsid w:val="7D3BD342"/>
    <w:rsid w:val="7EA97273"/>
    <w:rsid w:val="7F37D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D5E855"/>
  <w15:docId w15:val="{E4ECDDBF-C0C5-48AF-9331-06DD54ACC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hAnsi="Calibri" w:eastAsia="Calibri" w:cs="Calibri"/>
        <w:sz w:val="22"/>
        <w:szCs w:val="22"/>
        <w:lang w:val="en-AU" w:eastAsia="zh-CN" w:bidi="th-TH"/>
      </w:rPr>
    </w:rPrDefault>
    <w:pPrDefault>
      <w:pPr>
        <w:spacing w:before="120"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b/>
      <w:bCs/>
      <w:color w:val="264F9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40" w:after="120"/>
      <w:outlineLvl w:val="1"/>
    </w:pPr>
    <w:rPr>
      <w:b/>
      <w:bCs/>
      <w:color w:val="264F9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40" w:after="120" w:line="240" w:lineRule="auto"/>
      <w:outlineLvl w:val="2"/>
    </w:pPr>
    <w:rPr>
      <w:b/>
      <w:bCs/>
      <w:color w:val="3F5F8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40" w:after="0" w:line="240" w:lineRule="auto"/>
      <w:outlineLvl w:val="3"/>
    </w:pPr>
    <w:rPr>
      <w:b/>
      <w:bCs/>
      <w:color w:val="3F5F83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before="4000" w:after="0" w:line="240" w:lineRule="auto"/>
    </w:pPr>
    <w:rPr>
      <w:b/>
      <w:bCs/>
      <w:color w:val="264F90"/>
      <w:sz w:val="72"/>
      <w:szCs w:val="72"/>
    </w:rPr>
  </w:style>
  <w:style w:type="table" w:styleId="TableNormal00" w:customStyle="1">
    <w:name w:val="TableNormal0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Hyperlink">
    <w:name w:val="Hyperlink"/>
    <w:basedOn w:val="DefaultParagraphFont"/>
    <w:uiPriority w:val="99"/>
    <w:unhideWhenUsed/>
    <w:rsid w:val="006E6AE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E6AE4"/>
    <w:rPr>
      <w:color w:val="954F72" w:themeColor="followed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9A3CAF"/>
    <w:rPr>
      <w:rFonts w:eastAsiaTheme="majorEastAsia" w:cstheme="minorHAnsi"/>
      <w:b/>
      <w:color w:val="264F90"/>
      <w:sz w:val="40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AC6CF7"/>
    <w:rPr>
      <w:rFonts w:eastAsiaTheme="majorEastAsia" w:cstheme="minorHAnsi"/>
      <w:b/>
      <w:color w:val="264F90"/>
      <w:sz w:val="28"/>
      <w:szCs w:val="26"/>
    </w:rPr>
  </w:style>
  <w:style w:type="paragraph" w:styleId="ListParagraph">
    <w:name w:val="List Paragraph"/>
    <w:basedOn w:val="Normal"/>
    <w:uiPriority w:val="34"/>
    <w:qFormat/>
    <w:rsid w:val="006E6AE4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0469F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0469FE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rsid w:val="000469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69FE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0469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9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0469FE"/>
    <w:rPr>
      <w:rFonts w:ascii="Segoe UI" w:hAnsi="Segoe UI" w:cs="Segoe UI"/>
      <w:sz w:val="18"/>
      <w:szCs w:val="18"/>
    </w:rPr>
  </w:style>
  <w:style w:type="paragraph" w:styleId="Input" w:customStyle="1">
    <w:name w:val="Input"/>
    <w:basedOn w:val="Normal"/>
    <w:link w:val="InputChar"/>
    <w:qFormat/>
    <w:rsid w:val="00F71BBC"/>
    <w:pPr>
      <w:spacing w:after="120"/>
    </w:pPr>
    <w:rPr>
      <w:rFonts w:cs="Open Sans SemiBold"/>
      <w:noProof/>
      <w:color w:val="595959" w:themeColor="accent4" w:themeTint="A6"/>
      <w:szCs w:val="16"/>
      <w:lang w:eastAsia="en-AU"/>
    </w:rPr>
  </w:style>
  <w:style w:type="character" w:styleId="InputChar" w:customStyle="1">
    <w:name w:val="Input Char"/>
    <w:basedOn w:val="DefaultParagraphFont"/>
    <w:link w:val="Input"/>
    <w:rsid w:val="00F71BBC"/>
    <w:rPr>
      <w:rFonts w:cs="Open Sans SemiBold"/>
      <w:noProof/>
      <w:color w:val="595959" w:themeColor="accent4" w:themeTint="A6"/>
      <w:szCs w:val="16"/>
      <w:lang w:eastAsia="en-AU"/>
    </w:rPr>
  </w:style>
  <w:style w:type="table" w:styleId="TableGrid">
    <w:name w:val="Table Grid"/>
    <w:basedOn w:val="TableNormal"/>
    <w:uiPriority w:val="39"/>
    <w:rsid w:val="009943A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Guidance" w:customStyle="1">
    <w:name w:val="Guidance"/>
    <w:basedOn w:val="Normal"/>
    <w:link w:val="GuidanceChar"/>
    <w:rsid w:val="00087C4F"/>
    <w:pPr>
      <w:spacing w:after="120"/>
    </w:pPr>
    <w:rPr>
      <w:rFonts w:ascii="Open Sans SemiBold" w:hAnsi="Open Sans SemiBold" w:cs="Open Sans SemiBold"/>
      <w:noProof/>
      <w:color w:val="00B0F0"/>
      <w:sz w:val="16"/>
      <w:szCs w:val="16"/>
      <w:lang w:eastAsia="en-AU"/>
    </w:rPr>
  </w:style>
  <w:style w:type="character" w:styleId="GuidanceChar" w:customStyle="1">
    <w:name w:val="Guidance Char"/>
    <w:basedOn w:val="DefaultParagraphFont"/>
    <w:link w:val="Guidance"/>
    <w:rsid w:val="00087C4F"/>
    <w:rPr>
      <w:rFonts w:ascii="Open Sans SemiBold" w:hAnsi="Open Sans SemiBold" w:cs="Open Sans SemiBold"/>
      <w:noProof/>
      <w:color w:val="00B0F0"/>
      <w:sz w:val="16"/>
      <w:szCs w:val="16"/>
      <w:lang w:eastAsia="en-AU"/>
    </w:rPr>
  </w:style>
  <w:style w:type="table" w:styleId="BusinessPlantable" w:customStyle="1">
    <w:name w:val="Business Plan table"/>
    <w:basedOn w:val="TableNormal"/>
    <w:rsid w:val="00D455CD"/>
    <w:pPr>
      <w:spacing w:after="0" w:line="240" w:lineRule="auto"/>
    </w:pPr>
    <w:rPr>
      <w:rFonts w:eastAsia="Times New Roman" w:cs="Times New Roman"/>
      <w:sz w:val="20"/>
      <w:szCs w:val="20"/>
      <w:lang w:eastAsia="en-A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blStylePr w:type="firstCol">
      <w:rPr>
        <w:rFonts w:asciiTheme="minorHAnsi" w:hAnsiTheme="minorHAnsi"/>
        <w:b/>
      </w:rPr>
      <w:tblPr/>
      <w:tcPr>
        <w:shd w:val="clear" w:color="auto" w:fill="FFFFFF" w:themeFill="background1"/>
      </w:tcPr>
    </w:tblStylePr>
  </w:style>
  <w:style w:type="paragraph" w:styleId="Header">
    <w:name w:val="header"/>
    <w:basedOn w:val="Normal"/>
    <w:link w:val="HeaderChar"/>
    <w:rsid w:val="00DD0BA5"/>
    <w:pPr>
      <w:tabs>
        <w:tab w:val="center" w:pos="4153"/>
        <w:tab w:val="right" w:pos="8306"/>
      </w:tabs>
      <w:spacing w:after="0" w:line="240" w:lineRule="auto"/>
    </w:pPr>
    <w:rPr>
      <w:rFonts w:ascii="Verdana" w:hAnsi="Verdana" w:eastAsia="Times New Roman" w:cs="Times New Roman"/>
      <w:i/>
      <w:sz w:val="16"/>
      <w:szCs w:val="24"/>
      <w:lang w:eastAsia="en-AU"/>
    </w:rPr>
  </w:style>
  <w:style w:type="character" w:styleId="HeaderChar" w:customStyle="1">
    <w:name w:val="Header Char"/>
    <w:basedOn w:val="DefaultParagraphFont"/>
    <w:link w:val="Header"/>
    <w:rsid w:val="00DD0BA5"/>
    <w:rPr>
      <w:rFonts w:ascii="Verdana" w:hAnsi="Verdana" w:eastAsia="Times New Roman" w:cs="Times New Roman"/>
      <w:i/>
      <w:sz w:val="16"/>
      <w:szCs w:val="24"/>
      <w:lang w:eastAsia="en-AU"/>
    </w:rPr>
  </w:style>
  <w:style w:type="paragraph" w:styleId="Contents" w:customStyle="1">
    <w:name w:val="Contents"/>
    <w:basedOn w:val="Heading2"/>
    <w:next w:val="Normal"/>
    <w:rsid w:val="00DD0BA5"/>
    <w:pPr>
      <w:keepLines w:val="0"/>
      <w:spacing w:after="60" w:line="240" w:lineRule="auto"/>
    </w:pPr>
    <w:rPr>
      <w:rFonts w:ascii="Verdana" w:hAnsi="Verdana" w:eastAsia="Times New Roman" w:cs="Arial"/>
      <w:b w:val="0"/>
      <w:iCs/>
      <w:color w:val="auto"/>
      <w:sz w:val="32"/>
      <w:lang w:eastAsia="en-AU"/>
    </w:rPr>
  </w:style>
  <w:style w:type="paragraph" w:styleId="Figure" w:customStyle="1">
    <w:name w:val="Figure"/>
    <w:basedOn w:val="Normal"/>
    <w:next w:val="ListBullet3"/>
    <w:rsid w:val="00DD0BA5"/>
    <w:pPr>
      <w:spacing w:before="240" w:after="0" w:line="240" w:lineRule="auto"/>
    </w:pPr>
    <w:rPr>
      <w:rFonts w:ascii="Verdana" w:hAnsi="Verdana" w:eastAsia="Times New Roman" w:cs="Times New Roman"/>
      <w:sz w:val="20"/>
      <w:szCs w:val="24"/>
      <w:lang w:eastAsia="en-AU"/>
    </w:rPr>
  </w:style>
  <w:style w:type="paragraph" w:styleId="Footer">
    <w:name w:val="footer"/>
    <w:basedOn w:val="Normal"/>
    <w:link w:val="FooterChar"/>
    <w:uiPriority w:val="99"/>
    <w:rsid w:val="00DD0BA5"/>
    <w:pPr>
      <w:tabs>
        <w:tab w:val="center" w:pos="4153"/>
        <w:tab w:val="right" w:pos="8306"/>
      </w:tabs>
      <w:spacing w:before="240" w:after="0" w:line="240" w:lineRule="auto"/>
    </w:pPr>
    <w:rPr>
      <w:rFonts w:ascii="Verdana" w:hAnsi="Verdana" w:eastAsia="Times New Roman" w:cs="Times New Roman"/>
      <w:sz w:val="16"/>
      <w:szCs w:val="24"/>
      <w:lang w:eastAsia="en-AU"/>
    </w:rPr>
  </w:style>
  <w:style w:type="character" w:styleId="FooterChar" w:customStyle="1">
    <w:name w:val="Footer Char"/>
    <w:basedOn w:val="DefaultParagraphFont"/>
    <w:link w:val="Footer"/>
    <w:uiPriority w:val="99"/>
    <w:rsid w:val="00DD0BA5"/>
    <w:rPr>
      <w:rFonts w:ascii="Verdana" w:hAnsi="Verdana" w:eastAsia="Times New Roman" w:cs="Times New Roman"/>
      <w:sz w:val="16"/>
      <w:szCs w:val="24"/>
      <w:lang w:eastAsia="en-AU"/>
    </w:rPr>
  </w:style>
  <w:style w:type="paragraph" w:styleId="ListBullet3">
    <w:name w:val="List Bullet 3"/>
    <w:basedOn w:val="Normal"/>
    <w:uiPriority w:val="99"/>
    <w:semiHidden/>
    <w:unhideWhenUsed/>
    <w:rsid w:val="00DD0BA5"/>
    <w:pPr>
      <w:numPr>
        <w:numId w:val="2"/>
      </w:numPr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rsid w:val="00AC6CF7"/>
    <w:rPr>
      <w:rFonts w:asciiTheme="majorHAnsi" w:hAnsiTheme="majorHAnsi" w:eastAsiaTheme="majorEastAsia" w:cstheme="majorBidi"/>
      <w:b/>
      <w:color w:val="3F5F82" w:themeColor="accent1" w:themeShade="7F"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rsid w:val="006A511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45030"/>
    <w:pPr>
      <w:tabs>
        <w:tab w:val="right" w:leader="dot" w:pos="9016"/>
      </w:tabs>
      <w:spacing w:before="0" w:after="0" w:line="276" w:lineRule="auto"/>
      <w:ind w:left="220"/>
    </w:pPr>
  </w:style>
  <w:style w:type="character" w:styleId="TitleChar" w:customStyle="1">
    <w:name w:val="Title Char"/>
    <w:basedOn w:val="DefaultParagraphFont"/>
    <w:link w:val="Title"/>
    <w:uiPriority w:val="10"/>
    <w:rsid w:val="00057CCA"/>
    <w:rPr>
      <w:rFonts w:asciiTheme="majorHAnsi" w:hAnsiTheme="majorHAnsi" w:eastAsiaTheme="majorEastAsia" w:cstheme="majorBidi"/>
      <w:b/>
      <w:bCs/>
      <w:color w:val="264F90"/>
      <w:spacing w:val="-10"/>
      <w:kern w:val="28"/>
      <w:sz w:val="72"/>
      <w:szCs w:val="72"/>
    </w:rPr>
  </w:style>
  <w:style w:type="paragraph" w:styleId="Inputguidance" w:customStyle="1">
    <w:name w:val="Input guidance"/>
    <w:basedOn w:val="Normal"/>
    <w:qFormat/>
    <w:rsid w:val="00C940B6"/>
    <w:pPr>
      <w:spacing w:after="120" w:line="240" w:lineRule="auto"/>
    </w:pPr>
    <w:rPr>
      <w:rFonts w:eastAsia="Times New Roman" w:cstheme="minorHAnsi"/>
      <w:i/>
      <w:color w:val="767171" w:themeColor="background2" w:themeShade="80"/>
      <w:szCs w:val="20"/>
      <w:lang w:eastAsia="en-AU"/>
    </w:rPr>
  </w:style>
  <w:style w:type="character" w:styleId="Strong">
    <w:name w:val="Strong"/>
    <w:basedOn w:val="DefaultParagraphFont"/>
    <w:uiPriority w:val="22"/>
    <w:qFormat/>
    <w:rsid w:val="00456C78"/>
    <w:rPr>
      <w:b/>
      <w:bCs/>
    </w:rPr>
  </w:style>
  <w:style w:type="paragraph" w:styleId="TableText" w:customStyle="1">
    <w:name w:val="Table Text"/>
    <w:basedOn w:val="Normal"/>
    <w:rsid w:val="001A3550"/>
    <w:pPr>
      <w:spacing w:before="80" w:after="80" w:line="240" w:lineRule="auto"/>
    </w:pPr>
    <w:rPr>
      <w:rFonts w:ascii="Verdana" w:hAnsi="Verdana" w:eastAsia="Times New Roman" w:cs="Times New Roman"/>
      <w:sz w:val="20"/>
      <w:szCs w:val="24"/>
      <w:lang w:eastAsia="en-AU"/>
    </w:rPr>
  </w:style>
  <w:style w:type="paragraph" w:styleId="TableHeading" w:customStyle="1">
    <w:name w:val="Table Heading"/>
    <w:basedOn w:val="TableText"/>
    <w:rsid w:val="00AB368D"/>
    <w:pPr>
      <w:keepNext/>
    </w:pPr>
    <w:rPr>
      <w:rFonts w:asciiTheme="minorHAnsi" w:hAnsiTheme="minorHAnsi" w:cstheme="minorHAnsi"/>
      <w:b/>
      <w:sz w:val="22"/>
    </w:rPr>
  </w:style>
  <w:style w:type="character" w:styleId="PlaceholderText">
    <w:name w:val="Placeholder Text"/>
    <w:basedOn w:val="DefaultParagraphFont"/>
    <w:uiPriority w:val="99"/>
    <w:semiHidden/>
    <w:rsid w:val="00A82D15"/>
    <w:rPr>
      <w:color w:val="808080"/>
    </w:rPr>
  </w:style>
  <w:style w:type="character" w:styleId="Heading4Char" w:customStyle="1">
    <w:name w:val="Heading 4 Char"/>
    <w:basedOn w:val="DefaultParagraphFont"/>
    <w:link w:val="Heading4"/>
    <w:uiPriority w:val="9"/>
    <w:rsid w:val="00AC6CF7"/>
    <w:rPr>
      <w:rFonts w:asciiTheme="majorHAnsi" w:hAnsiTheme="majorHAnsi" w:eastAsiaTheme="majorEastAsia" w:cstheme="majorBidi"/>
      <w:b/>
      <w:color w:val="3F5F82" w:themeColor="accent1" w:themeShade="7F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C7487F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FF3C7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AU"/>
    </w:rPr>
  </w:style>
  <w:style w:type="table" w:styleId="Style1" w:customStyle="1">
    <w:name w:val="Style1"/>
    <w:basedOn w:val="TableNormal"/>
    <w:uiPriority w:val="99"/>
    <w:rsid w:val="00B67B6E"/>
    <w:pPr>
      <w:spacing w:after="0" w:line="240" w:lineRule="auto"/>
    </w:pPr>
    <w:tblPr/>
  </w:style>
  <w:style w:type="table" w:styleId="BizPlantablewhiteLHcolumn" w:customStyle="1">
    <w:name w:val="BizPlan table white LH column"/>
    <w:basedOn w:val="TableNormal"/>
    <w:uiPriority w:val="99"/>
    <w:rsid w:val="00B67B6E"/>
    <w:pPr>
      <w:spacing w:after="0" w:line="240" w:lineRule="auto"/>
    </w:pPr>
    <w:tblPr>
      <w:tblBorders>
        <w:top w:val="single" w:color="FFFFFF" w:themeColor="background1" w:sz="24" w:space="0"/>
        <w:left w:val="single" w:color="FFFFFF" w:themeColor="background1" w:sz="24" w:space="0"/>
        <w:bottom w:val="single" w:color="FFFFFF" w:themeColor="background1" w:sz="24" w:space="0"/>
        <w:right w:val="single" w:color="FFFFFF" w:themeColor="background1" w:sz="24" w:space="0"/>
        <w:insideH w:val="single" w:color="FFFFFF" w:themeColor="background1" w:sz="24" w:space="0"/>
        <w:insideV w:val="single" w:color="FFFFFF" w:themeColor="background1" w:sz="24" w:space="0"/>
      </w:tblBorders>
    </w:tblPr>
    <w:tcPr>
      <w:shd w:val="clear" w:color="auto" w:fill="EEF2F7" w:themeFill="accent1" w:themeFillTint="33"/>
    </w:tcPr>
    <w:tblStylePr w:type="firstCol">
      <w:rPr>
        <w:rFonts w:ascii="Calibri" w:hAnsi="Calibri"/>
        <w:b/>
        <w:sz w:val="22"/>
      </w:rPr>
      <w:tblPr/>
      <w:tcPr>
        <w:shd w:val="clear" w:color="auto" w:fill="FFFFFF" w:themeFill="background1"/>
      </w:tcPr>
    </w:tblStylePr>
  </w:style>
  <w:style w:type="table" w:styleId="BizPlantablesinglecell" w:customStyle="1">
    <w:name w:val="BizPlan table single cell"/>
    <w:basedOn w:val="TableNormal"/>
    <w:uiPriority w:val="99"/>
    <w:rsid w:val="00217BEE"/>
    <w:pPr>
      <w:spacing w:after="0" w:line="240" w:lineRule="auto"/>
    </w:pPr>
    <w:tblPr/>
    <w:tcPr>
      <w:shd w:val="clear" w:color="auto" w:fill="EEF2F7" w:themeFill="accent1" w:themeFillTint="33"/>
    </w:tcPr>
  </w:style>
  <w:style w:type="table" w:styleId="BizPlantablewhitetoprow" w:customStyle="1">
    <w:name w:val="BizPlan table white top row"/>
    <w:basedOn w:val="TableNormal"/>
    <w:uiPriority w:val="99"/>
    <w:rsid w:val="00D9288B"/>
    <w:pPr>
      <w:spacing w:after="0" w:line="240" w:lineRule="auto"/>
    </w:pPr>
    <w:tblPr>
      <w:tblBorders>
        <w:top w:val="single" w:color="FFFFFF" w:themeColor="background1" w:sz="24" w:space="0"/>
        <w:left w:val="single" w:color="FFFFFF" w:themeColor="background1" w:sz="24" w:space="0"/>
        <w:bottom w:val="single" w:color="FFFFFF" w:themeColor="background1" w:sz="24" w:space="0"/>
        <w:right w:val="single" w:color="FFFFFF" w:themeColor="background1" w:sz="24" w:space="0"/>
        <w:insideH w:val="single" w:color="FFFFFF" w:themeColor="background1" w:sz="24" w:space="0"/>
        <w:insideV w:val="single" w:color="FFFFFF" w:themeColor="background1" w:sz="24" w:space="0"/>
      </w:tblBorders>
    </w:tblPr>
    <w:tcPr>
      <w:shd w:val="clear" w:color="auto" w:fill="EEF2F7" w:themeFill="accent1" w:themeFillTint="33"/>
    </w:tcPr>
    <w:tblStylePr w:type="firstRow">
      <w:rPr>
        <w:b/>
      </w:rPr>
      <w:tblPr/>
      <w:tcPr>
        <w:shd w:val="clear" w:color="auto" w:fill="FFFFFF" w:themeFill="background1"/>
      </w:tcPr>
    </w:tblStylePr>
  </w:style>
  <w:style w:type="table" w:styleId="TableGrid1" w:customStyle="1">
    <w:name w:val="Table Grid1"/>
    <w:basedOn w:val="TableNormal"/>
    <w:next w:val="TableGrid"/>
    <w:rsid w:val="00635D0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A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635D0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386E4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1" w:customStyle="1">
    <w:name w:val="Table Grid11"/>
    <w:basedOn w:val="TableNormal"/>
    <w:next w:val="TableGrid"/>
    <w:rsid w:val="00386E4D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A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Classic4">
    <w:name w:val="Table Classic 4"/>
    <w:basedOn w:val="TableNormal"/>
    <w:rsid w:val="00386E4D"/>
    <w:pPr>
      <w:spacing w:before="240" w:after="0" w:line="240" w:lineRule="auto"/>
    </w:pPr>
    <w:rPr>
      <w:rFonts w:ascii="Times New Roman" w:hAnsi="Times New Roman" w:eastAsia="Times New Roman" w:cs="Times New Roman"/>
      <w:sz w:val="20"/>
      <w:szCs w:val="20"/>
      <w:lang w:eastAsia="en-AU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A53A59"/>
    <w:rPr>
      <w:color w:val="605E5C"/>
      <w:shd w:val="clear" w:color="auto" w:fill="E1DFDD"/>
    </w:rPr>
  </w:style>
  <w:style w:type="table" w:styleId="a" w:customStyle="1">
    <w:basedOn w:val="TableNormal"/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a0" w:customStyle="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treasury.gov.au/publication/p2024-555854" TargetMode="External" Id="R5fad188cac7c41f2" 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BGA">
      <a:dk1>
        <a:srgbClr val="264F90"/>
      </a:dk1>
      <a:lt1>
        <a:sysClr val="window" lastClr="FFFFFF"/>
      </a:lt1>
      <a:dk2>
        <a:srgbClr val="212A4C"/>
      </a:dk2>
      <a:lt2>
        <a:srgbClr val="E7E6E6"/>
      </a:lt2>
      <a:accent1>
        <a:srgbClr val="AEC2D8"/>
      </a:accent1>
      <a:accent2>
        <a:srgbClr val="5B43D0"/>
      </a:accent2>
      <a:accent3>
        <a:srgbClr val="A42079"/>
      </a:accent3>
      <a:accent4>
        <a:srgbClr val="000000"/>
      </a:accent4>
      <a:accent5>
        <a:srgbClr val="CC3C1C"/>
      </a:accent5>
      <a:accent6>
        <a:srgbClr val="297E28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2urblL2nDZqyPTrau1vnL4pwOg==">CgMxLjAaHwoBMBIaChgICVIUChJ0YWJsZS43cWo0Y3I2eHhwZ204AHIhMTdnVkcwU3VzdWtTT3ROS3pZN215WXBmVDBwcnFpUXBl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85528A453A042870BBB5D41D69EC1" ma:contentTypeVersion="8" ma:contentTypeDescription="Create a new document." ma:contentTypeScope="" ma:versionID="782579326371a01ae07a38138c33947e">
  <xsd:schema xmlns:xsd="http://www.w3.org/2001/XMLSchema" xmlns:xs="http://www.w3.org/2001/XMLSchema" xmlns:p="http://schemas.microsoft.com/office/2006/metadata/properties" xmlns:ns2="86d0d348-20b8-453e-8bc0-bebe575238e4" targetNamespace="http://schemas.microsoft.com/office/2006/metadata/properties" ma:root="true" ma:fieldsID="cef752a6f26b1d8e389c082c6a7e43ee" ns2:_="">
    <xsd:import namespace="86d0d348-20b8-453e-8bc0-bebe575238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d0d348-20b8-453e-8bc0-bebe575238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521C5E9-DE63-4A67-B745-B5325AD6ACAE}"/>
</file>

<file path=customXml/itemProps3.xml><?xml version="1.0" encoding="utf-8"?>
<ds:datastoreItem xmlns:ds="http://schemas.openxmlformats.org/officeDocument/2006/customXml" ds:itemID="{E8A3CA37-81EC-467E-8414-C2E252704D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2CFEC5-A84C-4D02-9C93-1DDE3257E2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Garratt</dc:creator>
  <cp:keywords/>
  <cp:lastModifiedBy>Larissa O'Connor</cp:lastModifiedBy>
  <cp:revision>33</cp:revision>
  <dcterms:created xsi:type="dcterms:W3CDTF">2026-03-24T22:05:00Z</dcterms:created>
  <dcterms:modified xsi:type="dcterms:W3CDTF">2026-06-10T03:20:03Z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0x010100B4685528A453A042870BBB5D41D69EC1</vt:lpwstr>
  </property>
</Properties>
</file>