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12800" cy="34137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413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9"/>
              </w:rPr>
              <w:t>Capability Brief: Testing &amp; Quality Engineering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In-circuit, functional, end-of-line, and reliability testing with full MES traceability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p>
      <w:pPr>
        <w:spacing w:before="120" w:after="120" w:line="252" w:lineRule="auto"/>
      </w:pPr>
      <w:r>
        <w:rPr>
          <w:color w:val="222222"/>
          <w:sz w:val="19"/>
        </w:rPr>
        <w:t xml:space="preserve">Test strategy decides whether an HMLV program holds yield through ramp and stays out of field-failure escalations. The right </w:t>
      </w:r>
      <w:hyperlink r:id="rId10">
        <w:r>
          <w:rPr>
            <w:color w:val="019E4E"/>
            <w:u w:val="single"/>
            <w:sz w:val="19"/>
          </w:rPr>
          <w:t xml:space="preserve">test stack</w:t>
        </w:r>
      </w:hyperlink>
      <w:r>
        <w:rPr>
          <w:color w:val="222222"/>
          <w:sz w:val="19"/>
        </w:rPr>
        <w:t xml:space="preserve"> is rarely about more coverage — it's about choosing the right test layer at each cost and access boundary. Indic operates a full in-house test engineering capability across manufacturing-defect, in-circuit, functional, end-of-line, and reliability test, all bound to MES traceability.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00A58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1.  Manufacturing-Defect &amp; In-Circuit Testing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programs where </w:t>
      </w:r>
      <w:hyperlink r:id="rId11">
        <w:r>
          <w:rPr>
            <w:color w:val="666666"/>
            <w:u w:val="single"/>
            <w:sz w:val="17"/>
            <w:i/>
          </w:rPr>
          <w:t xml:space="preserve">low test access or low volume</w:t>
        </w:r>
      </w:hyperlink>
      <w:r>
        <w:rPr>
          <w:i/>
          <w:color w:val="666666"/>
          <w:sz w:val="17"/>
        </w:rPr>
        <w:t xml:space="preserve"> makes bespoke ICT fixtures uneconomical.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In-Circuit Test (ICT) &amp; Boundary-Scan</w:t>
      </w:r>
    </w:p>
    <w:p>
      <w:pPr>
        <w:spacing w:before="0" w:after="20" w:line="252" w:lineRule="auto"/>
        <w:ind w:left="230"/>
      </w:pPr>
      <w:hyperlink r:id="rId12">
        <w:r>
          <w:rPr>
            <w:color w:val="019E4E"/>
            <w:u w:val="single"/>
            <w:sz w:val="17"/>
          </w:rPr>
          <w:t xml:space="preserve">ICT</w:t>
        </w:r>
      </w:hyperlink>
      <w:r>
        <w:rPr>
          <w:color w:val="222222"/>
          <w:sz w:val="17"/>
        </w:rPr>
        <w:t xml:space="preserve">  ·  IEEE 1149.1 boundary-scan / JTAG  ·  Bed-of-nails fixtures with versioned recipes and limits, rollback discipline  ·  Test-point coverage matrices.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IPC-9252, IEEE 1149.1, IPC-A-610 Class 2/3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Manufacturing Defect Analyzer (MDA) &amp; Flying Probe Testing</w:t>
      </w:r>
    </w:p>
    <w:p>
      <w:pPr>
        <w:spacing w:before="0" w:after="20" w:line="252" w:lineRule="auto"/>
        <w:ind w:left="230"/>
      </w:pPr>
      <w:hyperlink r:id="rId13">
        <w:r>
          <w:rPr>
            <w:color w:val="019E4E"/>
            <w:u w:val="single"/>
            <w:sz w:val="17"/>
          </w:rPr>
          <w:t xml:space="preserve">MDA</w:t>
        </w:r>
      </w:hyperlink>
      <w:r>
        <w:rPr>
          <w:color w:val="222222"/>
          <w:sz w:val="17"/>
        </w:rPr>
        <w:t xml:space="preserve">  ·  Flying Probe Testing for designs with thin or absent test specs  ·  Dynamic probe access to multiple nodes without dedicated fixtures.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IPC-9252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Automated Optical Inspection (AOI) &amp; X-Ray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3D AOI on double-sided assemblies (Magic Ray VS300 single-pass top + bottom)  ·  WATS analytics on AOI for defect-escape reduction  ·  X-ray inspection for hidden joints (BGA, QFN).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IPC-A-610 Class 2/3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200A58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On a smart-city street-lighting program with no test specs and limited test points, </w:t>
            </w:r>
            <w:hyperlink r:id="rId14">
              <w:r>
                <w:rPr>
                  <w:color w:val="019E4E"/>
                  <w:u w:val="single"/>
                  <w:sz w:val="17"/>
                  <w:i/>
                </w:rPr>
                <w:t xml:space="preserve">Indic adopted Flying Probe Testing to reach 97.78% coverage</w:t>
              </w:r>
            </w:hyperlink>
            <w:r>
              <w:rPr>
                <w:i/>
                <w:color w:val="222222"/>
                <w:sz w:val="17"/>
              </w:rPr>
              <w:t xml:space="preserve"> on a 4-board PCBA module — without bespoke fixtures, and against a Phase 1 outsourced MDA result that had stopped at ~50%.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E2A2A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2.  Functional &amp; End-of-Line Testing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OEMs where </w:t>
      </w:r>
      <w:hyperlink r:id="rId15">
        <w:r>
          <w:rPr>
            <w:color w:val="666666"/>
            <w:u w:val="single"/>
            <w:sz w:val="17"/>
            <w:i/>
          </w:rPr>
          <w:t xml:space="preserve">final functional behavior</w:t>
        </w:r>
      </w:hyperlink>
      <w:r>
        <w:rPr>
          <w:i/>
          <w:color w:val="666666"/>
          <w:sz w:val="17"/>
        </w:rPr>
        <w:t xml:space="preserve"> and escape prevention decide field reliability.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Functional Test (FCT)</w:t>
      </w:r>
    </w:p>
    <w:p>
      <w:pPr>
        <w:spacing w:before="0" w:after="20" w:line="252" w:lineRule="auto"/>
        <w:ind w:left="230"/>
      </w:pPr>
      <w:hyperlink r:id="rId15">
        <w:r>
          <w:rPr>
            <w:color w:val="019E4E"/>
            <w:u w:val="single"/>
            <w:sz w:val="17"/>
          </w:rPr>
          <w:t xml:space="preserve">FCT</w:t>
        </w:r>
      </w:hyperlink>
      <w:r>
        <w:rPr>
          <w:color w:val="222222"/>
          <w:sz w:val="17"/>
        </w:rPr>
        <w:t xml:space="preserve"> built around customer test cases  ·  Custom fixture design with guide-pin and pre-centering precision  ·  Test software validation against golden units  ·  LabVIEW automation, remote diagnostics, role-based access.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IPC-A-610 Class 2/3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End-of-Line (EOL) Test &amp; Hi-Pot</w:t>
      </w:r>
    </w:p>
    <w:p>
      <w:pPr>
        <w:spacing w:before="0" w:after="20" w:line="252" w:lineRule="auto"/>
        <w:ind w:left="230"/>
      </w:pPr>
      <w:hyperlink r:id="rId16">
        <w:r>
          <w:rPr>
            <w:color w:val="019E4E"/>
            <w:u w:val="single"/>
            <w:sz w:val="17"/>
          </w:rPr>
          <w:t xml:space="preserve">EOL test</w:t>
        </w:r>
      </w:hyperlink>
      <w:r>
        <w:rPr>
          <w:color w:val="222222"/>
          <w:sz w:val="17"/>
        </w:rPr>
        <w:t xml:space="preserve">  ·  Hi-pot test per IEC 62368-1 for power-electronics safety  ·  Deterministic test sequences, versioned limits with rollback.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IEC 62368-1, IPC-A-610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On-Board Programming (OBP) Integrated with MES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OBP run off the tester critical path for throughput gains  ·  Serial-bound programming records  ·  MES traceability per unit, ISA-95 aligned.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ISA-95 traceability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E2A2A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For a Mahindra </w:t>
            </w:r>
            <w:hyperlink r:id="rId17">
              <w:r>
                <w:rPr>
                  <w:color w:val="019E4E"/>
                  <w:u w:val="single"/>
                  <w:sz w:val="17"/>
                  <w:i/>
                </w:rPr>
                <w:t xml:space="preserve">EV charger functional-test bottleneck</w:t>
              </w:r>
            </w:hyperlink>
            <w:r>
              <w:rPr>
                <w:i/>
                <w:color w:val="222222"/>
                <w:sz w:val="17"/>
              </w:rPr>
              <w:t>, Indic separated programming from FCT and moved programming to lower-cost stations running in parallel — +60% throughput, -20% direct test cost, no new capital equipment.</w:t>
            </w:r>
          </w:p>
        </w:tc>
      </w:tr>
    </w:tbl>
    <w:p>
      <w:pPr>
        <w:spacing w:before="0" w:after="160" w:line="252" w:lineRule="auto"/>
      </w:pP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11200" cy="298704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2987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6"/>
              </w:rPr>
              <w:t>Reliability Testing + Cross-Segment Capabilities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Environmental stress, certifications, and supplier ecosystem supporting Indic's test discipline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3.  Reliability &amp; Environmental Screening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products that face </w:t>
      </w:r>
      <w:hyperlink r:id="rId18">
        <w:r>
          <w:rPr>
            <w:color w:val="666666"/>
            <w:u w:val="single"/>
            <w:sz w:val="17"/>
            <w:i/>
          </w:rPr>
          <w:t xml:space="preserve">harsh field environments</w:t>
        </w:r>
      </w:hyperlink>
      <w:r>
        <w:rPr>
          <w:i/>
          <w:color w:val="666666"/>
          <w:sz w:val="17"/>
        </w:rPr>
        <w:t xml:space="preserve"> and need pre-shipment qualification under real-world stress.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Environmental Stress Screening (ESS)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Thermal cycling  ·  Burn-in  ·  Vibration screening  ·  Pre-shipment qualification for industrial, EV, and safety-regulated products.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IEC 62368-1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Hi-Pot Test &amp; Safety Compliance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Hi-pot per IEC 62368-1 for power electronics  ·  Safety isolation verification  ·  Class-conscious workmanship inspection per IPC-A-610.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Box-Build, harness-integrated     ·     Certifications: IEC 62368-1, IPC-A-610 Class 3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Reliability Documentation &amp; Customer Audits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Audit-ready evidence packs (by-serial logs, fixture IDs, recipe/limit versions)  ·  Operator certification records  ·  CAPA / 8D for field-failure root cause and corrective action.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IATF 16949, PPAP/APQP where applicable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19E4E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19E4E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On a renewables-sector PCBA program with random FCT failures, </w:t>
            </w:r>
            <w:hyperlink r:id="rId19">
              <w:r>
                <w:rPr>
                  <w:color w:val="019E4E"/>
                  <w:u w:val="single"/>
                  <w:sz w:val="17"/>
                  <w:i/>
                </w:rPr>
                <w:t xml:space="preserve">Indic traced the root cause to mismatched guide-pin diameter and added a pre-centering fixture upgrade</w:t>
              </w:r>
            </w:hyperlink>
            <w:r>
              <w:rPr>
                <w:i/>
                <w:color w:val="222222"/>
                <w:sz w:val="17"/>
              </w:rPr>
              <w:t xml:space="preserve"> — +7% first-pass yield, +8% throughput, random failures eliminated, paid back within the same quarter.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22222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4.  Certifications &amp; Standards Supporting Test Discipline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Workmanship &amp; Process Standards</w:t>
            </w:r>
          </w:p>
          <w:p>
            <w:pPr>
              <w:spacing w:before="0" w:after="0" w:line="252" w:lineRule="auto"/>
            </w:pPr>
            <w:hyperlink r:id="rId20">
              <w:r>
                <w:rPr>
                  <w:color w:val="019E4E"/>
                  <w:u w:val="single"/>
                  <w:sz w:val="16"/>
                </w:rPr>
                <w:t xml:space="preserve">IPC-A-610</w:t>
              </w:r>
            </w:hyperlink>
            <w:r>
              <w:rPr>
                <w:color w:val="222222"/>
                <w:sz w:val="16"/>
              </w:rPr>
              <w:t xml:space="preserve"> Class 2/3  ·  </w:t>
            </w:r>
            <w:hyperlink r:id="rId20">
              <w:r>
                <w:rPr>
                  <w:color w:val="019E4E"/>
                  <w:u w:val="single"/>
                  <w:sz w:val="16"/>
                </w:rPr>
                <w:t xml:space="preserve">IPC/WHMA-A-620</w:t>
              </w:r>
            </w:hyperlink>
            <w:r>
              <w:rPr>
                <w:color w:val="222222"/>
                <w:sz w:val="16"/>
              </w:rPr>
              <w:t xml:space="preserve"> Class 2/3 (harness)  ·  ANSI/ESD S20.20  ·  IPC-9252  ·  IEEE 1149.1 (boundary-scan)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Quality &amp; Management Systems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ISO 9001:2015 (foundational QMS)  ·  </w:t>
            </w:r>
            <w:hyperlink r:id="rId21">
              <w:r>
                <w:rPr>
                  <w:color w:val="019E4E"/>
                  <w:u w:val="single"/>
                  <w:sz w:val="16"/>
                </w:rPr>
                <w:t xml:space="preserve">IATF 16949:2016</w:t>
              </w:r>
            </w:hyperlink>
            <w:r>
              <w:rPr>
                <w:color w:val="222222"/>
                <w:sz w:val="16"/>
              </w:rPr>
              <w:t xml:space="preserve"> (automotive)  ·  ISO 14001  ·  ISO 27001  ·  ISO 45001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Segment-Specific Standards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IEC 62368-1 (hi-pot)  ·  IEC 61851 (EV charging)  ·  AEC-Q100/Q200 (automotive component qualification)  ·  ARAI readiness  ·  ISA-95 traceability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Substance, Environmental &amp; ESG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RoHS  ·  WEEE  ·  REACH  ·  China RoHS  ·  Prop 65  ·  TSCA  ·  UN Global Compact  ·  EcoVadis  ·  D&amp;B ESG  ·  Scope 1+2 tracked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08944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5.  Supplier Ecosystem &amp; Supporting Capabilities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IT, traceability &amp; change-control stack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SAP S/4HANA (ERP, change masters with effectivity)  ·  SAP Digital Manufacturing (MES, serial-bound auto-scan WIP)  ·  SAP DMS (controlled docs, approval workflow)  ·  CalcuQuote  ·  Same-day ECN disposition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Component sourcing &amp; AVL governance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Direct accounts with Arrow, Avnet, Mouser, Digi-Key  ·  </w:t>
            </w:r>
            <w:hyperlink r:id="rId22">
              <w:r>
                <w:rPr>
                  <w:color w:val="019E4E"/>
                  <w:u w:val="single"/>
                  <w:sz w:val="16"/>
                </w:rPr>
                <w:t xml:space="preserve">Turnkey / consigned / partial sourcing</w:t>
              </w:r>
            </w:hyperlink>
            <w:r>
              <w:rPr>
                <w:color w:val="222222"/>
                <w:sz w:val="16"/>
              </w:rPr>
              <w:t xml:space="preserve">  ·  PCN, EOL, NCNR via Compliance Risk Manager  ·  Alternates with package, fit, thermal, performance validation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Test engineering capacity &amp; equipment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In-house test engineering pod (architecture, fixtures, electronics, software validation)  ·  WATS analytics  ·  ERSA Hotflow Three reflow  ·  Magic Ray VS300 AOI  ·  Extra Eye first-article inspection  ·  X-ray inspection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Capacity, cleanroom &amp; ramp infrastructure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292K sq ft total  ·  </w:t>
            </w:r>
            <w:hyperlink r:id="rId23">
              <w:r>
                <w:rPr>
                  <w:color w:val="019E4E"/>
                  <w:u w:val="single"/>
                  <w:sz w:val="16"/>
                </w:rPr>
                <w:t xml:space="preserve">Phase II</w:t>
              </w:r>
            </w:hyperlink>
            <w:r>
              <w:rPr>
                <w:color w:val="222222"/>
                <w:sz w:val="16"/>
              </w:rPr>
              <w:t>: 80K+ sq ft expansion, Class 10,000 cleanroom, 7 dual-lane + 1 NPI SMT lines, ~225% capacity lift  ·  Phase III adjacent to Foxconn India, Q4 2026 kickoff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80" w:type="dxa"/>
              <w:left w:w="140" w:type="dxa"/>
              <w:bottom w:w="80" w:type="dxa"/>
              <w:right w:w="14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52" w:lineRule="auto"/>
            </w:pPr>
            <w:r/>
            <w:r>
              <w:rPr>
                <w:color w:val="FFFFFF"/>
                <w:sz w:val="20"/>
              </w:rPr>
              <w:t xml:space="preserve">Schedule a discovery call at </w:t>
            </w:r>
            <w:hyperlink r:id="rId24">
              <w:r>
                <w:rPr>
                  <w:color w:val="FFFFFF"/>
                  <w:u w:val="single"/>
                  <w:sz w:val="20"/>
                  <w:b/>
                </w:rPr>
                <w:t xml:space="preserve">indicelectronics.com</w:t>
              </w:r>
            </w:hyperlink>
            <w:r>
              <w:rPr>
                <w:color w:val="FFFFFF"/>
                <w:sz w:val="20"/>
              </w:rPr>
              <w:t xml:space="preserve">  ·  or email </w:t>
            </w:r>
            <w:hyperlink r:id="rId25">
              <w:r>
                <w:rPr>
                  <w:color w:val="FFFFFF"/>
                  <w:u w:val="single"/>
                  <w:sz w:val="20"/>
                  <w:b/>
                </w:rPr>
                <w:t xml:space="preserve">info@indicelectronics.com</w:t>
              </w:r>
            </w:hyperlink>
            <w:r>
              <w:rPr>
                <w:color w:val="FFFFFF"/>
                <w:sz w:val="20"/>
              </w:rPr>
              <w:t xml:space="preserve"> to discuss your test strategy or escape-reduction program.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www.indicelectronics.com/services/testing-and-quality" TargetMode="External"/><Relationship Id="rId11" Type="http://schemas.openxmlformats.org/officeDocument/2006/relationships/hyperlink" Target="https://www.indicelectronics.com/high-mix-low-volume-pcba" TargetMode="External"/><Relationship Id="rId12" Type="http://schemas.openxmlformats.org/officeDocument/2006/relationships/hyperlink" Target="https://www.indicelectronics.com/services/testing-and-quality/electrical-testing" TargetMode="External"/><Relationship Id="rId13" Type="http://schemas.openxmlformats.org/officeDocument/2006/relationships/hyperlink" Target="https://www.indicelectronics.com/services/testing-and-quality/manufacturing-defect-analyzer" TargetMode="External"/><Relationship Id="rId14" Type="http://schemas.openxmlformats.org/officeDocument/2006/relationships/hyperlink" Target="https://www.indicelectronics.com/post/no-test-specs-no-problem-how-we-hit-97-78-coverage-anyway" TargetMode="External"/><Relationship Id="rId15" Type="http://schemas.openxmlformats.org/officeDocument/2006/relationships/hyperlink" Target="https://www.indicelectronics.com/services/testing-and-quality/functional-testing" TargetMode="External"/><Relationship Id="rId16" Type="http://schemas.openxmlformats.org/officeDocument/2006/relationships/hyperlink" Target="https://www.indicelectronics.com/services/testing-and-quality/eol" TargetMode="External"/><Relationship Id="rId17" Type="http://schemas.openxmlformats.org/officeDocument/2006/relationships/hyperlink" Target="https://www.indicelectronics.com/post/case-study-enhancing-efficiency-in-ev-charger-testing" TargetMode="External"/><Relationship Id="rId18" Type="http://schemas.openxmlformats.org/officeDocument/2006/relationships/hyperlink" Target="https://www.indicelectronics.com/services/testing-and-quality/environmental-stress-and-screening" TargetMode="External"/><Relationship Id="rId19" Type="http://schemas.openxmlformats.org/officeDocument/2006/relationships/hyperlink" Target="https://www.indicelectronics.com/post/case-study-boosting-pcba-functional-testing-through-precision-alignment" TargetMode="External"/><Relationship Id="rId20" Type="http://schemas.openxmlformats.org/officeDocument/2006/relationships/hyperlink" Target="https://www.ipc.org" TargetMode="External"/><Relationship Id="rId21" Type="http://schemas.openxmlformats.org/officeDocument/2006/relationships/hyperlink" Target="https://www.iatfglobaloversight.org" TargetMode="External"/><Relationship Id="rId22" Type="http://schemas.openxmlformats.org/officeDocument/2006/relationships/hyperlink" Target="https://www.indicelectronics.com/services/manufacturing/component-sourcing" TargetMode="External"/><Relationship Id="rId23" Type="http://schemas.openxmlformats.org/officeDocument/2006/relationships/hyperlink" Target="https://www.indicelectronics.com/about-us/about-indic" TargetMode="External"/><Relationship Id="rId24" Type="http://schemas.openxmlformats.org/officeDocument/2006/relationships/hyperlink" Target="https://www.indicelectronics.com/contact-us" TargetMode="External"/><Relationship Id="rId25" Type="http://schemas.openxmlformats.org/officeDocument/2006/relationships/hyperlink" Target="mailto:info@indicelectron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