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12800" cy="3413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413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NPI, Product Engineering &amp; Design for Excellence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Rapid prototyping, product engineering, lifecycle management, and DFx discipline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Design and manufacturing are not separate phases — they share the same yield. </w:t>
      </w:r>
      <w:hyperlink r:id="rId10">
        <w:r>
          <w:rPr>
            <w:color w:val="019E4E"/>
            <w:u w:val="single"/>
            <w:sz w:val="19"/>
          </w:rPr>
          <w:t xml:space="preserve">Indic operates as a design-aware EMS partner</w:t>
        </w:r>
      </w:hyperlink>
      <w:r>
        <w:rPr>
          <w:color w:val="222222"/>
          <w:sz w:val="19"/>
        </w:rPr>
        <w:t>: NPI pods (PE/QE/Test/SCM cross-functional teams), DFX review (DFM/DFA/DFT/solderability/packaging), pFMEA, lifecycle mapping, and process development — all built around the discipline that keeps OEM design decisions visible on the floor through ramp.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New Product Introduction (NPI) Services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OEM founders and engineering managers taking products from </w:t>
      </w:r>
      <w:hyperlink r:id="rId11">
        <w:r>
          <w:rPr>
            <w:color w:val="666666"/>
            <w:u w:val="single"/>
            <w:sz w:val="17"/>
            <w:i/>
          </w:rPr>
          <w:t xml:space="preserve">prototype to industrialization</w:t>
        </w:r>
      </w:hyperlink>
      <w:r>
        <w:rPr>
          <w:i/>
          <w:color w:val="666666"/>
          <w:sz w:val="17"/>
        </w:rPr>
        <w:t xml:space="preserve"> without design-to-floor leakage.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Rapid Prototyping &amp; First Articles</w:t>
      </w:r>
    </w:p>
    <w:p>
      <w:pPr>
        <w:spacing w:before="0" w:after="20" w:line="252" w:lineRule="auto"/>
        <w:ind w:left="230"/>
      </w:pPr>
      <w:hyperlink r:id="rId12">
        <w:r>
          <w:rPr>
            <w:color w:val="019E4E"/>
            <w:u w:val="single"/>
            <w:sz w:val="17"/>
          </w:rPr>
          <w:t xml:space="preserve">Rapid prototyping</w:t>
        </w:r>
      </w:hyperlink>
      <w:r>
        <w:rPr>
          <w:color w:val="222222"/>
          <w:sz w:val="17"/>
        </w:rPr>
        <w:t xml:space="preserve"> bridging digital design and physical PCBA  ·  First-article inspection per variant  ·  EVT/DVT/PVT sprint cadence.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 Class 2/3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Reverse Engineering for Legacy Programs</w:t>
      </w:r>
    </w:p>
    <w:p>
      <w:pPr>
        <w:spacing w:before="0" w:after="20" w:line="252" w:lineRule="auto"/>
        <w:ind w:left="230"/>
      </w:pPr>
      <w:hyperlink r:id="rId13">
        <w:r>
          <w:rPr>
            <w:color w:val="019E4E"/>
            <w:u w:val="single"/>
            <w:sz w:val="17"/>
          </w:rPr>
          <w:t xml:space="preserve">Reverse engineering services</w:t>
        </w:r>
      </w:hyperlink>
      <w:r>
        <w:rPr>
          <w:color w:val="222222"/>
          <w:sz w:val="17"/>
        </w:rPr>
        <w:t xml:space="preserve"> for printed circuit board assemblies where original documentation is incomplete  ·  Re-creation of design packages for sustainable manufacturing.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—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Process Development &amp; Fixture Design</w:t>
      </w:r>
    </w:p>
    <w:p>
      <w:pPr>
        <w:spacing w:before="0" w:after="20" w:line="252" w:lineRule="auto"/>
        <w:ind w:left="230"/>
      </w:pPr>
      <w:hyperlink r:id="rId14">
        <w:r>
          <w:rPr>
            <w:color w:val="019E4E"/>
            <w:u w:val="single"/>
            <w:sz w:val="17"/>
          </w:rPr>
          <w:t xml:space="preserve">Process development</w:t>
        </w:r>
      </w:hyperlink>
      <w:r>
        <w:rPr>
          <w:color w:val="222222"/>
          <w:sz w:val="17"/>
        </w:rPr>
        <w:t xml:space="preserve">  ·  </w:t>
      </w:r>
      <w:hyperlink r:id="rId15">
        <w:r>
          <w:rPr>
            <w:color w:val="019E4E"/>
            <w:u w:val="single"/>
            <w:sz w:val="17"/>
          </w:rPr>
          <w:t xml:space="preserve">Assembly tools and fixture design</w:t>
        </w:r>
      </w:hyperlink>
      <w:r>
        <w:rPr>
          <w:color w:val="222222"/>
          <w:sz w:val="17"/>
        </w:rPr>
        <w:t xml:space="preserve"> for efficient, accurate assembly  ·  Parallel line bring-up for variant families.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For a European OEM with a strict launch window, </w:t>
            </w:r>
            <w:hyperlink r:id="rId16">
              <w:r>
                <w:rPr>
                  <w:color w:val="019E4E"/>
                  <w:u w:val="single"/>
                  <w:sz w:val="17"/>
                  <w:i/>
                </w:rPr>
                <w:t xml:space="preserve">Indic delivered five product variants from one platform family</w:t>
              </w:r>
            </w:hyperlink>
            <w:r>
              <w:rPr>
                <w:i/>
                <w:color w:val="222222"/>
                <w:sz w:val="17"/>
              </w:rPr>
              <w:t xml:space="preserve"> on parallel-line bring-up, holding FPY steady through variant changeovers — with audits cleared without delay through documented coverage matrices and per-serial MES traceability.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Product Engineering &amp; Lifecycle Management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product teams needing </w:t>
      </w:r>
      <w:hyperlink r:id="rId17">
        <w:r>
          <w:rPr>
            <w:color w:val="666666"/>
            <w:u w:val="single"/>
            <w:sz w:val="17"/>
            <w:i/>
          </w:rPr>
          <w:t xml:space="preserve">lifecycle visibility</w:t>
        </w:r>
      </w:hyperlink>
      <w:r>
        <w:rPr>
          <w:i/>
          <w:color w:val="666666"/>
          <w:sz w:val="17"/>
        </w:rPr>
        <w:t xml:space="preserve"> from BOM through field obsolescence.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Product Development &amp; Engineering</w:t>
      </w:r>
    </w:p>
    <w:p>
      <w:pPr>
        <w:spacing w:before="0" w:after="20" w:line="252" w:lineRule="auto"/>
        <w:ind w:left="230"/>
      </w:pPr>
      <w:hyperlink r:id="rId10">
        <w:r>
          <w:rPr>
            <w:color w:val="019E4E"/>
            <w:u w:val="single"/>
            <w:sz w:val="17"/>
          </w:rPr>
          <w:t xml:space="preserve">Electronic product engineering</w:t>
        </w:r>
      </w:hyperlink>
      <w:r>
        <w:rPr>
          <w:color w:val="222222"/>
          <w:sz w:val="17"/>
        </w:rPr>
        <w:t xml:space="preserve"> from concept to delivery and end-of-life management  ·  Engineering review meetings over hardware prototypes  ·  Cross-functional NPI handoff discipline.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Component Engineering &amp; Lifecycle Mapping</w:t>
      </w:r>
    </w:p>
    <w:p>
      <w:pPr>
        <w:spacing w:before="0" w:after="20" w:line="252" w:lineRule="auto"/>
        <w:ind w:left="230"/>
      </w:pPr>
      <w:hyperlink r:id="rId18">
        <w:r>
          <w:rPr>
            <w:color w:val="019E4E"/>
            <w:u w:val="single"/>
            <w:sz w:val="17"/>
          </w:rPr>
          <w:t xml:space="preserve">Strategic component engineering services</w:t>
        </w:r>
      </w:hyperlink>
      <w:r>
        <w:rPr>
          <w:color w:val="222222"/>
          <w:sz w:val="17"/>
        </w:rPr>
        <w:t xml:space="preserve"> for sourcing across the product lifecycle  ·  PCN exposure tracking  ·  EOL and last-time-buy planning  ·  Compliant Crosses for alternates.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RoHS, REACH compliance monitoring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pFMEA &amp; Product Lifecycle Management (PLM)</w:t>
      </w:r>
    </w:p>
    <w:p>
      <w:pPr>
        <w:spacing w:before="0" w:after="20" w:line="252" w:lineRule="auto"/>
        <w:ind w:left="230"/>
      </w:pPr>
      <w:hyperlink r:id="rId19">
        <w:r>
          <w:rPr>
            <w:color w:val="019E4E"/>
            <w:u w:val="single"/>
            <w:sz w:val="17"/>
          </w:rPr>
          <w:t xml:space="preserve">Process FMEA</w:t>
        </w:r>
      </w:hyperlink>
      <w:r>
        <w:rPr>
          <w:color w:val="222222"/>
          <w:sz w:val="17"/>
        </w:rPr>
        <w:t xml:space="preserve"> for assembly and manufacturing risk mapping  ·  </w:t>
      </w:r>
      <w:hyperlink r:id="rId17">
        <w:r>
          <w:rPr>
            <w:color w:val="019E4E"/>
            <w:u w:val="single"/>
            <w:sz w:val="17"/>
          </w:rPr>
          <w:t xml:space="preserve">PLM services</w:t>
        </w:r>
      </w:hyperlink>
      <w:r>
        <w:rPr>
          <w:color w:val="222222"/>
          <w:sz w:val="17"/>
        </w:rPr>
        <w:t xml:space="preserve"> from inception through engineering design and manufacturing.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PPAP/APQP where automotive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When a Swedish solar-powered water-distribution program </w:t>
            </w:r>
            <w:hyperlink r:id="rId20">
              <w:r>
                <w:rPr>
                  <w:color w:val="019E4E"/>
                  <w:u w:val="single"/>
                  <w:sz w:val="17"/>
                  <w:i/>
                </w:rPr>
                <w:t xml:space="preserve">couldn't scale at its prior Taiwanese partner</w:t>
              </w:r>
            </w:hyperlink>
            <w:r>
              <w:rPr>
                <w:i/>
                <w:color w:val="222222"/>
                <w:sz w:val="17"/>
              </w:rPr>
              <w:t>, Indic rebuilt the transfer discipline end-to-end: BOM reviewed against sourcing risk with documented alternates, DFM and DFT checks built into the flow, controlled change documentation, and test strategy matched to product complexity — moving the program from reactive build execution to controlled repeat production.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11200" cy="298704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87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6"/>
              </w:rPr>
              <w:t>Design for Excellence (DFx) +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DFM, DFT, DFA, and design-aware manufacturing supporting Indic's engineering partnership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Design for Excellence (DFx)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hardware design teams where </w:t>
      </w:r>
      <w:hyperlink r:id="rId21">
        <w:r>
          <w:rPr>
            <w:color w:val="666666"/>
            <w:u w:val="single"/>
            <w:sz w:val="17"/>
            <w:i/>
          </w:rPr>
          <w:t xml:space="preserve">DFM/DFT/DFA discipline</w:t>
        </w:r>
      </w:hyperlink>
      <w:r>
        <w:rPr>
          <w:i/>
          <w:color w:val="666666"/>
          <w:sz w:val="17"/>
        </w:rPr>
        <w:t xml:space="preserve"> decides yield and ramp stability.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Design for Manufacturing (DFM) &amp; Design for Assembly (DFA)</w:t>
      </w:r>
    </w:p>
    <w:p>
      <w:pPr>
        <w:spacing w:before="0" w:after="20" w:line="252" w:lineRule="auto"/>
        <w:ind w:left="230"/>
      </w:pPr>
      <w:hyperlink r:id="rId22">
        <w:r>
          <w:rPr>
            <w:color w:val="019E4E"/>
            <w:u w:val="single"/>
            <w:sz w:val="17"/>
          </w:rPr>
          <w:t xml:space="preserve">DFM</w:t>
        </w:r>
      </w:hyperlink>
      <w:r>
        <w:rPr>
          <w:color w:val="222222"/>
          <w:sz w:val="17"/>
        </w:rPr>
        <w:t xml:space="preserve"> reduces production cost without compromising quality  ·  </w:t>
      </w:r>
      <w:hyperlink r:id="rId23">
        <w:r>
          <w:rPr>
            <w:color w:val="019E4E"/>
            <w:u w:val="single"/>
            <w:sz w:val="17"/>
          </w:rPr>
          <w:t xml:space="preserve">DFA</w:t>
        </w:r>
      </w:hyperlink>
      <w:r>
        <w:rPr>
          <w:color w:val="222222"/>
          <w:sz w:val="17"/>
        </w:rPr>
        <w:t xml:space="preserve"> optimizes the physical assembly process  ·  </w:t>
      </w:r>
      <w:hyperlink r:id="rId24">
        <w:r>
          <w:rPr>
            <w:color w:val="019E4E"/>
            <w:u w:val="single"/>
            <w:sz w:val="17"/>
          </w:rPr>
          <w:t xml:space="preserve">PCB placement analysis</w:t>
        </w:r>
      </w:hyperlink>
      <w:r>
        <w:rPr>
          <w:color w:val="222222"/>
          <w:sz w:val="17"/>
        </w:rPr>
        <w:t xml:space="preserve"> aligned to industry standards.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Design for Test (DFT) &amp; PCB Layout Analysis</w:t>
      </w:r>
    </w:p>
    <w:p>
      <w:pPr>
        <w:spacing w:before="0" w:after="20" w:line="252" w:lineRule="auto"/>
        <w:ind w:left="230"/>
      </w:pPr>
      <w:hyperlink r:id="rId25">
        <w:r>
          <w:rPr>
            <w:color w:val="019E4E"/>
            <w:u w:val="single"/>
            <w:sz w:val="17"/>
          </w:rPr>
          <w:t xml:space="preserve">Comprehensive DFT solutions</w:t>
        </w:r>
      </w:hyperlink>
      <w:r>
        <w:rPr>
          <w:color w:val="222222"/>
          <w:sz w:val="17"/>
        </w:rPr>
        <w:t xml:space="preserve"> integrating many DFT techniques  ·  Test-point coverage planning at layout freeze  ·  Boundary-scan / JTAG access design  ·  Fixture economics across volume tiers.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IPC-9252, IEEE 1149.1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Solderability &amp; Design for Product Packing</w:t>
      </w:r>
    </w:p>
    <w:p>
      <w:pPr>
        <w:spacing w:before="0" w:after="20" w:line="252" w:lineRule="auto"/>
        <w:ind w:left="230"/>
      </w:pPr>
      <w:hyperlink r:id="rId26">
        <w:r>
          <w:rPr>
            <w:color w:val="019E4E"/>
            <w:u w:val="single"/>
            <w:sz w:val="17"/>
          </w:rPr>
          <w:t xml:space="preserve">Solderability issue resolution</w:t>
        </w:r>
      </w:hyperlink>
      <w:r>
        <w:rPr>
          <w:color w:val="222222"/>
          <w:sz w:val="17"/>
        </w:rPr>
        <w:t xml:space="preserve"> for SMT and PTH bonding  ·  </w:t>
      </w:r>
      <w:hyperlink r:id="rId27">
        <w:r>
          <w:rPr>
            <w:color w:val="019E4E"/>
            <w:u w:val="single"/>
            <w:sz w:val="17"/>
          </w:rPr>
          <w:t xml:space="preserve">Design for product packing</w:t>
        </w:r>
      </w:hyperlink>
      <w:r>
        <w:rPr>
          <w:color w:val="222222"/>
          <w:sz w:val="17"/>
        </w:rPr>
        <w:t xml:space="preserve"> for safe transit and storage  ·  Stencil and aperture design for fine-pitch yield.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 standards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dense industrial PCBA with inadequate test points and a high final-test failure rate, </w:t>
            </w:r>
            <w:hyperlink r:id="rId28">
              <w:r>
                <w:rPr>
                  <w:color w:val="019E4E"/>
                  <w:u w:val="single"/>
                  <w:sz w:val="17"/>
                  <w:i/>
                </w:rPr>
                <w:t xml:space="preserve">Indic recommended adding test points at layout</w:t>
              </w:r>
            </w:hyperlink>
            <w:r>
              <w:rPr>
                <w:i/>
                <w:color w:val="222222"/>
                <w:sz w:val="17"/>
              </w:rPr>
              <w:t xml:space="preserve"> — enabling component-level test coverage, earlier defect capture, lower retest and rework cost, and reduced field-failure probability.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Certifications &amp; Standards Supporting NPI and Design Engineering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PPAP / APQP (automotive process discipline)  ·  </w:t>
            </w:r>
            <w:hyperlink r:id="rId29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 ·  ISO 9001:2015  ·  ISO 14001  ·  ISO 27001  ·  ISO 45001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30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</w:t>
            </w:r>
            <w:hyperlink r:id="rId30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(harness)  ·  ANSI/ESD S20.20  ·  IPC-9252  ·  IEEE 1149.1 (boundary-scan)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ARAI readiness (EV/automotive, India)  ·  IEC 62368-1 (hi-pot)  ·  IEC 61851 (EV charging)  ·  IEC 62196-2 (Type 1/2)  ·  AEC-Q100/Q200  ·  BIS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Prop 65  ·  TSCA  ·  UN Global Compact  ·  EcoVadis  ·  D&amp;B ESG  ·  Scope 1+2 tracked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&amp; AVL governance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31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Test engineering depth &amp; in-house tooling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In-house test engineering pod (architecture, fixtures, electronics, software validation)  ·  In-house tooling and fixture development  ·  Heat-stacking machines, depaneling jigs, stencils, support blocks  ·  ESD-controlled handling per ANSI/ESD S20.20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32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80" w:type="dxa"/>
              <w:left w:w="140" w:type="dxa"/>
              <w:bottom w:w="80" w:type="dxa"/>
              <w:right w:w="14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/>
            <w:r>
              <w:rPr>
                <w:color w:val="FFFFFF"/>
                <w:sz w:val="20"/>
              </w:rPr>
              <w:t xml:space="preserve">Schedule a discovery call at </w:t>
            </w:r>
            <w:hyperlink r:id="rId33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color w:val="FFFFFF"/>
                <w:sz w:val="20"/>
              </w:rPr>
              <w:t xml:space="preserve">  ·  or email </w:t>
            </w:r>
            <w:hyperlink r:id="rId34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color w:val="FFFFFF"/>
                <w:sz w:val="20"/>
              </w:rPr>
              <w:t xml:space="preserve"> to discuss your NPI or design engineering program.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services/product-engineering" TargetMode="External"/><Relationship Id="rId11" Type="http://schemas.openxmlformats.org/officeDocument/2006/relationships/hyperlink" Target="https://www.indicelectronics.com/services/new-product-introduction" TargetMode="External"/><Relationship Id="rId12" Type="http://schemas.openxmlformats.org/officeDocument/2006/relationships/hyperlink" Target="https://www.indicelectronics.com/services/new-product-introduction/rapid-prototyping" TargetMode="External"/><Relationship Id="rId13" Type="http://schemas.openxmlformats.org/officeDocument/2006/relationships/hyperlink" Target="https://www.indicelectronics.com/services/new-product-introduction/reverse-engineering" TargetMode="External"/><Relationship Id="rId14" Type="http://schemas.openxmlformats.org/officeDocument/2006/relationships/hyperlink" Target="https://www.indicelectronics.com/services/new-product-introduction/process-developments" TargetMode="External"/><Relationship Id="rId15" Type="http://schemas.openxmlformats.org/officeDocument/2006/relationships/hyperlink" Target="https://www.indicelectronics.com/services/new-product-introduction/assembly-tools-and-fixture-design" TargetMode="External"/><Relationship Id="rId16" Type="http://schemas.openxmlformats.org/officeDocument/2006/relationships/hyperlink" Target="https://www.indicelectronics.com/post/electronic-product-development-assembly" TargetMode="External"/><Relationship Id="rId17" Type="http://schemas.openxmlformats.org/officeDocument/2006/relationships/hyperlink" Target="https://www.indicelectronics.com/services/product-engineering/product-lifecycle-management" TargetMode="External"/><Relationship Id="rId18" Type="http://schemas.openxmlformats.org/officeDocument/2006/relationships/hyperlink" Target="https://www.indicelectronics.com/services/product-engineering/component-engineering" TargetMode="External"/><Relationship Id="rId19" Type="http://schemas.openxmlformats.org/officeDocument/2006/relationships/hyperlink" Target="https://www.indicelectronics.com/services/product-engineering/pfmea" TargetMode="External"/><Relationship Id="rId20" Type="http://schemas.openxmlformats.org/officeDocument/2006/relationships/hyperlink" Target="https://www.indicelectronics.com/post/swedish-innovation-meets-indian-manufacturing-excellence-at-indic" TargetMode="External"/><Relationship Id="rId21" Type="http://schemas.openxmlformats.org/officeDocument/2006/relationships/hyperlink" Target="https://www.indicelectronics.com/post/dfx-dfm-dft-ems" TargetMode="External"/><Relationship Id="rId22" Type="http://schemas.openxmlformats.org/officeDocument/2006/relationships/hyperlink" Target="https://www.indicelectronics.com/services/product-engineering/dfx/design-for-manufacturing" TargetMode="External"/><Relationship Id="rId23" Type="http://schemas.openxmlformats.org/officeDocument/2006/relationships/hyperlink" Target="https://www.indicelectronics.com/services/product-engineering/dfx/design-for-assembly" TargetMode="External"/><Relationship Id="rId24" Type="http://schemas.openxmlformats.org/officeDocument/2006/relationships/hyperlink" Target="https://www.indicelectronics.com/services/product-engineering/dfx/pcb-placement-analysis" TargetMode="External"/><Relationship Id="rId25" Type="http://schemas.openxmlformats.org/officeDocument/2006/relationships/hyperlink" Target="https://www.indicelectronics.com/services/product-engineering/dfx/design-for-test" TargetMode="External"/><Relationship Id="rId26" Type="http://schemas.openxmlformats.org/officeDocument/2006/relationships/hyperlink" Target="https://www.indicelectronics.com/services/product-engineering/dfx/solderability-issues" TargetMode="External"/><Relationship Id="rId27" Type="http://schemas.openxmlformats.org/officeDocument/2006/relationships/hyperlink" Target="https://www.indicelectronics.com/services/product-engineering/dfx/design-for-product-packing" TargetMode="External"/><Relationship Id="rId28" Type="http://schemas.openxmlformats.org/officeDocument/2006/relationships/hyperlink" Target="https://www.indicelectronics.com/post/a-case-for-comprehensive-design-for-testability-dft-optimizing-industrial-pcba-reliability" TargetMode="External"/><Relationship Id="rId29" Type="http://schemas.openxmlformats.org/officeDocument/2006/relationships/hyperlink" Target="https://www.iatfglobaloversight.org" TargetMode="External"/><Relationship Id="rId30" Type="http://schemas.openxmlformats.org/officeDocument/2006/relationships/hyperlink" Target="https://www.ipc.org" TargetMode="External"/><Relationship Id="rId31" Type="http://schemas.openxmlformats.org/officeDocument/2006/relationships/hyperlink" Target="https://www.indicelectronics.com/services/manufacturing/component-sourcing" TargetMode="External"/><Relationship Id="rId32" Type="http://schemas.openxmlformats.org/officeDocument/2006/relationships/hyperlink" Target="https://www.indicelectronics.com/about-us/about-indic" TargetMode="External"/><Relationship Id="rId33" Type="http://schemas.openxmlformats.org/officeDocument/2006/relationships/hyperlink" Target="https://www.indicelectronics.com/contact-us" TargetMode="External"/><Relationship Id="rId34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