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12800" cy="34137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413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9"/>
              </w:rPr>
              <w:t>Capability Brief: Manufacturing Capabilities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Assembly line technologies, volume tier capability, and process excellence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p>
      <w:pPr>
        <w:spacing w:before="120" w:after="120" w:line="252" w:lineRule="auto"/>
      </w:pPr>
      <w:r>
        <w:rPr>
          <w:color w:val="222222"/>
          <w:sz w:val="19"/>
        </w:rPr>
        <w:t xml:space="preserve">Manufacturing line choice — and the discipline behind it — determines whether a program scales without losing yield. </w:t>
      </w:r>
      <w:hyperlink r:id="rId10">
        <w:r>
          <w:rPr>
            <w:color w:val="019E4E"/>
            <w:u w:val="single"/>
            <w:sz w:val="19"/>
          </w:rPr>
          <w:t xml:space="preserve">Indic operates a full assembly capability</w:t>
        </w:r>
      </w:hyperlink>
      <w:r>
        <w:rPr>
          <w:color w:val="222222"/>
          <w:sz w:val="19"/>
        </w:rPr>
        <w:t xml:space="preserve"> from prototype through HMLV and high-volume programs, across SMT, THT, BGA, and Hybrid lines, with proven process discipline for fine-pitch (0.3 mm, 01005), HDI (&gt;21 layers), and RF assemblies.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00A58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1.  Assembly Line Technologies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operations and manufacturing leaders choosing </w:t>
      </w:r>
      <w:hyperlink r:id="rId11">
        <w:r>
          <w:rPr>
            <w:color w:val="666666"/>
            <w:u w:val="single"/>
            <w:sz w:val="17"/>
            <w:i/>
          </w:rPr>
          <w:t xml:space="preserve">assembly technology</w:t>
        </w:r>
      </w:hyperlink>
      <w:r>
        <w:rPr>
          <w:i/>
          <w:color w:val="666666"/>
          <w:sz w:val="17"/>
        </w:rPr>
        <w:t xml:space="preserve"> to match product complexity and volume profile.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Surface Mount Technology (SMT)</w:t>
      </w:r>
    </w:p>
    <w:p>
      <w:pPr>
        <w:spacing w:before="0" w:after="20" w:line="252" w:lineRule="auto"/>
        <w:ind w:left="230"/>
      </w:pPr>
      <w:hyperlink r:id="rId12">
        <w:r>
          <w:rPr>
            <w:color w:val="019E4E"/>
            <w:u w:val="single"/>
            <w:sz w:val="17"/>
          </w:rPr>
          <w:t xml:space="preserve">SMT lines</w:t>
        </w:r>
      </w:hyperlink>
      <w:r>
        <w:rPr>
          <w:color w:val="222222"/>
          <w:sz w:val="17"/>
        </w:rPr>
        <w:t xml:space="preserve"> with ERSA Hotflow Three reflow (nitrogen, ~25% lower N2 consumption vs older systems)  ·  Magic Ray VS300 single-pass top + bottom AOI  ·  Real-time MES auto-scan WIP reporting.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IPC-A-610 Class 2/3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Through-Hole Technology (THT) &amp; Wave / Selective Soldering</w:t>
      </w:r>
    </w:p>
    <w:p>
      <w:pPr>
        <w:spacing w:before="0" w:after="20" w:line="252" w:lineRule="auto"/>
        <w:ind w:left="230"/>
      </w:pPr>
      <w:hyperlink r:id="rId13">
        <w:r>
          <w:rPr>
            <w:color w:val="019E4E"/>
            <w:u w:val="single"/>
            <w:sz w:val="17"/>
          </w:rPr>
          <w:t xml:space="preserve">THT</w:t>
        </w:r>
      </w:hyperlink>
      <w:r>
        <w:rPr>
          <w:color w:val="222222"/>
          <w:sz w:val="17"/>
        </w:rPr>
        <w:t xml:space="preserve"> assembly  ·  ERSA Powerflow Pro wave soldering  ·  Selective soldering for mixed-tech assemblies  ·  Kolb AF30 pallet cleaner integration.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IPC-A-610 Class 2/3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BGA &amp; Hybrid Assembly</w:t>
      </w:r>
    </w:p>
    <w:p>
      <w:pPr>
        <w:spacing w:before="0" w:after="20" w:line="252" w:lineRule="auto"/>
        <w:ind w:left="230"/>
      </w:pPr>
      <w:hyperlink r:id="rId14">
        <w:r>
          <w:rPr>
            <w:color w:val="019E4E"/>
            <w:u w:val="single"/>
            <w:sz w:val="17"/>
          </w:rPr>
          <w:t xml:space="preserve">BGA assembly</w:t>
        </w:r>
      </w:hyperlink>
      <w:r>
        <w:rPr>
          <w:color w:val="222222"/>
          <w:sz w:val="17"/>
        </w:rPr>
        <w:t xml:space="preserve"> across package types (down to 0.35 mm pitch, I/O up to &gt;676, packages &gt;32 × 32 mm)  ·  </w:t>
      </w:r>
      <w:hyperlink r:id="rId15">
        <w:r>
          <w:rPr>
            <w:color w:val="019E4E"/>
            <w:u w:val="single"/>
            <w:sz w:val="17"/>
          </w:rPr>
          <w:t xml:space="preserve">Hybrid assembly</w:t>
        </w:r>
      </w:hyperlink>
      <w:r>
        <w:rPr>
          <w:color w:val="222222"/>
          <w:sz w:val="17"/>
        </w:rPr>
        <w:t xml:space="preserve"> for complex electronics with diverse technology mix.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(BGA, Hybrid)     ·     Certifications: IPC-A-610 Class 2/3, X-ray verified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200A58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On a 3 kW 3-wheeler </w:t>
            </w:r>
            <w:hyperlink r:id="rId16">
              <w:r>
                <w:rPr>
                  <w:color w:val="019E4E"/>
                  <w:u w:val="single"/>
                  <w:sz w:val="17"/>
                  <w:i/>
                </w:rPr>
                <w:t xml:space="preserve">EV charger ARAI program</w:t>
              </w:r>
            </w:hyperlink>
            <w:r>
              <w:rPr>
                <w:i/>
                <w:color w:val="222222"/>
                <w:sz w:val="17"/>
              </w:rPr>
              <w:t>, Indic parallelized PFC top and bottom SMT and prioritized power-board assembly to deliver a 4-day assembly cycle — down from a legacy ~2-week cycle — under a 5-day certification window for 10 units.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E2A2A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2.  Volume Tier Capability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programs across volume profiles where </w:t>
      </w:r>
      <w:hyperlink r:id="rId17">
        <w:r>
          <w:rPr>
            <w:color w:val="666666"/>
            <w:u w:val="single"/>
            <w:sz w:val="17"/>
            <w:i/>
          </w:rPr>
          <w:t xml:space="preserve">HMLV changeover discipline</w:t>
        </w:r>
      </w:hyperlink>
      <w:r>
        <w:rPr>
          <w:i/>
          <w:color w:val="666666"/>
          <w:sz w:val="17"/>
        </w:rPr>
        <w:t xml:space="preserve"> or high-volume yield stability decides total program cost.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High-Volume PCBA</w:t>
      </w:r>
    </w:p>
    <w:p>
      <w:pPr>
        <w:spacing w:before="0" w:after="20" w:line="252" w:lineRule="auto"/>
        <w:ind w:left="230"/>
      </w:pPr>
      <w:hyperlink r:id="rId18">
        <w:r>
          <w:rPr>
            <w:color w:val="019E4E"/>
            <w:u w:val="single"/>
            <w:sz w:val="17"/>
          </w:rPr>
          <w:t xml:space="preserve">High-volume PCBA services</w:t>
        </w:r>
      </w:hyperlink>
      <w:r>
        <w:rPr>
          <w:color w:val="222222"/>
          <w:sz w:val="17"/>
        </w:rPr>
        <w:t xml:space="preserve"> for mature programs with stable demand and frozen designs  ·  Line efficiency, fixture amortization, and process stability at scale.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IATF 16949 where automotive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Low-Volume PCBA</w:t>
      </w:r>
    </w:p>
    <w:p>
      <w:pPr>
        <w:spacing w:before="0" w:after="20" w:line="252" w:lineRule="auto"/>
        <w:ind w:left="230"/>
      </w:pPr>
      <w:hyperlink r:id="rId19">
        <w:r>
          <w:rPr>
            <w:color w:val="019E4E"/>
            <w:u w:val="single"/>
            <w:sz w:val="17"/>
          </w:rPr>
          <w:t xml:space="preserve">Low-volume PCBA</w:t>
        </w:r>
      </w:hyperlink>
      <w:r>
        <w:rPr>
          <w:color w:val="222222"/>
          <w:sz w:val="17"/>
        </w:rPr>
        <w:t xml:space="preserve"> for prototypes, custom orders, specialized applications, and pre-production builds  ·  NPI discipline and engineering support during builds.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IPC-A-610 Class 2/3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High-Mix Low-Volume (HMLV) PCBA</w:t>
      </w:r>
    </w:p>
    <w:p>
      <w:pPr>
        <w:spacing w:before="0" w:after="20" w:line="252" w:lineRule="auto"/>
        <w:ind w:left="230"/>
      </w:pPr>
      <w:hyperlink r:id="rId20">
        <w:r>
          <w:rPr>
            <w:color w:val="019E4E"/>
            <w:u w:val="single"/>
            <w:sz w:val="17"/>
          </w:rPr>
          <w:t xml:space="preserve">HMLV PCBA</w:t>
        </w:r>
      </w:hyperlink>
      <w:r>
        <w:rPr>
          <w:color w:val="222222"/>
          <w:sz w:val="17"/>
        </w:rPr>
        <w:t xml:space="preserve"> for variant-heavy, engineering-active programs  ·  Changeover discipline, kit-integrity checks, first-article inspection per variant  ·  Continuous engineering support through NPI and ramp.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 Class 2/3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E2A2A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hyperlink r:id="rId17">
              <w:r>
                <w:rPr>
                  <w:color w:val="019E4E"/>
                  <w:u w:val="single"/>
                  <w:sz w:val="17"/>
                  <w:i/>
                </w:rPr>
                <w:t xml:space="preserve">Indic's LVHM operating discipline</w:t>
              </w:r>
            </w:hyperlink>
            <w:r>
              <w:rPr>
                <w:i/>
                <w:color w:val="222222"/>
                <w:sz w:val="17"/>
              </w:rPr>
              <w:t xml:space="preserve"> is the framework that absorbs changeover frequency: front-loaded DFX/DFT, ICT/FCT/EOL coverage matrices, boundary-scan JTAG where access is constrained, golden samples for first-article comparison, kit-integrity checks at every changeover, and NPI pod sprints to absorb engineering changes.</w:t>
            </w:r>
          </w:p>
        </w:tc>
      </w:tr>
    </w:tbl>
    <w:p>
      <w:pPr>
        <w:spacing w:before="0" w:after="160" w:line="252" w:lineRule="auto"/>
      </w:pP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11200" cy="298704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2987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6"/>
              </w:rPr>
              <w:t>Process Excellence + Cross-Segment Capabilities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Fine-pitch, HDI, and RF discipline supporting Indic's manufacturing capability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3.  Process Excellence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complex assemblies requiring </w:t>
      </w:r>
      <w:hyperlink r:id="rId21">
        <w:r>
          <w:rPr>
            <w:color w:val="666666"/>
            <w:u w:val="single"/>
            <w:sz w:val="17"/>
            <w:i/>
          </w:rPr>
          <w:t xml:space="preserve">fine-pitch, HDI, and RF process discipline</w:t>
        </w:r>
      </w:hyperlink>
      <w:r>
        <w:rPr>
          <w:i/>
          <w:color w:val="666666"/>
          <w:sz w:val="17"/>
        </w:rPr>
        <w:t>.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Fine-Pitch &amp; 01005 Component Placement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Passives down to 01005  ·  BGA pitch 0.35–1.27 mm  ·  Package-level pick-and-place tuning  ·  Special nozzles, support bars, jig tolerance discipline.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IPC-A-610 Class 2/3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HDI &amp; Multi-Layer Boards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Layers up to &gt;21  ·  Board thickness 32–150 mils  ·  Vias: through, blind, buried, microvia  ·  Finishes: ENIG, immersion tin, HASL, immersion silver, OSP.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(HDI)     ·     Certifications: IPC standards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Solder Paste Printing &amp; Stencil Engineering</w:t>
      </w:r>
    </w:p>
    <w:p>
      <w:pPr>
        <w:spacing w:before="0" w:after="20" w:line="252" w:lineRule="auto"/>
        <w:ind w:left="230"/>
      </w:pPr>
      <w:hyperlink r:id="rId22">
        <w:r>
          <w:rPr>
            <w:color w:val="019E4E"/>
            <w:u w:val="single"/>
            <w:sz w:val="17"/>
          </w:rPr>
          <w:t xml:space="preserve">Solder paste handling</w:t>
        </w:r>
      </w:hyperlink>
      <w:r>
        <w:rPr>
          <w:color w:val="222222"/>
          <w:sz w:val="17"/>
        </w:rPr>
        <w:t xml:space="preserve"> (incl. Type 5)  ·  </w:t>
      </w:r>
      <w:hyperlink r:id="rId23">
        <w:r>
          <w:rPr>
            <w:color w:val="019E4E"/>
            <w:u w:val="single"/>
            <w:sz w:val="17"/>
          </w:rPr>
          <w:t xml:space="preserve">Stencil engineering</w:t>
        </w:r>
      </w:hyperlink>
      <w:r>
        <w:rPr>
          <w:color w:val="222222"/>
          <w:sz w:val="17"/>
        </w:rPr>
        <w:t xml:space="preserve"> (aperture, rheology, support blocks)  ·  3D solder paste inspection (SPI)  ·  Process validation for fine-pitch and RF programs.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IPC-A-610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19E4E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19E4E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Indic's manufacturing-process discipline also extends to in-house tooling: an </w:t>
            </w:r>
            <w:hyperlink r:id="rId21">
              <w:r>
                <w:rPr>
                  <w:color w:val="019E4E"/>
                  <w:u w:val="single"/>
                  <w:sz w:val="17"/>
                  <w:i/>
                </w:rPr>
                <w:t xml:space="preserve">in-house heat-stacking machine</w:t>
              </w:r>
            </w:hyperlink>
            <w:r>
              <w:rPr>
                <w:i/>
                <w:color w:val="222222"/>
                <w:sz w:val="17"/>
              </w:rPr>
              <w:t xml:space="preserve"> developed in-house (manual riveting → automated dual-head PLC/HMI with in-house heating bit) delivered a 90% cost reduction and eliminated supply dependency — commissioned with zero rejections on an 80-piece initial run.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22222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4.  Certifications &amp; Standards Supporting Manufacturing Discipline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Quality &amp; Management Systems</w:t>
            </w:r>
          </w:p>
          <w:p>
            <w:pPr>
              <w:spacing w:before="0" w:after="0" w:line="252" w:lineRule="auto"/>
            </w:pPr>
            <w:hyperlink r:id="rId24">
              <w:r>
                <w:rPr>
                  <w:color w:val="019E4E"/>
                  <w:u w:val="single"/>
                  <w:sz w:val="16"/>
                </w:rPr>
                <w:t xml:space="preserve">IATF 16949:2016</w:t>
              </w:r>
            </w:hyperlink>
            <w:r>
              <w:rPr>
                <w:color w:val="222222"/>
                <w:sz w:val="16"/>
              </w:rPr>
              <w:t xml:space="preserve"> (automotive QMS, Tier-1/Tier-2 supply)  ·  ISO 9001:2015  ·  ISO 14001  ·  ISO 27001  ·  ISO 45001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Workmanship &amp; Process Standards</w:t>
            </w:r>
          </w:p>
          <w:p>
            <w:pPr>
              <w:spacing w:before="0" w:after="0" w:line="252" w:lineRule="auto"/>
            </w:pPr>
            <w:hyperlink r:id="rId25">
              <w:r>
                <w:rPr>
                  <w:color w:val="019E4E"/>
                  <w:u w:val="single"/>
                  <w:sz w:val="16"/>
                </w:rPr>
                <w:t xml:space="preserve">IPC-A-610</w:t>
              </w:r>
            </w:hyperlink>
            <w:r>
              <w:rPr>
                <w:color w:val="222222"/>
                <w:sz w:val="16"/>
              </w:rPr>
              <w:t xml:space="preserve"> Class 2/3  ·  </w:t>
            </w:r>
            <w:hyperlink r:id="rId25">
              <w:r>
                <w:rPr>
                  <w:color w:val="019E4E"/>
                  <w:u w:val="single"/>
                  <w:sz w:val="16"/>
                </w:rPr>
                <w:t xml:space="preserve">IPC/WHMA-A-620</w:t>
              </w:r>
            </w:hyperlink>
            <w:r>
              <w:rPr>
                <w:color w:val="222222"/>
                <w:sz w:val="16"/>
              </w:rPr>
              <w:t xml:space="preserve"> Class 2/3 (harness)  ·  ANSI/ESD S20.20  ·  IPC-9252  ·  IEEE 1149.1 (boundary-scan)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Segment-Specific Standards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ARAI readiness (EV/automotive, India)  ·  IEC 62368-1 (hi-pot)  ·  IEC 61851 (EV charging)  ·  IEC 62196-2 (Type 1/2)  ·  AEC-Q100/Q200  ·  BIS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Substance, Environmental &amp; ESG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RoHS  ·  WEEE  ·  REACH  ·  China RoHS  ·  Prop 65  ·  TSCA  ·  UN Global Compact  ·  EcoVadis  ·  D&amp;B ESG  ·  Scope 1+2 tracked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08944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5.  Supplier Ecosystem &amp; Supporting Capabilities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Capacity, cleanroom &amp; ramp infrastructure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292K sq ft total  ·  </w:t>
            </w:r>
            <w:hyperlink r:id="rId26">
              <w:r>
                <w:rPr>
                  <w:color w:val="019E4E"/>
                  <w:u w:val="single"/>
                  <w:sz w:val="16"/>
                </w:rPr>
                <w:t xml:space="preserve">Phase II</w:t>
              </w:r>
            </w:hyperlink>
            <w:r>
              <w:rPr>
                <w:color w:val="222222"/>
                <w:sz w:val="16"/>
              </w:rPr>
              <w:t>: 80K+ sq ft expansion, Class 10,000 cleanroom, 7 dual-lane + 1 NPI SMT lines, ~225% capacity lift  ·  Phase III adjacent to Foxconn India, Q4 2026 kickoff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Box-build, mechanical &amp; harnessing supply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Metal injection molding, plastic injection molding, sheet metal, extrusion, die-casting via vetted Indian supplier network  ·  In-house </w:t>
            </w:r>
            <w:hyperlink r:id="rId27">
              <w:r>
                <w:rPr>
                  <w:color w:val="019E4E"/>
                  <w:u w:val="single"/>
                  <w:sz w:val="16"/>
                </w:rPr>
                <w:t xml:space="preserve">harness cell</w:t>
              </w:r>
            </w:hyperlink>
            <w:r>
              <w:rPr>
                <w:color w:val="222222"/>
                <w:sz w:val="16"/>
              </w:rPr>
              <w:t xml:space="preserve"> (Phase II, 2026): IPC/WHMA-A-620 Class 2/3, ultrasonic welding, crimp-force monitoring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Component sourcing &amp; AVL governance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Direct accounts with Arrow, Avnet, Mouser, Digi-Key  ·  </w:t>
            </w:r>
            <w:hyperlink r:id="rId28">
              <w:r>
                <w:rPr>
                  <w:color w:val="019E4E"/>
                  <w:u w:val="single"/>
                  <w:sz w:val="16"/>
                </w:rPr>
                <w:t xml:space="preserve">Turnkey / consigned / partial sourcing</w:t>
              </w:r>
            </w:hyperlink>
            <w:r>
              <w:rPr>
                <w:color w:val="222222"/>
                <w:sz w:val="16"/>
              </w:rPr>
              <w:t xml:space="preserve">  ·  PCN, EOL, NCNR via Compliance Risk Manager  ·  Alternates with package, fit, thermal, performance validation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IT, traceability &amp; change-control stack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SAP S/4HANA (ERP, change masters with effectivity)  ·  SAP Digital Manufacturing (MES, serial-bound auto-scan WIP)  ·  SAP DMS (controlled docs, approval workflow)  ·  CalcuQuote  ·  Same-day ECN disposition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80" w:type="dxa"/>
              <w:left w:w="140" w:type="dxa"/>
              <w:bottom w:w="80" w:type="dxa"/>
              <w:right w:w="14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52" w:lineRule="auto"/>
            </w:pPr>
            <w:r/>
            <w:r>
              <w:rPr>
                <w:color w:val="FFFFFF"/>
                <w:sz w:val="20"/>
              </w:rPr>
              <w:t xml:space="preserve">Schedule a discovery call at </w:t>
            </w:r>
            <w:hyperlink r:id="rId29">
              <w:r>
                <w:rPr>
                  <w:color w:val="FFFFFF"/>
                  <w:u w:val="single"/>
                  <w:sz w:val="20"/>
                  <w:b/>
                </w:rPr>
                <w:t xml:space="preserve">indicelectronics.com</w:t>
              </w:r>
            </w:hyperlink>
            <w:r>
              <w:rPr>
                <w:color w:val="FFFFFF"/>
                <w:sz w:val="20"/>
              </w:rPr>
              <w:t xml:space="preserve">  ·  or email </w:t>
            </w:r>
            <w:hyperlink r:id="rId30">
              <w:r>
                <w:rPr>
                  <w:color w:val="FFFFFF"/>
                  <w:u w:val="single"/>
                  <w:sz w:val="20"/>
                  <w:b/>
                </w:rPr>
                <w:t xml:space="preserve">info@indicelectronics.com</w:t>
              </w:r>
            </w:hyperlink>
            <w:r>
              <w:rPr>
                <w:color w:val="FFFFFF"/>
                <w:sz w:val="20"/>
              </w:rPr>
              <w:t xml:space="preserve"> to discuss your manufacturing or volume-scaling program.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indicelectronics.com/services/manufacturing" TargetMode="External"/><Relationship Id="rId11" Type="http://schemas.openxmlformats.org/officeDocument/2006/relationships/hyperlink" Target="https://www.indicelectronics.com/services/manufacturing/assembly-lines" TargetMode="External"/><Relationship Id="rId12" Type="http://schemas.openxmlformats.org/officeDocument/2006/relationships/hyperlink" Target="https://www.indicelectronics.com/services/manufacturing/assembly-lines/smt" TargetMode="External"/><Relationship Id="rId13" Type="http://schemas.openxmlformats.org/officeDocument/2006/relationships/hyperlink" Target="https://www.indicelectronics.com/services/manufacturing/assembly-lines/tht" TargetMode="External"/><Relationship Id="rId14" Type="http://schemas.openxmlformats.org/officeDocument/2006/relationships/hyperlink" Target="https://www.indicelectronics.com/services/manufacturing/assembly-lines/bga" TargetMode="External"/><Relationship Id="rId15" Type="http://schemas.openxmlformats.org/officeDocument/2006/relationships/hyperlink" Target="https://www.indicelectronics.com/services/manufacturing/assembly-lines/hybrid" TargetMode="External"/><Relationship Id="rId16" Type="http://schemas.openxmlformats.org/officeDocument/2006/relationships/hyperlink" Target="https://www.indicelectronics.com/post/indic-pioneers-fast-4-day-assembly-cycle-of-ev-chargers" TargetMode="External"/><Relationship Id="rId17" Type="http://schemas.openxmlformats.org/officeDocument/2006/relationships/hyperlink" Target="https://www.indicelectronics.com/post/low-volume-high-mix-ems" TargetMode="External"/><Relationship Id="rId18" Type="http://schemas.openxmlformats.org/officeDocument/2006/relationships/hyperlink" Target="https://www.indicelectronics.com/high-volume-pcba" TargetMode="External"/><Relationship Id="rId19" Type="http://schemas.openxmlformats.org/officeDocument/2006/relationships/hyperlink" Target="https://www.indicelectronics.com/low-volume-pcba" TargetMode="External"/><Relationship Id="rId20" Type="http://schemas.openxmlformats.org/officeDocument/2006/relationships/hyperlink" Target="https://www.indicelectronics.com/high-mix-low-volume-pcba" TargetMode="External"/><Relationship Id="rId21" Type="http://schemas.openxmlformats.org/officeDocument/2006/relationships/hyperlink" Target="https://www.indicelectronics.com/post/iot-rf-module-manufacturing" TargetMode="External"/><Relationship Id="rId22" Type="http://schemas.openxmlformats.org/officeDocument/2006/relationships/hyperlink" Target="https://www.indicelectronics.com/services/manufacturing/solder" TargetMode="External"/><Relationship Id="rId23" Type="http://schemas.openxmlformats.org/officeDocument/2006/relationships/hyperlink" Target="https://www.indicelectronics.com/services/manufacturing/stencil" TargetMode="External"/><Relationship Id="rId24" Type="http://schemas.openxmlformats.org/officeDocument/2006/relationships/hyperlink" Target="https://www.iatfglobaloversight.org" TargetMode="External"/><Relationship Id="rId25" Type="http://schemas.openxmlformats.org/officeDocument/2006/relationships/hyperlink" Target="https://www.ipc.org" TargetMode="External"/><Relationship Id="rId26" Type="http://schemas.openxmlformats.org/officeDocument/2006/relationships/hyperlink" Target="https://www.indicelectronics.com/about-us/about-indic" TargetMode="External"/><Relationship Id="rId27" Type="http://schemas.openxmlformats.org/officeDocument/2006/relationships/hyperlink" Target="https://www.indicelectronics.com/services/custom-box-build-solutions" TargetMode="External"/><Relationship Id="rId28" Type="http://schemas.openxmlformats.org/officeDocument/2006/relationships/hyperlink" Target="https://www.indicelectronics.com/services/manufacturing/component-sourcing" TargetMode="External"/><Relationship Id="rId29" Type="http://schemas.openxmlformats.org/officeDocument/2006/relationships/hyperlink" Target="https://www.indicelectronics.com/contact-us" TargetMode="External"/><Relationship Id="rId30" Type="http://schemas.openxmlformats.org/officeDocument/2006/relationships/hyperlink" Target="mailto:info@indicelectron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