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812800" cy="34137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dic_logo_for_docx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34137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2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>
            <w:pPr>
              <w:spacing w:before="80" w:after="0" w:line="252" w:lineRule="auto"/>
            </w:pPr>
            <w:r/>
            <w:r>
              <w:rPr>
                <w:b/>
                <w:color w:val="222222"/>
                <w:sz w:val="29"/>
              </w:rPr>
              <w:t>Capability Brief: IoT &amp; Smart Devices Manufacturing</w:t>
            </w:r>
          </w:p>
          <w:p>
            <w:pPr>
              <w:spacing w:before="0" w:after="0" w:line="252" w:lineRule="auto"/>
            </w:pPr>
            <w:r>
              <w:rPr>
                <w:i/>
                <w:color w:val="666666"/>
                <w:sz w:val="18"/>
              </w:rPr>
              <w:t>Fine-pitch RF, smart-city PCBAs, vision modules, and connectivity electronics</w:t>
            </w:r>
          </w:p>
        </w:tc>
      </w:tr>
    </w:tbl>
    <w:p>
      <w:pPr>
        <w:spacing w:before="0" w:after="0" w:line="252" w:lineRule="auto"/>
        <w:pBdr>
          <w:bottom w:val="single" w:sz="4" w:space="1" w:color="DDDDDD"/>
        </w:pBdr>
      </w:pPr>
    </w:p>
    <w:p>
      <w:pPr>
        <w:spacing w:before="120" w:after="120" w:line="252" w:lineRule="auto"/>
      </w:pPr>
      <w:r>
        <w:rPr>
          <w:color w:val="222222"/>
          <w:sz w:val="19"/>
        </w:rPr>
        <w:t xml:space="preserve">Connected devices live or die on placement precision. Fine-pitch RF modules with 0.3 mm BGA pitch, multi-board smart-city PCBAs with limited test points, HDI camera and motion-sensing assemblies — all push placement, shielding, and depaneling tolerances to their edge. </w:t>
      </w:r>
      <w:hyperlink r:id="rId10">
        <w:r>
          <w:rPr>
            <w:color w:val="019E4E"/>
            <w:u w:val="single"/>
            <w:sz w:val="19"/>
          </w:rPr>
          <w:t xml:space="preserve">Indic manufactures IoT and smart-device electronics</w:t>
        </w:r>
      </w:hyperlink>
      <w:r>
        <w:rPr>
          <w:color w:val="222222"/>
          <w:sz w:val="19"/>
        </w:rPr>
        <w:t xml:space="preserve"> under a process discipline built specifically for that complexity, with proven outcomes on 0.3 mm pitch, BGA-dense, RF-shielded designs.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200A58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1.  Connectivity &amp; RF Modules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connected-device OEMs where </w:t>
      </w:r>
      <w:hyperlink r:id="rId11">
        <w:r>
          <w:rPr>
            <w:color w:val="666666"/>
            <w:u w:val="single"/>
            <w:sz w:val="17"/>
            <w:i/>
          </w:rPr>
          <w:t xml:space="preserve">RF integrity and fine-pitch placement</w:t>
        </w:r>
      </w:hyperlink>
      <w:r>
        <w:rPr>
          <w:i/>
          <w:color w:val="666666"/>
          <w:sz w:val="17"/>
        </w:rPr>
        <w:t xml:space="preserve"> decide field performance.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Fine-Pitch RF IoT Modules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RF IoT communication modules  ·  BGA-dense layouts down to 0.3 mm pitch and 01005 passives  ·  Shielded packages with controlled stencil and reflow profiles.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IPC-A-610 Class 2/3, RoHS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Zigbee Communication Modules &amp; AMI Energy Meters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Zigbee communication modules for wireless mesh networking  ·  Zigbee-enabled Smart Energy Meters (AMI)  ·  Energy Meters for utility billing infrastructure.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RoHS, BIS-eligible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BGA-Dense Module Production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Five or more BGAs per board  ·  Type 5 solder paste with redesigned stencils and support blocks  ·  Aperture and rheology tuning for fine-pitch yield.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(RF)     ·     Certifications: IPC-A-610 Class 2/3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200A58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For a fast-growing IoT customer backed by a leading silicon provider, </w:t>
            </w:r>
            <w:hyperlink r:id="rId12">
              <w:r>
                <w:rPr>
                  <w:color w:val="019E4E"/>
                  <w:u w:val="single"/>
                  <w:sz w:val="17"/>
                  <w:i/>
                </w:rPr>
                <w:t xml:space="preserve">Indic solved three coupled manufacturing problems</w:t>
              </w:r>
            </w:hyperlink>
            <w:r>
              <w:rPr>
                <w:i/>
                <w:color w:val="222222"/>
                <w:sz w:val="17"/>
              </w:rPr>
              <w:t xml:space="preserve"> — solder paste printing with Type 5 paste and redesigned stencils, component placement stability via package-level pick-and-place tuning, and depaneling damage via router-bit and cushioning fixture redesign.</w:t>
            </w:r>
          </w:p>
        </w:tc>
      </w:tr>
    </w:tbl>
    <w:p>
      <w:pPr>
        <w:spacing w:before="0" w:after="16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E2A2A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2.  Smart City &amp; Connected Lighting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smart-city operators and outdoor-lighting OEMs where </w:t>
      </w:r>
      <w:hyperlink r:id="rId13">
        <w:r>
          <w:rPr>
            <w:color w:val="666666"/>
            <w:u w:val="single"/>
            <w:sz w:val="17"/>
            <w:i/>
          </w:rPr>
          <w:t xml:space="preserve">97%+ test coverage</w:t>
        </w:r>
      </w:hyperlink>
      <w:r>
        <w:rPr>
          <w:i/>
          <w:color w:val="666666"/>
          <w:sz w:val="17"/>
        </w:rPr>
        <w:t xml:space="preserve"> must be achieved without bespoke fixtures or full test specs.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Smart Street-Lighting Multi-Board PCBAs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Connected, intelligent street-lighting modules (e.g., four-board PCBA modules)  ·  Flying Probe Testing for designs with thin or absent test specs  ·  MES traceability per serial.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(Multi-Board)     ·     Certifications: IPC-A-610 Class 2/3, RoHS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NEMA Lighting Controllers (Connected, Standard, Photocell)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Connected NEMA Lighting Controllers  ·  Standard NEMA Lighting Controllers  ·  NEMA Photocell Controllers  ·  NEMA socket standard.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NEMA socket standard, RoHS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DC Mini Lighting Controllers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Compact DC lighting controllers for low-voltage outdoor lighting systems  ·  Compact form factor with conformal coating and ESD discipline.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RoHS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0E2A2A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A smart-city street-lighting customer in a developed market gave Indic only Gerbers and a BOM — no test specs, limited test points. Phase 1 outsourced MDA reached only ~50% coverage. </w:t>
            </w:r>
            <w:hyperlink r:id="rId13">
              <w:r>
                <w:rPr>
                  <w:color w:val="019E4E"/>
                  <w:u w:val="single"/>
                  <w:sz w:val="17"/>
                  <w:i/>
                </w:rPr>
                <w:t xml:space="preserve">Indic adopted Flying Probe Testing in Phase 2 and hit 97.78% coverage</w:t>
              </w:r>
            </w:hyperlink>
            <w:r>
              <w:rPr>
                <w:i/>
                <w:color w:val="222222"/>
                <w:sz w:val="17"/>
              </w:rPr>
              <w:t xml:space="preserve"> — without custom fixtures, against the same Gerber + BOM constraints.</w:t>
            </w:r>
          </w:p>
        </w:tc>
      </w:tr>
    </w:tbl>
    <w:p>
      <w:pPr>
        <w:spacing w:before="0" w:after="160" w:line="252" w:lineRule="auto"/>
      </w:pPr>
    </w:p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11200" cy="298704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dic_logo_for_docx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29870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2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>
            <w:pPr>
              <w:spacing w:before="80" w:after="0" w:line="252" w:lineRule="auto"/>
            </w:pPr>
            <w:r/>
            <w:r>
              <w:rPr>
                <w:b/>
                <w:color w:val="222222"/>
                <w:sz w:val="26"/>
              </w:rPr>
              <w:t>Vision, Sensing &amp; Power IoT Modules + Cross-Segment Capabilities</w:t>
            </w:r>
          </w:p>
          <w:p>
            <w:pPr>
              <w:spacing w:before="0" w:after="0" w:line="252" w:lineRule="auto"/>
            </w:pPr>
            <w:r>
              <w:rPr>
                <w:i/>
                <w:color w:val="666666"/>
                <w:sz w:val="18"/>
              </w:rPr>
              <w:t>Certifications and supplier ecosystem supporting Indic's IoT and smart-device manufacturing</w:t>
            </w:r>
          </w:p>
        </w:tc>
      </w:tr>
    </w:tbl>
    <w:p>
      <w:pPr>
        <w:spacing w:before="0" w:after="0" w:line="252" w:lineRule="auto"/>
        <w:pBdr>
          <w:bottom w:val="single" w:sz="4" w:space="1" w:color="DDDDDD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19E4E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3.  Vision, Sensing, HMI &amp; Power IoT Modules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connected-device platforms requiring </w:t>
      </w:r>
      <w:hyperlink r:id="rId11">
        <w:r>
          <w:rPr>
            <w:color w:val="666666"/>
            <w:u w:val="single"/>
            <w:sz w:val="17"/>
            <w:i/>
          </w:rPr>
          <w:t xml:space="preserve">HDI camera, motion-sensing modules, HMI interfaces, and IoT power conversion</w:t>
        </w:r>
      </w:hyperlink>
      <w:r>
        <w:rPr>
          <w:i/>
          <w:color w:val="666666"/>
          <w:sz w:val="17"/>
        </w:rPr>
        <w:t>.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HDI Camera &amp; Motion-Sensing Modules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Camera Module PCBAs with high-layer HDI, micro-BGA / fine-pitch BGA, via-in-pad  ·  Motion-sensing boards on 8-layer HDI  ·  Embedded imaging for smart-edge and vision-based devices.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(HDI)     ·     Certifications: IPC-A-610 Class 2/3, RoHS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IoT HMI Modules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Connected touch panels and control surfaces  ·  HMI Modules integrated with IoT power and connectivity.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RoHS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IoT DC-DC Converters &amp; Motor Controllers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DC-DC Converters for connected-device power conversion  ·  Motor Controller Units for smart appliances and industrial IoT  ·  Power-conversion modules for connected platforms.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RoHS, 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019E4E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19E4E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Indic's IoT pillar capability extends beyond placement: </w:t>
            </w:r>
            <w:hyperlink r:id="rId11">
              <w:r>
                <w:rPr>
                  <w:color w:val="019E4E"/>
                  <w:u w:val="single"/>
                  <w:sz w:val="17"/>
                  <w:i/>
                </w:rPr>
                <w:t xml:space="preserve">router-bit selection by revision, custom depaneling jigs with cushioning, and fixture support tape</w:t>
              </w:r>
            </w:hyperlink>
            <w:r>
              <w:rPr>
                <w:i/>
                <w:color w:val="222222"/>
                <w:sz w:val="17"/>
              </w:rPr>
              <w:t xml:space="preserve"> have all become standard tooling on HDI camera and motion-sensing programs — preventing mechanical damage during depaneling on dense, fragile boards.</w:t>
            </w:r>
          </w:p>
        </w:tc>
      </w:tr>
    </w:tbl>
    <w:p>
      <w:pPr>
        <w:spacing w:before="0" w:after="16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222222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4.  Certifications &amp; Standards for Connected-Device Manufacturing</w:t>
            </w:r>
          </w:p>
        </w:tc>
      </w:tr>
    </w:tbl>
    <w:p>
      <w:pPr>
        <w:spacing w:before="0" w:after="8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Substance, Environmental &amp; ESG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RoHS  ·  WEEE  ·  REACH  ·  China RoHS  ·  Conflict Minerals (3TG)  ·  Prop 65  ·  POPs  ·  TSCA  ·  PFAS  ·  Halogen-Free  ·  UN Global Compact  ·  EcoVadis  ·  D&amp;B ESG  ·  Scope 1+2 tracked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Workmanship &amp; Process Standards</w:t>
            </w:r>
          </w:p>
          <w:p>
            <w:pPr>
              <w:spacing w:before="0" w:after="0" w:line="252" w:lineRule="auto"/>
            </w:pPr>
            <w:hyperlink r:id="rId14">
              <w:r>
                <w:rPr>
                  <w:color w:val="019E4E"/>
                  <w:u w:val="single"/>
                  <w:sz w:val="16"/>
                </w:rPr>
                <w:t xml:space="preserve">IPC-A-610</w:t>
              </w:r>
            </w:hyperlink>
            <w:r>
              <w:rPr>
                <w:color w:val="222222"/>
                <w:sz w:val="16"/>
              </w:rPr>
              <w:t xml:space="preserve"> Class 2/3  ·  </w:t>
            </w:r>
            <w:hyperlink r:id="rId14">
              <w:r>
                <w:rPr>
                  <w:color w:val="019E4E"/>
                  <w:u w:val="single"/>
                  <w:sz w:val="16"/>
                </w:rPr>
                <w:t xml:space="preserve">IPC/WHMA-A-620</w:t>
              </w:r>
            </w:hyperlink>
            <w:r>
              <w:rPr>
                <w:color w:val="222222"/>
                <w:sz w:val="16"/>
              </w:rPr>
              <w:t xml:space="preserve"> Class 2/3 (harness)  ·  ANSI/ESD S20.20  ·  IPC-9252  ·  IEEE 1149.1 (boundary-scan)</w:t>
            </w:r>
          </w:p>
        </w:tc>
      </w:tr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Quality &amp; Management Systems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ISO 9001:2015 (foundational QMS)  ·  </w:t>
            </w:r>
            <w:hyperlink r:id="rId15">
              <w:r>
                <w:rPr>
                  <w:color w:val="019E4E"/>
                  <w:u w:val="single"/>
                  <w:sz w:val="16"/>
                </w:rPr>
                <w:t xml:space="preserve">IATF 16949:2016</w:t>
              </w:r>
            </w:hyperlink>
            <w:r>
              <w:rPr>
                <w:color w:val="222222"/>
                <w:sz w:val="16"/>
              </w:rPr>
              <w:t xml:space="preserve"> (automotive)  ·  ISO 14001  ·  ISO 27001  ·  ISO 45001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Segment-Specific Standards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NEMA socket standard (lighting controllers)  ·  IEC 62368-1 (safety)  ·  BIS-eligible (India market)  ·  IEEE 1149.1 (boundary-scan for HDI / fine-pitch BGA)</w:t>
            </w:r>
          </w:p>
        </w:tc>
      </w:tr>
    </w:tbl>
    <w:p>
      <w:pPr>
        <w:spacing w:before="0" w:after="12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08944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5.  Supplier Ecosystem &amp; Supporting Capabilities</w:t>
            </w:r>
          </w:p>
        </w:tc>
      </w:tr>
    </w:tbl>
    <w:p>
      <w:pPr>
        <w:spacing w:before="0" w:after="8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Component sourcing for fine-pitch &amp; RF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Direct accounts with Arrow, Avnet, Mouser, Digi-Key  ·  </w:t>
            </w:r>
            <w:hyperlink r:id="rId16">
              <w:r>
                <w:rPr>
                  <w:color w:val="019E4E"/>
                  <w:u w:val="single"/>
                  <w:sz w:val="16"/>
                </w:rPr>
                <w:t xml:space="preserve">Turnkey / consigned / partial sourcing</w:t>
              </w:r>
            </w:hyperlink>
            <w:r>
              <w:rPr>
                <w:color w:val="222222"/>
                <w:sz w:val="16"/>
              </w:rPr>
              <w:t xml:space="preserve">  ·  PCN, EOL, NCNR via Compliance Risk Manager  ·  Alternates with package, fit, thermal, performance validation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Process tooling &amp; in-house fixturing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In-house heat-stacking, depaneling jigs (program-specific), router-bit selection by revision  ·  Type 5 paste handling  ·  Custom stencils  ·  ESD-controlled handling per ANSI/ESD S20.20</w:t>
            </w:r>
          </w:p>
        </w:tc>
      </w:tr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IT, traceability &amp; change-control stack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SAP S/4HANA (ERP, change masters with effectivity)  ·  SAP Digital Manufacturing (MES, serial-bound auto-scan WIP)  ·  SAP DMS (controlled docs, approval workflow)  ·  CalcuQuote  ·  Same-day ECN disposition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Capacity, cleanroom &amp; ramp infrastructure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292K sq ft total  ·  </w:t>
            </w:r>
            <w:hyperlink r:id="rId17">
              <w:r>
                <w:rPr>
                  <w:color w:val="019E4E"/>
                  <w:u w:val="single"/>
                  <w:sz w:val="16"/>
                </w:rPr>
                <w:t xml:space="preserve">Phase II</w:t>
              </w:r>
            </w:hyperlink>
            <w:r>
              <w:rPr>
                <w:color w:val="222222"/>
                <w:sz w:val="16"/>
              </w:rPr>
              <w:t>: 80K+ sq ft expansion, Class 10,000 cleanroom, 7 dual-lane + 1 NPI SMT lines, ~225% capacity lift  ·  Phase III adjacent to Foxconn India, Q4 2026 kickoff</w:t>
            </w:r>
          </w:p>
        </w:tc>
      </w:tr>
    </w:tbl>
    <w:p>
      <w:pPr>
        <w:spacing w:before="0" w:after="12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19E4E"/>
            <w:tcMar>
              <w:top w:w="80" w:type="dxa"/>
              <w:left w:w="140" w:type="dxa"/>
              <w:bottom w:w="80" w:type="dxa"/>
              <w:right w:w="14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52" w:lineRule="auto"/>
            </w:pPr>
            <w:r/>
            <w:r>
              <w:rPr>
                <w:color w:val="FFFFFF"/>
                <w:sz w:val="20"/>
              </w:rPr>
              <w:t xml:space="preserve">Schedule a discovery call at </w:t>
            </w:r>
            <w:hyperlink r:id="rId18">
              <w:r>
                <w:rPr>
                  <w:color w:val="FFFFFF"/>
                  <w:u w:val="single"/>
                  <w:sz w:val="20"/>
                  <w:b/>
                </w:rPr>
                <w:t xml:space="preserve">indicelectronics.com</w:t>
              </w:r>
            </w:hyperlink>
            <w:r>
              <w:rPr>
                <w:color w:val="FFFFFF"/>
                <w:sz w:val="20"/>
              </w:rPr>
              <w:t xml:space="preserve">  ·  or email </w:t>
            </w:r>
            <w:hyperlink r:id="rId19">
              <w:r>
                <w:rPr>
                  <w:color w:val="FFFFFF"/>
                  <w:u w:val="single"/>
                  <w:sz w:val="20"/>
                  <w:b/>
                </w:rPr>
                <w:t xml:space="preserve">info@indicelectronics.com</w:t>
              </w:r>
            </w:hyperlink>
            <w:r>
              <w:rPr>
                <w:color w:val="FFFFFF"/>
                <w:sz w:val="20"/>
              </w:rPr>
              <w:t xml:space="preserve"> to discuss your IoT or smart-device manufacturing program.</w:t>
            </w:r>
          </w:p>
        </w:tc>
      </w:tr>
    </w:tbl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www.indicelectronics.com/industries/iot" TargetMode="External"/><Relationship Id="rId11" Type="http://schemas.openxmlformats.org/officeDocument/2006/relationships/hyperlink" Target="https://www.indicelectronics.com/post/iot-rf-module-manufacturing" TargetMode="External"/><Relationship Id="rId12" Type="http://schemas.openxmlformats.org/officeDocument/2006/relationships/hyperlink" Target="https://www.indicelectronics.com/post/global-iot-company-overcomes-complex-manufacturing-challenges" TargetMode="External"/><Relationship Id="rId13" Type="http://schemas.openxmlformats.org/officeDocument/2006/relationships/hyperlink" Target="https://www.indicelectronics.com/post/no-test-specs-no-problem-how-we-hit-97-78-coverage-anyway" TargetMode="External"/><Relationship Id="rId14" Type="http://schemas.openxmlformats.org/officeDocument/2006/relationships/hyperlink" Target="https://www.ipc.org" TargetMode="External"/><Relationship Id="rId15" Type="http://schemas.openxmlformats.org/officeDocument/2006/relationships/hyperlink" Target="https://www.iatfglobaloversight.org" TargetMode="External"/><Relationship Id="rId16" Type="http://schemas.openxmlformats.org/officeDocument/2006/relationships/hyperlink" Target="https://www.indicelectronics.com/services/manufacturing/component-sourcing" TargetMode="External"/><Relationship Id="rId17" Type="http://schemas.openxmlformats.org/officeDocument/2006/relationships/hyperlink" Target="https://www.indicelectronics.com/about-us/about-indic" TargetMode="External"/><Relationship Id="rId18" Type="http://schemas.openxmlformats.org/officeDocument/2006/relationships/hyperlink" Target="https://www.indicelectronics.com/contact-us" TargetMode="External"/><Relationship Id="rId19" Type="http://schemas.openxmlformats.org/officeDocument/2006/relationships/hyperlink" Target="mailto:info@indicelectronic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