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812800" cy="34137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ndic_logo_for_docx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34137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2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>
            <w:pPr>
              <w:spacing w:before="80" w:after="0" w:line="252" w:lineRule="auto"/>
            </w:pPr>
            <w:r/>
            <w:r>
              <w:rPr>
                <w:b/>
                <w:color w:val="222222"/>
                <w:sz w:val="29"/>
              </w:rPr>
              <w:t>Capability Brief: Component Sourcing &amp; Supply Chain Services</w:t>
            </w:r>
          </w:p>
          <w:p>
            <w:pPr>
              <w:spacing w:before="0" w:after="0" w:line="252" w:lineRule="auto"/>
            </w:pPr>
            <w:r>
              <w:rPr>
                <w:i/>
                <w:color w:val="666666"/>
                <w:sz w:val="18"/>
              </w:rPr>
              <w:t>Turnkey / consigned / partial sourcing, AVL governance, and lifecycle discipline</w:t>
            </w:r>
          </w:p>
        </w:tc>
      </w:tr>
    </w:tbl>
    <w:p>
      <w:pPr>
        <w:spacing w:before="0" w:after="0" w:line="252" w:lineRule="auto"/>
        <w:pBdr>
          <w:bottom w:val="single" w:sz="4" w:space="1" w:color="DDDDDD"/>
        </w:pBdr>
      </w:pPr>
    </w:p>
    <w:p>
      <w:pPr>
        <w:spacing w:before="120" w:after="120" w:line="252" w:lineRule="auto"/>
      </w:pPr>
      <w:r>
        <w:rPr>
          <w:color w:val="222222"/>
          <w:sz w:val="19"/>
        </w:rPr>
        <w:t xml:space="preserve">The biggest non-engineering risk on most electronics programs is component risk — PCN exposure, EOL surprise, allocation, NCNR commitments, and shortages that arrive at the worst possible moment. </w:t>
      </w:r>
      <w:hyperlink r:id="rId10">
        <w:r>
          <w:rPr>
            <w:color w:val="019E4E"/>
            <w:u w:val="single"/>
            <w:sz w:val="19"/>
          </w:rPr>
          <w:t xml:space="preserve">Indic's supply chain practice</w:t>
        </w:r>
      </w:hyperlink>
      <w:r>
        <w:rPr>
          <w:color w:val="222222"/>
          <w:sz w:val="19"/>
        </w:rPr>
        <w:t xml:space="preserve"> is built specifically to absorb that risk before it lands on the OEM's P&amp;L, through direct distributor relationships, structured AVL governance, and Compliance Risk Manager monitoring across 20+ substance and lifecycle standards.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200A58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1.  Sourcing Models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For OEM procurement teams choosing </w:t>
      </w:r>
      <w:hyperlink r:id="rId11">
        <w:r>
          <w:rPr>
            <w:color w:val="666666"/>
            <w:u w:val="single"/>
            <w:sz w:val="17"/>
            <w:i/>
          </w:rPr>
          <w:t xml:space="preserve">sourcing model</w:t>
        </w:r>
      </w:hyperlink>
      <w:r>
        <w:rPr>
          <w:i/>
          <w:color w:val="666666"/>
          <w:sz w:val="17"/>
        </w:rPr>
        <w:t xml:space="preserve"> based on program risk profile and capital position.</w:t>
      </w:r>
    </w:p>
    <w:p>
      <w:pPr>
        <w:spacing w:before="80" w:after="20" w:line="252" w:lineRule="auto"/>
        <w:ind w:left="230"/>
      </w:pPr>
      <w:r>
        <w:rPr>
          <w:b/>
          <w:color w:val="200A58"/>
          <w:sz w:val="19"/>
        </w:rPr>
        <w:t>Turnkey Sourcing</w:t>
      </w:r>
    </w:p>
    <w:p>
      <w:pPr>
        <w:spacing w:before="0" w:after="20" w:line="252" w:lineRule="auto"/>
        <w:ind w:left="230"/>
      </w:pPr>
      <w:hyperlink r:id="rId12">
        <w:r>
          <w:rPr>
            <w:color w:val="019E4E"/>
            <w:u w:val="single"/>
            <w:sz w:val="17"/>
          </w:rPr>
          <w:t xml:space="preserve">High-speed turnkey PCB assembly services</w:t>
        </w:r>
      </w:hyperlink>
      <w:r>
        <w:rPr>
          <w:color w:val="222222"/>
          <w:sz w:val="17"/>
        </w:rPr>
        <w:t xml:space="preserve"> including AOI and ICT for functionality  ·  Indic absorbs sourcing risk, BOM management, and inventory holding  ·  Best fit for programs where the OEM wants single-vendor accountability.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IPC-A-610, ISO 9001</w:t>
      </w:r>
    </w:p>
    <w:p>
      <w:pPr>
        <w:spacing w:before="80" w:after="20" w:line="252" w:lineRule="auto"/>
        <w:ind w:left="230"/>
      </w:pPr>
      <w:r>
        <w:rPr>
          <w:b/>
          <w:color w:val="200A58"/>
          <w:sz w:val="19"/>
        </w:rPr>
        <w:t>Consigned Sourcing</w:t>
      </w:r>
    </w:p>
    <w:p>
      <w:pPr>
        <w:spacing w:before="0" w:after="20" w:line="252" w:lineRule="auto"/>
        <w:ind w:left="230"/>
      </w:pPr>
      <w:hyperlink r:id="rId13">
        <w:r>
          <w:rPr>
            <w:color w:val="019E4E"/>
            <w:u w:val="single"/>
            <w:sz w:val="17"/>
          </w:rPr>
          <w:t xml:space="preserve">Consigned PCB assembly services</w:t>
        </w:r>
      </w:hyperlink>
      <w:r>
        <w:rPr>
          <w:color w:val="222222"/>
          <w:sz w:val="17"/>
        </w:rPr>
        <w:t xml:space="preserve"> prioritizing flexibility — OEM supplies components, Indic provides assembly capacity  ·  Adaptable to OEMs with established sourcing or supplier relationships of their own.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IPC-A-610</w:t>
      </w:r>
    </w:p>
    <w:p>
      <w:pPr>
        <w:spacing w:before="80" w:after="20" w:line="252" w:lineRule="auto"/>
        <w:ind w:left="230"/>
      </w:pPr>
      <w:r>
        <w:rPr>
          <w:b/>
          <w:color w:val="200A58"/>
          <w:sz w:val="19"/>
        </w:rPr>
        <w:t>Partial Turnkey &amp; Hybrid Models</w:t>
      </w:r>
    </w:p>
    <w:p>
      <w:pPr>
        <w:spacing w:before="0" w:after="20" w:line="252" w:lineRule="auto"/>
        <w:ind w:left="230"/>
      </w:pPr>
      <w:hyperlink r:id="rId14">
        <w:r>
          <w:rPr>
            <w:color w:val="019E4E"/>
            <w:u w:val="single"/>
            <w:sz w:val="17"/>
          </w:rPr>
          <w:t xml:space="preserve">Partial turnkey assembly services</w:t>
        </w:r>
      </w:hyperlink>
      <w:r>
        <w:rPr>
          <w:color w:val="222222"/>
          <w:sz w:val="17"/>
        </w:rPr>
        <w:t xml:space="preserve"> customized to let OEMs choose which BOM categories Indic sources vs. which they consign  ·  Common for programs with mixed component-availability profiles.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IPC-A-610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200A58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r>
              <w:rPr>
                <w:i/>
                <w:color w:val="222222"/>
                <w:sz w:val="17"/>
              </w:rPr>
              <w:t xml:space="preserve">On a 3 kW 3-wheeler EV charger program facing an ARAI certification window, </w:t>
            </w:r>
            <w:hyperlink r:id="rId15">
              <w:r>
                <w:rPr>
                  <w:color w:val="019E4E"/>
                  <w:u w:val="single"/>
                  <w:sz w:val="17"/>
                  <w:i/>
                </w:rPr>
                <w:t xml:space="preserve">Indic's sourcing and engineering reviewed the BOM jointly</w:t>
              </w:r>
            </w:hyperlink>
            <w:r>
              <w:rPr>
                <w:i/>
                <w:color w:val="222222"/>
                <w:sz w:val="17"/>
              </w:rPr>
              <w:t xml:space="preserve"> — localized critical components against validated alternates before pilot — eliminating import dependency that the original BOM would have absorbed as substitution risk during pilot.</w:t>
            </w:r>
          </w:p>
        </w:tc>
      </w:tr>
    </w:tbl>
    <w:p>
      <w:pPr>
        <w:spacing w:before="0" w:after="16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E2A2A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2.  AVL Governance &amp; Lifecycle Discipline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For sourcing leaders managing </w:t>
      </w:r>
      <w:hyperlink r:id="rId16">
        <w:r>
          <w:rPr>
            <w:color w:val="666666"/>
            <w:u w:val="single"/>
            <w:sz w:val="17"/>
            <w:i/>
          </w:rPr>
          <w:t xml:space="preserve">PCN, EOL, and NCNR exposure</w:t>
        </w:r>
      </w:hyperlink>
      <w:r>
        <w:rPr>
          <w:i/>
          <w:color w:val="666666"/>
          <w:sz w:val="17"/>
        </w:rPr>
        <w:t xml:space="preserve"> across long-lifecycle industrial programs.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Compliance Risk Manager &amp; Substance Compliance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Compliance Risk Manager monitors BOMs against 20+ standards (WEEE, China RoHS, Prop 65, POPs, TSCA, PFAS, Halogen-Free)  ·  Risk scoring per BOM line  ·  Compliant Crosses for alternate component identification  ·  ESG signals embedded.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RoHS, REACH, Conflict Minerals (3TG)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Alternate Component Strategy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Alternate components validated against fit, thermal, performance, and test response boundaries  ·  Customer-approved versus engineer-approved substitution boundaries documented  ·  Lifecycle risk closed in engineering, not pushed to pilot.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    ·     Certifications: —</w:t>
      </w:r>
    </w:p>
    <w:p>
      <w:pPr>
        <w:spacing w:before="80" w:after="20" w:line="252" w:lineRule="auto"/>
        <w:ind w:left="230"/>
      </w:pPr>
      <w:r>
        <w:rPr>
          <w:b/>
          <w:color w:val="0E2A2A"/>
          <w:sz w:val="19"/>
        </w:rPr>
        <w:t>Lifecycle Mapping (PCN, EOL, Last-Time-Buy)</w:t>
      </w:r>
    </w:p>
    <w:p>
      <w:pPr>
        <w:spacing w:before="0" w:after="20" w:line="252" w:lineRule="auto"/>
        <w:ind w:left="230"/>
      </w:pPr>
      <w:hyperlink r:id="rId17">
        <w:r>
          <w:rPr>
            <w:color w:val="019E4E"/>
            <w:u w:val="single"/>
            <w:sz w:val="17"/>
          </w:rPr>
          <w:t xml:space="preserve">Component engineering services</w:t>
        </w:r>
      </w:hyperlink>
      <w:r>
        <w:rPr>
          <w:color w:val="222222"/>
          <w:sz w:val="17"/>
        </w:rPr>
        <w:t xml:space="preserve"> across the lifecycle  ·  PCN exposure tracking for critical components  ·  EOL and last-time-buy planning  ·  Long-lead and allocation-risk parts flagged early.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RoHS, REACH continuous monitoring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0E2A2A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r>
              <w:rPr>
                <w:i/>
                <w:color w:val="222222"/>
                <w:sz w:val="17"/>
              </w:rPr>
              <w:t xml:space="preserve">Across its supplier quality discipline, </w:t>
            </w:r>
            <w:hyperlink r:id="rId18">
              <w:r>
                <w:rPr>
                  <w:color w:val="019E4E"/>
                  <w:u w:val="single"/>
                  <w:sz w:val="17"/>
                  <w:i/>
                </w:rPr>
                <w:t xml:space="preserve">Indic runs a CAPA / 8D framework</w:t>
              </w:r>
            </w:hyperlink>
            <w:r>
              <w:rPr>
                <w:i/>
                <w:color w:val="222222"/>
                <w:sz w:val="17"/>
              </w:rPr>
              <w:t xml:space="preserve"> on supplier and component issues — containment, problem definition with measurement-system MSA/GR&amp;R, root cause via 5-Why or Ishikawa, corrective action through fixture / code / DFT / DFM changes, verification, and a control plan with layered process audits.</w:t>
            </w:r>
          </w:p>
        </w:tc>
      </w:tr>
    </w:tbl>
    <w:p>
      <w:pPr>
        <w:spacing w:before="0" w:after="160" w:line="252" w:lineRule="auto"/>
      </w:pPr>
    </w:p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172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11200" cy="298704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ndic_logo_for_docx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29870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921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>
            <w:pPr>
              <w:spacing w:before="80" w:after="0" w:line="252" w:lineRule="auto"/>
            </w:pPr>
            <w:r/>
            <w:r>
              <w:rPr>
                <w:b/>
                <w:color w:val="222222"/>
                <w:sz w:val="26"/>
              </w:rPr>
              <w:t>Distributor Network, Logistics + Cross-Segment Capabilities</w:t>
            </w:r>
          </w:p>
          <w:p>
            <w:pPr>
              <w:spacing w:before="0" w:after="0" w:line="252" w:lineRule="auto"/>
            </w:pPr>
            <w:r>
              <w:rPr>
                <w:i/>
                <w:color w:val="666666"/>
                <w:sz w:val="18"/>
              </w:rPr>
              <w:t>Distributor relationships, packaging, certifications, and IT/traceability supporting sourcing discipline</w:t>
            </w:r>
          </w:p>
        </w:tc>
      </w:tr>
    </w:tbl>
    <w:p>
      <w:pPr>
        <w:spacing w:before="0" w:after="0" w:line="252" w:lineRule="auto"/>
        <w:pBdr>
          <w:bottom w:val="single" w:sz="4" w:space="1" w:color="DDDDDD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19E4E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3.  Distributor Network &amp; Logistics</w:t>
            </w:r>
          </w:p>
        </w:tc>
      </w:tr>
    </w:tbl>
    <w:p>
      <w:pPr>
        <w:spacing w:before="80" w:after="40" w:line="252" w:lineRule="auto"/>
        <w:ind w:left="230"/>
      </w:pPr>
      <w:r>
        <w:rPr>
          <w:i/>
          <w:color w:val="666666"/>
          <w:sz w:val="17"/>
        </w:rPr>
        <w:t xml:space="preserve">For programs where </w:t>
      </w:r>
      <w:hyperlink r:id="rId19">
        <w:r>
          <w:rPr>
            <w:color w:val="666666"/>
            <w:u w:val="single"/>
            <w:sz w:val="17"/>
            <w:i/>
          </w:rPr>
          <w:t xml:space="preserve">distributor leverage and shipment discipline</w:t>
        </w:r>
      </w:hyperlink>
      <w:r>
        <w:rPr>
          <w:i/>
          <w:color w:val="666666"/>
          <w:sz w:val="17"/>
        </w:rPr>
        <w:t xml:space="preserve"> decide program cost and continuity.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Direct Distributor Accounts</w:t>
      </w:r>
    </w:p>
    <w:p>
      <w:pPr>
        <w:spacing w:before="0" w:after="20" w:line="252" w:lineRule="auto"/>
        <w:ind w:left="230"/>
      </w:pPr>
      <w:r>
        <w:rPr>
          <w:color w:val="222222"/>
          <w:sz w:val="17"/>
        </w:rPr>
        <w:t>Direct accounts with Arrow, Avnet, Mouser, Digi-Key for major distributor coverage  ·  Demonstrated PO cancellation, push-out, and partial-cancellation track record  ·  Cross-program inventory visibility for excess-stock redirection.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—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Packaging for PCBAs</w:t>
      </w:r>
    </w:p>
    <w:p>
      <w:pPr>
        <w:spacing w:before="0" w:after="20" w:line="252" w:lineRule="auto"/>
        <w:ind w:left="230"/>
      </w:pPr>
      <w:hyperlink r:id="rId20">
        <w:r>
          <w:rPr>
            <w:color w:val="019E4E"/>
            <w:u w:val="single"/>
            <w:sz w:val="17"/>
          </w:rPr>
          <w:t xml:space="preserve">Packaging for PCBAs</w:t>
        </w:r>
      </w:hyperlink>
      <w:r>
        <w:rPr>
          <w:color w:val="222222"/>
          <w:sz w:val="17"/>
        </w:rPr>
        <w:t xml:space="preserve"> including protection during storage, transit, and ESD handling  ·  Customer-specific labeling and serialization  ·  Audit-ready packaging records.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ANSI/ESD S20.20, IPC-A-610</w:t>
      </w:r>
    </w:p>
    <w:p>
      <w:pPr>
        <w:spacing w:before="80" w:after="20" w:line="252" w:lineRule="auto"/>
        <w:ind w:left="230"/>
      </w:pPr>
      <w:r>
        <w:rPr>
          <w:b/>
          <w:color w:val="019E4E"/>
          <w:sz w:val="19"/>
        </w:rPr>
        <w:t>Shipment Lines &amp; Logistics Coordination</w:t>
      </w:r>
    </w:p>
    <w:p>
      <w:pPr>
        <w:spacing w:before="0" w:after="20" w:line="252" w:lineRule="auto"/>
        <w:ind w:left="230"/>
      </w:pPr>
      <w:hyperlink r:id="rId21">
        <w:r>
          <w:rPr>
            <w:color w:val="019E4E"/>
            <w:u w:val="single"/>
            <w:sz w:val="17"/>
          </w:rPr>
          <w:t xml:space="preserve">Shipment line operations</w:t>
        </w:r>
      </w:hyperlink>
      <w:r>
        <w:rPr>
          <w:color w:val="222222"/>
          <w:sz w:val="17"/>
        </w:rPr>
        <w:t xml:space="preserve"> for outbound packaging and shipping  ·  Export-oriented documentation discipline  ·  EOU duty-free imports and zero-duty on components for export-oriented production.</w:t>
      </w:r>
    </w:p>
    <w:p>
      <w:pPr>
        <w:spacing w:before="0" w:after="80" w:line="252" w:lineRule="auto"/>
        <w:ind w:left="230"/>
      </w:pPr>
      <w:r>
        <w:rPr>
          <w:i/>
          <w:color w:val="666666"/>
          <w:sz w:val="15"/>
        </w:rPr>
        <w:t>Builds: PCBA + Box-Build     ·     Certifications: —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tcBorders>
              <w:top w:val="nil"/>
              <w:bottom w:val="nil"/>
              <w:right w:val="nil"/>
              <w:left w:val="single" w:sz="24" w:space="4" w:color="019E4E"/>
            </w:tcBorders>
            <w:tcMar>
              <w:top w:w="60" w:type="dxa"/>
              <w:left w:w="180" w:type="dxa"/>
              <w:bottom w:w="60" w:type="dxa"/>
              <w:right w:w="13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19E4E"/>
                <w:sz w:val="15"/>
              </w:rPr>
              <w:t>IN PRACTICE</w:t>
            </w:r>
          </w:p>
          <w:p>
            <w:pPr>
              <w:spacing w:before="0" w:after="0" w:line="252" w:lineRule="auto"/>
            </w:pPr>
            <w:r>
              <w:rPr>
                <w:i/>
                <w:color w:val="222222"/>
                <w:sz w:val="17"/>
              </w:rPr>
              <w:t xml:space="preserve">On a Battery Management System PCBA program where the IC supplier </w:t>
            </w:r>
            <w:hyperlink r:id="rId22">
              <w:r>
                <w:rPr>
                  <w:color w:val="019E4E"/>
                  <w:u w:val="single"/>
                  <w:sz w:val="17"/>
                  <w:i/>
                </w:rPr>
                <w:t xml:space="preserve">wouldn't troubleshoot a ~5,000 PPM flash-memory failure without firmware access</w:t>
              </w:r>
            </w:hyperlink>
            <w:r>
              <w:rPr>
                <w:i/>
                <w:color w:val="222222"/>
                <w:sz w:val="17"/>
              </w:rPr>
              <w:t>, Indic's cross-functional team — supplier engineering, software, and quality — resolved the issue through firmware-level intervention. PPM dropped to ~0 on post-upgrade shipments, and quarantine WIP space was recovered.</w:t>
            </w:r>
          </w:p>
        </w:tc>
      </w:tr>
    </w:tbl>
    <w:p>
      <w:pPr>
        <w:spacing w:before="0" w:after="16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222222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4.  Substance, Compliance, and Lifecycle Standards</w:t>
            </w:r>
          </w:p>
        </w:tc>
      </w:tr>
    </w:tbl>
    <w:p>
      <w:pPr>
        <w:spacing w:before="0" w:after="8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Substance, Environmental &amp; ESG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RoHS  ·  WEEE  ·  REACH  ·  China RoHS  ·  Conflict Minerals (3TG)  ·  Prop 65  ·  POPs  ·  TSCA  ·  PFAS  ·  Halogen-Free  ·  UN Global Compact  ·  EcoVadis  ·  D&amp;B ESG  ·  Scope 1+2 tracked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Quality &amp; Management Systems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ISO 9001:2015 (foundational QMS)  ·  </w:t>
            </w:r>
            <w:hyperlink r:id="rId23">
              <w:r>
                <w:rPr>
                  <w:color w:val="019E4E"/>
                  <w:u w:val="single"/>
                  <w:sz w:val="16"/>
                </w:rPr>
                <w:t xml:space="preserve">IATF 16949:2016</w:t>
              </w:r>
            </w:hyperlink>
            <w:r>
              <w:rPr>
                <w:color w:val="222222"/>
                <w:sz w:val="16"/>
              </w:rPr>
              <w:t xml:space="preserve"> (automotive)  ·  ISO 14001  ·  ISO 27001  ·  ISO 45001</w:t>
            </w:r>
          </w:p>
        </w:tc>
      </w:tr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Workmanship &amp; Process Standards</w:t>
            </w:r>
          </w:p>
          <w:p>
            <w:pPr>
              <w:spacing w:before="0" w:after="0" w:line="252" w:lineRule="auto"/>
            </w:pPr>
            <w:hyperlink r:id="rId24">
              <w:r>
                <w:rPr>
                  <w:color w:val="019E4E"/>
                  <w:u w:val="single"/>
                  <w:sz w:val="16"/>
                </w:rPr>
                <w:t xml:space="preserve">IPC-A-610</w:t>
              </w:r>
            </w:hyperlink>
            <w:r>
              <w:rPr>
                <w:color w:val="222222"/>
                <w:sz w:val="16"/>
              </w:rPr>
              <w:t xml:space="preserve"> Class 2/3  ·  </w:t>
            </w:r>
            <w:hyperlink r:id="rId24">
              <w:r>
                <w:rPr>
                  <w:color w:val="019E4E"/>
                  <w:u w:val="single"/>
                  <w:sz w:val="16"/>
                </w:rPr>
                <w:t xml:space="preserve">IPC/WHMA-A-620</w:t>
              </w:r>
            </w:hyperlink>
            <w:r>
              <w:rPr>
                <w:color w:val="222222"/>
                <w:sz w:val="16"/>
              </w:rPr>
              <w:t xml:space="preserve"> Class 2/3 (harness)  ·  ANSI/ESD S20.20  ·  IPC-9252  ·  IEEE 1149.1 (boundary-scan)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200A58"/>
                <w:sz w:val="17"/>
              </w:rPr>
              <w:t>Segment-Specific Standards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ARAI readiness (EV/automotive, India)  ·  IEC 62368-1 (hi-pot)  ·  IEC 61851 (EV charging)  ·  IEC 62196-2 (Type 1/2)  ·  AEC-Q100/Q200  ·  BIS</w:t>
            </w:r>
          </w:p>
        </w:tc>
      </w:tr>
    </w:tbl>
    <w:p>
      <w:pPr>
        <w:spacing w:before="0" w:after="12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08944"/>
            <w:tcMar>
              <w:top w:w="50" w:type="dxa"/>
              <w:left w:w="110" w:type="dxa"/>
              <w:bottom w:w="50" w:type="dxa"/>
              <w:right w:w="110" w:type="dxa"/>
            </w:tcMar>
          </w:tcPr>
          <w:p>
            <w:pPr>
              <w:spacing w:before="0" w:after="0" w:line="252" w:lineRule="auto"/>
            </w:pPr>
            <w:r/>
            <w:r>
              <w:rPr>
                <w:b/>
                <w:color w:val="FFFFFF"/>
                <w:sz w:val="22"/>
              </w:rPr>
              <w:t>5.  Supplier Ecosystem &amp; Supporting Capabilities</w:t>
            </w:r>
          </w:p>
        </w:tc>
      </w:tr>
    </w:tbl>
    <w:p>
      <w:pPr>
        <w:spacing w:before="0" w:after="8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Component sourcing &amp; AVL governance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Direct accounts with Arrow, Avnet, Mouser, Digi-Key  ·  </w:t>
            </w:r>
            <w:hyperlink r:id="rId11">
              <w:r>
                <w:rPr>
                  <w:color w:val="019E4E"/>
                  <w:u w:val="single"/>
                  <w:sz w:val="16"/>
                </w:rPr>
                <w:t xml:space="preserve">Turnkey / consigned / partial sourcing</w:t>
              </w:r>
            </w:hyperlink>
            <w:r>
              <w:rPr>
                <w:color w:val="222222"/>
                <w:sz w:val="16"/>
              </w:rPr>
              <w:t xml:space="preserve">  ·  PCN, EOL, NCNR via Compliance Risk Manager  ·  Alternates with package, fit, thermal, performance validation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IT, traceability &amp; change-control stack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>SAP S/4HANA (ERP, change masters with effectivity)  ·  SAP Digital Manufacturing (MES, serial-bound auto-scan WIP)  ·  SAP DMS (controlled docs, approval workflow)  ·  CalcuQuote  ·  Same-day ECN disposition</w:t>
            </w:r>
          </w:p>
        </w:tc>
      </w:tr>
      <w:tr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Box-build mechanical, enclosure &amp; harnessing supply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Metal injection molding, plastic injection molding, sheet metal, extrusion, die-casting via vetted Indian supplier network  ·  In-house </w:t>
            </w:r>
            <w:hyperlink r:id="rId25">
              <w:r>
                <w:rPr>
                  <w:color w:val="019E4E"/>
                  <w:u w:val="single"/>
                  <w:sz w:val="16"/>
                </w:rPr>
                <w:t xml:space="preserve">harness cell</w:t>
              </w:r>
            </w:hyperlink>
            <w:r>
              <w:rPr>
                <w:color w:val="222222"/>
                <w:sz w:val="16"/>
              </w:rPr>
              <w:t xml:space="preserve"> (Phase II, 2026): IPC/WHMA-A-620 Class 2/3, ultrasonic welding, crimp-force monitoring</w:t>
            </w:r>
          </w:p>
        </w:tc>
        <w:tc>
          <w:tcPr>
            <w:tcW w:type="dxa" w:w="547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00" w:type="dxa"/>
              <w:bottom w:w="30" w:type="dxa"/>
              <w:right w:w="100" w:type="dxa"/>
            </w:tcMar>
          </w:tcPr>
          <w:p>
            <w:pPr>
              <w:spacing w:before="0" w:after="40" w:line="252" w:lineRule="auto"/>
            </w:pPr>
            <w:r/>
            <w:r>
              <w:rPr>
                <w:b/>
                <w:color w:val="0E2A2A"/>
                <w:sz w:val="17"/>
              </w:rPr>
              <w:t>Capacity, cleanroom &amp; ramp infrastructure</w:t>
            </w:r>
          </w:p>
          <w:p>
            <w:pPr>
              <w:spacing w:before="0" w:after="0" w:line="252" w:lineRule="auto"/>
            </w:pPr>
            <w:r>
              <w:rPr>
                <w:color w:val="222222"/>
                <w:sz w:val="16"/>
              </w:rPr>
              <w:t xml:space="preserve">292K sq ft total  ·  </w:t>
            </w:r>
            <w:hyperlink r:id="rId26">
              <w:r>
                <w:rPr>
                  <w:color w:val="019E4E"/>
                  <w:u w:val="single"/>
                  <w:sz w:val="16"/>
                </w:rPr>
                <w:t xml:space="preserve">Phase II</w:t>
              </w:r>
            </w:hyperlink>
            <w:r>
              <w:rPr>
                <w:color w:val="222222"/>
                <w:sz w:val="16"/>
              </w:rPr>
              <w:t>: 80K+ sq ft expansion, Class 10,000 cleanroom, 7 dual-lane + 1 NPI SMT lines, ~225% capacity lift  ·  Phase III adjacent to Foxconn India, Q4 2026 kickoff</w:t>
            </w:r>
          </w:p>
        </w:tc>
      </w:tr>
    </w:tbl>
    <w:p>
      <w:pPr>
        <w:spacing w:before="0" w:after="120" w:line="252" w:lineRule="auto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shd w:val="clear" w:color="auto" w:fill="019E4E"/>
            <w:tcMar>
              <w:top w:w="80" w:type="dxa"/>
              <w:left w:w="140" w:type="dxa"/>
              <w:bottom w:w="80" w:type="dxa"/>
              <w:right w:w="14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 w:line="252" w:lineRule="auto"/>
            </w:pPr>
            <w:r/>
            <w:r>
              <w:rPr>
                <w:color w:val="FFFFFF"/>
                <w:sz w:val="20"/>
              </w:rPr>
              <w:t xml:space="preserve">Schedule a discovery call at </w:t>
            </w:r>
            <w:hyperlink r:id="rId27">
              <w:r>
                <w:rPr>
                  <w:color w:val="FFFFFF"/>
                  <w:u w:val="single"/>
                  <w:sz w:val="20"/>
                  <w:b/>
                </w:rPr>
                <w:t xml:space="preserve">indicelectronics.com</w:t>
              </w:r>
            </w:hyperlink>
            <w:r>
              <w:rPr>
                <w:color w:val="FFFFFF"/>
                <w:sz w:val="20"/>
              </w:rPr>
              <w:t xml:space="preserve">  ·  or email </w:t>
            </w:r>
            <w:hyperlink r:id="rId28">
              <w:r>
                <w:rPr>
                  <w:color w:val="FFFFFF"/>
                  <w:u w:val="single"/>
                  <w:sz w:val="20"/>
                  <w:b/>
                </w:rPr>
                <w:t xml:space="preserve">info@indicelectronics.com</w:t>
              </w:r>
            </w:hyperlink>
            <w:r>
              <w:rPr>
                <w:color w:val="FFFFFF"/>
                <w:sz w:val="20"/>
              </w:rPr>
              <w:t xml:space="preserve"> to discuss your sourcing or supply-chain program.</w:t>
            </w:r>
          </w:p>
        </w:tc>
      </w:tr>
    </w:tbl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www.indicelectronics.com/services/supply-chain" TargetMode="External"/><Relationship Id="rId11" Type="http://schemas.openxmlformats.org/officeDocument/2006/relationships/hyperlink" Target="https://www.indicelectronics.com/services/manufacturing/component-sourcing" TargetMode="External"/><Relationship Id="rId12" Type="http://schemas.openxmlformats.org/officeDocument/2006/relationships/hyperlink" Target="https://www.indicelectronics.com/services/manufacturing/component-sourcing/turnkey" TargetMode="External"/><Relationship Id="rId13" Type="http://schemas.openxmlformats.org/officeDocument/2006/relationships/hyperlink" Target="https://www.indicelectronics.com/services/manufacturing/component-sourcing/consigned" TargetMode="External"/><Relationship Id="rId14" Type="http://schemas.openxmlformats.org/officeDocument/2006/relationships/hyperlink" Target="https://www.indicelectronics.com/services/partial-turnkey" TargetMode="External"/><Relationship Id="rId15" Type="http://schemas.openxmlformats.org/officeDocument/2006/relationships/hyperlink" Target="https://www.indicelectronics.com/post/indic-pioneers-fast-4-day-assembly-cycle-of-ev-chargers" TargetMode="External"/><Relationship Id="rId16" Type="http://schemas.openxmlformats.org/officeDocument/2006/relationships/hyperlink" Target="https://www.indicelectronics.com/services/product-engineering/product-lifecycle-management" TargetMode="External"/><Relationship Id="rId17" Type="http://schemas.openxmlformats.org/officeDocument/2006/relationships/hyperlink" Target="https://www.indicelectronics.com/services/product-engineering/component-engineering" TargetMode="External"/><Relationship Id="rId18" Type="http://schemas.openxmlformats.org/officeDocument/2006/relationships/hyperlink" Target="https://www.indicelectronics.com/post/supplier-quality-in-ems-audits-capa-ppm-turnarounds" TargetMode="External"/><Relationship Id="rId19" Type="http://schemas.openxmlformats.org/officeDocument/2006/relationships/hyperlink" Target="https://www.indicelectronics.com/post/india-ems-market" TargetMode="External"/><Relationship Id="rId20" Type="http://schemas.openxmlformats.org/officeDocument/2006/relationships/hyperlink" Target="https://www.indicelectronics.com/services/logistics-and-fulfillment/packaging-for-pcbas" TargetMode="External"/><Relationship Id="rId21" Type="http://schemas.openxmlformats.org/officeDocument/2006/relationships/hyperlink" Target="https://www.indicelectronics.com/services/logistics-and-fulfillment/shipment-lines" TargetMode="External"/><Relationship Id="rId22" Type="http://schemas.openxmlformats.org/officeDocument/2006/relationships/hyperlink" Target="https://www.indicelectronics.com/post/case-study-resolving-flash-failure-in-battery-management-system-pcbas-for-an-automobile-company" TargetMode="External"/><Relationship Id="rId23" Type="http://schemas.openxmlformats.org/officeDocument/2006/relationships/hyperlink" Target="https://www.iatfglobaloversight.org" TargetMode="External"/><Relationship Id="rId24" Type="http://schemas.openxmlformats.org/officeDocument/2006/relationships/hyperlink" Target="https://www.ipc.org" TargetMode="External"/><Relationship Id="rId25" Type="http://schemas.openxmlformats.org/officeDocument/2006/relationships/hyperlink" Target="https://www.indicelectronics.com/services/custom-box-build-solutions" TargetMode="External"/><Relationship Id="rId26" Type="http://schemas.openxmlformats.org/officeDocument/2006/relationships/hyperlink" Target="https://www.indicelectronics.com/about-us/about-indic" TargetMode="External"/><Relationship Id="rId27" Type="http://schemas.openxmlformats.org/officeDocument/2006/relationships/hyperlink" Target="https://www.indicelectronics.com/contact-us" TargetMode="External"/><Relationship Id="rId28" Type="http://schemas.openxmlformats.org/officeDocument/2006/relationships/hyperlink" Target="mailto:info@indicelectronic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