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812800" cy="34137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dic_logo_for_docx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34137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2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>
            <w:pPr>
              <w:spacing w:before="80" w:after="0" w:line="252" w:lineRule="auto"/>
            </w:pPr>
            <w:r/>
            <w:r>
              <w:rPr>
                <w:b/>
                <w:color w:val="222222"/>
                <w:sz w:val="29"/>
              </w:rPr>
              <w:t>Capability Brief: Box-Build, System Integration &amp; Wire/Cable Harnessing</w:t>
            </w:r>
          </w:p>
          <w:p>
            <w:pPr>
              <w:spacing w:before="0" w:after="0" w:line="252" w:lineRule="auto"/>
            </w:pPr>
            <w:r>
              <w:rPr>
                <w:i/>
                <w:color w:val="666666"/>
                <w:sz w:val="18"/>
              </w:rPr>
              <w:t>PCBA + harness + mechanical assembly for industrial, EV, and power electronics programs</w:t>
            </w:r>
          </w:p>
        </w:tc>
      </w:tr>
    </w:tbl>
    <w:p>
      <w:pPr>
        <w:spacing w:before="0" w:after="0" w:line="252" w:lineRule="auto"/>
        <w:pBdr>
          <w:bottom w:val="single" w:sz="4" w:space="1" w:color="DDDDDD"/>
        </w:pBdr>
      </w:pPr>
    </w:p>
    <w:p>
      <w:pPr>
        <w:spacing w:before="120" w:after="120" w:line="252" w:lineRule="auto"/>
      </w:pPr>
      <w:r>
        <w:rPr>
          <w:color w:val="222222"/>
          <w:sz w:val="19"/>
        </w:rPr>
        <w:t xml:space="preserve">A finished electronic product is rarely a board on its own — it is a PCBA in a harness, in an enclosure, with mechanical fit, safety isolation, and end-product test. </w:t>
      </w:r>
      <w:hyperlink r:id="rId10">
        <w:r>
          <w:rPr>
            <w:color w:val="019E4E"/>
            <w:u w:val="single"/>
            <w:sz w:val="19"/>
          </w:rPr>
          <w:t xml:space="preserve">Indic's box-build practice</w:t>
        </w:r>
      </w:hyperlink>
      <w:r>
        <w:rPr>
          <w:color w:val="222222"/>
          <w:sz w:val="19"/>
        </w:rPr>
        <w:t xml:space="preserve"> integrates PCBAs, in-house cable and wire harnesses, mechanical assemblies, and EOL testing under one operating discipline — eliminating the hand-offs that fragment system-level quality.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200A58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1.  Custom Box-Build &amp; System Integration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OEMs running </w:t>
      </w:r>
      <w:hyperlink r:id="rId10">
        <w:r>
          <w:rPr>
            <w:color w:val="666666"/>
            <w:u w:val="single"/>
            <w:sz w:val="17"/>
            <w:i/>
          </w:rPr>
          <w:t xml:space="preserve">build-to-order and configure-to-order programs</w:t>
        </w:r>
      </w:hyperlink>
      <w:r>
        <w:rPr>
          <w:i/>
          <w:color w:val="666666"/>
          <w:sz w:val="17"/>
        </w:rPr>
        <w:t xml:space="preserve"> where system-level integration discipline decides outcome.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Build-to-Order &amp; Configure-to-Order Box-Build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Variant-aware kitting and routing  ·  MES-bound bills of process per configuration  ·  First-article inspection per variant  ·  Configuration logic in SAP S/4HANA driving floor effectivity.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Box-Build     ·     Certifications: IPC-A-610 Class 2/3, ISO 9001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Mechanical Assembly &amp; Enclosure Integration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Metal injection molding, plastic injection molding, sheet metal, extrusion, and die-casting via vetted Indian supplier network  ·  Enclosure fit, strain relief, and service-loop discipline  ·  Mechanical FAI per program.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Box-Build + Sub-Assembly     ·     Certifications: IPC-A-610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System-Level Functional &amp; EOL Test</w:t>
      </w:r>
    </w:p>
    <w:p>
      <w:pPr>
        <w:spacing w:before="0" w:after="20" w:line="252" w:lineRule="auto"/>
        <w:ind w:left="230"/>
      </w:pPr>
      <w:hyperlink r:id="rId11">
        <w:r>
          <w:rPr>
            <w:color w:val="019E4E"/>
            <w:u w:val="single"/>
            <w:sz w:val="17"/>
          </w:rPr>
          <w:t xml:space="preserve">System-level FCT</w:t>
        </w:r>
      </w:hyperlink>
      <w:r>
        <w:rPr>
          <w:color w:val="222222"/>
          <w:sz w:val="17"/>
        </w:rPr>
        <w:t xml:space="preserve">  ·  EOL inspection  ·  Hi-pot per IEC 62368-1 where applicable  ·  Per-serial test records bound to MES.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Box-Build     ·     Certifications: IEC 62368-1, IPC-A-610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200A58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For a first-batch mass-production transfer to a new overseas lighting customer with </w:t>
            </w:r>
            <w:hyperlink r:id="rId12">
              <w:r>
                <w:rPr>
                  <w:color w:val="019E4E"/>
                  <w:u w:val="single"/>
                  <w:sz w:val="17"/>
                  <w:i/>
                </w:rPr>
                <w:t xml:space="preserve">no end-tester available</w:t>
              </w:r>
            </w:hyperlink>
            <w:r>
              <w:rPr>
                <w:i/>
                <w:color w:val="222222"/>
                <w:sz w:val="17"/>
              </w:rPr>
              <w:t>, Indic compensated with cross-functional ownership, layered process audits, and expanded first-article checks — zero rejections, 100% customer satisfaction, follow-on awards.</w:t>
            </w:r>
          </w:p>
        </w:tc>
      </w:tr>
    </w:tbl>
    <w:p>
      <w:pPr>
        <w:spacing w:before="0" w:after="16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E2A2A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2.  Wire &amp; Cable Harnessing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variant-heavy programs where </w:t>
      </w:r>
      <w:hyperlink r:id="rId13">
        <w:r>
          <w:rPr>
            <w:color w:val="666666"/>
            <w:u w:val="single"/>
            <w:sz w:val="17"/>
            <w:i/>
          </w:rPr>
          <w:t xml:space="preserve">harness reliability</w:t>
        </w:r>
      </w:hyperlink>
      <w:r>
        <w:rPr>
          <w:i/>
          <w:color w:val="666666"/>
          <w:sz w:val="17"/>
        </w:rPr>
        <w:t xml:space="preserve"> decides end-product yield and shipping defect rates.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Multibranch Harnesses &amp; Cable Assemblies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Multibranch harnesses up to ~2,500 points  ·  Automotive-grade crimping with crimp-force monitoring  ·  3D harness assemblies  ·  Today: built via vetted near-site supplier with full traceability and 100% electrical testing.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Harness     ·     Certifications: IPC/WHMA-A-620 Class 2 (Class 3 for aerospace on request)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Optical-Fiber &amp; Hybrid Looms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Optical-fiber harnesses  ·  Hybrid fiber + electrical looms  ·  100% continuity and hi-pot testing  ·  Bend-radius and strain-relief discipline.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Harness     ·     Certifications: IPC/WHMA-A-620 Class 2/3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Process Quality Controls (Welding, Crimping, Potting)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Ultrasonic welding  ·  Crimp-force monitoring per cycle  ·  Potting / overmolding  ·  Low-pressure molding (LPM).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Harness + Sub-Assembly     ·     Certifications: IPC/WHMA-A-620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0E2A2A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hyperlink r:id="rId13">
              <w:r>
                <w:rPr>
                  <w:color w:val="019E4E"/>
                  <w:u w:val="single"/>
                  <w:sz w:val="17"/>
                  <w:i/>
                </w:rPr>
                <w:t xml:space="preserve">Indic's Phase II commitment</w:t>
              </w:r>
            </w:hyperlink>
            <w:r>
              <w:rPr>
                <w:i/>
                <w:color w:val="222222"/>
                <w:sz w:val="17"/>
              </w:rPr>
              <w:t xml:space="preserve"> brings harness manufacturing fully in-house — a ~1,500 sq ft dedicated cell inside the 80K+ sq ft expansion, eliminating outsource hand-offs and consolidating IPC/WHMA-A-620 Class 2 discipline (Class 3 on request) under Indic's direct quality control.</w:t>
            </w:r>
          </w:p>
        </w:tc>
      </w:tr>
    </w:tbl>
    <w:p>
      <w:pPr>
        <w:spacing w:before="0" w:after="160" w:line="252" w:lineRule="auto"/>
      </w:pPr>
    </w:p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11200" cy="298704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dic_logo_for_docx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29870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2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>
            <w:pPr>
              <w:spacing w:before="80" w:after="0" w:line="252" w:lineRule="auto"/>
            </w:pPr>
            <w:r/>
            <w:r>
              <w:rPr>
                <w:b/>
                <w:color w:val="222222"/>
                <w:sz w:val="26"/>
              </w:rPr>
              <w:t>EV / Power Assembly Integration + Cross-Segment Capabilities</w:t>
            </w:r>
          </w:p>
          <w:p>
            <w:pPr>
              <w:spacing w:before="0" w:after="0" w:line="252" w:lineRule="auto"/>
            </w:pPr>
            <w:r>
              <w:rPr>
                <w:i/>
                <w:color w:val="666666"/>
                <w:sz w:val="18"/>
              </w:rPr>
              <w:t>Hi-pot test, certifications, and supplier ecosystem supporting Indic's box-build practice</w:t>
            </w:r>
          </w:p>
        </w:tc>
      </w:tr>
    </w:tbl>
    <w:p>
      <w:pPr>
        <w:spacing w:before="0" w:after="0" w:line="252" w:lineRule="auto"/>
        <w:pBdr>
          <w:bottom w:val="single" w:sz="4" w:space="1" w:color="DDDDDD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19E4E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3.  EV / Power Assembly Integration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EV powertrains, chargers, and power-electronics programs where </w:t>
      </w:r>
      <w:hyperlink r:id="rId14">
        <w:r>
          <w:rPr>
            <w:color w:val="666666"/>
            <w:u w:val="single"/>
            <w:sz w:val="17"/>
            <w:i/>
          </w:rPr>
          <w:t xml:space="preserve">PCBA + harness + box-build</w:t>
        </w:r>
      </w:hyperlink>
      <w:r>
        <w:rPr>
          <w:i/>
          <w:color w:val="666666"/>
          <w:sz w:val="17"/>
        </w:rPr>
        <w:t xml:space="preserve"> must converge under hi-pot certification windows.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High-Voltage Power Assemblies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HV Battery Junction Box (BJB)  ·  Battery Disconnect Unit (BDU)  ·  Power Distribution Unit (PDU)  ·  HV AC and DC connectors integrated with harness sub-assemblies.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Box-Build + Harness     ·     Certifications: AEC-Q100/Q200, IATF 16949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Charger &amp; Power-Electronics Integration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On-Board Charger (OBC)  ·  3 kW 3-wheeler EV charger  ·  DC Fast Chargers  ·  EVSE charging infrastructure with parallelized PFC top/bottom SMT and concurrent box-build.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AEC-Q, ARAI certified (3 kW), IEC 61851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Hi-Pot Test per IEC 62368-1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Safety isolation verification across power-electronics box-builds  ·  Audit-ready hi-pot records bound to serial  ·  Workmanship per IPC-A-610 Class 2 or Class 3 depending on field-reliability requirements.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Box-Build     ·     Certifications: IEC 62368-1, IPC-A-610 Class 3 where applicable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019E4E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19E4E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On a 3 kW 3-wheeler EV charger program facing an ARAI certification window, </w:t>
            </w:r>
            <w:hyperlink r:id="rId15">
              <w:r>
                <w:rPr>
                  <w:color w:val="019E4E"/>
                  <w:u w:val="single"/>
                  <w:sz w:val="17"/>
                  <w:i/>
                </w:rPr>
                <w:t xml:space="preserve">Indic parallelized PFC top/bottom SMT and started box-build before all boards were complete</w:t>
              </w:r>
            </w:hyperlink>
            <w:r>
              <w:rPr>
                <w:i/>
                <w:color w:val="222222"/>
                <w:sz w:val="17"/>
              </w:rPr>
              <w:t xml:space="preserve"> — delivering a 4-day assembly cycle (vs. a legacy ~2-week cycle) and removing import dependency through localized component sourcing.</w:t>
            </w:r>
          </w:p>
        </w:tc>
      </w:tr>
    </w:tbl>
    <w:p>
      <w:pPr>
        <w:spacing w:before="0" w:after="16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222222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4.  Certifications &amp; Standards Supporting Box-Build &amp; Harnessing</w:t>
            </w:r>
          </w:p>
        </w:tc>
      </w:tr>
    </w:tbl>
    <w:p>
      <w:pPr>
        <w:spacing w:before="0" w:after="8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Workmanship &amp; Process Standards</w:t>
            </w:r>
          </w:p>
          <w:p>
            <w:pPr>
              <w:spacing w:before="0" w:after="0" w:line="252" w:lineRule="auto"/>
            </w:pPr>
            <w:hyperlink r:id="rId16">
              <w:r>
                <w:rPr>
                  <w:color w:val="019E4E"/>
                  <w:u w:val="single"/>
                  <w:sz w:val="16"/>
                </w:rPr>
                <w:t xml:space="preserve">IPC/WHMA-A-620</w:t>
              </w:r>
            </w:hyperlink>
            <w:r>
              <w:rPr>
                <w:color w:val="222222"/>
                <w:sz w:val="16"/>
              </w:rPr>
              <w:t xml:space="preserve"> Class 2/3 (Class 3 for aerospace on request)  ·  </w:t>
            </w:r>
            <w:hyperlink r:id="rId16">
              <w:r>
                <w:rPr>
                  <w:color w:val="019E4E"/>
                  <w:u w:val="single"/>
                  <w:sz w:val="16"/>
                </w:rPr>
                <w:t xml:space="preserve">IPC-A-610</w:t>
              </w:r>
            </w:hyperlink>
            <w:r>
              <w:rPr>
                <w:color w:val="222222"/>
                <w:sz w:val="16"/>
              </w:rPr>
              <w:t xml:space="preserve"> Class 2/3  ·  ANSI/ESD S20.20  ·  IEC 62368-1 (hi-pot)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Quality &amp; Management Systems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ISO 9001:2015 (foundational QMS)  ·  </w:t>
            </w:r>
            <w:hyperlink r:id="rId17">
              <w:r>
                <w:rPr>
                  <w:color w:val="019E4E"/>
                  <w:u w:val="single"/>
                  <w:sz w:val="16"/>
                </w:rPr>
                <w:t xml:space="preserve">IATF 16949:2016</w:t>
              </w:r>
            </w:hyperlink>
            <w:r>
              <w:rPr>
                <w:color w:val="222222"/>
                <w:sz w:val="16"/>
              </w:rPr>
              <w:t xml:space="preserve"> (automotive)  ·  ISO 14001  ·  ISO 27001  ·  ISO 45001</w:t>
            </w:r>
          </w:p>
        </w:tc>
      </w:tr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Segment-Specific Standards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IEC 62368-1 (hi-pot for power electronics)  ·  IEC 61851 (EV charging)  ·  IEC 62196-2 (charging plugs)  ·  AEC-Q100/Q200  ·  ARAI readiness  ·  PPAP / APQP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Substance, Environmental &amp; ESG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RoHS  ·  WEEE  ·  REACH  ·  China RoHS  ·  Prop 65  ·  TSCA  ·  UN Global Compact  ·  EcoVadis  ·  D&amp;B ESG  ·  Scope 1+2 tracked</w:t>
            </w:r>
          </w:p>
        </w:tc>
      </w:tr>
    </w:tbl>
    <w:p>
      <w:pPr>
        <w:spacing w:before="0" w:after="12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08944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5.  Supplier Ecosystem &amp; Supporting Capabilities</w:t>
            </w:r>
          </w:p>
        </w:tc>
      </w:tr>
    </w:tbl>
    <w:p>
      <w:pPr>
        <w:spacing w:before="0" w:after="8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Box-build mechanical, enclosure &amp; harnessing supply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Metal injection molding, plastic injection molding, sheet metal, extrusion, die-casting via vetted Indian supplier network  ·  In-house </w:t>
            </w:r>
            <w:hyperlink r:id="rId10">
              <w:r>
                <w:rPr>
                  <w:color w:val="019E4E"/>
                  <w:u w:val="single"/>
                  <w:sz w:val="16"/>
                </w:rPr>
                <w:t xml:space="preserve">harness cell</w:t>
              </w:r>
            </w:hyperlink>
            <w:r>
              <w:rPr>
                <w:color w:val="222222"/>
                <w:sz w:val="16"/>
              </w:rPr>
              <w:t xml:space="preserve"> (Phase II, 2026): IPC/WHMA-A-620 Class 2/3, ultrasonic welding, crimp-force monitoring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Component sourcing &amp; AVL governance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Direct accounts with Arrow, Avnet, Mouser, Digi-Key  ·  </w:t>
            </w:r>
            <w:hyperlink r:id="rId18">
              <w:r>
                <w:rPr>
                  <w:color w:val="019E4E"/>
                  <w:u w:val="single"/>
                  <w:sz w:val="16"/>
                </w:rPr>
                <w:t xml:space="preserve">Turnkey / consigned / partial sourcing</w:t>
              </w:r>
            </w:hyperlink>
            <w:r>
              <w:rPr>
                <w:color w:val="222222"/>
                <w:sz w:val="16"/>
              </w:rPr>
              <w:t xml:space="preserve">  ·  PCN, EOL, NCNR via Compliance Risk Manager  ·  Alternates with package, fit, thermal, performance validation</w:t>
            </w:r>
          </w:p>
        </w:tc>
      </w:tr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IT, traceability &amp; change-control stack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SAP S/4HANA (ERP, change masters with effectivity)  ·  SAP Digital Manufacturing (MES, serial-bound auto-scan WIP)  ·  SAP DMS (controlled docs, approval workflow)  ·  CalcuQuote  ·  Same-day ECN disposition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Capacity, cleanroom &amp; ramp infrastructure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292K sq ft total  ·  </w:t>
            </w:r>
            <w:hyperlink r:id="rId19">
              <w:r>
                <w:rPr>
                  <w:color w:val="019E4E"/>
                  <w:u w:val="single"/>
                  <w:sz w:val="16"/>
                </w:rPr>
                <w:t xml:space="preserve">Phase II</w:t>
              </w:r>
            </w:hyperlink>
            <w:r>
              <w:rPr>
                <w:color w:val="222222"/>
                <w:sz w:val="16"/>
              </w:rPr>
              <w:t>: 80K+ sq ft expansion, Class 10,000 cleanroom, 7 dual-lane + 1 NPI SMT lines, ~225% capacity lift  ·  Phase III adjacent to Foxconn India, Q4 2026 kickoff</w:t>
            </w:r>
          </w:p>
        </w:tc>
      </w:tr>
    </w:tbl>
    <w:p>
      <w:pPr>
        <w:spacing w:before="0" w:after="12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19E4E"/>
            <w:tcMar>
              <w:top w:w="80" w:type="dxa"/>
              <w:left w:w="140" w:type="dxa"/>
              <w:bottom w:w="80" w:type="dxa"/>
              <w:right w:w="14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52" w:lineRule="auto"/>
            </w:pPr>
            <w:r/>
            <w:r>
              <w:rPr>
                <w:color w:val="FFFFFF"/>
                <w:sz w:val="20"/>
              </w:rPr>
              <w:t xml:space="preserve">Schedule a discovery call at </w:t>
            </w:r>
            <w:hyperlink r:id="rId20">
              <w:r>
                <w:rPr>
                  <w:color w:val="FFFFFF"/>
                  <w:u w:val="single"/>
                  <w:sz w:val="20"/>
                  <w:b/>
                </w:rPr>
                <w:t xml:space="preserve">indicelectronics.com</w:t>
              </w:r>
            </w:hyperlink>
            <w:r>
              <w:rPr>
                <w:color w:val="FFFFFF"/>
                <w:sz w:val="20"/>
              </w:rPr>
              <w:t xml:space="preserve">  ·  or email </w:t>
            </w:r>
            <w:hyperlink r:id="rId21">
              <w:r>
                <w:rPr>
                  <w:color w:val="FFFFFF"/>
                  <w:u w:val="single"/>
                  <w:sz w:val="20"/>
                  <w:b/>
                </w:rPr>
                <w:t xml:space="preserve">info@indicelectronics.com</w:t>
              </w:r>
            </w:hyperlink>
            <w:r>
              <w:rPr>
                <w:color w:val="FFFFFF"/>
                <w:sz w:val="20"/>
              </w:rPr>
              <w:t xml:space="preserve"> to discuss your box-build or system-integration program.</w:t>
            </w:r>
          </w:p>
        </w:tc>
      </w:tr>
    </w:tbl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www.indicelectronics.com/services/custom-box-build-solutions" TargetMode="External"/><Relationship Id="rId11" Type="http://schemas.openxmlformats.org/officeDocument/2006/relationships/hyperlink" Target="https://www.indicelectronics.com/services/testing-and-quality/functional-testing" TargetMode="External"/><Relationship Id="rId12" Type="http://schemas.openxmlformats.org/officeDocument/2006/relationships/hyperlink" Target="https://www.indicelectronics.com/post/customer-success-story-indic-delivers-quality-and-secures-partnership-with-global-lighting-customer" TargetMode="External"/><Relationship Id="rId13" Type="http://schemas.openxmlformats.org/officeDocument/2006/relationships/hyperlink" Target="https://www.indicelectronics.com/post/wire-cable-harnessing-complex-pcba-box-builds" TargetMode="External"/><Relationship Id="rId14" Type="http://schemas.openxmlformats.org/officeDocument/2006/relationships/hyperlink" Target="https://www.indicelectronics.com/post/wire-cable-harnessing-for-pcba-box-build-integration" TargetMode="External"/><Relationship Id="rId15" Type="http://schemas.openxmlformats.org/officeDocument/2006/relationships/hyperlink" Target="https://www.indicelectronics.com/post/indic-pioneers-fast-4-day-assembly-cycle-of-ev-chargers" TargetMode="External"/><Relationship Id="rId16" Type="http://schemas.openxmlformats.org/officeDocument/2006/relationships/hyperlink" Target="https://www.ipc.org" TargetMode="External"/><Relationship Id="rId17" Type="http://schemas.openxmlformats.org/officeDocument/2006/relationships/hyperlink" Target="https://www.iatfglobaloversight.org" TargetMode="External"/><Relationship Id="rId18" Type="http://schemas.openxmlformats.org/officeDocument/2006/relationships/hyperlink" Target="https://www.indicelectronics.com/services/manufacturing/component-sourcing" TargetMode="External"/><Relationship Id="rId19" Type="http://schemas.openxmlformats.org/officeDocument/2006/relationships/hyperlink" Target="https://www.indicelectronics.com/about-us/about-indic" TargetMode="External"/><Relationship Id="rId20" Type="http://schemas.openxmlformats.org/officeDocument/2006/relationships/hyperlink" Target="https://www.indicelectronics.com/contact-us" TargetMode="External"/><Relationship Id="rId21" Type="http://schemas.openxmlformats.org/officeDocument/2006/relationships/hyperlink" Target="mailto:info@indicelectronic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