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868680" cy="36484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dic_logo_for_docx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36484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2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>
            <w:pPr>
              <w:spacing w:before="80" w:after="0" w:line="252" w:lineRule="auto"/>
            </w:pPr>
            <w:r/>
            <w:r>
              <w:rPr>
                <w:b/>
                <w:color w:val="222222"/>
                <w:sz w:val="29"/>
              </w:rPr>
              <w:t>Capability Brief: Battery Management, Renewables &amp; E-Mobility</w:t>
            </w:r>
          </w:p>
          <w:p>
            <w:pPr>
              <w:spacing w:before="0" w:after="0" w:line="252" w:lineRule="auto"/>
            </w:pPr>
            <w:r>
              <w:rPr>
                <w:i/>
                <w:color w:val="666666"/>
                <w:sz w:val="18"/>
              </w:rPr>
              <w:t>Product portfolio, segment-specific certifications, and supplier ecosystem</w:t>
            </w:r>
          </w:p>
        </w:tc>
      </w:tr>
    </w:tbl>
    <w:p>
      <w:pPr>
        <w:spacing w:before="0" w:after="0" w:line="252" w:lineRule="auto"/>
        <w:pBdr>
          <w:bottom w:val="single" w:sz="4" w:space="1" w:color="DDDDDD"/>
        </w:pBdr>
      </w:pPr>
    </w:p>
    <w:p>
      <w:pPr>
        <w:spacing w:before="120" w:after="120" w:line="252" w:lineRule="auto"/>
      </w:pPr>
      <w:r>
        <w:rPr>
          <w:color w:val="222222"/>
          <w:sz w:val="19"/>
        </w:rPr>
        <w:t xml:space="preserve">Indic manufactures </w:t>
      </w:r>
      <w:hyperlink r:id="rId10">
        <w:r>
          <w:rPr>
            <w:color w:val="019E4E"/>
            <w:u w:val="single"/>
            <w:sz w:val="19"/>
          </w:rPr>
          <w:t xml:space="preserve">PCBA</w:t>
        </w:r>
      </w:hyperlink>
      <w:r>
        <w:rPr>
          <w:color w:val="222222"/>
          <w:sz w:val="19"/>
        </w:rPr>
        <w:t xml:space="preserve">, </w:t>
      </w:r>
      <w:hyperlink r:id="rId11">
        <w:r>
          <w:rPr>
            <w:color w:val="019E4E"/>
            <w:u w:val="single"/>
            <w:sz w:val="19"/>
          </w:rPr>
          <w:t xml:space="preserve">box-build</w:t>
        </w:r>
      </w:hyperlink>
      <w:r>
        <w:rPr>
          <w:color w:val="222222"/>
          <w:sz w:val="19"/>
        </w:rPr>
        <w:t xml:space="preserve">, and harness-integrated assemblies across automotive Battery Management Systems, </w:t>
      </w:r>
      <w:hyperlink r:id="rId12">
        <w:r>
          <w:rPr>
            <w:color w:val="019E4E"/>
            <w:u w:val="single"/>
            <w:sz w:val="19"/>
          </w:rPr>
          <w:t xml:space="preserve">renewable-energy products</w:t>
        </w:r>
      </w:hyperlink>
      <w:r>
        <w:rPr>
          <w:color w:val="222222"/>
          <w:sz w:val="19"/>
        </w:rPr>
        <w:t xml:space="preserve">, and </w:t>
      </w:r>
      <w:hyperlink r:id="rId13">
        <w:r>
          <w:rPr>
            <w:color w:val="019E4E"/>
            <w:u w:val="single"/>
            <w:sz w:val="19"/>
          </w:rPr>
          <w:t xml:space="preserve">EV / e-mobility platforms</w:t>
        </w:r>
      </w:hyperlink>
      <w:r>
        <w:rPr>
          <w:color w:val="222222"/>
          <w:sz w:val="19"/>
        </w:rPr>
        <w:t xml:space="preserve"> — from cell-level battery electronics and traction inverters to solar inverters, energy meters, and DC fast-charging infrastructure.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200A58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1.  Battery Management Systems (BMS)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Cell monitoring, balancing, protection, and HV power distribution — for </w:t>
      </w:r>
      <w:hyperlink r:id="rId13">
        <w:r>
          <w:rPr>
            <w:color w:val="666666"/>
            <w:u w:val="single"/>
            <w:sz w:val="17"/>
            <w:i/>
          </w:rPr>
          <w:t xml:space="preserve">EV powertrains</w:t>
        </w:r>
      </w:hyperlink>
      <w:r>
        <w:rPr>
          <w:i/>
          <w:color w:val="666666"/>
          <w:sz w:val="17"/>
        </w:rPr>
        <w:t xml:space="preserve"> and </w:t>
      </w:r>
      <w:hyperlink r:id="rId12">
        <w:r>
          <w:rPr>
            <w:color w:val="666666"/>
            <w:u w:val="single"/>
            <w:sz w:val="17"/>
            <w:i/>
          </w:rPr>
          <w:t xml:space="preserve">energy-storage systems</w:t>
        </w:r>
      </w:hyperlink>
      <w:r>
        <w:rPr>
          <w:i/>
          <w:color w:val="666666"/>
          <w:sz w:val="17"/>
        </w:rPr>
        <w:t>.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Battery Systems — EV applications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Battery Management System (BMS) for 2W / 3W / 4W EVs (cell monitoring, balancing, protection)  ·  Battery Pack PCBA (module-internal control)  ·  Battery Disconnect Unit (BDU) for HV safety isolation  ·  High-Voltage Battery Junction Box for HV power distribution &amp; protection.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+ Harness     ·     Certifications: AEC-Q100/Q200, IATF 16949:2016, IPC-A-610 Class 3 where applicable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Battery Systems — Energy-storage applications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Combined Inverter/Chargers with integrated BMS (off-grid and backup power)  ·  DC-Input Charge Controllers  ·  DC-DC Converters and Chargers for energy-storage and power-conversion systems.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RoHS, CE, BIS-eligible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200A58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222222"/>
                <w:sz w:val="17"/>
              </w:rPr>
              <w:t xml:space="preserve">On a BMS PCBA program for an automotive customer, </w:t>
            </w:r>
            <w:hyperlink r:id="rId14">
              <w:r>
                <w:rPr>
                  <w:color w:val="019E4E"/>
                  <w:u w:val="single"/>
                  <w:sz w:val="17"/>
                  <w:i/>
                </w:rPr>
                <w:t xml:space="preserve">Indic resolved a flash-memory failure</w:t>
              </w:r>
            </w:hyperlink>
            <w:r>
              <w:rPr>
                <w:i/>
                <w:color w:val="222222"/>
                <w:sz w:val="17"/>
              </w:rPr>
              <w:t xml:space="preserve"> that the IC supplier would not troubleshoot — through firmware-level intervention. PPM dropped from ~5,000 to ~0 on post-upgrade shipments.</w:t>
            </w:r>
          </w:p>
        </w:tc>
      </w:tr>
    </w:tbl>
    <w:p>
      <w:pPr>
        <w:spacing w:before="0" w:after="16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E2A2A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2.  Renewables &amp; Energy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Metering, power conversion, motion control, and mechanical integration for </w:t>
      </w:r>
      <w:hyperlink r:id="rId12">
        <w:r>
          <w:rPr>
            <w:color w:val="666666"/>
            <w:u w:val="single"/>
            <w:sz w:val="17"/>
            <w:i/>
          </w:rPr>
          <w:t xml:space="preserve">solar, energy-storage, and grid programs</w:t>
        </w:r>
      </w:hyperlink>
      <w:r>
        <w:rPr>
          <w:i/>
          <w:color w:val="666666"/>
          <w:sz w:val="17"/>
        </w:rPr>
        <w:t>.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Metering, Monitoring &amp; Connectivity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Energy Meters  ·  Zigbee-enabled Smart Energy Meters (AMI)  ·  Zigbee Communication Modules  ·  Monitoring, Communication &amp; Connectivity Modules  ·  Router boards for Oil &amp; Natural Gas (ONG) remote stations.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RoHS, BIS-eligible, Industrial-grade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Power Conversion, Backup &amp; Storage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Solar / Grid-Tie Inverters (PV-to-grid, off-grid)  ·  UPS Systems (industrial, commercial, telecom)  ·  DC-DC Converters for Solar PV / off-grid renewable power  ·  Charge Controllers and Inverter/Chargers.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RoHS, CE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Motion, Process Control &amp; Mechanical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Drive Controllers and Variable-Frequency Drives  ·  Industrial Controller Units  ·  Enclosures, Mounting Hardware, Control Panels and Cable Assemblies for renewables system integration.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/ Mechanical     ·     Certifications: RoHS, 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0E2A2A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hyperlink r:id="rId15">
              <w:r>
                <w:rPr>
                  <w:color w:val="019E4E"/>
                  <w:u w:val="single"/>
                  <w:sz w:val="17"/>
                  <w:i/>
                </w:rPr>
                <w:t xml:space="preserve">Indic took over a high-mix solar-powered water-distribution program</w:t>
              </w:r>
            </w:hyperlink>
            <w:r>
              <w:rPr>
                <w:i/>
                <w:color w:val="222222"/>
                <w:sz w:val="17"/>
              </w:rPr>
              <w:t xml:space="preserve"> from a Taiwanese partner that could not absorb engineering change. Transfer discipline was rebuilt end-to-end — BOM, </w:t>
            </w:r>
            <w:hyperlink r:id="rId16">
              <w:r>
                <w:rPr>
                  <w:color w:val="019E4E"/>
                  <w:u w:val="single"/>
                  <w:sz w:val="17"/>
                  <w:i/>
                </w:rPr>
                <w:t xml:space="preserve">DFM</w:t>
              </w:r>
            </w:hyperlink>
            <w:r>
              <w:rPr>
                <w:i/>
                <w:color w:val="222222"/>
                <w:sz w:val="17"/>
              </w:rPr>
              <w:t>/</w:t>
            </w:r>
            <w:hyperlink r:id="rId17">
              <w:r>
                <w:rPr>
                  <w:color w:val="019E4E"/>
                  <w:u w:val="single"/>
                  <w:sz w:val="17"/>
                  <w:i/>
                </w:rPr>
                <w:t xml:space="preserve">DFT</w:t>
              </w:r>
            </w:hyperlink>
            <w:r>
              <w:rPr>
                <w:i/>
                <w:color w:val="222222"/>
                <w:sz w:val="17"/>
              </w:rPr>
              <w:t>, controlled documentation, product-fit test strategy. Result: ~45% production cost reduction, ~25% output gain, ~15% defect rate reduction within months.</w:t>
            </w:r>
          </w:p>
        </w:tc>
      </w:tr>
    </w:tbl>
    <w:p>
      <w:pPr>
        <w:spacing w:before="0" w:after="160" w:line="252" w:lineRule="auto"/>
      </w:pPr>
    </w:p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144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77240" cy="326441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dic_logo_for_docx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32644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50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>
            <w:pPr>
              <w:spacing w:before="40" w:after="0" w:line="252" w:lineRule="auto"/>
            </w:pPr>
            <w:r/>
            <w:r>
              <w:rPr>
                <w:b/>
                <w:color w:val="222222"/>
                <w:sz w:val="26"/>
              </w:rPr>
              <w:t>EV Portfolio &amp; Cross-Segment Capabilities</w:t>
            </w:r>
          </w:p>
          <w:p>
            <w:pPr>
              <w:spacing w:before="0" w:after="0" w:line="252" w:lineRule="auto"/>
            </w:pPr>
            <w:r>
              <w:rPr>
                <w:i/>
                <w:color w:val="666666"/>
                <w:sz w:val="17"/>
              </w:rPr>
              <w:t>Certifications, compliance regimes, and supplier ecosystem supporting BMS, Renewables, and EV programs</w:t>
            </w:r>
          </w:p>
        </w:tc>
      </w:tr>
    </w:tbl>
    <w:p>
      <w:pPr>
        <w:spacing w:before="0" w:after="0" w:line="252" w:lineRule="auto"/>
        <w:pBdr>
          <w:bottom w:val="single" w:sz="4" w:space="1" w:color="DDDDDD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19E4E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3.  Electric Vehicle (EV) &amp; E-Mobility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Powertrain, charging, power distribution, and thermal-management electronics for </w:t>
      </w:r>
      <w:hyperlink r:id="rId13">
        <w:r>
          <w:rPr>
            <w:color w:val="666666"/>
            <w:u w:val="single"/>
            <w:sz w:val="17"/>
            <w:i/>
          </w:rPr>
          <w:t xml:space="preserve">2W, 3W, and 4W EVs and charging infrastructure</w:t>
        </w:r>
      </w:hyperlink>
      <w:r>
        <w:rPr>
          <w:i/>
          <w:color w:val="666666"/>
          <w:sz w:val="17"/>
        </w:rPr>
        <w:t>.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Powertrain &amp; Traction Electronics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EV Traction DC/AC Inverters (2W / 3W / 4W)  ·  EV DC/DC Converters for HV→LV powertrain step-down  ·  Motor Controller Units (MCU)  ·  Electric Traction Motors  ·  Sub-assembly and harness-integrated motor electronics.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+ Sub-Assembly     ·     Certifications: AEC-Q100/Q200, IATF 16949:2016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Charging — Vehicle &amp; Infrastructure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On-Board Charger (OBC) for EV onboard AC charging  ·  3 kW Three-Wheeler EV Charger  ·  DC Fast Chargers (passenger EV and commercial fleet)  ·  EV Charging Infrastructure / EVSE electronics  ·  EV Charging Control Units (IEC 62196-2 Type 1 / Type 2).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AEC-Q, ARAI certified (3 kW), IEC 61851, IEC 62196-2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Power Distribution &amp; Interconnect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Power Distribution Unit (PDU) for HV power routing and protection  ·  HV AC and DC Connectors  ·  Converters and Connectors for EV power interconnect.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Box-Build + Harness, Sub-Assembly     ·     Certifications: AEC-Q100/Q200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Thermal Management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Electric Air Conditioning (eA/C) electronics for cabin thermal comfort  ·  Electric Heater (eHeater) electronics for cabin heating and battery pre-conditioning.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AEC-Q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019E4E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19E4E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222222"/>
                <w:sz w:val="17"/>
              </w:rPr>
              <w:t xml:space="preserve">For a 3 kW 3-wheeler EV charger program, </w:t>
            </w:r>
            <w:hyperlink r:id="rId18">
              <w:r>
                <w:rPr>
                  <w:color w:val="019E4E"/>
                  <w:u w:val="single"/>
                  <w:sz w:val="17"/>
                  <w:i/>
                </w:rPr>
                <w:t xml:space="preserve">Indic localized critical components against validated alternates and parallelized PFC top/bottom SMT with concurrent box-build</w:t>
              </w:r>
            </w:hyperlink>
            <w:r>
              <w:rPr>
                <w:i/>
                <w:color w:val="222222"/>
                <w:sz w:val="17"/>
              </w:rPr>
              <w:t xml:space="preserve"> — delivering a 4-day assembly cycle in time for the ARAI certification window (legacy build cycle had been ~2 weeks).</w:t>
            </w:r>
          </w:p>
        </w:tc>
      </w:tr>
    </w:tbl>
    <w:p>
      <w:pPr>
        <w:spacing w:before="0" w:after="16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222222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4.  Certifications &amp; Compliance Regimes</w:t>
            </w:r>
          </w:p>
        </w:tc>
      </w:tr>
    </w:tbl>
    <w:p>
      <w:pPr>
        <w:spacing w:before="0" w:after="8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Quality &amp; Management Systems</w:t>
            </w:r>
          </w:p>
          <w:p>
            <w:pPr>
              <w:spacing w:before="0" w:after="0" w:line="252" w:lineRule="auto"/>
            </w:pPr>
            <w:hyperlink r:id="rId19">
              <w:r>
                <w:rPr>
                  <w:color w:val="019E4E"/>
                  <w:u w:val="single"/>
                  <w:sz w:val="16"/>
                </w:rPr>
                <w:t xml:space="preserve">IATF 16949:2016</w:t>
              </w:r>
            </w:hyperlink>
            <w:r>
              <w:rPr>
                <w:color w:val="222222"/>
                <w:sz w:val="16"/>
              </w:rPr>
              <w:t xml:space="preserve"> (automotive QMS, Tier-1/Tier-2 supply)  ·  ISO 9001:2015  ·  ISO 14001  ·  ISO 27001  ·  ISO 45001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Workmanship &amp; Process Standards</w:t>
            </w:r>
          </w:p>
          <w:p>
            <w:pPr>
              <w:spacing w:before="0" w:after="0" w:line="252" w:lineRule="auto"/>
            </w:pPr>
            <w:hyperlink r:id="rId20">
              <w:r>
                <w:rPr>
                  <w:color w:val="019E4E"/>
                  <w:u w:val="single"/>
                  <w:sz w:val="16"/>
                </w:rPr>
                <w:t xml:space="preserve">IPC-A-610</w:t>
              </w:r>
            </w:hyperlink>
            <w:r>
              <w:rPr>
                <w:color w:val="222222"/>
                <w:sz w:val="16"/>
              </w:rPr>
              <w:t xml:space="preserve"> Class 2/3  ·  </w:t>
            </w:r>
            <w:hyperlink r:id="rId20">
              <w:r>
                <w:rPr>
                  <w:color w:val="019E4E"/>
                  <w:u w:val="single"/>
                  <w:sz w:val="16"/>
                </w:rPr>
                <w:t xml:space="preserve">IPC/WHMA-A-620</w:t>
              </w:r>
            </w:hyperlink>
            <w:r>
              <w:rPr>
                <w:color w:val="222222"/>
                <w:sz w:val="16"/>
              </w:rPr>
              <w:t xml:space="preserve"> Class 2/3 (harness)  ·  ANSI/ESD S20.20  ·  IPC-9252  ·  PPAP / APQP</w:t>
            </w:r>
          </w:p>
        </w:tc>
      </w:tr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Segment-Specific Standards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ARAI readiness (EV/automotive, India)  ·  IEC 62368-1 (hi-pot)  ·  IEC 61851 (EV charging)  ·  IEC 62196-2 (Type 1/2)  ·  AEC-Q100/Q200  ·  BIS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Substance, Environmental &amp; ESG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RoHS  ·  WEEE  ·  REACH  ·  China RoHS  ·  Prop 65  ·  POPs  ·  TSCA  ·  PFAS  ·  UN Global Compact  ·  EcoVadis  ·  D&amp;B ESG  ·  Scope 1+2 tracked</w:t>
            </w:r>
          </w:p>
        </w:tc>
      </w:tr>
    </w:tbl>
    <w:p>
      <w:pPr>
        <w:spacing w:before="0" w:after="12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08944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5.  Supplier Ecosystem &amp; Supporting Capabilities</w:t>
            </w:r>
          </w:p>
        </w:tc>
      </w:tr>
    </w:tbl>
    <w:p>
      <w:pPr>
        <w:spacing w:before="0" w:after="8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Component sourcing &amp; AVL governance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Direct accounts with Arrow, Avnet, Mouser, Digi-Key  ·  </w:t>
            </w:r>
            <w:hyperlink r:id="rId21">
              <w:r>
                <w:rPr>
                  <w:color w:val="019E4E"/>
                  <w:u w:val="single"/>
                  <w:sz w:val="16"/>
                </w:rPr>
                <w:t xml:space="preserve">Turnkey / consigned / partial sourcing</w:t>
              </w:r>
            </w:hyperlink>
            <w:r>
              <w:rPr>
                <w:color w:val="222222"/>
                <w:sz w:val="16"/>
              </w:rPr>
              <w:t xml:space="preserve">  ·  PCN, EOL, NCNR via Compliance Risk Manager  ·  Alternates with package, fit, thermal, performance validation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Box-build mechanical, enclosure &amp; harnessing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Metal injection molding, plastic injection molding, sheet metal, extrusion, die-casting via vetted Indian supplier network  ·  In-house </w:t>
            </w:r>
            <w:hyperlink r:id="rId11">
              <w:r>
                <w:rPr>
                  <w:color w:val="019E4E"/>
                  <w:u w:val="single"/>
                  <w:sz w:val="16"/>
                </w:rPr>
                <w:t xml:space="preserve">harness cell</w:t>
              </w:r>
            </w:hyperlink>
            <w:r>
              <w:rPr>
                <w:color w:val="222222"/>
                <w:sz w:val="16"/>
              </w:rPr>
              <w:t xml:space="preserve"> (Phase II, 2026): IPC/WHMA-A-620 Class 2/3, ultrasonic welding, crimp-force monitoring</w:t>
            </w:r>
          </w:p>
        </w:tc>
      </w:tr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IT, traceability &amp; change-control stack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SAP S/4HANA (ERP, change masters with effectivity)  ·  SAP Digital Manufacturing (MES, serial-bound auto-scan WIP)  ·  SAP DMS (controlled docs, approval workflow)  ·  CalcuQuote  ·  Same-day ECN disposition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Capacity, cleanroom &amp; ramp infrastructure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292K sq ft total  ·  </w:t>
            </w:r>
            <w:hyperlink r:id="rId22">
              <w:r>
                <w:rPr>
                  <w:color w:val="019E4E"/>
                  <w:u w:val="single"/>
                  <w:sz w:val="16"/>
                </w:rPr>
                <w:t xml:space="preserve">Phase II</w:t>
              </w:r>
            </w:hyperlink>
            <w:r>
              <w:rPr>
                <w:color w:val="222222"/>
                <w:sz w:val="16"/>
              </w:rPr>
              <w:t>: 80K+ sq ft expansion, Class 10,000 cleanroom, 7 dual-lane + 1 NPI SMT lines, ~225% capacity lift  ·  Phase III adjacent to Foxconn India, Q4 2026 kickoff</w:t>
            </w:r>
          </w:p>
        </w:tc>
      </w:tr>
    </w:tbl>
    <w:p>
      <w:pPr>
        <w:spacing w:before="0" w:after="12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19E4E"/>
            <w:tcMar>
              <w:top w:w="70" w:type="dxa"/>
              <w:left w:w="130" w:type="dxa"/>
              <w:bottom w:w="70" w:type="dxa"/>
              <w:right w:w="13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52" w:lineRule="auto"/>
            </w:pPr>
            <w:r>
              <w:rPr>
                <w:b w:val="0"/>
                <w:color w:val="FFFFFF"/>
                <w:sz w:val="20"/>
              </w:rPr>
              <w:t xml:space="preserve">Schedule a discovery call at </w:t>
            </w:r>
            <w:hyperlink r:id="rId23">
              <w:r>
                <w:rPr>
                  <w:color w:val="FFFFFF"/>
                  <w:u w:val="single"/>
                  <w:sz w:val="20"/>
                  <w:b/>
                </w:rPr>
                <w:t xml:space="preserve">indicelectronics.com</w:t>
              </w:r>
            </w:hyperlink>
            <w:r>
              <w:rPr>
                <w:b w:val="0"/>
                <w:color w:val="FFFFFF"/>
                <w:sz w:val="20"/>
              </w:rPr>
              <w:t xml:space="preserve">  ·  or email </w:t>
            </w:r>
            <w:hyperlink r:id="rId24">
              <w:r>
                <w:rPr>
                  <w:color w:val="FFFFFF"/>
                  <w:u w:val="single"/>
                  <w:sz w:val="20"/>
                  <w:b/>
                </w:rPr>
                <w:t xml:space="preserve">info@indicelectronics.com</w:t>
              </w:r>
            </w:hyperlink>
            <w:r>
              <w:rPr>
                <w:b w:val="0"/>
                <w:color w:val="FFFFFF"/>
                <w:sz w:val="20"/>
              </w:rPr>
              <w:t xml:space="preserve"> with your design package, BOM, and target program window.</w:t>
            </w:r>
          </w:p>
        </w:tc>
      </w:tr>
    </w:tbl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www.indicelectronics.com/services/manufacturing" TargetMode="External"/><Relationship Id="rId11" Type="http://schemas.openxmlformats.org/officeDocument/2006/relationships/hyperlink" Target="https://www.indicelectronics.com/services/custom-box-build-solutions" TargetMode="External"/><Relationship Id="rId12" Type="http://schemas.openxmlformats.org/officeDocument/2006/relationships/hyperlink" Target="https://www.indicelectronics.com/industries/renewables" TargetMode="External"/><Relationship Id="rId13" Type="http://schemas.openxmlformats.org/officeDocument/2006/relationships/hyperlink" Target="https://www.indicelectronics.com/industries/e-mobility" TargetMode="External"/><Relationship Id="rId14" Type="http://schemas.openxmlformats.org/officeDocument/2006/relationships/hyperlink" Target="https://www.indicelectronics.com/post/case-study-resolving-flash-failure-in-battery-management-system-pcbas-for-an-automobile-company" TargetMode="External"/><Relationship Id="rId15" Type="http://schemas.openxmlformats.org/officeDocument/2006/relationships/hyperlink" Target="https://www.indicelectronics.com/post/swedish-innovation-meets-indian-manufacturing-excellence-at-indic" TargetMode="External"/><Relationship Id="rId16" Type="http://schemas.openxmlformats.org/officeDocument/2006/relationships/hyperlink" Target="https://www.indicelectronics.com/services/product-engineering/dfx/design-for-manufacturing" TargetMode="External"/><Relationship Id="rId17" Type="http://schemas.openxmlformats.org/officeDocument/2006/relationships/hyperlink" Target="https://www.indicelectronics.com/services/product-engineering/dfx/design-for-test" TargetMode="External"/><Relationship Id="rId18" Type="http://schemas.openxmlformats.org/officeDocument/2006/relationships/hyperlink" Target="https://www.indicelectronics.com/post/indic-pioneers-fast-4-day-assembly-cycle-of-ev-chargers" TargetMode="External"/><Relationship Id="rId19" Type="http://schemas.openxmlformats.org/officeDocument/2006/relationships/hyperlink" Target="https://www.iatfglobaloversight.org" TargetMode="External"/><Relationship Id="rId20" Type="http://schemas.openxmlformats.org/officeDocument/2006/relationships/hyperlink" Target="https://www.ipc.org" TargetMode="External"/><Relationship Id="rId21" Type="http://schemas.openxmlformats.org/officeDocument/2006/relationships/hyperlink" Target="https://www.indicelectronics.com/services/manufacturing/component-sourcing" TargetMode="External"/><Relationship Id="rId22" Type="http://schemas.openxmlformats.org/officeDocument/2006/relationships/hyperlink" Target="https://www.indicelectronics.com/about-us/about-indic" TargetMode="External"/><Relationship Id="rId23" Type="http://schemas.openxmlformats.org/officeDocument/2006/relationships/hyperlink" Target="https://www.indicelectronics.com/contact-us" TargetMode="External"/><Relationship Id="rId24" Type="http://schemas.openxmlformats.org/officeDocument/2006/relationships/hyperlink" Target="mailto:info@indicelectronic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