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Eyebrow"/>
        <w:keepNext/>
        <w:pageBreakBefore w:val="0"/>
        <w:jc w:val="center"/>
      </w:pPr>
      <w:r>
        <w:t>JER HR GROUP | NONPROFIT COMPENSATION TOOLKIT</w:t>
      </w:r>
    </w:p>
    <w:tbl>
      <w:tblPr>
        <w:tblW w:type="auto" w:w="0"/>
        <w:jc w:val="center"/>
        <w:tblLayout w:type="fixed"/>
        <w:tblLook w:firstColumn="1" w:firstRow="1" w:lastColumn="0" w:lastRow="0" w:noHBand="0" w:noVBand="1" w:val="04A0"/>
      </w:tblPr>
      <w:tblGrid>
        <w:gridCol w:w="9648"/>
      </w:tblGrid>
      <w:tr>
        <w:tc>
          <w:tcPr>
            <w:tcW w:type="dxa" w:w="10080"/>
            <w:shd w:fill="172A3A"/>
            <w:tcMar>
              <w:top w:w="600" w:type="dxa"/>
              <w:start w:w="350" w:type="dxa"/>
              <w:bottom w:w="600" w:type="dxa"/>
              <w:end w:w="350" w:type="dxa"/>
            </w:tcMar>
          </w:tcPr>
          <w:p>
            <w:pPr>
              <w:jc w:val="center"/>
            </w:pPr>
            <w:r>
              <w:rPr>
                <w:rFonts w:ascii="Aptos Display" w:hAnsi="Aptos Display"/>
                <w:b/>
                <w:color w:val="FFFFFF"/>
                <w:sz w:val="60"/>
              </w:rPr>
              <w:t>NONPROFIT</w:t>
              <w:br/>
              <w:t>COMPENSATION POLICY</w:t>
              <w:br/>
              <w:t>TOOLKIT</w:t>
            </w:r>
          </w:p>
          <w:p>
            <w:pPr>
              <w:jc w:val="center"/>
            </w:pPr>
            <w:r>
              <w:rPr>
                <w:color w:val="D9EAF7"/>
                <w:sz w:val="24"/>
              </w:rPr>
              <w:t>Editable policy template + executive governance addendum + board checklists</w:t>
            </w:r>
          </w:p>
        </w:tc>
      </w:tr>
    </w:tbl>
    <w:p/>
    <w:p>
      <w:pPr>
        <w:jc w:val="center"/>
      </w:pPr>
      <w:r>
        <w:rPr>
          <w:color w:val="5A6772"/>
          <w:sz w:val="23"/>
        </w:rPr>
        <w:t>Prepared as a practical starting framework for nonprofit HR leaders, executives, and boards.</w:t>
      </w:r>
    </w:p>
    <w:p>
      <w:pPr>
        <w:jc w:val="center"/>
      </w:pPr>
      <w:r>
        <w:rPr>
          <w:b/>
          <w:color w:val="3E8DCC"/>
        </w:rPr>
        <w:t>2026 Edition</w:t>
      </w:r>
    </w:p>
    <w:p>
      <w:r>
        <w:br/>
      </w:r>
    </w:p>
    <w:tbl>
      <w:tblPr>
        <w:tblW w:type="auto" w:w="0"/>
        <w:jc w:val="center"/>
        <w:tblLayout w:type="fixed"/>
        <w:tblLook w:firstColumn="1" w:firstRow="1" w:lastColumn="0" w:lastRow="0" w:noHBand="0" w:noVBand="1" w:val="04A0"/>
      </w:tblPr>
      <w:tblGrid>
        <w:gridCol w:w="9360"/>
      </w:tblGrid>
      <w:tr>
        <w:tc>
          <w:tcPr>
            <w:tcW w:type="dxa" w:w="10080"/>
            <w:shd w:fill="EEF5FB"/>
            <w:tcMar>
              <w:top w:w="220" w:type="dxa"/>
              <w:start w:w="250" w:type="dxa"/>
              <w:bottom w:w="220" w:type="dxa"/>
              <w:end w:w="250" w:type="dxa"/>
            </w:tcMar>
          </w:tcPr>
          <w:p>
            <w:pPr>
              <w:jc w:val="center"/>
            </w:pPr>
            <w:r>
              <w:rPr>
                <w:b/>
                <w:color w:val="172A3A"/>
              </w:rPr>
              <w:t>IMPORTANT</w:t>
            </w:r>
          </w:p>
          <w:p>
            <w:pPr>
              <w:jc w:val="center"/>
            </w:pPr>
            <w:r>
              <w:t>This toolkit provides general compensation and governance information. It is not legal, tax, accounting, or financial advice. Adapt the sample to your organization and obtain qualified professional review for organization-specific requirements.</w:t>
            </w:r>
          </w:p>
        </w:tc>
      </w:tr>
    </w:tbl>
    <w:p>
      <w:pPr>
        <w:pStyle w:val="Eyebrow"/>
        <w:keepNext/>
        <w:pageBreakBefore/>
      </w:pPr>
      <w:r>
        <w:t>START HERE</w:t>
      </w:r>
    </w:p>
    <w:p>
      <w:pPr>
        <w:pStyle w:val="Heading1"/>
        <w:keepNext/>
      </w:pPr>
      <w:r>
        <w:t>How to Use This Toolkit</w:t>
      </w:r>
    </w:p>
    <w:p>
      <w:r>
        <w:t>Use the policy as a governing framework, then tailor the bracketed fields, decision authorities, review cycles, and governance provisions to your nonprofit. The toolkit is designed so the policy can remain stable while salary ranges, market data, and operating procedures are maintained separately.</w:t>
      </w:r>
    </w:p>
    <w:tbl>
      <w:tblPr>
        <w:tblW w:type="auto" w:w="0"/>
        <w:jc w:val="center"/>
        <w:tblLayout w:type="fixed"/>
        <w:tblLook w:firstColumn="1" w:firstRow="1" w:lastColumn="0" w:lastRow="0" w:noHBand="0" w:noVBand="1" w:val="04A0"/>
      </w:tblPr>
      <w:tblGrid>
        <w:gridCol w:w="5040"/>
        <w:gridCol w:w="5040"/>
      </w:tblGrid>
      <w:tr>
        <w:trPr>
          <w:tblHeader w:val="true"/>
        </w:trPr>
        <w:tc>
          <w:tcPr>
            <w:tcW w:type="dxa" w:w="3096"/>
            <w:shd w:fill="3E8DCC"/>
            <w:tcMar>
              <w:top w:w="110" w:type="dxa"/>
              <w:start w:w="120" w:type="dxa"/>
              <w:bottom w:w="110" w:type="dxa"/>
              <w:end w:w="120" w:type="dxa"/>
            </w:tcMar>
          </w:tcPr>
          <w:p>
            <w:r>
              <w:rPr>
                <w:b/>
                <w:color w:val="FFFFFF"/>
                <w:sz w:val="19"/>
              </w:rPr>
              <w:t>Toolkit section</w:t>
            </w:r>
          </w:p>
        </w:tc>
        <w:tc>
          <w:tcPr>
            <w:tcW w:type="dxa" w:w="6264"/>
            <w:shd w:fill="3E8DCC"/>
            <w:tcMar>
              <w:top w:w="110" w:type="dxa"/>
              <w:start w:w="120" w:type="dxa"/>
              <w:bottom w:w="110" w:type="dxa"/>
              <w:end w:w="120" w:type="dxa"/>
            </w:tcMar>
          </w:tcPr>
          <w:p>
            <w:r>
              <w:rPr>
                <w:b/>
                <w:color w:val="FFFFFF"/>
                <w:sz w:val="19"/>
              </w:rPr>
              <w:t>Use it to</w:t>
            </w:r>
          </w:p>
        </w:tc>
      </w:tr>
      <w:tr>
        <w:tc>
          <w:tcPr>
            <w:tcW w:type="dxa" w:w="3096"/>
            <w:vAlign w:val="top"/>
            <w:tcMar>
              <w:top w:w="110" w:type="dxa"/>
              <w:start w:w="120" w:type="dxa"/>
              <w:bottom w:w="110" w:type="dxa"/>
              <w:end w:w="120" w:type="dxa"/>
            </w:tcMar>
          </w:tcPr>
          <w:p>
            <w:pPr>
              <w:spacing w:after="40"/>
            </w:pPr>
            <w:r>
              <w:rPr>
                <w:sz w:val="18"/>
              </w:rPr>
              <w:t>Organization-wide policy</w:t>
            </w:r>
          </w:p>
        </w:tc>
        <w:tc>
          <w:tcPr>
            <w:tcW w:type="dxa" w:w="6264"/>
            <w:vAlign w:val="top"/>
            <w:tcMar>
              <w:top w:w="110" w:type="dxa"/>
              <w:start w:w="120" w:type="dxa"/>
              <w:bottom w:w="110" w:type="dxa"/>
              <w:end w:w="120" w:type="dxa"/>
            </w:tcMar>
          </w:tcPr>
          <w:p>
            <w:pPr>
              <w:spacing w:after="40"/>
            </w:pPr>
            <w:r>
              <w:rPr>
                <w:sz w:val="18"/>
              </w:rPr>
              <w:t>Define compensation principles, market-data rules, salary structure governance, internal alignment, and decision authority.</w:t>
            </w:r>
          </w:p>
        </w:tc>
      </w:tr>
      <w:tr>
        <w:tc>
          <w:tcPr>
            <w:tcW w:type="dxa" w:w="3096"/>
            <w:vAlign w:val="top"/>
            <w:tcMar>
              <w:top w:w="110" w:type="dxa"/>
              <w:start w:w="120" w:type="dxa"/>
              <w:bottom w:w="110" w:type="dxa"/>
              <w:end w:w="120" w:type="dxa"/>
            </w:tcMar>
            <w:shd w:fill="F7FAFC"/>
          </w:tcPr>
          <w:p>
            <w:pPr>
              <w:spacing w:after="40"/>
            </w:pPr>
            <w:r>
              <w:rPr>
                <w:sz w:val="18"/>
              </w:rPr>
              <w:t>Executive governance addendum</w:t>
            </w:r>
          </w:p>
        </w:tc>
        <w:tc>
          <w:tcPr>
            <w:tcW w:type="dxa" w:w="6264"/>
            <w:vAlign w:val="top"/>
            <w:tcMar>
              <w:top w:w="110" w:type="dxa"/>
              <w:start w:w="120" w:type="dxa"/>
              <w:bottom w:w="110" w:type="dxa"/>
              <w:end w:w="120" w:type="dxa"/>
            </w:tcMar>
            <w:shd w:fill="F7FAFC"/>
          </w:tcPr>
          <w:p>
            <w:pPr>
              <w:spacing w:after="40"/>
            </w:pPr>
            <w:r>
              <w:rPr>
                <w:sz w:val="18"/>
              </w:rPr>
              <w:t>Document independent approval, comparability review, conflicts, and executive compensation decision records.</w:t>
            </w:r>
          </w:p>
        </w:tc>
      </w:tr>
      <w:tr>
        <w:tc>
          <w:tcPr>
            <w:tcW w:type="dxa" w:w="3096"/>
            <w:vAlign w:val="top"/>
            <w:tcMar>
              <w:top w:w="110" w:type="dxa"/>
              <w:start w:w="120" w:type="dxa"/>
              <w:bottom w:w="110" w:type="dxa"/>
              <w:end w:w="120" w:type="dxa"/>
            </w:tcMar>
          </w:tcPr>
          <w:p>
            <w:pPr>
              <w:spacing w:after="40"/>
            </w:pPr>
            <w:r>
              <w:rPr>
                <w:sz w:val="18"/>
              </w:rPr>
              <w:t>Decision-authority matrix</w:t>
            </w:r>
          </w:p>
        </w:tc>
        <w:tc>
          <w:tcPr>
            <w:tcW w:type="dxa" w:w="6264"/>
            <w:vAlign w:val="top"/>
            <w:tcMar>
              <w:top w:w="110" w:type="dxa"/>
              <w:start w:w="120" w:type="dxa"/>
              <w:bottom w:w="110" w:type="dxa"/>
              <w:end w:w="120" w:type="dxa"/>
            </w:tcMar>
          </w:tcPr>
          <w:p>
            <w:pPr>
              <w:spacing w:after="40"/>
            </w:pPr>
            <w:r>
              <w:rPr>
                <w:sz w:val="18"/>
              </w:rPr>
              <w:t>Clarify who can approve offers, promotions, adjustments, range changes, and exceptions.</w:t>
            </w:r>
          </w:p>
        </w:tc>
      </w:tr>
      <w:tr>
        <w:tc>
          <w:tcPr>
            <w:tcW w:type="dxa" w:w="3096"/>
            <w:vAlign w:val="top"/>
            <w:tcMar>
              <w:top w:w="110" w:type="dxa"/>
              <w:start w:w="120" w:type="dxa"/>
              <w:bottom w:w="110" w:type="dxa"/>
              <w:end w:w="120" w:type="dxa"/>
            </w:tcMar>
            <w:shd w:fill="F7FAFC"/>
          </w:tcPr>
          <w:p>
            <w:pPr>
              <w:spacing w:after="40"/>
            </w:pPr>
            <w:r>
              <w:rPr>
                <w:sz w:val="18"/>
              </w:rPr>
              <w:t>Comparability checklist</w:t>
            </w:r>
          </w:p>
        </w:tc>
        <w:tc>
          <w:tcPr>
            <w:tcW w:type="dxa" w:w="6264"/>
            <w:vAlign w:val="top"/>
            <w:tcMar>
              <w:top w:w="110" w:type="dxa"/>
              <w:start w:w="120" w:type="dxa"/>
              <w:bottom w:w="110" w:type="dxa"/>
              <w:end w:w="120" w:type="dxa"/>
            </w:tcMar>
            <w:shd w:fill="F7FAFC"/>
          </w:tcPr>
          <w:p>
            <w:pPr>
              <w:spacing w:after="40"/>
            </w:pPr>
            <w:r>
              <w:rPr>
                <w:sz w:val="18"/>
              </w:rPr>
              <w:t>Organize the evidence considered for executive compensation decisions.</w:t>
            </w:r>
          </w:p>
        </w:tc>
      </w:tr>
      <w:tr>
        <w:tc>
          <w:tcPr>
            <w:tcW w:type="dxa" w:w="3096"/>
            <w:vAlign w:val="top"/>
            <w:tcMar>
              <w:top w:w="110" w:type="dxa"/>
              <w:start w:w="120" w:type="dxa"/>
              <w:bottom w:w="110" w:type="dxa"/>
              <w:end w:w="120" w:type="dxa"/>
            </w:tcMar>
          </w:tcPr>
          <w:p>
            <w:pPr>
              <w:spacing w:after="40"/>
            </w:pPr>
            <w:r>
              <w:rPr>
                <w:sz w:val="18"/>
              </w:rPr>
              <w:t>Board documentation checklist</w:t>
            </w:r>
          </w:p>
        </w:tc>
        <w:tc>
          <w:tcPr>
            <w:tcW w:type="dxa" w:w="6264"/>
            <w:vAlign w:val="top"/>
            <w:tcMar>
              <w:top w:w="110" w:type="dxa"/>
              <w:start w:w="120" w:type="dxa"/>
              <w:bottom w:w="110" w:type="dxa"/>
              <w:end w:w="120" w:type="dxa"/>
            </w:tcMar>
          </w:tcPr>
          <w:p>
            <w:pPr>
              <w:spacing w:after="40"/>
            </w:pPr>
            <w:r>
              <w:rPr>
                <w:sz w:val="18"/>
              </w:rPr>
              <w:t>Create a consistent record of approvals, participants, conflicts, data, and rationale.</w:t>
            </w:r>
          </w:p>
        </w:tc>
      </w:tr>
      <w:tr>
        <w:tc>
          <w:tcPr>
            <w:tcW w:type="dxa" w:w="3096"/>
            <w:vAlign w:val="top"/>
            <w:tcMar>
              <w:top w:w="110" w:type="dxa"/>
              <w:start w:w="120" w:type="dxa"/>
              <w:bottom w:w="110" w:type="dxa"/>
              <w:end w:w="120" w:type="dxa"/>
            </w:tcMar>
            <w:shd w:fill="F7FAFC"/>
          </w:tcPr>
          <w:p>
            <w:pPr>
              <w:spacing w:after="40"/>
            </w:pPr>
            <w:r>
              <w:rPr>
                <w:sz w:val="18"/>
              </w:rPr>
              <w:t>Annual review checklist</w:t>
            </w:r>
          </w:p>
        </w:tc>
        <w:tc>
          <w:tcPr>
            <w:tcW w:type="dxa" w:w="6264"/>
            <w:vAlign w:val="top"/>
            <w:tcMar>
              <w:top w:w="110" w:type="dxa"/>
              <w:start w:w="120" w:type="dxa"/>
              <w:bottom w:w="110" w:type="dxa"/>
              <w:end w:w="120" w:type="dxa"/>
            </w:tcMar>
            <w:shd w:fill="F7FAFC"/>
          </w:tcPr>
          <w:p>
            <w:pPr>
              <w:spacing w:after="40"/>
            </w:pPr>
            <w:r>
              <w:rPr>
                <w:sz w:val="18"/>
              </w:rPr>
              <w:t>Separate policy review, market review, and executive compensation review.</w:t>
            </w:r>
          </w:p>
        </w:tc>
      </w:tr>
      <w:tr>
        <w:tc>
          <w:tcPr>
            <w:tcW w:type="dxa" w:w="3096"/>
            <w:vAlign w:val="top"/>
            <w:tcMar>
              <w:top w:w="110" w:type="dxa"/>
              <w:start w:w="120" w:type="dxa"/>
              <w:bottom w:w="110" w:type="dxa"/>
              <w:end w:w="120" w:type="dxa"/>
            </w:tcMar>
          </w:tcPr>
          <w:p>
            <w:pPr>
              <w:spacing w:after="40"/>
            </w:pPr>
            <w:r>
              <w:rPr>
                <w:sz w:val="18"/>
              </w:rPr>
              <w:t>Approval/sign-off page</w:t>
            </w:r>
          </w:p>
        </w:tc>
        <w:tc>
          <w:tcPr>
            <w:tcW w:type="dxa" w:w="6264"/>
            <w:vAlign w:val="top"/>
            <w:tcMar>
              <w:top w:w="110" w:type="dxa"/>
              <w:start w:w="120" w:type="dxa"/>
              <w:bottom w:w="110" w:type="dxa"/>
              <w:end w:w="120" w:type="dxa"/>
            </w:tcMar>
          </w:tcPr>
          <w:p>
            <w:pPr>
              <w:spacing w:after="40"/>
            </w:pPr>
            <w:r>
              <w:rPr>
                <w:sz w:val="18"/>
              </w:rPr>
              <w:t>Record ownership, approval date, next review date, and governance responsibility.</w:t>
            </w:r>
          </w:p>
        </w:tc>
      </w:tr>
    </w:tbl>
    <w:p>
      <w:pPr>
        <w:spacing w:after="20"/>
      </w:pPr>
    </w:p>
    <w:p>
      <w:pPr>
        <w:pStyle w:val="Heading2"/>
        <w:keepNext/>
      </w:pPr>
      <w:r>
        <w:t>Before You Edit</w:t>
      </w:r>
    </w:p>
    <w:p>
      <w:pPr>
        <w:pStyle w:val="Checklist"/>
      </w:pPr>
      <w:r>
        <w:rPr>
          <w:b/>
        </w:rPr>
        <w:t xml:space="preserve">[ ] </w:t>
      </w:r>
      <w:r>
        <w:t>Replace [Organization Name] and all other bracketed placeholders.</w:t>
      </w:r>
    </w:p>
    <w:p>
      <w:pPr>
        <w:pStyle w:val="Checklist"/>
      </w:pPr>
      <w:r>
        <w:rPr>
          <w:b/>
        </w:rPr>
        <w:t xml:space="preserve">[ ] </w:t>
      </w:r>
      <w:r>
        <w:t>Confirm the policy matches the organization's bylaws, delegated authority, and actual operating practices.</w:t>
      </w:r>
    </w:p>
    <w:p>
      <w:pPr>
        <w:pStyle w:val="Checklist"/>
      </w:pPr>
      <w:r>
        <w:rPr>
          <w:b/>
        </w:rPr>
        <w:t xml:space="preserve">[ ] </w:t>
      </w:r>
      <w:r>
        <w:t>Keep salary-range tables and detailed procedures outside this governance policy unless there is a specific reason to include them.</w:t>
      </w:r>
    </w:p>
    <w:p>
      <w:pPr>
        <w:pStyle w:val="Checklist"/>
      </w:pPr>
      <w:r>
        <w:rPr>
          <w:b/>
        </w:rPr>
        <w:t xml:space="preserve">[ ] </w:t>
      </w:r>
      <w:r>
        <w:t>Have appropriate HR, legal, tax, or governance professionals review provisions that create organization-specific obligations.</w:t>
      </w:r>
    </w:p>
    <w:p>
      <w:pPr>
        <w:pStyle w:val="Checklist"/>
      </w:pPr>
      <w:r>
        <w:rPr>
          <w:b/>
        </w:rPr>
        <w:t xml:space="preserve">[ ] </w:t>
      </w:r>
      <w:r>
        <w:t>Do not adopt approval steps that the organization cannot consistently follow.</w:t>
      </w:r>
    </w:p>
    <w:p>
      <w:pPr>
        <w:pStyle w:val="Heading2"/>
        <w:keepNext/>
      </w:pPr>
      <w:r>
        <w:t>What a Strong Policy Should Answer</w:t>
      </w:r>
    </w:p>
    <w:p>
      <w:pPr>
        <w:pStyle w:val="ListBullet"/>
      </w:pPr>
      <w:r>
        <w:t>Which labor markets matter for different roles?</w:t>
      </w:r>
    </w:p>
    <w:p>
      <w:pPr>
        <w:pStyle w:val="ListBullet"/>
      </w:pPr>
      <w:r>
        <w:t>What data may be used and how should jobs be matched?</w:t>
      </w:r>
    </w:p>
    <w:p>
      <w:pPr>
        <w:pStyle w:val="ListBullet"/>
      </w:pPr>
      <w:r>
        <w:t>How are salary ranges created and reviewed?</w:t>
      </w:r>
    </w:p>
    <w:p>
      <w:pPr>
        <w:pStyle w:val="ListBullet"/>
      </w:pPr>
      <w:r>
        <w:t>Who can approve hiring, promotion, and market adjustments?</w:t>
      </w:r>
    </w:p>
    <w:p>
      <w:pPr>
        <w:pStyle w:val="ListBullet"/>
      </w:pPr>
      <w:r>
        <w:t>How are compression and internal pay relationships evaluated?</w:t>
      </w:r>
    </w:p>
    <w:p>
      <w:pPr>
        <w:pStyle w:val="ListBullet"/>
      </w:pPr>
      <w:r>
        <w:t>Who approves executive compensation and what must be documented?</w:t>
      </w:r>
    </w:p>
    <w:p>
      <w:pPr>
        <w:pStyle w:val="ListBullet"/>
      </w:pPr>
      <w:r>
        <w:t>How often are the policy, market data, and executive compensation reviewed?</w:t>
      </w:r>
    </w:p>
    <w:p>
      <w:pPr>
        <w:pStyle w:val="Eyebrow"/>
        <w:keepNext/>
        <w:pageBreakBefore w:val="0"/>
      </w:pPr>
      <w:r>
        <w:t>ORGANIZATION-WIDE POLICY</w:t>
      </w:r>
    </w:p>
    <w:p>
      <w:pPr>
        <w:pStyle w:val="Heading1"/>
        <w:keepNext/>
      </w:pPr>
      <w:r>
        <w:t>Nonprofit Compensation Policy Template</w:t>
      </w:r>
    </w:p>
    <w:p>
      <w:pPr>
        <w:pStyle w:val="Heading2"/>
        <w:keepNext/>
      </w:pPr>
      <w:r>
        <w:t>1. Purpose</w:t>
      </w:r>
    </w:p>
    <w:p>
      <w:pPr>
        <w:pStyle w:val="SampleLanguage"/>
        <w:keepLines w:val="0"/>
        <w:shd w:fill="F5F8FA"/>
        <w:pBdr>
          <w:left w:val="single" w:sz="18" w:space="8" w:color="3E8DCC"/>
        </w:pBdr>
      </w:pPr>
      <w:r>
        <w:rPr>
          <w:i w:val="0"/>
        </w:rPr>
        <w:t>[Organization Name] maintains this compensation policy to establish a consistent, evidence-informed framework for compensation decisions. The organization seeks to provide compensation that supports its mission, workforce needs, financial resources, internal alignment, and ability to attract and retain qualified employees.</w:t>
        <w:br/>
        <w:br/>
        <w:t>Compensation decisions will consider the responsibilities and requirements of the role, relevant labor-market information, internal compensation relationships, organizational resources, and other factors appropriate to the decision.</w:t>
      </w:r>
    </w:p>
    <w:p>
      <w:r>
        <w:t>Practical note: avoid permanent promises such as “our salaries will always be above market.” Market position should be a deliberate decision that can vary by job family, talent market, and financial strategy.</w:t>
      </w:r>
    </w:p>
    <w:p>
      <w:pPr>
        <w:pStyle w:val="Heading2"/>
        <w:keepNext/>
      </w:pPr>
      <w:r>
        <w:t>2. Scope</w:t>
      </w:r>
    </w:p>
    <w:p>
      <w:pPr>
        <w:pStyle w:val="SampleLanguage"/>
        <w:keepLines w:val="0"/>
        <w:shd w:fill="F5F8FA"/>
        <w:pBdr>
          <w:left w:val="single" w:sz="18" w:space="8" w:color="3E8DCC"/>
        </w:pBdr>
      </w:pPr>
      <w:r>
        <w:rPr>
          <w:i w:val="0"/>
        </w:rPr>
        <w:t>This policy applies to employees of [Organization Name] and governs the principles used to establish and review base compensation, salary ranges, market adjustments, promotional adjustments, and other compensation decisions covered by the organization’s compensation program.</w:t>
        <w:br/>
        <w:br/>
        <w:t>Executive compensation decisions subject to board or committee oversight will follow the additional governance process described in the Executive Compensation Governance Addendum.</w:t>
        <w:br/>
        <w:br/>
        <w:t>Benefits, incentive compensation, grant-funded positions, union-covered positions, or other specialized arrangements may also be governed by separate plans, agreements, or policies.</w:t>
      </w:r>
    </w:p>
    <w:p>
      <w:pPr>
        <w:pStyle w:val="Heading2"/>
        <w:keepNext/>
      </w:pPr>
      <w:r>
        <w:t>3. Compensation Philosophy</w:t>
      </w:r>
    </w:p>
    <w:p>
      <w:pPr>
        <w:pStyle w:val="SampleLanguage"/>
        <w:keepLines w:val="0"/>
        <w:shd w:fill="F5F8FA"/>
        <w:pBdr>
          <w:left w:val="single" w:sz="18" w:space="8" w:color="3E8DCC"/>
        </w:pBdr>
      </w:pPr>
      <w:r>
        <w:rPr>
          <w:i w:val="0"/>
        </w:rPr>
        <w:t>[Organization Name] seeks to maintain compensation practices that are:</w:t>
        <w:br/>
        <w:br/>
        <w:t>Market informed. Compensation decisions will consider appropriate external labor-market information.</w:t>
        <w:br/>
        <w:br/>
        <w:t>Internally consistent. Jobs with comparable organizational scope, responsibility, and requirements will be evaluated using consistent principles.</w:t>
        <w:br/>
        <w:br/>
        <w:t>Financially responsible. Compensation decisions will consider organizational resources and long-term sustainability.</w:t>
        <w:br/>
        <w:br/>
        <w:t>Mission aligned. Compensation practices will support the organization’s ability to attract, retain, and engage the workforce needed to deliver its mission.</w:t>
        <w:br/>
        <w:br/>
        <w:t>Administered consistently. Offers, promotions, market adjustments, and other compensation decisions will follow documented approval practices.</w:t>
      </w:r>
    </w:p>
    <w:p>
      <w:pPr>
        <w:pStyle w:val="Heading2"/>
        <w:keepNext/>
      </w:pPr>
      <w:r>
        <w:t>4. Relevant Compensation Market</w:t>
      </w:r>
    </w:p>
    <w:p>
      <w:pPr>
        <w:pStyle w:val="SampleLanguage"/>
        <w:keepLines w:val="0"/>
        <w:shd w:fill="F5F8FA"/>
        <w:pBdr>
          <w:left w:val="single" w:sz="18" w:space="8" w:color="3E8DCC"/>
        </w:pBdr>
      </w:pPr>
      <w:r>
        <w:rPr>
          <w:i w:val="0"/>
        </w:rPr>
        <w:t>Relevant compensation markets may vary by position or job family. When identifying appropriate market references, [Organization Name] may consider job responsibilities and organizational level, industry or sector, organization type, organization size and complexity, geography, availability of specialized talent, employee work location, relevant nonprofit, public-sector or commercial employers, and other organizations competing for comparable talent.</w:t>
        <w:br/>
        <w:br/>
        <w:t>Peer organizations will be selected based on their relevance to the position and labor market being evaluated rather than organizational name or tax status alone.</w:t>
      </w:r>
    </w:p>
    <w:p>
      <w:pPr>
        <w:pStyle w:val="Heading2"/>
        <w:keepNext/>
      </w:pPr>
      <w:r>
        <w:t>5. Market Data and Salary Benchmarking</w:t>
      </w:r>
    </w:p>
    <w:p>
      <w:pPr>
        <w:pStyle w:val="SampleLanguage"/>
        <w:keepLines w:val="0"/>
        <w:shd w:fill="F5F8FA"/>
        <w:pBdr>
          <w:left w:val="single" w:sz="18" w:space="8" w:color="3E8DCC"/>
        </w:pBdr>
      </w:pPr>
      <w:r>
        <w:rPr>
          <w:i w:val="0"/>
        </w:rPr>
        <w:t>[Organization Name] may use published compensation surveys, customized surveys, relevant peer-organization information, and other credible compensation data when evaluating external competitiveness.</w:t>
        <w:br/>
        <w:br/>
        <w:t>Market information should be evaluated for relevance of the job match, data effective date, geographic relevance, organization size or complexity where applicable, industry or sector relevance, number and quality of observations, compensation elements included, and other methodological limitations.</w:t>
        <w:br/>
        <w:br/>
        <w:t>Job content and responsibility should take precedence over job title alone when determining benchmark matches. When no single source adequately represents the relevant market, multiple appropriate sources may be considered.</w:t>
      </w:r>
    </w:p>
    <w:p>
      <w:pPr>
        <w:pStyle w:val="Eyebrow"/>
        <w:keepNext/>
        <w:pageBreakBefore w:val="0"/>
      </w:pPr>
      <w:r>
        <w:t>ORGANIZATION-WIDE POLICY</w:t>
      </w:r>
    </w:p>
    <w:p>
      <w:pPr>
        <w:pStyle w:val="Heading1"/>
        <w:keepNext/>
      </w:pPr>
      <w:r>
        <w:t>Job Structure, Internal Alignment &amp; Decision Authority</w:t>
      </w:r>
    </w:p>
    <w:p>
      <w:pPr>
        <w:pStyle w:val="Heading2"/>
        <w:keepNext/>
      </w:pPr>
      <w:r>
        <w:t>6. Job Evaluation and Salary Structure</w:t>
      </w:r>
    </w:p>
    <w:p>
      <w:pPr>
        <w:pStyle w:val="SampleLanguage"/>
        <w:keepLines w:val="0"/>
        <w:shd w:fill="F5F8FA"/>
        <w:pBdr>
          <w:left w:val="single" w:sz="18" w:space="8" w:color="3E8DCC"/>
        </w:pBdr>
      </w:pPr>
      <w:r>
        <w:rPr>
          <w:i w:val="0"/>
        </w:rPr>
        <w:t>Positions will be assigned to the organization’s compensation structure based on the duties, responsibilities, organizational impact, required capabilities, and other job-related factors relevant to the organization’s job-evaluation methodology.</w:t>
        <w:br/>
        <w:br/>
        <w:t>New positions and positions with materially changed responsibilities should be reviewed before permanent salary-range placement.</w:t>
        <w:br/>
        <w:br/>
        <w:t>Salary ranges may be reviewed periodically using relevant market information, organizational structure, internal relationships, and compensation strategy.</w:t>
      </w:r>
    </w:p>
    <w:p>
      <w:pPr>
        <w:pStyle w:val="Heading2"/>
        <w:keepNext/>
      </w:pPr>
      <w:r>
        <w:t>7. Internal Alignment and Pay Compression</w:t>
      </w:r>
    </w:p>
    <w:p>
      <w:pPr>
        <w:pStyle w:val="SampleLanguage"/>
        <w:keepLines w:val="0"/>
        <w:shd w:fill="F5F8FA"/>
        <w:pBdr>
          <w:left w:val="single" w:sz="18" w:space="8" w:color="3E8DCC"/>
        </w:pBdr>
      </w:pPr>
      <w:r>
        <w:rPr>
          <w:i w:val="0"/>
        </w:rPr>
        <w:t>Compensation decisions may consider internal relationships among employees and positions in addition to external market information.</w:t>
        <w:br/>
        <w:br/>
        <w:t>[Organization Name] may review employee placement within salary ranges, compensation relationships among comparable roles, employee-manager compression, new-hire versus incumbent relationships, promotional relationships, materially different responsibility levels, and unexplained pay outliers.</w:t>
        <w:br/>
        <w:br/>
        <w:t>Identification of a potential internal inconsistency does not automatically require a particular pay adjustment. The organization will evaluate relevant facts, available evidence, budget considerations, and applicable requirements before determining an appropriate response.</w:t>
      </w:r>
    </w:p>
    <w:p>
      <w:pPr>
        <w:pStyle w:val="Heading2"/>
        <w:keepNext/>
      </w:pPr>
      <w:r>
        <w:t>8. Compensation Decision Authority</w:t>
      </w:r>
    </w:p>
    <w:p>
      <w:r>
        <w:t>The table below is illustrative. Replace it with the organization’s actual authority structure. Approval rules should match the bylaws, delegated authority, governance model, and operating practice.</w:t>
      </w:r>
    </w:p>
    <w:tbl>
      <w:tblPr>
        <w:tblW w:type="auto" w:w="0"/>
        <w:jc w:val="center"/>
        <w:tblLayout w:type="fixed"/>
        <w:tblLook w:firstColumn="1" w:firstRow="1" w:lastColumn="0" w:lastRow="0" w:noHBand="0" w:noVBand="1" w:val="04A0"/>
      </w:tblPr>
      <w:tblGrid>
        <w:gridCol w:w="5040"/>
        <w:gridCol w:w="5040"/>
      </w:tblGrid>
      <w:tr>
        <w:trPr>
          <w:tblHeader w:val="true"/>
        </w:trPr>
        <w:tc>
          <w:tcPr>
            <w:tcW w:type="dxa" w:w="4680"/>
            <w:shd w:fill="172A3A"/>
            <w:tcMar>
              <w:top w:w="110" w:type="dxa"/>
              <w:start w:w="120" w:type="dxa"/>
              <w:bottom w:w="110" w:type="dxa"/>
              <w:end w:w="120" w:type="dxa"/>
            </w:tcMar>
          </w:tcPr>
          <w:p>
            <w:r>
              <w:rPr>
                <w:b/>
                <w:color w:val="FFFFFF"/>
                <w:sz w:val="19"/>
              </w:rPr>
              <w:t>Compensation decision</w:t>
            </w:r>
          </w:p>
        </w:tc>
        <w:tc>
          <w:tcPr>
            <w:tcW w:type="dxa" w:w="4680"/>
            <w:shd w:fill="172A3A"/>
            <w:tcMar>
              <w:top w:w="110" w:type="dxa"/>
              <w:start w:w="120" w:type="dxa"/>
              <w:bottom w:w="110" w:type="dxa"/>
              <w:end w:w="120" w:type="dxa"/>
            </w:tcMar>
          </w:tcPr>
          <w:p>
            <w:r>
              <w:rPr>
                <w:b/>
                <w:color w:val="FFFFFF"/>
                <w:sz w:val="19"/>
              </w:rPr>
              <w:t>Illustrative authority</w:t>
            </w:r>
          </w:p>
        </w:tc>
      </w:tr>
      <w:tr>
        <w:tc>
          <w:tcPr>
            <w:tcW w:type="dxa" w:w="4680"/>
            <w:vAlign w:val="top"/>
            <w:tcMar>
              <w:top w:w="110" w:type="dxa"/>
              <w:start w:w="120" w:type="dxa"/>
              <w:bottom w:w="110" w:type="dxa"/>
              <w:end w:w="120" w:type="dxa"/>
            </w:tcMar>
          </w:tcPr>
          <w:p>
            <w:pPr>
              <w:spacing w:after="40"/>
            </w:pPr>
            <w:r>
              <w:rPr>
                <w:sz w:val="18"/>
              </w:rPr>
              <w:t>New-hire offer within approved range</w:t>
            </w:r>
          </w:p>
        </w:tc>
        <w:tc>
          <w:tcPr>
            <w:tcW w:type="dxa" w:w="4680"/>
            <w:vAlign w:val="top"/>
            <w:tcMar>
              <w:top w:w="110" w:type="dxa"/>
              <w:start w:w="120" w:type="dxa"/>
              <w:bottom w:w="110" w:type="dxa"/>
              <w:end w:w="120" w:type="dxa"/>
            </w:tcMar>
          </w:tcPr>
          <w:p>
            <w:pPr>
              <w:spacing w:after="40"/>
            </w:pPr>
            <w:r>
              <w:rPr>
                <w:sz w:val="18"/>
              </w:rPr>
              <w:t>Hiring manager + HR</w:t>
            </w:r>
          </w:p>
        </w:tc>
      </w:tr>
      <w:tr>
        <w:tc>
          <w:tcPr>
            <w:tcW w:type="dxa" w:w="4680"/>
            <w:vAlign w:val="top"/>
            <w:tcMar>
              <w:top w:w="110" w:type="dxa"/>
              <w:start w:w="120" w:type="dxa"/>
              <w:bottom w:w="110" w:type="dxa"/>
              <w:end w:w="120" w:type="dxa"/>
            </w:tcMar>
            <w:shd w:fill="F7FAFC"/>
          </w:tcPr>
          <w:p>
            <w:pPr>
              <w:spacing w:after="40"/>
            </w:pPr>
            <w:r>
              <w:rPr>
                <w:sz w:val="18"/>
              </w:rPr>
              <w:t>Offer above normal hiring parameters</w:t>
            </w:r>
          </w:p>
        </w:tc>
        <w:tc>
          <w:tcPr>
            <w:tcW w:type="dxa" w:w="4680"/>
            <w:vAlign w:val="top"/>
            <w:tcMar>
              <w:top w:w="110" w:type="dxa"/>
              <w:start w:w="120" w:type="dxa"/>
              <w:bottom w:w="110" w:type="dxa"/>
              <w:end w:w="120" w:type="dxa"/>
            </w:tcMar>
            <w:shd w:fill="F7FAFC"/>
          </w:tcPr>
          <w:p>
            <w:pPr>
              <w:spacing w:after="40"/>
            </w:pPr>
            <w:r>
              <w:rPr>
                <w:sz w:val="18"/>
              </w:rPr>
              <w:t>HR + designated executive</w:t>
            </w:r>
          </w:p>
        </w:tc>
      </w:tr>
      <w:tr>
        <w:tc>
          <w:tcPr>
            <w:tcW w:type="dxa" w:w="4680"/>
            <w:vAlign w:val="top"/>
            <w:tcMar>
              <w:top w:w="110" w:type="dxa"/>
              <w:start w:w="120" w:type="dxa"/>
              <w:bottom w:w="110" w:type="dxa"/>
              <w:end w:w="120" w:type="dxa"/>
            </w:tcMar>
          </w:tcPr>
          <w:p>
            <w:pPr>
              <w:spacing w:after="40"/>
            </w:pPr>
            <w:r>
              <w:rPr>
                <w:sz w:val="18"/>
              </w:rPr>
              <w:t>Promotional adjustment</w:t>
            </w:r>
          </w:p>
        </w:tc>
        <w:tc>
          <w:tcPr>
            <w:tcW w:type="dxa" w:w="4680"/>
            <w:vAlign w:val="top"/>
            <w:tcMar>
              <w:top w:w="110" w:type="dxa"/>
              <w:start w:w="120" w:type="dxa"/>
              <w:bottom w:w="110" w:type="dxa"/>
              <w:end w:w="120" w:type="dxa"/>
            </w:tcMar>
          </w:tcPr>
          <w:p>
            <w:pPr>
              <w:spacing w:after="40"/>
            </w:pPr>
            <w:r>
              <w:rPr>
                <w:sz w:val="18"/>
              </w:rPr>
              <w:t>HR + department leader</w:t>
            </w:r>
          </w:p>
        </w:tc>
      </w:tr>
      <w:tr>
        <w:tc>
          <w:tcPr>
            <w:tcW w:type="dxa" w:w="4680"/>
            <w:vAlign w:val="top"/>
            <w:tcMar>
              <w:top w:w="110" w:type="dxa"/>
              <w:start w:w="120" w:type="dxa"/>
              <w:bottom w:w="110" w:type="dxa"/>
              <w:end w:w="120" w:type="dxa"/>
            </w:tcMar>
            <w:shd w:fill="F7FAFC"/>
          </w:tcPr>
          <w:p>
            <w:pPr>
              <w:spacing w:after="40"/>
            </w:pPr>
            <w:r>
              <w:rPr>
                <w:sz w:val="18"/>
              </w:rPr>
              <w:t>Market adjustment</w:t>
            </w:r>
          </w:p>
        </w:tc>
        <w:tc>
          <w:tcPr>
            <w:tcW w:type="dxa" w:w="4680"/>
            <w:vAlign w:val="top"/>
            <w:tcMar>
              <w:top w:w="110" w:type="dxa"/>
              <w:start w:w="120" w:type="dxa"/>
              <w:bottom w:w="110" w:type="dxa"/>
              <w:end w:w="120" w:type="dxa"/>
            </w:tcMar>
            <w:shd w:fill="F7FAFC"/>
          </w:tcPr>
          <w:p>
            <w:pPr>
              <w:spacing w:after="40"/>
            </w:pPr>
            <w:r>
              <w:rPr>
                <w:sz w:val="18"/>
              </w:rPr>
              <w:t>HR + designated compensation authority</w:t>
            </w:r>
          </w:p>
        </w:tc>
      </w:tr>
      <w:tr>
        <w:tc>
          <w:tcPr>
            <w:tcW w:type="dxa" w:w="4680"/>
            <w:vAlign w:val="top"/>
            <w:tcMar>
              <w:top w:w="110" w:type="dxa"/>
              <w:start w:w="120" w:type="dxa"/>
              <w:bottom w:w="110" w:type="dxa"/>
              <w:end w:w="120" w:type="dxa"/>
            </w:tcMar>
          </w:tcPr>
          <w:p>
            <w:pPr>
              <w:spacing w:after="40"/>
            </w:pPr>
            <w:r>
              <w:rPr>
                <w:sz w:val="18"/>
              </w:rPr>
              <w:t>Organization-wide salary-range change</w:t>
            </w:r>
          </w:p>
        </w:tc>
        <w:tc>
          <w:tcPr>
            <w:tcW w:type="dxa" w:w="4680"/>
            <w:vAlign w:val="top"/>
            <w:tcMar>
              <w:top w:w="110" w:type="dxa"/>
              <w:start w:w="120" w:type="dxa"/>
              <w:bottom w:w="110" w:type="dxa"/>
              <w:end w:w="120" w:type="dxa"/>
            </w:tcMar>
          </w:tcPr>
          <w:p>
            <w:pPr>
              <w:spacing w:after="40"/>
            </w:pPr>
            <w:r>
              <w:rPr>
                <w:sz w:val="18"/>
              </w:rPr>
              <w:t>Executive leadership + HR</w:t>
            </w:r>
          </w:p>
        </w:tc>
      </w:tr>
      <w:tr>
        <w:tc>
          <w:tcPr>
            <w:tcW w:type="dxa" w:w="4680"/>
            <w:vAlign w:val="top"/>
            <w:tcMar>
              <w:top w:w="110" w:type="dxa"/>
              <w:start w:w="120" w:type="dxa"/>
              <w:bottom w:w="110" w:type="dxa"/>
              <w:end w:w="120" w:type="dxa"/>
            </w:tcMar>
            <w:shd w:fill="F7FAFC"/>
          </w:tcPr>
          <w:p>
            <w:pPr>
              <w:spacing w:after="40"/>
            </w:pPr>
            <w:r>
              <w:rPr>
                <w:sz w:val="18"/>
              </w:rPr>
              <w:t>Executive Director/CEO compensation</w:t>
            </w:r>
          </w:p>
        </w:tc>
        <w:tc>
          <w:tcPr>
            <w:tcW w:type="dxa" w:w="4680"/>
            <w:vAlign w:val="top"/>
            <w:tcMar>
              <w:top w:w="110" w:type="dxa"/>
              <w:start w:w="120" w:type="dxa"/>
              <w:bottom w:w="110" w:type="dxa"/>
              <w:end w:w="120" w:type="dxa"/>
            </w:tcMar>
            <w:shd w:fill="F7FAFC"/>
          </w:tcPr>
          <w:p>
            <w:pPr>
              <w:spacing w:after="40"/>
            </w:pPr>
            <w:r>
              <w:rPr>
                <w:sz w:val="18"/>
              </w:rPr>
              <w:t>Independent board or authorized committee</w:t>
            </w:r>
          </w:p>
        </w:tc>
      </w:tr>
      <w:tr>
        <w:tc>
          <w:tcPr>
            <w:tcW w:type="dxa" w:w="4680"/>
            <w:vAlign w:val="top"/>
            <w:tcMar>
              <w:top w:w="110" w:type="dxa"/>
              <w:start w:w="120" w:type="dxa"/>
              <w:bottom w:w="110" w:type="dxa"/>
              <w:end w:w="120" w:type="dxa"/>
            </w:tcMar>
          </w:tcPr>
          <w:p>
            <w:pPr>
              <w:spacing w:after="40"/>
            </w:pPr>
            <w:r>
              <w:rPr>
                <w:sz w:val="18"/>
              </w:rPr>
              <w:t>Other executive compensation</w:t>
            </w:r>
          </w:p>
        </w:tc>
        <w:tc>
          <w:tcPr>
            <w:tcW w:type="dxa" w:w="4680"/>
            <w:vAlign w:val="top"/>
            <w:tcMar>
              <w:top w:w="110" w:type="dxa"/>
              <w:start w:w="120" w:type="dxa"/>
              <w:bottom w:w="110" w:type="dxa"/>
              <w:end w:w="120" w:type="dxa"/>
            </w:tcMar>
          </w:tcPr>
          <w:p>
            <w:pPr>
              <w:spacing w:after="40"/>
            </w:pPr>
            <w:r>
              <w:rPr>
                <w:sz w:val="18"/>
              </w:rPr>
              <w:t>Per board-approved governance structure</w:t>
            </w:r>
          </w:p>
        </w:tc>
      </w:tr>
      <w:tr>
        <w:tc>
          <w:tcPr>
            <w:tcW w:type="dxa" w:w="4680"/>
            <w:vAlign w:val="top"/>
            <w:tcMar>
              <w:top w:w="110" w:type="dxa"/>
              <w:start w:w="120" w:type="dxa"/>
              <w:bottom w:w="110" w:type="dxa"/>
              <w:end w:w="120" w:type="dxa"/>
            </w:tcMar>
            <w:shd w:fill="F7FAFC"/>
          </w:tcPr>
          <w:p>
            <w:pPr>
              <w:spacing w:after="40"/>
            </w:pPr>
            <w:r>
              <w:rPr>
                <w:sz w:val="18"/>
              </w:rPr>
              <w:t>Exception to compensation policy</w:t>
            </w:r>
          </w:p>
        </w:tc>
        <w:tc>
          <w:tcPr>
            <w:tcW w:type="dxa" w:w="4680"/>
            <w:vAlign w:val="top"/>
            <w:tcMar>
              <w:top w:w="110" w:type="dxa"/>
              <w:start w:w="120" w:type="dxa"/>
              <w:bottom w:w="110" w:type="dxa"/>
              <w:end w:w="120" w:type="dxa"/>
            </w:tcMar>
            <w:shd w:fill="F7FAFC"/>
          </w:tcPr>
          <w:p>
            <w:pPr>
              <w:spacing w:after="40"/>
            </w:pPr>
            <w:r>
              <w:rPr>
                <w:sz w:val="18"/>
              </w:rPr>
              <w:t>Defined executive or board authority</w:t>
            </w:r>
          </w:p>
        </w:tc>
      </w:tr>
    </w:tbl>
    <w:p>
      <w:pPr>
        <w:spacing w:after="20"/>
      </w:pPr>
    </w:p>
    <w:p>
      <w:pPr>
        <w:pStyle w:val="Heading2"/>
        <w:keepNext/>
      </w:pPr>
      <w:r>
        <w:t>9. Compensation Reviews and Adjustments</w:t>
      </w:r>
    </w:p>
    <w:p>
      <w:pPr>
        <w:pStyle w:val="SampleLanguage"/>
        <w:keepLines w:val="0"/>
        <w:shd w:fill="F5F8FA"/>
        <w:pBdr>
          <w:left w:val="single" w:sz="18" w:space="8" w:color="3E8DCC"/>
        </w:pBdr>
      </w:pPr>
      <w:r>
        <w:rPr>
          <w:i w:val="0"/>
        </w:rPr>
        <w:t>Compensation may be reviewed in connection with hiring, promotion, changes in job responsibilities, market review, organizational restructuring, performance processes where applicable, or other legitimate business circumstances.</w:t>
        <w:br/>
        <w:br/>
        <w:t>A market review does not guarantee an adjustment. Compensation decisions may consider market information, employee placement, internal relationships, performance where applicable, financial capacity, and organizational priorities.</w:t>
        <w:br/>
        <w:br/>
        <w:t>Individual compensation changes must receive the approvals required under this policy.</w:t>
      </w:r>
    </w:p>
    <w:p>
      <w:pPr>
        <w:pStyle w:val="Callout"/>
      </w:pPr>
      <w:r>
        <w:rPr>
          <w:b/>
        </w:rPr>
        <w:t xml:space="preserve">Core principle: </w:t>
      </w:r>
      <w:r>
        <w:t>A benchmark is evidence, not an automatic salary decision.</w:t>
      </w:r>
    </w:p>
    <w:p>
      <w:pPr>
        <w:pStyle w:val="Eyebrow"/>
        <w:keepNext/>
        <w:pageBreakBefore/>
      </w:pPr>
      <w:r>
        <w:t>EXECUTIVE GOVERNANCE ADDENDUM</w:t>
      </w:r>
    </w:p>
    <w:p>
      <w:pPr>
        <w:pStyle w:val="Heading1"/>
        <w:keepNext/>
      </w:pPr>
      <w:r>
        <w:t>Executive Compensation Governance</w:t>
      </w:r>
    </w:p>
    <w:p>
      <w:r>
        <w:t>This addendum is designed for organizations that choose to document a separate governance process for designated executive compensation decisions. The final language should be reviewed against the organization’s governing documents and applicable requirements.</w:t>
      </w:r>
    </w:p>
    <w:p>
      <w:pPr>
        <w:pStyle w:val="Heading2"/>
        <w:keepNext/>
      </w:pPr>
      <w:r>
        <w:t>10. Executive Compensation Approval</w:t>
      </w:r>
    </w:p>
    <w:p>
      <w:pPr>
        <w:pStyle w:val="SampleLanguage"/>
        <w:keepLines w:val="0"/>
        <w:shd w:fill="F5F8FA"/>
        <w:pBdr>
          <w:left w:val="single" w:sz="18" w:space="8" w:color="3E8DCC"/>
        </w:pBdr>
      </w:pPr>
      <w:r>
        <w:rPr>
          <w:i w:val="0"/>
        </w:rPr>
        <w:t>Compensation for the Executive Director/CEO and other positions designated for independent governance review will be approved in accordance with the organization’s bylaws, board policies, and applicable requirements.</w:t>
        <w:br/>
        <w:br/>
        <w:t>The individual whose compensation is under review will not vote on approval of their own compensation.</w:t>
        <w:br/>
        <w:br/>
        <w:t>The authorized decision-making body will review appropriate information before approving the compensation arrangement.</w:t>
      </w:r>
    </w:p>
    <w:p>
      <w:pPr>
        <w:pStyle w:val="Heading2"/>
        <w:keepNext/>
      </w:pPr>
      <w:r>
        <w:t>11. Comparability Data</w:t>
      </w:r>
    </w:p>
    <w:p>
      <w:pPr>
        <w:pStyle w:val="SampleLanguage"/>
        <w:keepLines w:val="0"/>
        <w:shd w:fill="F5F8FA"/>
        <w:pBdr>
          <w:left w:val="single" w:sz="18" w:space="8" w:color="3E8DCC"/>
        </w:pBdr>
      </w:pPr>
      <w:r>
        <w:rPr>
          <w:i w:val="0"/>
        </w:rPr>
        <w:t>Before approving executive compensation, the authorized body should evaluate appropriate comparability information relevant to the position and organization.</w:t>
        <w:br/>
        <w:br/>
        <w:t>Depending on the circumstances, relevant factors may include responsibilities and scope of the position, organization size and complexity, geographic market, industry or mission sector, workforce size, operating or program complexity, total compensation, relevant compensation surveys, comparable organizations, and other evidence appropriate to the decision.</w:t>
        <w:br/>
        <w:br/>
        <w:t>The organization should document the data considered and the basis for determining that the selected comparators are appropriate.</w:t>
      </w:r>
    </w:p>
    <w:p>
      <w:pPr>
        <w:pStyle w:val="Heading2"/>
        <w:keepNext/>
      </w:pPr>
      <w:r>
        <w:t>12. Conflicts of Interest</w:t>
      </w:r>
    </w:p>
    <w:p>
      <w:pPr>
        <w:pStyle w:val="SampleLanguage"/>
        <w:keepLines w:val="0"/>
        <w:shd w:fill="F5F8FA"/>
        <w:pBdr>
          <w:left w:val="single" w:sz="18" w:space="8" w:color="3E8DCC"/>
        </w:pBdr>
      </w:pPr>
      <w:r>
        <w:rPr>
          <w:i w:val="0"/>
        </w:rPr>
        <w:t>Any member of the authorized decision-making body with a conflict of interest concerning a compensation decision will disclose that conflict and follow the organization’s applicable recusal procedures.</w:t>
        <w:br/>
        <w:br/>
        <w:t>Actions taken to address conflicts will be documented as required by the organization’s governance policies and applicable requirements.</w:t>
      </w:r>
    </w:p>
    <w:p>
      <w:pPr>
        <w:pStyle w:val="Heading2"/>
        <w:keepNext/>
      </w:pPr>
      <w:r>
        <w:t>13. Decision Documentation</w:t>
      </w:r>
    </w:p>
    <w:p>
      <w:pPr>
        <w:pStyle w:val="SampleLanguage"/>
        <w:keepLines w:val="0"/>
        <w:shd w:fill="F5F8FA"/>
        <w:pBdr>
          <w:left w:val="single" w:sz="18" w:space="8" w:color="3E8DCC"/>
        </w:pBdr>
      </w:pPr>
      <w:r>
        <w:rPr>
          <w:i w:val="0"/>
        </w:rPr>
        <w:t>The organization will maintain an appropriate record of designated executive compensation decisions, including the terms approved, date of approval, individuals participating in the decision, comparability information considered, conflict-related actions, and the basis for the final determination, as appropriate to the organization and the decision.</w:t>
      </w:r>
    </w:p>
    <w:tbl>
      <w:tblPr>
        <w:tblW w:type="auto" w:w="0"/>
        <w:jc w:val="center"/>
        <w:tblLook w:firstColumn="1" w:firstRow="1" w:lastColumn="0" w:lastRow="0" w:noHBand="0" w:noVBand="1" w:val="04A0"/>
      </w:tblPr>
      <w:tblGrid>
        <w:gridCol w:w="10080"/>
      </w:tblGrid>
      <w:tr>
        <w:tc>
          <w:tcPr>
            <w:tcW w:type="dxa" w:w="10080"/>
            <w:shd w:fill="EEF5FB"/>
            <w:tcMar>
              <w:top w:w="180" w:type="dxa"/>
              <w:start w:w="200" w:type="dxa"/>
              <w:bottom w:w="180" w:type="dxa"/>
              <w:end w:w="200" w:type="dxa"/>
            </w:tcMar>
          </w:tcPr>
          <w:p>
            <w:r>
              <w:rPr>
                <w:b/>
                <w:color w:val="172A3A"/>
              </w:rPr>
              <w:t>IRS REFERENCE POINT</w:t>
            </w:r>
          </w:p>
          <w:p>
            <w:r>
              <w:t>For applicable tax-exempt organizations, IRS guidance describes a rebuttable-presumption process built around: (1) advance approval by an authorized body without conflicts, (2) appropriate comparability data, and (3) adequate, timely documentation of the basis for the decision.</w:t>
            </w:r>
          </w:p>
          <w:p>
            <w:hyperlink r:id="rId11">
              <w:r>
                <w:rPr>
                  <w:color w:val="3E8DCC"/>
                  <w:u w:val="single"/>
                </w:rPr>
                <w:t>IRS: Rebuttable presumption - Intermediate sanctions</w:t>
              </w:r>
            </w:hyperlink>
          </w:p>
        </w:tc>
      </w:tr>
    </w:tbl>
    <w:p>
      <w:pPr>
        <w:pStyle w:val="Eyebrow"/>
        <w:keepNext/>
        <w:pageBreakBefore w:val="0"/>
      </w:pPr>
      <w:r>
        <w:t>BOARD TOOL</w:t>
      </w:r>
    </w:p>
    <w:p>
      <w:pPr>
        <w:pStyle w:val="Heading1"/>
        <w:keepNext/>
      </w:pPr>
      <w:r>
        <w:t>Executive Compensation Comparability Checklist</w:t>
      </w:r>
    </w:p>
    <w:p>
      <w:r>
        <w:t>Use this checklist to organize the evidence considered before a designated executive compensation decision. Not every factor will be relevant in every case.</w:t>
      </w:r>
    </w:p>
    <w:p>
      <w:pPr>
        <w:pStyle w:val="Checklist"/>
      </w:pPr>
      <w:r>
        <w:rPr>
          <w:b/>
        </w:rPr>
        <w:t xml:space="preserve">[ ] </w:t>
      </w:r>
      <w:r>
        <w:t>Position title and current job description are current.</w:t>
      </w:r>
    </w:p>
    <w:p>
      <w:pPr>
        <w:pStyle w:val="Checklist"/>
      </w:pPr>
      <w:r>
        <w:rPr>
          <w:b/>
        </w:rPr>
        <w:t xml:space="preserve">[ ] </w:t>
      </w:r>
      <w:r>
        <w:t>Role scope, reporting relationships, and decision authority are documented.</w:t>
      </w:r>
    </w:p>
    <w:p>
      <w:pPr>
        <w:pStyle w:val="Checklist"/>
      </w:pPr>
      <w:r>
        <w:rPr>
          <w:b/>
        </w:rPr>
        <w:t xml:space="preserve">[ ] </w:t>
      </w:r>
      <w:r>
        <w:t>Organization size and complexity are considered.</w:t>
      </w:r>
    </w:p>
    <w:p>
      <w:pPr>
        <w:pStyle w:val="Checklist"/>
      </w:pPr>
      <w:r>
        <w:rPr>
          <w:b/>
        </w:rPr>
        <w:t xml:space="preserve">[ ] </w:t>
      </w:r>
      <w:r>
        <w:t>Geographic labor market is identified.</w:t>
      </w:r>
    </w:p>
    <w:p>
      <w:pPr>
        <w:pStyle w:val="Checklist"/>
      </w:pPr>
      <w:r>
        <w:rPr>
          <w:b/>
        </w:rPr>
        <w:t xml:space="preserve">[ ] </w:t>
      </w:r>
      <w:r>
        <w:t>Industry or mission-sector relevance is considered.</w:t>
      </w:r>
    </w:p>
    <w:p>
      <w:pPr>
        <w:pStyle w:val="Checklist"/>
      </w:pPr>
      <w:r>
        <w:rPr>
          <w:b/>
        </w:rPr>
        <w:t xml:space="preserve">[ ] </w:t>
      </w:r>
      <w:r>
        <w:t>Workforce size and/or program complexity is considered where relevant.</w:t>
      </w:r>
    </w:p>
    <w:p>
      <w:pPr>
        <w:pStyle w:val="Checklist"/>
      </w:pPr>
      <w:r>
        <w:rPr>
          <w:b/>
        </w:rPr>
        <w:t xml:space="preserve">[ ] </w:t>
      </w:r>
      <w:r>
        <w:t>Base salary and other compensation components are identified.</w:t>
      </w:r>
    </w:p>
    <w:p>
      <w:pPr>
        <w:pStyle w:val="Checklist"/>
      </w:pPr>
      <w:r>
        <w:rPr>
          <w:b/>
        </w:rPr>
        <w:t xml:space="preserve">[ ] </w:t>
      </w:r>
      <w:r>
        <w:t>Total compensation is evaluated where appropriate.</w:t>
      </w:r>
    </w:p>
    <w:p>
      <w:pPr>
        <w:pStyle w:val="Checklist"/>
      </w:pPr>
      <w:r>
        <w:rPr>
          <w:b/>
        </w:rPr>
        <w:t xml:space="preserve">[ ] </w:t>
      </w:r>
      <w:r>
        <w:t>Compensation survey sources and effective dates are documented.</w:t>
      </w:r>
    </w:p>
    <w:p>
      <w:pPr>
        <w:pStyle w:val="Checklist"/>
      </w:pPr>
      <w:r>
        <w:rPr>
          <w:b/>
        </w:rPr>
        <w:t xml:space="preserve">[ ] </w:t>
      </w:r>
      <w:r>
        <w:t>Peer organizations are selected based on relevance, not convenience.</w:t>
      </w:r>
    </w:p>
    <w:p>
      <w:pPr>
        <w:pStyle w:val="Checklist"/>
      </w:pPr>
      <w:r>
        <w:rPr>
          <w:b/>
        </w:rPr>
        <w:t xml:space="preserve">[ ] </w:t>
      </w:r>
      <w:r>
        <w:t>Job matches are based on duties and scope rather than title alone.</w:t>
      </w:r>
    </w:p>
    <w:p>
      <w:pPr>
        <w:pStyle w:val="Checklist"/>
      </w:pPr>
      <w:r>
        <w:rPr>
          <w:b/>
        </w:rPr>
        <w:t xml:space="preserve">[ ] </w:t>
      </w:r>
      <w:r>
        <w:t>Any data aging, geographic adjustments, or exclusions are documented.</w:t>
      </w:r>
    </w:p>
    <w:p>
      <w:pPr>
        <w:pStyle w:val="Checklist"/>
      </w:pPr>
      <w:r>
        <w:rPr>
          <w:b/>
        </w:rPr>
        <w:t xml:space="preserve">[ ] </w:t>
      </w:r>
      <w:r>
        <w:t>Weak or non-comparable data points are identified rather than forced into the analysis.</w:t>
      </w:r>
    </w:p>
    <w:p>
      <w:pPr>
        <w:pStyle w:val="Checklist"/>
      </w:pPr>
      <w:r>
        <w:rPr>
          <w:b/>
        </w:rPr>
        <w:t xml:space="preserve">[ ] </w:t>
      </w:r>
      <w:r>
        <w:t>Consultant analysis or other independent evidence is retained, if used.</w:t>
      </w:r>
    </w:p>
    <w:p>
      <w:pPr>
        <w:pStyle w:val="Checklist"/>
      </w:pPr>
      <w:r>
        <w:rPr>
          <w:b/>
        </w:rPr>
        <w:t xml:space="preserve">[ ] </w:t>
      </w:r>
      <w:r>
        <w:t>The decision-making body understands the limitations of the evidence.</w:t>
      </w:r>
    </w:p>
    <w:p>
      <w:pPr>
        <w:pStyle w:val="Heading2"/>
        <w:keepNext/>
      </w:pPr>
      <w:r>
        <w:t>Peer-Group Notes</w:t>
      </w:r>
    </w:p>
    <w:tbl>
      <w:tblPr>
        <w:tblW w:type="auto" w:w="0"/>
        <w:jc w:val="center"/>
        <w:tblLayout w:type="fixed"/>
        <w:tblLook w:firstColumn="1" w:firstRow="1" w:lastColumn="0" w:lastRow="0" w:noHBand="0" w:noVBand="1" w:val="04A0"/>
      </w:tblPr>
      <w:tblGrid>
        <w:gridCol w:w="3360"/>
        <w:gridCol w:w="3360"/>
        <w:gridCol w:w="3360"/>
      </w:tblGrid>
      <w:tr>
        <w:trPr>
          <w:tblHeader w:val="true"/>
        </w:trPr>
        <w:tc>
          <w:tcPr>
            <w:tcW w:type="dxa" w:w="2880"/>
            <w:shd w:fill="3E8DCC"/>
            <w:tcMar>
              <w:top w:w="110" w:type="dxa"/>
              <w:start w:w="120" w:type="dxa"/>
              <w:bottom w:w="110" w:type="dxa"/>
              <w:end w:w="120" w:type="dxa"/>
            </w:tcMar>
          </w:tcPr>
          <w:p>
            <w:r>
              <w:rPr>
                <w:b/>
                <w:color w:val="FFFFFF"/>
                <w:sz w:val="19"/>
              </w:rPr>
              <w:t>Peer / data source</w:t>
            </w:r>
          </w:p>
        </w:tc>
        <w:tc>
          <w:tcPr>
            <w:tcW w:type="dxa" w:w="3600"/>
            <w:shd w:fill="3E8DCC"/>
            <w:tcMar>
              <w:top w:w="110" w:type="dxa"/>
              <w:start w:w="120" w:type="dxa"/>
              <w:bottom w:w="110" w:type="dxa"/>
              <w:end w:w="120" w:type="dxa"/>
            </w:tcMar>
          </w:tcPr>
          <w:p>
            <w:r>
              <w:rPr>
                <w:b/>
                <w:color w:val="FFFFFF"/>
                <w:sz w:val="19"/>
              </w:rPr>
              <w:t>Why relevant</w:t>
            </w:r>
          </w:p>
        </w:tc>
        <w:tc>
          <w:tcPr>
            <w:tcW w:type="dxa" w:w="2880"/>
            <w:shd w:fill="3E8DCC"/>
            <w:tcMar>
              <w:top w:w="110" w:type="dxa"/>
              <w:start w:w="120" w:type="dxa"/>
              <w:bottom w:w="110" w:type="dxa"/>
              <w:end w:w="120" w:type="dxa"/>
            </w:tcMar>
          </w:tcPr>
          <w:p>
            <w:r>
              <w:rPr>
                <w:b/>
                <w:color w:val="FFFFFF"/>
                <w:sz w:val="19"/>
              </w:rPr>
              <w:t>Limitations / adjustments</w:t>
            </w:r>
          </w:p>
        </w:tc>
      </w:tr>
      <w:tr>
        <w:tc>
          <w:tcPr>
            <w:tcW w:type="dxa" w:w="2880"/>
            <w:vAlign w:val="top"/>
            <w:tcMar>
              <w:top w:w="110" w:type="dxa"/>
              <w:start w:w="120" w:type="dxa"/>
              <w:bottom w:w="110" w:type="dxa"/>
              <w:end w:w="120" w:type="dxa"/>
            </w:tcMar>
          </w:tcPr>
          <w:p>
            <w:pPr>
              <w:spacing w:after="40"/>
            </w:pPr>
            <w:r>
              <w:rPr>
                <w:sz w:val="18"/>
              </w:rPr>
              <w:t>[Peer or source 1]</w:t>
            </w:r>
          </w:p>
        </w:tc>
        <w:tc>
          <w:tcPr>
            <w:tcW w:type="dxa" w:w="3600"/>
            <w:vAlign w:val="top"/>
            <w:tcMar>
              <w:top w:w="110" w:type="dxa"/>
              <w:start w:w="120" w:type="dxa"/>
              <w:bottom w:w="110" w:type="dxa"/>
              <w:end w:w="120" w:type="dxa"/>
            </w:tcMar>
          </w:tcPr>
          <w:p>
            <w:pPr>
              <w:spacing w:after="40"/>
            </w:pPr>
            <w:r>
              <w:rPr>
                <w:sz w:val="18"/>
              </w:rPr>
              <w:t>[Organization size, mission, role, geography, etc.]</w:t>
            </w:r>
          </w:p>
        </w:tc>
        <w:tc>
          <w:tcPr>
            <w:tcW w:type="dxa" w:w="2880"/>
            <w:vAlign w:val="top"/>
            <w:tcMar>
              <w:top w:w="110" w:type="dxa"/>
              <w:start w:w="120" w:type="dxa"/>
              <w:bottom w:w="110" w:type="dxa"/>
              <w:end w:w="120" w:type="dxa"/>
            </w:tcMar>
          </w:tcPr>
          <w:p>
            <w:pPr>
              <w:spacing w:after="40"/>
            </w:pPr>
            <w:r>
              <w:rPr>
                <w:sz w:val="18"/>
              </w:rPr>
              <w:t>[Document limitations]</w:t>
            </w:r>
          </w:p>
        </w:tc>
      </w:tr>
      <w:tr>
        <w:tc>
          <w:tcPr>
            <w:tcW w:type="dxa" w:w="2880"/>
            <w:vAlign w:val="top"/>
            <w:tcMar>
              <w:top w:w="110" w:type="dxa"/>
              <w:start w:w="120" w:type="dxa"/>
              <w:bottom w:w="110" w:type="dxa"/>
              <w:end w:w="120" w:type="dxa"/>
            </w:tcMar>
            <w:shd w:fill="F7FAFC"/>
          </w:tcPr>
          <w:p>
            <w:pPr>
              <w:spacing w:after="40"/>
            </w:pPr>
            <w:r>
              <w:rPr>
                <w:sz w:val="18"/>
              </w:rPr>
              <w:t>[Peer or source 2]</w:t>
            </w:r>
          </w:p>
        </w:tc>
        <w:tc>
          <w:tcPr>
            <w:tcW w:type="dxa" w:w="3600"/>
            <w:vAlign w:val="top"/>
            <w:tcMar>
              <w:top w:w="110" w:type="dxa"/>
              <w:start w:w="120" w:type="dxa"/>
              <w:bottom w:w="110" w:type="dxa"/>
              <w:end w:w="120" w:type="dxa"/>
            </w:tcMar>
            <w:shd w:fill="F7FAFC"/>
          </w:tcPr>
          <w:p>
            <w:pPr>
              <w:spacing w:after="40"/>
            </w:pPr>
            <w:r>
              <w:rPr>
                <w:sz w:val="18"/>
              </w:rPr>
              <w:t>[Organization size, mission, role, geography, etc.]</w:t>
            </w:r>
          </w:p>
        </w:tc>
        <w:tc>
          <w:tcPr>
            <w:tcW w:type="dxa" w:w="2880"/>
            <w:vAlign w:val="top"/>
            <w:tcMar>
              <w:top w:w="110" w:type="dxa"/>
              <w:start w:w="120" w:type="dxa"/>
              <w:bottom w:w="110" w:type="dxa"/>
              <w:end w:w="120" w:type="dxa"/>
            </w:tcMar>
            <w:shd w:fill="F7FAFC"/>
          </w:tcPr>
          <w:p>
            <w:pPr>
              <w:spacing w:after="40"/>
            </w:pPr>
            <w:r>
              <w:rPr>
                <w:sz w:val="18"/>
              </w:rPr>
              <w:t>[Document limitations]</w:t>
            </w:r>
          </w:p>
        </w:tc>
      </w:tr>
      <w:tr>
        <w:tc>
          <w:tcPr>
            <w:tcW w:type="dxa" w:w="2880"/>
            <w:vAlign w:val="top"/>
            <w:tcMar>
              <w:top w:w="110" w:type="dxa"/>
              <w:start w:w="120" w:type="dxa"/>
              <w:bottom w:w="110" w:type="dxa"/>
              <w:end w:w="120" w:type="dxa"/>
            </w:tcMar>
          </w:tcPr>
          <w:p>
            <w:pPr>
              <w:spacing w:after="40"/>
            </w:pPr>
            <w:r>
              <w:rPr>
                <w:sz w:val="18"/>
              </w:rPr>
              <w:t>[Peer or source 3]</w:t>
            </w:r>
          </w:p>
        </w:tc>
        <w:tc>
          <w:tcPr>
            <w:tcW w:type="dxa" w:w="3600"/>
            <w:vAlign w:val="top"/>
            <w:tcMar>
              <w:top w:w="110" w:type="dxa"/>
              <w:start w:w="120" w:type="dxa"/>
              <w:bottom w:w="110" w:type="dxa"/>
              <w:end w:w="120" w:type="dxa"/>
            </w:tcMar>
          </w:tcPr>
          <w:p>
            <w:pPr>
              <w:spacing w:after="40"/>
            </w:pPr>
            <w:r>
              <w:rPr>
                <w:sz w:val="18"/>
              </w:rPr>
              <w:t>[Organization size, mission, role, geography, etc.]</w:t>
            </w:r>
          </w:p>
        </w:tc>
        <w:tc>
          <w:tcPr>
            <w:tcW w:type="dxa" w:w="2880"/>
            <w:vAlign w:val="top"/>
            <w:tcMar>
              <w:top w:w="110" w:type="dxa"/>
              <w:start w:w="120" w:type="dxa"/>
              <w:bottom w:w="110" w:type="dxa"/>
              <w:end w:w="120" w:type="dxa"/>
            </w:tcMar>
          </w:tcPr>
          <w:p>
            <w:pPr>
              <w:spacing w:after="40"/>
            </w:pPr>
            <w:r>
              <w:rPr>
                <w:sz w:val="18"/>
              </w:rPr>
              <w:t>[Document limitations]</w:t>
            </w:r>
          </w:p>
        </w:tc>
      </w:tr>
      <w:tr>
        <w:tc>
          <w:tcPr>
            <w:tcW w:type="dxa" w:w="2880"/>
            <w:vAlign w:val="top"/>
            <w:tcMar>
              <w:top w:w="110" w:type="dxa"/>
              <w:start w:w="120" w:type="dxa"/>
              <w:bottom w:w="110" w:type="dxa"/>
              <w:end w:w="120" w:type="dxa"/>
            </w:tcMar>
            <w:shd w:fill="F7FAFC"/>
          </w:tcPr>
          <w:p>
            <w:pPr>
              <w:spacing w:after="40"/>
            </w:pPr>
            <w:r>
              <w:rPr>
                <w:sz w:val="18"/>
              </w:rPr>
              <w:t>[Additional source]</w:t>
            </w:r>
          </w:p>
        </w:tc>
        <w:tc>
          <w:tcPr>
            <w:tcW w:type="dxa" w:w="3600"/>
            <w:vAlign w:val="top"/>
            <w:tcMar>
              <w:top w:w="110" w:type="dxa"/>
              <w:start w:w="120" w:type="dxa"/>
              <w:bottom w:w="110" w:type="dxa"/>
              <w:end w:w="120" w:type="dxa"/>
            </w:tcMar>
            <w:shd w:fill="F7FAFC"/>
          </w:tcPr>
          <w:p>
            <w:pPr>
              <w:spacing w:after="40"/>
            </w:pPr>
            <w:r>
              <w:rPr>
                <w:sz w:val="18"/>
              </w:rPr>
              <w:t>[Why included]</w:t>
            </w:r>
          </w:p>
        </w:tc>
        <w:tc>
          <w:tcPr>
            <w:tcW w:type="dxa" w:w="2880"/>
            <w:vAlign w:val="top"/>
            <w:tcMar>
              <w:top w:w="110" w:type="dxa"/>
              <w:start w:w="120" w:type="dxa"/>
              <w:bottom w:w="110" w:type="dxa"/>
              <w:end w:w="120" w:type="dxa"/>
            </w:tcMar>
            <w:shd w:fill="F7FAFC"/>
          </w:tcPr>
          <w:p>
            <w:pPr>
              <w:spacing w:after="40"/>
            </w:pPr>
            <w:r>
              <w:rPr>
                <w:sz w:val="18"/>
              </w:rPr>
              <w:t>[Document limitations]</w:t>
            </w:r>
          </w:p>
        </w:tc>
      </w:tr>
    </w:tbl>
    <w:p>
      <w:pPr>
        <w:spacing w:after="20"/>
      </w:pPr>
    </w:p>
    <w:p>
      <w:pPr>
        <w:pStyle w:val="Eyebrow"/>
        <w:keepNext/>
        <w:pageBreakBefore w:val="0"/>
      </w:pPr>
      <w:r>
        <w:t>BOARD TOOL</w:t>
      </w:r>
    </w:p>
    <w:p>
      <w:pPr>
        <w:pStyle w:val="Heading1"/>
        <w:keepNext/>
      </w:pPr>
      <w:r>
        <w:t>Executive Compensation Documentation Checklist</w:t>
      </w:r>
    </w:p>
    <w:p>
      <w:r>
        <w:t>Use this checklist to create a consistent record of the decision process. Final documentation practices should be reviewed for the organization’s circumstances and applicable requirements.</w:t>
      </w:r>
    </w:p>
    <w:p>
      <w:pPr>
        <w:pStyle w:val="Checklist"/>
      </w:pPr>
      <w:r>
        <w:rPr>
          <w:b/>
        </w:rPr>
        <w:t xml:space="preserve">[ ] </w:t>
      </w:r>
      <w:r>
        <w:t>Executive or position reviewed is identified.</w:t>
      </w:r>
    </w:p>
    <w:p>
      <w:pPr>
        <w:pStyle w:val="Checklist"/>
      </w:pPr>
      <w:r>
        <w:rPr>
          <w:b/>
        </w:rPr>
        <w:t xml:space="preserve">[ ] </w:t>
      </w:r>
      <w:r>
        <w:t>Compensation components considered are listed.</w:t>
      </w:r>
    </w:p>
    <w:p>
      <w:pPr>
        <w:pStyle w:val="Checklist"/>
      </w:pPr>
      <w:r>
        <w:rPr>
          <w:b/>
        </w:rPr>
        <w:t xml:space="preserve">[ ] </w:t>
      </w:r>
      <w:r>
        <w:t>Date of approval is recorded.</w:t>
      </w:r>
    </w:p>
    <w:p>
      <w:pPr>
        <w:pStyle w:val="Checklist"/>
      </w:pPr>
      <w:r>
        <w:rPr>
          <w:b/>
        </w:rPr>
        <w:t xml:space="preserve">[ ] </w:t>
      </w:r>
      <w:r>
        <w:t>Board or committee members present are recorded.</w:t>
      </w:r>
    </w:p>
    <w:p>
      <w:pPr>
        <w:pStyle w:val="Checklist"/>
      </w:pPr>
      <w:r>
        <w:rPr>
          <w:b/>
        </w:rPr>
        <w:t xml:space="preserve">[ ] </w:t>
      </w:r>
      <w:r>
        <w:t>Members participating in the discussion and vote are recorded.</w:t>
      </w:r>
    </w:p>
    <w:p>
      <w:pPr>
        <w:pStyle w:val="Checklist"/>
      </w:pPr>
      <w:r>
        <w:rPr>
          <w:b/>
        </w:rPr>
        <w:t xml:space="preserve">[ ] </w:t>
      </w:r>
      <w:r>
        <w:t>Conflicts of interest are disclosed.</w:t>
      </w:r>
    </w:p>
    <w:p>
      <w:pPr>
        <w:pStyle w:val="Checklist"/>
      </w:pPr>
      <w:r>
        <w:rPr>
          <w:b/>
        </w:rPr>
        <w:t xml:space="preserve">[ ] </w:t>
      </w:r>
      <w:r>
        <w:t>Recusals or other conflict-related actions are documented.</w:t>
      </w:r>
    </w:p>
    <w:p>
      <w:pPr>
        <w:pStyle w:val="Checklist"/>
      </w:pPr>
      <w:r>
        <w:rPr>
          <w:b/>
        </w:rPr>
        <w:t xml:space="preserve">[ ] </w:t>
      </w:r>
      <w:r>
        <w:t>Comparability sources reviewed are identified.</w:t>
      </w:r>
    </w:p>
    <w:p>
      <w:pPr>
        <w:pStyle w:val="Checklist"/>
      </w:pPr>
      <w:r>
        <w:rPr>
          <w:b/>
        </w:rPr>
        <w:t xml:space="preserve">[ ] </w:t>
      </w:r>
      <w:r>
        <w:t>Why the comparability sources were considered relevant is documented.</w:t>
      </w:r>
    </w:p>
    <w:p>
      <w:pPr>
        <w:pStyle w:val="Checklist"/>
      </w:pPr>
      <w:r>
        <w:rPr>
          <w:b/>
        </w:rPr>
        <w:t xml:space="preserve">[ ] </w:t>
      </w:r>
      <w:r>
        <w:t>Relevant total-compensation information is retained.</w:t>
      </w:r>
    </w:p>
    <w:p>
      <w:pPr>
        <w:pStyle w:val="Checklist"/>
      </w:pPr>
      <w:r>
        <w:rPr>
          <w:b/>
        </w:rPr>
        <w:t xml:space="preserve">[ ] </w:t>
      </w:r>
      <w:r>
        <w:t>The final decision is recorded.</w:t>
      </w:r>
    </w:p>
    <w:p>
      <w:pPr>
        <w:pStyle w:val="Checklist"/>
      </w:pPr>
      <w:r>
        <w:rPr>
          <w:b/>
        </w:rPr>
        <w:t xml:space="preserve">[ ] </w:t>
      </w:r>
      <w:r>
        <w:t>The basis for the decision is documented.</w:t>
      </w:r>
    </w:p>
    <w:p>
      <w:pPr>
        <w:pStyle w:val="Checklist"/>
      </w:pPr>
      <w:r>
        <w:rPr>
          <w:b/>
        </w:rPr>
        <w:t xml:space="preserve">[ ] </w:t>
      </w:r>
      <w:r>
        <w:t>Meeting minutes or equivalent records are completed and retained.</w:t>
      </w:r>
    </w:p>
    <w:p>
      <w:pPr>
        <w:pStyle w:val="Heading2"/>
        <w:keepNext/>
      </w:pPr>
      <w:r>
        <w:t>Decision Record</w:t>
      </w:r>
    </w:p>
    <w:tbl>
      <w:tblPr>
        <w:tblW w:type="auto" w:w="0"/>
        <w:jc w:val="center"/>
        <w:tblLayout w:type="fixed"/>
        <w:tblLook w:firstColumn="1" w:firstRow="1" w:lastColumn="0" w:lastRow="0" w:noHBand="0" w:noVBand="1" w:val="04A0"/>
      </w:tblPr>
      <w:tblGrid>
        <w:gridCol w:w="5040"/>
        <w:gridCol w:w="5040"/>
      </w:tblGrid>
      <w:tr>
        <w:trPr>
          <w:tblHeader w:val="true"/>
        </w:trPr>
        <w:tc>
          <w:tcPr>
            <w:tcW w:type="dxa" w:w="2880"/>
            <w:shd w:fill="172A3A"/>
            <w:tcMar>
              <w:top w:w="110" w:type="dxa"/>
              <w:start w:w="120" w:type="dxa"/>
              <w:bottom w:w="110" w:type="dxa"/>
              <w:end w:w="120" w:type="dxa"/>
            </w:tcMar>
          </w:tcPr>
          <w:p>
            <w:r>
              <w:rPr>
                <w:b/>
                <w:color w:val="FFFFFF"/>
                <w:sz w:val="19"/>
              </w:rPr>
              <w:t>Field</w:t>
            </w:r>
          </w:p>
        </w:tc>
        <w:tc>
          <w:tcPr>
            <w:tcW w:type="dxa" w:w="6480"/>
            <w:shd w:fill="172A3A"/>
            <w:tcMar>
              <w:top w:w="110" w:type="dxa"/>
              <w:start w:w="120" w:type="dxa"/>
              <w:bottom w:w="110" w:type="dxa"/>
              <w:end w:w="120" w:type="dxa"/>
            </w:tcMar>
          </w:tcPr>
          <w:p>
            <w:r>
              <w:rPr>
                <w:b/>
                <w:color w:val="FFFFFF"/>
                <w:sz w:val="19"/>
              </w:rPr>
              <w:t>Record</w:t>
            </w:r>
          </w:p>
        </w:tc>
      </w:tr>
      <w:tr>
        <w:tc>
          <w:tcPr>
            <w:tcW w:type="dxa" w:w="2880"/>
            <w:vAlign w:val="top"/>
            <w:tcMar>
              <w:top w:w="110" w:type="dxa"/>
              <w:start w:w="120" w:type="dxa"/>
              <w:bottom w:w="110" w:type="dxa"/>
              <w:end w:w="120" w:type="dxa"/>
            </w:tcMar>
          </w:tcPr>
          <w:p>
            <w:pPr>
              <w:spacing w:after="40"/>
            </w:pPr>
            <w:r>
              <w:rPr>
                <w:sz w:val="18"/>
              </w:rPr>
              <w:t>Position / executive</w:t>
            </w:r>
          </w:p>
        </w:tc>
        <w:tc>
          <w:tcPr>
            <w:tcW w:type="dxa" w:w="6480"/>
            <w:vAlign w:val="top"/>
            <w:tcMar>
              <w:top w:w="110" w:type="dxa"/>
              <w:start w:w="120" w:type="dxa"/>
              <w:bottom w:w="110" w:type="dxa"/>
              <w:end w:w="120" w:type="dxa"/>
            </w:tcMar>
          </w:tcPr>
          <w:p>
            <w:pPr>
              <w:spacing w:after="40"/>
            </w:pPr>
            <w:r>
              <w:rPr>
                <w:sz w:val="18"/>
              </w:rPr>
              <w:t>[Insert]</w:t>
            </w:r>
          </w:p>
        </w:tc>
      </w:tr>
      <w:tr>
        <w:tc>
          <w:tcPr>
            <w:tcW w:type="dxa" w:w="2880"/>
            <w:vAlign w:val="top"/>
            <w:tcMar>
              <w:top w:w="110" w:type="dxa"/>
              <w:start w:w="120" w:type="dxa"/>
              <w:bottom w:w="110" w:type="dxa"/>
              <w:end w:w="120" w:type="dxa"/>
            </w:tcMar>
            <w:shd w:fill="F7FAFC"/>
          </w:tcPr>
          <w:p>
            <w:pPr>
              <w:spacing w:after="40"/>
            </w:pPr>
            <w:r>
              <w:rPr>
                <w:sz w:val="18"/>
              </w:rPr>
              <w:t>Authorized body</w:t>
            </w:r>
          </w:p>
        </w:tc>
        <w:tc>
          <w:tcPr>
            <w:tcW w:type="dxa" w:w="6480"/>
            <w:vAlign w:val="top"/>
            <w:tcMar>
              <w:top w:w="110" w:type="dxa"/>
              <w:start w:w="120" w:type="dxa"/>
              <w:bottom w:w="110" w:type="dxa"/>
              <w:end w:w="120" w:type="dxa"/>
            </w:tcMar>
            <w:shd w:fill="F7FAFC"/>
          </w:tcPr>
          <w:p>
            <w:pPr>
              <w:spacing w:after="40"/>
            </w:pPr>
            <w:r>
              <w:rPr>
                <w:sz w:val="18"/>
              </w:rPr>
              <w:t>[Board / committee]</w:t>
            </w:r>
          </w:p>
        </w:tc>
      </w:tr>
      <w:tr>
        <w:tc>
          <w:tcPr>
            <w:tcW w:type="dxa" w:w="2880"/>
            <w:vAlign w:val="top"/>
            <w:tcMar>
              <w:top w:w="110" w:type="dxa"/>
              <w:start w:w="120" w:type="dxa"/>
              <w:bottom w:w="110" w:type="dxa"/>
              <w:end w:w="120" w:type="dxa"/>
            </w:tcMar>
          </w:tcPr>
          <w:p>
            <w:pPr>
              <w:spacing w:after="40"/>
            </w:pPr>
            <w:r>
              <w:rPr>
                <w:sz w:val="18"/>
              </w:rPr>
              <w:t>Meeting date</w:t>
            </w:r>
          </w:p>
        </w:tc>
        <w:tc>
          <w:tcPr>
            <w:tcW w:type="dxa" w:w="6480"/>
            <w:vAlign w:val="top"/>
            <w:tcMar>
              <w:top w:w="110" w:type="dxa"/>
              <w:start w:w="120" w:type="dxa"/>
              <w:bottom w:w="110" w:type="dxa"/>
              <w:end w:w="120" w:type="dxa"/>
            </w:tcMar>
          </w:tcPr>
          <w:p>
            <w:pPr>
              <w:spacing w:after="40"/>
            </w:pPr>
            <w:r>
              <w:rPr>
                <w:sz w:val="18"/>
              </w:rPr>
              <w:t>[Insert]</w:t>
            </w:r>
          </w:p>
        </w:tc>
      </w:tr>
      <w:tr>
        <w:tc>
          <w:tcPr>
            <w:tcW w:type="dxa" w:w="2880"/>
            <w:vAlign w:val="top"/>
            <w:tcMar>
              <w:top w:w="110" w:type="dxa"/>
              <w:start w:w="120" w:type="dxa"/>
              <w:bottom w:w="110" w:type="dxa"/>
              <w:end w:w="120" w:type="dxa"/>
            </w:tcMar>
            <w:shd w:fill="F7FAFC"/>
          </w:tcPr>
          <w:p>
            <w:pPr>
              <w:spacing w:after="40"/>
            </w:pPr>
            <w:r>
              <w:rPr>
                <w:sz w:val="18"/>
              </w:rPr>
              <w:t>Compensation approved</w:t>
            </w:r>
          </w:p>
        </w:tc>
        <w:tc>
          <w:tcPr>
            <w:tcW w:type="dxa" w:w="6480"/>
            <w:vAlign w:val="top"/>
            <w:tcMar>
              <w:top w:w="110" w:type="dxa"/>
              <w:start w:w="120" w:type="dxa"/>
              <w:bottom w:w="110" w:type="dxa"/>
              <w:end w:w="120" w:type="dxa"/>
            </w:tcMar>
            <w:shd w:fill="F7FAFC"/>
          </w:tcPr>
          <w:p>
            <w:pPr>
              <w:spacing w:after="40"/>
            </w:pPr>
            <w:r>
              <w:rPr>
                <w:sz w:val="18"/>
              </w:rPr>
              <w:t>[Insert]</w:t>
            </w:r>
          </w:p>
        </w:tc>
      </w:tr>
      <w:tr>
        <w:tc>
          <w:tcPr>
            <w:tcW w:type="dxa" w:w="2880"/>
            <w:vAlign w:val="top"/>
            <w:tcMar>
              <w:top w:w="110" w:type="dxa"/>
              <w:start w:w="120" w:type="dxa"/>
              <w:bottom w:w="110" w:type="dxa"/>
              <w:end w:w="120" w:type="dxa"/>
            </w:tcMar>
          </w:tcPr>
          <w:p>
            <w:pPr>
              <w:spacing w:after="40"/>
            </w:pPr>
            <w:r>
              <w:rPr>
                <w:sz w:val="18"/>
              </w:rPr>
              <w:t>Data sources relied upon</w:t>
            </w:r>
          </w:p>
        </w:tc>
        <w:tc>
          <w:tcPr>
            <w:tcW w:type="dxa" w:w="6480"/>
            <w:vAlign w:val="top"/>
            <w:tcMar>
              <w:top w:w="110" w:type="dxa"/>
              <w:start w:w="120" w:type="dxa"/>
              <w:bottom w:w="110" w:type="dxa"/>
              <w:end w:w="120" w:type="dxa"/>
            </w:tcMar>
          </w:tcPr>
          <w:p>
            <w:pPr>
              <w:spacing w:after="40"/>
            </w:pPr>
            <w:r>
              <w:rPr>
                <w:sz w:val="18"/>
              </w:rPr>
              <w:t>[Insert]</w:t>
            </w:r>
          </w:p>
        </w:tc>
      </w:tr>
      <w:tr>
        <w:tc>
          <w:tcPr>
            <w:tcW w:type="dxa" w:w="2880"/>
            <w:vAlign w:val="top"/>
            <w:tcMar>
              <w:top w:w="110" w:type="dxa"/>
              <w:start w:w="120" w:type="dxa"/>
              <w:bottom w:w="110" w:type="dxa"/>
              <w:end w:w="120" w:type="dxa"/>
            </w:tcMar>
            <w:shd w:fill="F7FAFC"/>
          </w:tcPr>
          <w:p>
            <w:pPr>
              <w:spacing w:after="40"/>
            </w:pPr>
            <w:r>
              <w:rPr>
                <w:sz w:val="18"/>
              </w:rPr>
              <w:t>Conflicts / recusals</w:t>
            </w:r>
          </w:p>
        </w:tc>
        <w:tc>
          <w:tcPr>
            <w:tcW w:type="dxa" w:w="6480"/>
            <w:vAlign w:val="top"/>
            <w:tcMar>
              <w:top w:w="110" w:type="dxa"/>
              <w:start w:w="120" w:type="dxa"/>
              <w:bottom w:w="110" w:type="dxa"/>
              <w:end w:w="120" w:type="dxa"/>
            </w:tcMar>
            <w:shd w:fill="F7FAFC"/>
          </w:tcPr>
          <w:p>
            <w:pPr>
              <w:spacing w:after="40"/>
            </w:pPr>
            <w:r>
              <w:rPr>
                <w:sz w:val="18"/>
              </w:rPr>
              <w:t>[Insert]</w:t>
            </w:r>
          </w:p>
        </w:tc>
      </w:tr>
      <w:tr>
        <w:tc>
          <w:tcPr>
            <w:tcW w:type="dxa" w:w="2880"/>
            <w:vAlign w:val="top"/>
            <w:tcMar>
              <w:top w:w="110" w:type="dxa"/>
              <w:start w:w="120" w:type="dxa"/>
              <w:bottom w:w="110" w:type="dxa"/>
              <w:end w:w="120" w:type="dxa"/>
            </w:tcMar>
          </w:tcPr>
          <w:p>
            <w:pPr>
              <w:spacing w:after="40"/>
            </w:pPr>
            <w:r>
              <w:rPr>
                <w:sz w:val="18"/>
              </w:rPr>
              <w:t>Decision rationale</w:t>
            </w:r>
          </w:p>
        </w:tc>
        <w:tc>
          <w:tcPr>
            <w:tcW w:type="dxa" w:w="6480"/>
            <w:vAlign w:val="top"/>
            <w:tcMar>
              <w:top w:w="110" w:type="dxa"/>
              <w:start w:w="120" w:type="dxa"/>
              <w:bottom w:w="110" w:type="dxa"/>
              <w:end w:w="120" w:type="dxa"/>
            </w:tcMar>
          </w:tcPr>
          <w:p>
            <w:pPr>
              <w:spacing w:after="40"/>
            </w:pPr>
            <w:r>
              <w:rPr>
                <w:sz w:val="18"/>
              </w:rPr>
              <w:t>[Insert summary]</w:t>
            </w:r>
          </w:p>
        </w:tc>
      </w:tr>
      <w:tr>
        <w:tc>
          <w:tcPr>
            <w:tcW w:type="dxa" w:w="2880"/>
            <w:vAlign w:val="top"/>
            <w:tcMar>
              <w:top w:w="110" w:type="dxa"/>
              <w:start w:w="120" w:type="dxa"/>
              <w:bottom w:w="110" w:type="dxa"/>
              <w:end w:w="120" w:type="dxa"/>
            </w:tcMar>
            <w:shd w:fill="F7FAFC"/>
          </w:tcPr>
          <w:p>
            <w:pPr>
              <w:spacing w:after="40"/>
            </w:pPr>
            <w:r>
              <w:rPr>
                <w:sz w:val="18"/>
              </w:rPr>
              <w:t>Record location</w:t>
            </w:r>
          </w:p>
        </w:tc>
        <w:tc>
          <w:tcPr>
            <w:tcW w:type="dxa" w:w="6480"/>
            <w:vAlign w:val="top"/>
            <w:tcMar>
              <w:top w:w="110" w:type="dxa"/>
              <w:start w:w="120" w:type="dxa"/>
              <w:bottom w:w="110" w:type="dxa"/>
              <w:end w:w="120" w:type="dxa"/>
            </w:tcMar>
            <w:shd w:fill="F7FAFC"/>
          </w:tcPr>
          <w:p>
            <w:pPr>
              <w:spacing w:after="40"/>
            </w:pPr>
            <w:r>
              <w:rPr>
                <w:sz w:val="18"/>
              </w:rPr>
              <w:t>[Minutes / board portal / HR file / other]</w:t>
            </w:r>
          </w:p>
        </w:tc>
      </w:tr>
    </w:tbl>
    <w:p>
      <w:pPr>
        <w:spacing w:after="20"/>
      </w:pPr>
    </w:p>
    <w:p>
      <w:pPr>
        <w:pStyle w:val="Eyebrow"/>
        <w:keepNext/>
        <w:pageBreakBefore w:val="0"/>
      </w:pPr>
      <w:r>
        <w:t>ANNUAL REVIEW TOOL</w:t>
      </w:r>
    </w:p>
    <w:p>
      <w:pPr>
        <w:pStyle w:val="Heading1"/>
        <w:keepNext/>
      </w:pPr>
      <w:r>
        <w:t>Compensation Policy &amp; Governance Review Checklist</w:t>
      </w:r>
    </w:p>
    <w:p>
      <w:r>
        <w:t>Policy review, market review, and executive compensation review do not have to occur on the same schedule. Assign ownership and maintain a repeatable annual calendar.</w:t>
      </w:r>
    </w:p>
    <w:tbl>
      <w:tblPr>
        <w:tblW w:type="auto" w:w="0"/>
        <w:jc w:val="center"/>
        <w:tblLayout w:type="fixed"/>
        <w:tblLook w:firstColumn="1" w:firstRow="1" w:lastColumn="0" w:lastRow="0" w:noHBand="0" w:noVBand="1" w:val="04A0"/>
      </w:tblPr>
      <w:tblGrid>
        <w:gridCol w:w="2520"/>
        <w:gridCol w:w="2520"/>
        <w:gridCol w:w="2520"/>
        <w:gridCol w:w="2520"/>
      </w:tblGrid>
      <w:tr>
        <w:trPr>
          <w:tblHeader w:val="true"/>
        </w:trPr>
        <w:tc>
          <w:tcPr>
            <w:tcW w:type="dxa" w:w="2448"/>
            <w:shd w:fill="3E8DCC"/>
            <w:tcMar>
              <w:top w:w="110" w:type="dxa"/>
              <w:start w:w="120" w:type="dxa"/>
              <w:bottom w:w="110" w:type="dxa"/>
              <w:end w:w="120" w:type="dxa"/>
            </w:tcMar>
          </w:tcPr>
          <w:p>
            <w:r>
              <w:rPr>
                <w:b/>
                <w:color w:val="FFFFFF"/>
                <w:sz w:val="19"/>
              </w:rPr>
              <w:t>Review</w:t>
            </w:r>
          </w:p>
        </w:tc>
        <w:tc>
          <w:tcPr>
            <w:tcW w:type="dxa" w:w="3888"/>
            <w:shd w:fill="3E8DCC"/>
            <w:tcMar>
              <w:top w:w="110" w:type="dxa"/>
              <w:start w:w="120" w:type="dxa"/>
              <w:bottom w:w="110" w:type="dxa"/>
              <w:end w:w="120" w:type="dxa"/>
            </w:tcMar>
          </w:tcPr>
          <w:p>
            <w:r>
              <w:rPr>
                <w:b/>
                <w:color w:val="FFFFFF"/>
                <w:sz w:val="19"/>
              </w:rPr>
              <w:t>Primary purpose</w:t>
            </w:r>
          </w:p>
        </w:tc>
        <w:tc>
          <w:tcPr>
            <w:tcW w:type="dxa" w:w="1584"/>
            <w:shd w:fill="3E8DCC"/>
            <w:tcMar>
              <w:top w:w="110" w:type="dxa"/>
              <w:start w:w="120" w:type="dxa"/>
              <w:bottom w:w="110" w:type="dxa"/>
              <w:end w:w="120" w:type="dxa"/>
            </w:tcMar>
          </w:tcPr>
          <w:p>
            <w:r>
              <w:rPr>
                <w:b/>
                <w:color w:val="FFFFFF"/>
                <w:sz w:val="19"/>
              </w:rPr>
              <w:t>Owner</w:t>
            </w:r>
          </w:p>
        </w:tc>
        <w:tc>
          <w:tcPr>
            <w:tcW w:type="dxa" w:w="1584"/>
            <w:shd w:fill="3E8DCC"/>
            <w:tcMar>
              <w:top w:w="110" w:type="dxa"/>
              <w:start w:w="120" w:type="dxa"/>
              <w:bottom w:w="110" w:type="dxa"/>
              <w:end w:w="120" w:type="dxa"/>
            </w:tcMar>
          </w:tcPr>
          <w:p>
            <w:r>
              <w:rPr>
                <w:b/>
                <w:color w:val="FFFFFF"/>
                <w:sz w:val="19"/>
              </w:rPr>
              <w:t>Target timing</w:t>
            </w:r>
          </w:p>
        </w:tc>
      </w:tr>
      <w:tr>
        <w:tc>
          <w:tcPr>
            <w:tcW w:type="dxa" w:w="2448"/>
            <w:vAlign w:val="top"/>
            <w:tcMar>
              <w:top w:w="110" w:type="dxa"/>
              <w:start w:w="120" w:type="dxa"/>
              <w:bottom w:w="110" w:type="dxa"/>
              <w:end w:w="120" w:type="dxa"/>
            </w:tcMar>
          </w:tcPr>
          <w:p>
            <w:pPr>
              <w:spacing w:after="40"/>
            </w:pPr>
            <w:r>
              <w:rPr>
                <w:sz w:val="18"/>
              </w:rPr>
              <w:t>Compensation policy review</w:t>
            </w:r>
          </w:p>
        </w:tc>
        <w:tc>
          <w:tcPr>
            <w:tcW w:type="dxa" w:w="3888"/>
            <w:vAlign w:val="top"/>
            <w:tcMar>
              <w:top w:w="110" w:type="dxa"/>
              <w:start w:w="120" w:type="dxa"/>
              <w:bottom w:w="110" w:type="dxa"/>
              <w:end w:w="120" w:type="dxa"/>
            </w:tcMar>
          </w:tcPr>
          <w:p>
            <w:pPr>
              <w:spacing w:after="40"/>
            </w:pPr>
            <w:r>
              <w:rPr>
                <w:sz w:val="18"/>
              </w:rPr>
              <w:t>Confirm governance and administrative rules remain appropriate</w:t>
            </w:r>
          </w:p>
        </w:tc>
        <w:tc>
          <w:tcPr>
            <w:tcW w:type="dxa" w:w="1584"/>
            <w:vAlign w:val="top"/>
            <w:tcMar>
              <w:top w:w="110" w:type="dxa"/>
              <w:start w:w="120" w:type="dxa"/>
              <w:bottom w:w="110" w:type="dxa"/>
              <w:end w:w="120" w:type="dxa"/>
            </w:tcMar>
          </w:tcPr>
          <w:p>
            <w:pPr>
              <w:spacing w:after="40"/>
            </w:pPr>
            <w:r>
              <w:rPr>
                <w:sz w:val="18"/>
              </w:rPr>
              <w:t>[HR / leadership / board]</w:t>
            </w:r>
          </w:p>
        </w:tc>
        <w:tc>
          <w:tcPr>
            <w:tcW w:type="dxa" w:w="1584"/>
            <w:vAlign w:val="top"/>
            <w:tcMar>
              <w:top w:w="110" w:type="dxa"/>
              <w:start w:w="120" w:type="dxa"/>
              <w:bottom w:w="110" w:type="dxa"/>
              <w:end w:w="120" w:type="dxa"/>
            </w:tcMar>
          </w:tcPr>
          <w:p>
            <w:pPr>
              <w:spacing w:after="40"/>
            </w:pPr>
            <w:r>
              <w:rPr>
                <w:sz w:val="18"/>
              </w:rPr>
              <w:t>[Month / cadence]</w:t>
            </w:r>
          </w:p>
        </w:tc>
      </w:tr>
      <w:tr>
        <w:tc>
          <w:tcPr>
            <w:tcW w:type="dxa" w:w="2448"/>
            <w:vAlign w:val="top"/>
            <w:tcMar>
              <w:top w:w="110" w:type="dxa"/>
              <w:start w:w="120" w:type="dxa"/>
              <w:bottom w:w="110" w:type="dxa"/>
              <w:end w:w="120" w:type="dxa"/>
            </w:tcMar>
            <w:shd w:fill="F7FAFC"/>
          </w:tcPr>
          <w:p>
            <w:pPr>
              <w:spacing w:after="40"/>
            </w:pPr>
            <w:r>
              <w:rPr>
                <w:sz w:val="18"/>
              </w:rPr>
              <w:t>Market review</w:t>
            </w:r>
          </w:p>
        </w:tc>
        <w:tc>
          <w:tcPr>
            <w:tcW w:type="dxa" w:w="3888"/>
            <w:vAlign w:val="top"/>
            <w:tcMar>
              <w:top w:w="110" w:type="dxa"/>
              <w:start w:w="120" w:type="dxa"/>
              <w:bottom w:w="110" w:type="dxa"/>
              <w:end w:w="120" w:type="dxa"/>
            </w:tcMar>
            <w:shd w:fill="F7FAFC"/>
          </w:tcPr>
          <w:p>
            <w:pPr>
              <w:spacing w:after="40"/>
            </w:pPr>
            <w:r>
              <w:rPr>
                <w:sz w:val="18"/>
              </w:rPr>
              <w:t>Determine whether market references or salary structures need updating</w:t>
            </w:r>
          </w:p>
        </w:tc>
        <w:tc>
          <w:tcPr>
            <w:tcW w:type="dxa" w:w="1584"/>
            <w:vAlign w:val="top"/>
            <w:tcMar>
              <w:top w:w="110" w:type="dxa"/>
              <w:start w:w="120" w:type="dxa"/>
              <w:bottom w:w="110" w:type="dxa"/>
              <w:end w:w="120" w:type="dxa"/>
            </w:tcMar>
            <w:shd w:fill="F7FAFC"/>
          </w:tcPr>
          <w:p>
            <w:pPr>
              <w:spacing w:after="40"/>
            </w:pPr>
            <w:r>
              <w:rPr>
                <w:sz w:val="18"/>
              </w:rPr>
              <w:t>[HR / compensation lead]</w:t>
            </w:r>
          </w:p>
        </w:tc>
        <w:tc>
          <w:tcPr>
            <w:tcW w:type="dxa" w:w="1584"/>
            <w:vAlign w:val="top"/>
            <w:tcMar>
              <w:top w:w="110" w:type="dxa"/>
              <w:start w:w="120" w:type="dxa"/>
              <w:bottom w:w="110" w:type="dxa"/>
              <w:end w:w="120" w:type="dxa"/>
            </w:tcMar>
            <w:shd w:fill="F7FAFC"/>
          </w:tcPr>
          <w:p>
            <w:pPr>
              <w:spacing w:after="40"/>
            </w:pPr>
            <w:r>
              <w:rPr>
                <w:sz w:val="18"/>
              </w:rPr>
              <w:t>[Month / cadence]</w:t>
            </w:r>
          </w:p>
        </w:tc>
      </w:tr>
      <w:tr>
        <w:tc>
          <w:tcPr>
            <w:tcW w:type="dxa" w:w="2448"/>
            <w:vAlign w:val="top"/>
            <w:tcMar>
              <w:top w:w="110" w:type="dxa"/>
              <w:start w:w="120" w:type="dxa"/>
              <w:bottom w:w="110" w:type="dxa"/>
              <w:end w:w="120" w:type="dxa"/>
            </w:tcMar>
          </w:tcPr>
          <w:p>
            <w:pPr>
              <w:spacing w:after="40"/>
            </w:pPr>
            <w:r>
              <w:rPr>
                <w:sz w:val="18"/>
              </w:rPr>
              <w:t>Executive compensation review</w:t>
            </w:r>
          </w:p>
        </w:tc>
        <w:tc>
          <w:tcPr>
            <w:tcW w:type="dxa" w:w="3888"/>
            <w:vAlign w:val="top"/>
            <w:tcMar>
              <w:top w:w="110" w:type="dxa"/>
              <w:start w:w="120" w:type="dxa"/>
              <w:bottom w:w="110" w:type="dxa"/>
              <w:end w:w="120" w:type="dxa"/>
            </w:tcMar>
          </w:tcPr>
          <w:p>
            <w:pPr>
              <w:spacing w:after="40"/>
            </w:pPr>
            <w:r>
              <w:rPr>
                <w:sz w:val="18"/>
              </w:rPr>
              <w:t>Support appropriate board governance and approval</w:t>
            </w:r>
          </w:p>
        </w:tc>
        <w:tc>
          <w:tcPr>
            <w:tcW w:type="dxa" w:w="1584"/>
            <w:vAlign w:val="top"/>
            <w:tcMar>
              <w:top w:w="110" w:type="dxa"/>
              <w:start w:w="120" w:type="dxa"/>
              <w:bottom w:w="110" w:type="dxa"/>
              <w:end w:w="120" w:type="dxa"/>
            </w:tcMar>
          </w:tcPr>
          <w:p>
            <w:pPr>
              <w:spacing w:after="40"/>
            </w:pPr>
            <w:r>
              <w:rPr>
                <w:sz w:val="18"/>
              </w:rPr>
              <w:t>[Board / committee]</w:t>
            </w:r>
          </w:p>
        </w:tc>
        <w:tc>
          <w:tcPr>
            <w:tcW w:type="dxa" w:w="1584"/>
            <w:vAlign w:val="top"/>
            <w:tcMar>
              <w:top w:w="110" w:type="dxa"/>
              <w:start w:w="120" w:type="dxa"/>
              <w:bottom w:w="110" w:type="dxa"/>
              <w:end w:w="120" w:type="dxa"/>
            </w:tcMar>
          </w:tcPr>
          <w:p>
            <w:pPr>
              <w:spacing w:after="40"/>
            </w:pPr>
            <w:r>
              <w:rPr>
                <w:sz w:val="18"/>
              </w:rPr>
              <w:t>[Month / cadence]</w:t>
            </w:r>
          </w:p>
        </w:tc>
      </w:tr>
    </w:tbl>
    <w:p>
      <w:pPr>
        <w:spacing w:after="20"/>
      </w:pPr>
    </w:p>
    <w:p>
      <w:pPr>
        <w:pStyle w:val="Heading2"/>
        <w:keepNext/>
      </w:pPr>
      <w:r>
        <w:t>Annual Policy Review</w:t>
      </w:r>
    </w:p>
    <w:p>
      <w:pPr>
        <w:pStyle w:val="Checklist"/>
      </w:pPr>
      <w:r>
        <w:rPr>
          <w:b/>
        </w:rPr>
        <w:t xml:space="preserve">[ ] </w:t>
      </w:r>
      <w:r>
        <w:t>Policy still matches the organization’s compensation philosophy.</w:t>
      </w:r>
    </w:p>
    <w:p>
      <w:pPr>
        <w:pStyle w:val="Checklist"/>
      </w:pPr>
      <w:r>
        <w:rPr>
          <w:b/>
        </w:rPr>
        <w:t xml:space="preserve">[ ] </w:t>
      </w:r>
      <w:r>
        <w:t>Scope reflects current employee populations and specialized arrangements.</w:t>
      </w:r>
    </w:p>
    <w:p>
      <w:pPr>
        <w:pStyle w:val="Checklist"/>
      </w:pPr>
      <w:r>
        <w:rPr>
          <w:b/>
        </w:rPr>
        <w:t xml:space="preserve">[ ] </w:t>
      </w:r>
      <w:r>
        <w:t>Relevant-market principles remain appropriate.</w:t>
      </w:r>
    </w:p>
    <w:p>
      <w:pPr>
        <w:pStyle w:val="Checklist"/>
      </w:pPr>
      <w:r>
        <w:rPr>
          <w:b/>
        </w:rPr>
        <w:t xml:space="preserve">[ ] </w:t>
      </w:r>
      <w:r>
        <w:t>Market-data standards are current.</w:t>
      </w:r>
    </w:p>
    <w:p>
      <w:pPr>
        <w:pStyle w:val="Checklist"/>
      </w:pPr>
      <w:r>
        <w:rPr>
          <w:b/>
        </w:rPr>
        <w:t xml:space="preserve">[ ] </w:t>
      </w:r>
      <w:r>
        <w:t>Job-evaluation and salary-structure governance are still workable.</w:t>
      </w:r>
    </w:p>
    <w:p>
      <w:pPr>
        <w:pStyle w:val="Checklist"/>
      </w:pPr>
      <w:r>
        <w:rPr>
          <w:b/>
        </w:rPr>
        <w:t xml:space="preserve">[ ] </w:t>
      </w:r>
      <w:r>
        <w:t>Decision-authority matrix matches actual approvals.</w:t>
      </w:r>
    </w:p>
    <w:p>
      <w:pPr>
        <w:pStyle w:val="Checklist"/>
      </w:pPr>
      <w:r>
        <w:rPr>
          <w:b/>
        </w:rPr>
        <w:t xml:space="preserve">[ ] </w:t>
      </w:r>
      <w:r>
        <w:t>Internal alignment and compression language remains appropriate.</w:t>
      </w:r>
    </w:p>
    <w:p>
      <w:pPr>
        <w:pStyle w:val="Checklist"/>
      </w:pPr>
      <w:r>
        <w:rPr>
          <w:b/>
        </w:rPr>
        <w:t xml:space="preserve">[ ] </w:t>
      </w:r>
      <w:r>
        <w:t>Executive governance provisions match bylaws and board practice.</w:t>
      </w:r>
    </w:p>
    <w:p>
      <w:pPr>
        <w:pStyle w:val="Checklist"/>
      </w:pPr>
      <w:r>
        <w:rPr>
          <w:b/>
        </w:rPr>
        <w:t xml:space="preserve">[ ] </w:t>
      </w:r>
      <w:r>
        <w:t>Conflict-of-interest procedures are current.</w:t>
      </w:r>
    </w:p>
    <w:p>
      <w:pPr>
        <w:pStyle w:val="Checklist"/>
      </w:pPr>
      <w:r>
        <w:rPr>
          <w:b/>
        </w:rPr>
        <w:t xml:space="preserve">[ ] </w:t>
      </w:r>
      <w:r>
        <w:t>Documentation expectations are clear and followed.</w:t>
      </w:r>
    </w:p>
    <w:p>
      <w:pPr>
        <w:pStyle w:val="Checklist"/>
      </w:pPr>
      <w:r>
        <w:rPr>
          <w:b/>
        </w:rPr>
        <w:t xml:space="preserve">[ ] </w:t>
      </w:r>
      <w:r>
        <w:t>Review responsibilities and cadence are assigned.</w:t>
      </w:r>
    </w:p>
    <w:p>
      <w:pPr>
        <w:pStyle w:val="Checklist"/>
      </w:pPr>
      <w:r>
        <w:rPr>
          <w:b/>
        </w:rPr>
        <w:t xml:space="preserve">[ ] </w:t>
      </w:r>
      <w:r>
        <w:t>No policy language creates an obligation the organization does not intend or cannot administer.</w:t>
      </w:r>
    </w:p>
    <w:p>
      <w:pPr>
        <w:pStyle w:val="Checklist"/>
      </w:pPr>
      <w:r>
        <w:rPr>
          <w:b/>
        </w:rPr>
        <w:t xml:space="preserve">[ ] </w:t>
      </w:r>
      <w:r>
        <w:t>Appropriate professional review has been completed for material changes.</w:t>
      </w:r>
    </w:p>
    <w:p>
      <w:pPr>
        <w:pStyle w:val="Heading2"/>
        <w:keepNext/>
      </w:pPr>
      <w:r>
        <w:t>Market Review Questions</w:t>
      </w:r>
    </w:p>
    <w:p>
      <w:pPr>
        <w:pStyle w:val="Checklist"/>
      </w:pPr>
      <w:r>
        <w:rPr>
          <w:b/>
        </w:rPr>
        <w:t xml:space="preserve">[ ] </w:t>
      </w:r>
      <w:r>
        <w:t>Have key labor markets changed?</w:t>
      </w:r>
    </w:p>
    <w:p>
      <w:pPr>
        <w:pStyle w:val="Checklist"/>
      </w:pPr>
      <w:r>
        <w:rPr>
          <w:b/>
        </w:rPr>
        <w:t xml:space="preserve">[ ] </w:t>
      </w:r>
      <w:r>
        <w:t>Are salary ranges still useful for hiring and administration?</w:t>
      </w:r>
    </w:p>
    <w:p>
      <w:pPr>
        <w:pStyle w:val="Checklist"/>
      </w:pPr>
      <w:r>
        <w:rPr>
          <w:b/>
        </w:rPr>
        <w:t xml:space="preserve">[ ] </w:t>
      </w:r>
      <w:r>
        <w:t>Are recurring exceptions signaling outdated ranges or job matches?</w:t>
      </w:r>
    </w:p>
    <w:p>
      <w:pPr>
        <w:pStyle w:val="Checklist"/>
      </w:pPr>
      <w:r>
        <w:rPr>
          <w:b/>
        </w:rPr>
        <w:t xml:space="preserve">[ ] </w:t>
      </w:r>
      <w:r>
        <w:t>Are compression or inversion issues increasing?</w:t>
      </w:r>
    </w:p>
    <w:p>
      <w:pPr>
        <w:pStyle w:val="Checklist"/>
      </w:pPr>
      <w:r>
        <w:rPr>
          <w:b/>
        </w:rPr>
        <w:t xml:space="preserve">[ ] </w:t>
      </w:r>
      <w:r>
        <w:t>Are hard-to-fill roles competing in a different market than before?</w:t>
      </w:r>
    </w:p>
    <w:p>
      <w:pPr>
        <w:pStyle w:val="Checklist"/>
      </w:pPr>
      <w:r>
        <w:rPr>
          <w:b/>
        </w:rPr>
        <w:t xml:space="preserve">[ ] </w:t>
      </w:r>
      <w:r>
        <w:t>Do current survey sources still fit the workforce?</w:t>
      </w:r>
    </w:p>
    <w:p>
      <w:pPr>
        <w:pStyle w:val="Eyebrow"/>
        <w:keepNext/>
        <w:pageBreakBefore w:val="0"/>
      </w:pPr>
      <w:r>
        <w:t>PRACTITIONER NOTES</w:t>
      </w:r>
    </w:p>
    <w:p>
      <w:pPr>
        <w:pStyle w:val="Heading1"/>
        <w:keepNext/>
      </w:pPr>
      <w:r>
        <w:t>What Not to Copy Blindly From a Template</w:t>
      </w:r>
    </w:p>
    <w:p>
      <w:pPr>
        <w:pStyle w:val="Heading2"/>
        <w:keepNext/>
      </w:pPr>
      <w:r>
        <w:t>“We pay everyone at the 50th percentile.”</w:t>
      </w:r>
    </w:p>
    <w:p>
      <w:r>
        <w:t>Different roles can compete in different labor markets. Market position should reflect the organization’s talent strategy and the role being priced.</w:t>
      </w:r>
    </w:p>
    <w:p>
      <w:pPr>
        <w:pStyle w:val="Heading2"/>
        <w:keepNext/>
      </w:pPr>
      <w:r>
        <w:t>“We benchmark only against nonprofits.”</w:t>
      </w:r>
    </w:p>
    <w:p>
      <w:r>
        <w:t>Tax status does not define every labor market. Job function, geography, scope, and talent competition also matter.</w:t>
      </w:r>
    </w:p>
    <w:p>
      <w:pPr>
        <w:pStyle w:val="Heading2"/>
        <w:keepNext/>
      </w:pPr>
      <w:r>
        <w:t>“Form 990 data determines our CEO salary.”</w:t>
      </w:r>
    </w:p>
    <w:p>
      <w:r>
        <w:t>Form 990 data may be useful, but role scope, organization complexity, geography, total compensation, data age, and peer relevance still matter.</w:t>
      </w:r>
    </w:p>
    <w:p>
      <w:pPr>
        <w:pStyle w:val="Heading2"/>
        <w:keepNext/>
      </w:pPr>
      <w:r>
        <w:t>“Anyone below market gets an automatic adjustment.”</w:t>
      </w:r>
    </w:p>
    <w:p>
      <w:r>
        <w:t>A market study identifies evidence. It does not eliminate management judgment, internal relationships, financial constraints, or other relevant considerations.</w:t>
      </w:r>
    </w:p>
    <w:p>
      <w:pPr>
        <w:pStyle w:val="Heading2"/>
        <w:keepNext/>
      </w:pPr>
      <w:r>
        <w:t>“The executive approves their own compensation.”</w:t>
      </w:r>
    </w:p>
    <w:p>
      <w:r>
        <w:t>Designated executive compensation should follow the organization’s independent governance and conflict-of-interest process.</w:t>
      </w:r>
    </w:p>
    <w:p>
      <w:pPr>
        <w:pStyle w:val="Heading2"/>
        <w:keepNext/>
      </w:pPr>
      <w:r>
        <w:t>“Every salary change requires a committee meeting.”</w:t>
      </w:r>
    </w:p>
    <w:p>
      <w:r>
        <w:t>Do not create approval rules that the organization cannot consistently administer. Match the policy to the real governance model.</w:t>
      </w:r>
    </w:p>
    <w:p>
      <w:pPr>
        <w:pStyle w:val="Heading1"/>
        <w:keepNext/>
      </w:pPr>
      <w:r>
        <w:t>Compensation Policy vs. Compensation Procedure</w:t>
      </w:r>
    </w:p>
    <w:tbl>
      <w:tblPr>
        <w:tblW w:type="auto" w:w="0"/>
        <w:jc w:val="center"/>
        <w:tblLayout w:type="fixed"/>
        <w:tblLook w:firstColumn="1" w:firstRow="1" w:lastColumn="0" w:lastRow="0" w:noHBand="0" w:noVBand="1" w:val="04A0"/>
      </w:tblPr>
      <w:tblGrid>
        <w:gridCol w:w="5040"/>
        <w:gridCol w:w="5040"/>
      </w:tblGrid>
      <w:tr>
        <w:trPr>
          <w:tblHeader w:val="true"/>
        </w:trPr>
        <w:tc>
          <w:tcPr>
            <w:tcW w:type="dxa" w:w="4680"/>
            <w:shd w:fill="172A3A"/>
            <w:tcMar>
              <w:top w:w="110" w:type="dxa"/>
              <w:start w:w="120" w:type="dxa"/>
              <w:bottom w:w="110" w:type="dxa"/>
              <w:end w:w="120" w:type="dxa"/>
            </w:tcMar>
          </w:tcPr>
          <w:p>
            <w:r>
              <w:rPr>
                <w:b/>
                <w:color w:val="FFFFFF"/>
                <w:sz w:val="19"/>
              </w:rPr>
              <w:t>Compensation policy</w:t>
            </w:r>
          </w:p>
        </w:tc>
        <w:tc>
          <w:tcPr>
            <w:tcW w:type="dxa" w:w="4680"/>
            <w:shd w:fill="172A3A"/>
            <w:tcMar>
              <w:top w:w="110" w:type="dxa"/>
              <w:start w:w="120" w:type="dxa"/>
              <w:bottom w:w="110" w:type="dxa"/>
              <w:end w:w="120" w:type="dxa"/>
            </w:tcMar>
          </w:tcPr>
          <w:p>
            <w:r>
              <w:rPr>
                <w:b/>
                <w:color w:val="FFFFFF"/>
                <w:sz w:val="19"/>
              </w:rPr>
              <w:t>Compensation procedure</w:t>
            </w:r>
          </w:p>
        </w:tc>
      </w:tr>
      <w:tr>
        <w:tc>
          <w:tcPr>
            <w:tcW w:type="dxa" w:w="4680"/>
            <w:vAlign w:val="top"/>
            <w:tcMar>
              <w:top w:w="110" w:type="dxa"/>
              <w:start w:w="120" w:type="dxa"/>
              <w:bottom w:w="110" w:type="dxa"/>
              <w:end w:w="120" w:type="dxa"/>
            </w:tcMar>
          </w:tcPr>
          <w:p>
            <w:pPr>
              <w:spacing w:after="40"/>
            </w:pPr>
            <w:r>
              <w:rPr>
                <w:sz w:val="18"/>
              </w:rPr>
              <w:t>Defines the principles and authority governing compensation decisions.</w:t>
            </w:r>
          </w:p>
        </w:tc>
        <w:tc>
          <w:tcPr>
            <w:tcW w:type="dxa" w:w="4680"/>
            <w:vAlign w:val="top"/>
            <w:tcMar>
              <w:top w:w="110" w:type="dxa"/>
              <w:start w:w="120" w:type="dxa"/>
              <w:bottom w:w="110" w:type="dxa"/>
              <w:end w:w="120" w:type="dxa"/>
            </w:tcMar>
          </w:tcPr>
          <w:p>
            <w:pPr>
              <w:spacing w:after="40"/>
            </w:pPr>
            <w:r>
              <w:rPr>
                <w:sz w:val="18"/>
              </w:rPr>
              <w:t>Defines the operational steps HR uses to administer those principles.</w:t>
            </w:r>
          </w:p>
        </w:tc>
      </w:tr>
      <w:tr>
        <w:tc>
          <w:tcPr>
            <w:tcW w:type="dxa" w:w="4680"/>
            <w:vAlign w:val="top"/>
            <w:tcMar>
              <w:top w:w="110" w:type="dxa"/>
              <w:start w:w="120" w:type="dxa"/>
              <w:bottom w:w="110" w:type="dxa"/>
              <w:end w:w="120" w:type="dxa"/>
            </w:tcMar>
            <w:shd w:fill="F7FAFC"/>
          </w:tcPr>
          <w:p>
            <w:pPr>
              <w:spacing w:after="40"/>
            </w:pPr>
            <w:r>
              <w:rPr>
                <w:sz w:val="18"/>
              </w:rPr>
              <w:t>Examples: relevant-market principles, decision authority, executive governance, documentation, review cadence.</w:t>
            </w:r>
          </w:p>
        </w:tc>
        <w:tc>
          <w:tcPr>
            <w:tcW w:type="dxa" w:w="4680"/>
            <w:vAlign w:val="top"/>
            <w:tcMar>
              <w:top w:w="110" w:type="dxa"/>
              <w:start w:w="120" w:type="dxa"/>
              <w:bottom w:w="110" w:type="dxa"/>
              <w:end w:w="120" w:type="dxa"/>
            </w:tcMar>
            <w:shd w:fill="F7FAFC"/>
          </w:tcPr>
          <w:p>
            <w:pPr>
              <w:spacing w:after="40"/>
            </w:pPr>
            <w:r>
              <w:rPr>
                <w:sz w:val="18"/>
              </w:rPr>
              <w:t>Examples: job-submission workflow, survey process, offer-routing steps, HRIS updates, employee letters, record retention.</w:t>
            </w:r>
          </w:p>
        </w:tc>
      </w:tr>
      <w:tr>
        <w:tc>
          <w:tcPr>
            <w:tcW w:type="dxa" w:w="4680"/>
            <w:vAlign w:val="top"/>
            <w:tcMar>
              <w:top w:w="110" w:type="dxa"/>
              <w:start w:w="120" w:type="dxa"/>
              <w:bottom w:w="110" w:type="dxa"/>
              <w:end w:w="120" w:type="dxa"/>
            </w:tcMar>
          </w:tcPr>
          <w:p>
            <w:pPr>
              <w:spacing w:after="40"/>
            </w:pPr>
            <w:r>
              <w:rPr>
                <w:sz w:val="18"/>
              </w:rPr>
              <w:t>Designed to remain relatively stable.</w:t>
            </w:r>
          </w:p>
        </w:tc>
        <w:tc>
          <w:tcPr>
            <w:tcW w:type="dxa" w:w="4680"/>
            <w:vAlign w:val="top"/>
            <w:tcMar>
              <w:top w:w="110" w:type="dxa"/>
              <w:start w:w="120" w:type="dxa"/>
              <w:bottom w:w="110" w:type="dxa"/>
              <w:end w:w="120" w:type="dxa"/>
            </w:tcMar>
          </w:tcPr>
          <w:p>
            <w:pPr>
              <w:spacing w:after="40"/>
            </w:pPr>
            <w:r>
              <w:rPr>
                <w:sz w:val="18"/>
              </w:rPr>
              <w:t>Expected to change more often as systems and workflows evolve.</w:t>
            </w:r>
          </w:p>
        </w:tc>
      </w:tr>
    </w:tbl>
    <w:p>
      <w:pPr>
        <w:spacing w:after="20"/>
      </w:pPr>
    </w:p>
    <w:p>
      <w:pPr>
        <w:pStyle w:val="Eyebrow"/>
        <w:keepNext/>
        <w:pageBreakBefore w:val="0"/>
      </w:pPr>
      <w:r>
        <w:t>FINALIZATION</w:t>
      </w:r>
    </w:p>
    <w:p>
      <w:pPr>
        <w:pStyle w:val="Heading1"/>
        <w:keepNext/>
      </w:pPr>
      <w:r>
        <w:t>Policy Approval &amp; Sign-Off</w:t>
      </w:r>
    </w:p>
    <w:p>
      <w:r>
        <w:t>Complete this page after the organization has tailored and reviewed the policy. Keep the approved version with the organization’s governance and compensation records.</w:t>
      </w:r>
    </w:p>
    <w:tbl>
      <w:tblPr>
        <w:tblW w:type="auto" w:w="0"/>
        <w:jc w:val="center"/>
        <w:tblLayout w:type="fixed"/>
        <w:tblLook w:firstColumn="1" w:firstRow="1" w:lastColumn="0" w:lastRow="0" w:noHBand="0" w:noVBand="1" w:val="04A0"/>
      </w:tblPr>
      <w:tblGrid>
        <w:gridCol w:w="5040"/>
        <w:gridCol w:w="5040"/>
      </w:tblGrid>
      <w:tr>
        <w:trPr>
          <w:tblHeader w:val="true"/>
        </w:trPr>
        <w:tc>
          <w:tcPr>
            <w:tcW w:type="dxa" w:w="3456"/>
            <w:shd w:fill="3E8DCC"/>
            <w:tcMar>
              <w:top w:w="110" w:type="dxa"/>
              <w:start w:w="120" w:type="dxa"/>
              <w:bottom w:w="110" w:type="dxa"/>
              <w:end w:w="120" w:type="dxa"/>
            </w:tcMar>
          </w:tcPr>
          <w:p>
            <w:r>
              <w:rPr>
                <w:b/>
                <w:color w:val="FFFFFF"/>
                <w:sz w:val="19"/>
              </w:rPr>
              <w:t>Policy record</w:t>
            </w:r>
          </w:p>
        </w:tc>
        <w:tc>
          <w:tcPr>
            <w:tcW w:type="dxa" w:w="5904"/>
            <w:shd w:fill="3E8DCC"/>
            <w:tcMar>
              <w:top w:w="110" w:type="dxa"/>
              <w:start w:w="120" w:type="dxa"/>
              <w:bottom w:w="110" w:type="dxa"/>
              <w:end w:w="120" w:type="dxa"/>
            </w:tcMar>
          </w:tcPr>
          <w:p>
            <w:r>
              <w:rPr>
                <w:b/>
                <w:color w:val="FFFFFF"/>
                <w:sz w:val="19"/>
              </w:rPr>
              <w:t>Complete</w:t>
            </w:r>
          </w:p>
        </w:tc>
      </w:tr>
      <w:tr>
        <w:tc>
          <w:tcPr>
            <w:tcW w:type="dxa" w:w="3456"/>
            <w:vAlign w:val="top"/>
            <w:tcMar>
              <w:top w:w="110" w:type="dxa"/>
              <w:start w:w="120" w:type="dxa"/>
              <w:bottom w:w="110" w:type="dxa"/>
              <w:end w:w="120" w:type="dxa"/>
            </w:tcMar>
          </w:tcPr>
          <w:p>
            <w:pPr>
              <w:spacing w:after="40"/>
            </w:pPr>
            <w:r>
              <w:rPr>
                <w:sz w:val="18"/>
              </w:rPr>
              <w:t>Organization name</w:t>
            </w:r>
          </w:p>
        </w:tc>
        <w:tc>
          <w:tcPr>
            <w:tcW w:type="dxa" w:w="5904"/>
            <w:vAlign w:val="top"/>
            <w:tcMar>
              <w:top w:w="110" w:type="dxa"/>
              <w:start w:w="120" w:type="dxa"/>
              <w:bottom w:w="110" w:type="dxa"/>
              <w:end w:w="120" w:type="dxa"/>
            </w:tcMar>
          </w:tcPr>
          <w:p>
            <w:pPr>
              <w:spacing w:after="40"/>
            </w:pPr>
            <w:r>
              <w:rPr>
                <w:sz w:val="18"/>
              </w:rPr>
              <w:t>[Organization Name]</w:t>
            </w:r>
          </w:p>
        </w:tc>
      </w:tr>
      <w:tr>
        <w:tc>
          <w:tcPr>
            <w:tcW w:type="dxa" w:w="3456"/>
            <w:vAlign w:val="top"/>
            <w:tcMar>
              <w:top w:w="110" w:type="dxa"/>
              <w:start w:w="120" w:type="dxa"/>
              <w:bottom w:w="110" w:type="dxa"/>
              <w:end w:w="120" w:type="dxa"/>
            </w:tcMar>
            <w:shd w:fill="F7FAFC"/>
          </w:tcPr>
          <w:p>
            <w:pPr>
              <w:spacing w:after="40"/>
            </w:pPr>
            <w:r>
              <w:rPr>
                <w:sz w:val="18"/>
              </w:rPr>
              <w:t>Policy owner</w:t>
            </w:r>
          </w:p>
        </w:tc>
        <w:tc>
          <w:tcPr>
            <w:tcW w:type="dxa" w:w="5904"/>
            <w:vAlign w:val="top"/>
            <w:tcMar>
              <w:top w:w="110" w:type="dxa"/>
              <w:start w:w="120" w:type="dxa"/>
              <w:bottom w:w="110" w:type="dxa"/>
              <w:end w:w="120" w:type="dxa"/>
            </w:tcMar>
            <w:shd w:fill="F7FAFC"/>
          </w:tcPr>
          <w:p>
            <w:pPr>
              <w:spacing w:after="40"/>
            </w:pPr>
            <w:r>
              <w:rPr>
                <w:sz w:val="18"/>
              </w:rPr>
              <w:t>[HR / executive / board committee]</w:t>
            </w:r>
          </w:p>
        </w:tc>
      </w:tr>
      <w:tr>
        <w:tc>
          <w:tcPr>
            <w:tcW w:type="dxa" w:w="3456"/>
            <w:vAlign w:val="top"/>
            <w:tcMar>
              <w:top w:w="110" w:type="dxa"/>
              <w:start w:w="120" w:type="dxa"/>
              <w:bottom w:w="110" w:type="dxa"/>
              <w:end w:w="120" w:type="dxa"/>
            </w:tcMar>
          </w:tcPr>
          <w:p>
            <w:pPr>
              <w:spacing w:after="40"/>
            </w:pPr>
            <w:r>
              <w:rPr>
                <w:sz w:val="18"/>
              </w:rPr>
              <w:t>Version</w:t>
            </w:r>
          </w:p>
        </w:tc>
        <w:tc>
          <w:tcPr>
            <w:tcW w:type="dxa" w:w="5904"/>
            <w:vAlign w:val="top"/>
            <w:tcMar>
              <w:top w:w="110" w:type="dxa"/>
              <w:start w:w="120" w:type="dxa"/>
              <w:bottom w:w="110" w:type="dxa"/>
              <w:end w:w="120" w:type="dxa"/>
            </w:tcMar>
          </w:tcPr>
          <w:p>
            <w:pPr>
              <w:spacing w:after="40"/>
            </w:pPr>
            <w:r>
              <w:rPr>
                <w:sz w:val="18"/>
              </w:rPr>
              <w:t>[Version number]</w:t>
            </w:r>
          </w:p>
        </w:tc>
      </w:tr>
      <w:tr>
        <w:tc>
          <w:tcPr>
            <w:tcW w:type="dxa" w:w="3456"/>
            <w:vAlign w:val="top"/>
            <w:tcMar>
              <w:top w:w="110" w:type="dxa"/>
              <w:start w:w="120" w:type="dxa"/>
              <w:bottom w:w="110" w:type="dxa"/>
              <w:end w:w="120" w:type="dxa"/>
            </w:tcMar>
            <w:shd w:fill="F7FAFC"/>
          </w:tcPr>
          <w:p>
            <w:pPr>
              <w:spacing w:after="40"/>
            </w:pPr>
            <w:r>
              <w:rPr>
                <w:sz w:val="18"/>
              </w:rPr>
              <w:t>Effective date</w:t>
            </w:r>
          </w:p>
        </w:tc>
        <w:tc>
          <w:tcPr>
            <w:tcW w:type="dxa" w:w="5904"/>
            <w:vAlign w:val="top"/>
            <w:tcMar>
              <w:top w:w="110" w:type="dxa"/>
              <w:start w:w="120" w:type="dxa"/>
              <w:bottom w:w="110" w:type="dxa"/>
              <w:end w:w="120" w:type="dxa"/>
            </w:tcMar>
            <w:shd w:fill="F7FAFC"/>
          </w:tcPr>
          <w:p>
            <w:pPr>
              <w:spacing w:after="40"/>
            </w:pPr>
            <w:r>
              <w:rPr>
                <w:sz w:val="18"/>
              </w:rPr>
              <w:t>[Date]</w:t>
            </w:r>
          </w:p>
        </w:tc>
      </w:tr>
      <w:tr>
        <w:tc>
          <w:tcPr>
            <w:tcW w:type="dxa" w:w="3456"/>
            <w:vAlign w:val="top"/>
            <w:tcMar>
              <w:top w:w="110" w:type="dxa"/>
              <w:start w:w="120" w:type="dxa"/>
              <w:bottom w:w="110" w:type="dxa"/>
              <w:end w:w="120" w:type="dxa"/>
            </w:tcMar>
          </w:tcPr>
          <w:p>
            <w:pPr>
              <w:spacing w:after="40"/>
            </w:pPr>
            <w:r>
              <w:rPr>
                <w:sz w:val="18"/>
              </w:rPr>
              <w:t>Approved by</w:t>
            </w:r>
          </w:p>
        </w:tc>
        <w:tc>
          <w:tcPr>
            <w:tcW w:type="dxa" w:w="5904"/>
            <w:vAlign w:val="top"/>
            <w:tcMar>
              <w:top w:w="110" w:type="dxa"/>
              <w:start w:w="120" w:type="dxa"/>
              <w:bottom w:w="110" w:type="dxa"/>
              <w:end w:w="120" w:type="dxa"/>
            </w:tcMar>
          </w:tcPr>
          <w:p>
            <w:pPr>
              <w:spacing w:after="40"/>
            </w:pPr>
            <w:r>
              <w:rPr>
                <w:sz w:val="18"/>
              </w:rPr>
              <w:t>[Board / committee / executive authority]</w:t>
            </w:r>
          </w:p>
        </w:tc>
      </w:tr>
      <w:tr>
        <w:tc>
          <w:tcPr>
            <w:tcW w:type="dxa" w:w="3456"/>
            <w:vAlign w:val="top"/>
            <w:tcMar>
              <w:top w:w="110" w:type="dxa"/>
              <w:start w:w="120" w:type="dxa"/>
              <w:bottom w:w="110" w:type="dxa"/>
              <w:end w:w="120" w:type="dxa"/>
            </w:tcMar>
            <w:shd w:fill="F7FAFC"/>
          </w:tcPr>
          <w:p>
            <w:pPr>
              <w:spacing w:after="40"/>
            </w:pPr>
            <w:r>
              <w:rPr>
                <w:sz w:val="18"/>
              </w:rPr>
              <w:t>Approval date</w:t>
            </w:r>
          </w:p>
        </w:tc>
        <w:tc>
          <w:tcPr>
            <w:tcW w:type="dxa" w:w="5904"/>
            <w:vAlign w:val="top"/>
            <w:tcMar>
              <w:top w:w="110" w:type="dxa"/>
              <w:start w:w="120" w:type="dxa"/>
              <w:bottom w:w="110" w:type="dxa"/>
              <w:end w:w="120" w:type="dxa"/>
            </w:tcMar>
            <w:shd w:fill="F7FAFC"/>
          </w:tcPr>
          <w:p>
            <w:pPr>
              <w:spacing w:after="40"/>
            </w:pPr>
            <w:r>
              <w:rPr>
                <w:sz w:val="18"/>
              </w:rPr>
              <w:t>[Date]</w:t>
            </w:r>
          </w:p>
        </w:tc>
      </w:tr>
      <w:tr>
        <w:tc>
          <w:tcPr>
            <w:tcW w:type="dxa" w:w="3456"/>
            <w:vAlign w:val="top"/>
            <w:tcMar>
              <w:top w:w="110" w:type="dxa"/>
              <w:start w:w="120" w:type="dxa"/>
              <w:bottom w:w="110" w:type="dxa"/>
              <w:end w:w="120" w:type="dxa"/>
            </w:tcMar>
          </w:tcPr>
          <w:p>
            <w:pPr>
              <w:spacing w:after="40"/>
            </w:pPr>
            <w:r>
              <w:rPr>
                <w:sz w:val="18"/>
              </w:rPr>
              <w:t>Next policy review</w:t>
            </w:r>
          </w:p>
        </w:tc>
        <w:tc>
          <w:tcPr>
            <w:tcW w:type="dxa" w:w="5904"/>
            <w:vAlign w:val="top"/>
            <w:tcMar>
              <w:top w:w="110" w:type="dxa"/>
              <w:start w:w="120" w:type="dxa"/>
              <w:bottom w:w="110" w:type="dxa"/>
              <w:end w:w="120" w:type="dxa"/>
            </w:tcMar>
          </w:tcPr>
          <w:p>
            <w:pPr>
              <w:spacing w:after="40"/>
            </w:pPr>
            <w:r>
              <w:rPr>
                <w:sz w:val="18"/>
              </w:rPr>
              <w:t>[Date / cadence]</w:t>
            </w:r>
          </w:p>
        </w:tc>
      </w:tr>
      <w:tr>
        <w:tc>
          <w:tcPr>
            <w:tcW w:type="dxa" w:w="3456"/>
            <w:vAlign w:val="top"/>
            <w:tcMar>
              <w:top w:w="110" w:type="dxa"/>
              <w:start w:w="120" w:type="dxa"/>
              <w:bottom w:w="110" w:type="dxa"/>
              <w:end w:w="120" w:type="dxa"/>
            </w:tcMar>
            <w:shd w:fill="F7FAFC"/>
          </w:tcPr>
          <w:p>
            <w:pPr>
              <w:spacing w:after="40"/>
            </w:pPr>
            <w:r>
              <w:rPr>
                <w:sz w:val="18"/>
              </w:rPr>
              <w:t>Related procedures / plans</w:t>
            </w:r>
          </w:p>
        </w:tc>
        <w:tc>
          <w:tcPr>
            <w:tcW w:type="dxa" w:w="5904"/>
            <w:vAlign w:val="top"/>
            <w:tcMar>
              <w:top w:w="110" w:type="dxa"/>
              <w:start w:w="120" w:type="dxa"/>
              <w:bottom w:w="110" w:type="dxa"/>
              <w:end w:w="120" w:type="dxa"/>
            </w:tcMar>
            <w:shd w:fill="F7FAFC"/>
          </w:tcPr>
          <w:p>
            <w:pPr>
              <w:spacing w:after="40"/>
            </w:pPr>
            <w:r>
              <w:rPr>
                <w:sz w:val="18"/>
              </w:rPr>
              <w:t>[List]</w:t>
            </w:r>
          </w:p>
        </w:tc>
      </w:tr>
      <w:tr>
        <w:tc>
          <w:tcPr>
            <w:tcW w:type="dxa" w:w="3456"/>
            <w:vAlign w:val="top"/>
            <w:tcMar>
              <w:top w:w="110" w:type="dxa"/>
              <w:start w:w="120" w:type="dxa"/>
              <w:bottom w:w="110" w:type="dxa"/>
              <w:end w:w="120" w:type="dxa"/>
            </w:tcMar>
          </w:tcPr>
          <w:p>
            <w:pPr>
              <w:spacing w:after="40"/>
            </w:pPr>
            <w:r>
              <w:rPr>
                <w:sz w:val="18"/>
              </w:rPr>
              <w:t>Legal / tax / governance review</w:t>
            </w:r>
          </w:p>
        </w:tc>
        <w:tc>
          <w:tcPr>
            <w:tcW w:type="dxa" w:w="5904"/>
            <w:vAlign w:val="top"/>
            <w:tcMar>
              <w:top w:w="110" w:type="dxa"/>
              <w:start w:w="120" w:type="dxa"/>
              <w:bottom w:w="110" w:type="dxa"/>
              <w:end w:w="120" w:type="dxa"/>
            </w:tcMar>
          </w:tcPr>
          <w:p>
            <w:pPr>
              <w:spacing w:after="40"/>
            </w:pPr>
            <w:r>
              <w:rPr>
                <w:sz w:val="18"/>
              </w:rPr>
              <w:t>[Reviewer / date, if applicable]</w:t>
            </w:r>
          </w:p>
        </w:tc>
      </w:tr>
    </w:tbl>
    <w:p>
      <w:pPr>
        <w:spacing w:after="20"/>
      </w:pPr>
    </w:p>
    <w:p>
      <w:r>
        <w:br/>
      </w:r>
    </w:p>
    <w:tbl>
      <w:tblPr>
        <w:tblW w:type="auto" w:w="0"/>
        <w:jc w:val="center"/>
        <w:tblLayout w:type="fixed"/>
        <w:tblLook w:firstColumn="1" w:firstRow="1" w:lastColumn="0" w:lastRow="0" w:noHBand="0" w:noVBand="1" w:val="04A0"/>
      </w:tblPr>
      <w:tblGrid>
        <w:gridCol w:w="3360"/>
        <w:gridCol w:w="3360"/>
        <w:gridCol w:w="3360"/>
      </w:tblGrid>
      <w:tr>
        <w:trPr>
          <w:tblHeader w:val="true"/>
        </w:trPr>
        <w:tc>
          <w:tcPr>
            <w:tcW w:type="dxa" w:w="3168"/>
            <w:shd w:fill="172A3A"/>
            <w:tcMar>
              <w:top w:w="110" w:type="dxa"/>
              <w:start w:w="120" w:type="dxa"/>
              <w:bottom w:w="110" w:type="dxa"/>
              <w:end w:w="120" w:type="dxa"/>
            </w:tcMar>
          </w:tcPr>
          <w:p>
            <w:r>
              <w:rPr>
                <w:b/>
                <w:color w:val="FFFFFF"/>
                <w:sz w:val="19"/>
              </w:rPr>
              <w:t>Signature</w:t>
            </w:r>
          </w:p>
        </w:tc>
        <w:tc>
          <w:tcPr>
            <w:tcW w:type="dxa" w:w="3888"/>
            <w:shd w:fill="172A3A"/>
            <w:tcMar>
              <w:top w:w="110" w:type="dxa"/>
              <w:start w:w="120" w:type="dxa"/>
              <w:bottom w:w="110" w:type="dxa"/>
              <w:end w:w="120" w:type="dxa"/>
            </w:tcMar>
          </w:tcPr>
          <w:p>
            <w:r>
              <w:rPr>
                <w:b/>
                <w:color w:val="FFFFFF"/>
                <w:sz w:val="19"/>
              </w:rPr>
              <w:t>Name / title</w:t>
            </w:r>
          </w:p>
        </w:tc>
        <w:tc>
          <w:tcPr>
            <w:tcW w:type="dxa" w:w="2304"/>
            <w:shd w:fill="172A3A"/>
            <w:tcMar>
              <w:top w:w="110" w:type="dxa"/>
              <w:start w:w="120" w:type="dxa"/>
              <w:bottom w:w="110" w:type="dxa"/>
              <w:end w:w="120" w:type="dxa"/>
            </w:tcMar>
          </w:tcPr>
          <w:p>
            <w:r>
              <w:rPr>
                <w:b/>
                <w:color w:val="FFFFFF"/>
                <w:sz w:val="19"/>
              </w:rPr>
              <w:t>Date</w:t>
            </w:r>
          </w:p>
        </w:tc>
      </w:tr>
      <w:tr>
        <w:tc>
          <w:tcPr>
            <w:tcW w:type="dxa" w:w="3168"/>
            <w:vAlign w:val="top"/>
            <w:tcMar>
              <w:top w:w="110" w:type="dxa"/>
              <w:start w:w="120" w:type="dxa"/>
              <w:bottom w:w="110" w:type="dxa"/>
              <w:end w:w="120" w:type="dxa"/>
            </w:tcMar>
          </w:tcPr>
          <w:p>
            <w:pPr>
              <w:spacing w:after="40"/>
            </w:pPr>
            <w:r>
              <w:rPr>
                <w:sz w:val="18"/>
              </w:rPr>
              <w:t>____________________________</w:t>
            </w:r>
          </w:p>
        </w:tc>
        <w:tc>
          <w:tcPr>
            <w:tcW w:type="dxa" w:w="3888"/>
            <w:vAlign w:val="top"/>
            <w:tcMar>
              <w:top w:w="110" w:type="dxa"/>
              <w:start w:w="120" w:type="dxa"/>
              <w:bottom w:w="110" w:type="dxa"/>
              <w:end w:w="120" w:type="dxa"/>
            </w:tcMar>
          </w:tcPr>
          <w:p>
            <w:pPr>
              <w:spacing w:after="40"/>
            </w:pPr>
            <w:r>
              <w:rPr>
                <w:sz w:val="18"/>
              </w:rPr>
              <w:t>____________________________</w:t>
            </w:r>
          </w:p>
        </w:tc>
        <w:tc>
          <w:tcPr>
            <w:tcW w:type="dxa" w:w="2304"/>
            <w:vAlign w:val="top"/>
            <w:tcMar>
              <w:top w:w="110" w:type="dxa"/>
              <w:start w:w="120" w:type="dxa"/>
              <w:bottom w:w="110" w:type="dxa"/>
              <w:end w:w="120" w:type="dxa"/>
            </w:tcMar>
          </w:tcPr>
          <w:p>
            <w:pPr>
              <w:spacing w:after="40"/>
            </w:pPr>
            <w:r>
              <w:rPr>
                <w:sz w:val="18"/>
              </w:rPr>
              <w:t>____________</w:t>
            </w:r>
          </w:p>
        </w:tc>
      </w:tr>
      <w:tr>
        <w:tc>
          <w:tcPr>
            <w:tcW w:type="dxa" w:w="3168"/>
            <w:vAlign w:val="top"/>
            <w:tcMar>
              <w:top w:w="110" w:type="dxa"/>
              <w:start w:w="120" w:type="dxa"/>
              <w:bottom w:w="110" w:type="dxa"/>
              <w:end w:w="120" w:type="dxa"/>
            </w:tcMar>
            <w:shd w:fill="F7FAFC"/>
          </w:tcPr>
          <w:p>
            <w:pPr>
              <w:spacing w:after="40"/>
            </w:pPr>
            <w:r>
              <w:rPr>
                <w:sz w:val="18"/>
              </w:rPr>
              <w:t>____________________________</w:t>
            </w:r>
          </w:p>
        </w:tc>
        <w:tc>
          <w:tcPr>
            <w:tcW w:type="dxa" w:w="3888"/>
            <w:vAlign w:val="top"/>
            <w:tcMar>
              <w:top w:w="110" w:type="dxa"/>
              <w:start w:w="120" w:type="dxa"/>
              <w:bottom w:w="110" w:type="dxa"/>
              <w:end w:w="120" w:type="dxa"/>
            </w:tcMar>
            <w:shd w:fill="F7FAFC"/>
          </w:tcPr>
          <w:p>
            <w:pPr>
              <w:spacing w:after="40"/>
            </w:pPr>
            <w:r>
              <w:rPr>
                <w:sz w:val="18"/>
              </w:rPr>
              <w:t>____________________________</w:t>
            </w:r>
          </w:p>
        </w:tc>
        <w:tc>
          <w:tcPr>
            <w:tcW w:type="dxa" w:w="2304"/>
            <w:vAlign w:val="top"/>
            <w:tcMar>
              <w:top w:w="110" w:type="dxa"/>
              <w:start w:w="120" w:type="dxa"/>
              <w:bottom w:w="110" w:type="dxa"/>
              <w:end w:w="120" w:type="dxa"/>
            </w:tcMar>
            <w:shd w:fill="F7FAFC"/>
          </w:tcPr>
          <w:p>
            <w:pPr>
              <w:spacing w:after="40"/>
            </w:pPr>
            <w:r>
              <w:rPr>
                <w:sz w:val="18"/>
              </w:rPr>
              <w:t>____________</w:t>
            </w:r>
          </w:p>
        </w:tc>
      </w:tr>
      <w:tr>
        <w:tc>
          <w:tcPr>
            <w:tcW w:type="dxa" w:w="3168"/>
            <w:vAlign w:val="top"/>
            <w:tcMar>
              <w:top w:w="110" w:type="dxa"/>
              <w:start w:w="120" w:type="dxa"/>
              <w:bottom w:w="110" w:type="dxa"/>
              <w:end w:w="120" w:type="dxa"/>
            </w:tcMar>
          </w:tcPr>
          <w:p>
            <w:pPr>
              <w:spacing w:after="40"/>
            </w:pPr>
            <w:r>
              <w:rPr>
                <w:sz w:val="18"/>
              </w:rPr>
              <w:t>____________________________</w:t>
            </w:r>
          </w:p>
        </w:tc>
        <w:tc>
          <w:tcPr>
            <w:tcW w:type="dxa" w:w="3888"/>
            <w:vAlign w:val="top"/>
            <w:tcMar>
              <w:top w:w="110" w:type="dxa"/>
              <w:start w:w="120" w:type="dxa"/>
              <w:bottom w:w="110" w:type="dxa"/>
              <w:end w:w="120" w:type="dxa"/>
            </w:tcMar>
          </w:tcPr>
          <w:p>
            <w:pPr>
              <w:spacing w:after="40"/>
            </w:pPr>
            <w:r>
              <w:rPr>
                <w:sz w:val="18"/>
              </w:rPr>
              <w:t>____________________________</w:t>
            </w:r>
          </w:p>
        </w:tc>
        <w:tc>
          <w:tcPr>
            <w:tcW w:type="dxa" w:w="2304"/>
            <w:vAlign w:val="top"/>
            <w:tcMar>
              <w:top w:w="110" w:type="dxa"/>
              <w:start w:w="120" w:type="dxa"/>
              <w:bottom w:w="110" w:type="dxa"/>
              <w:end w:w="120" w:type="dxa"/>
            </w:tcMar>
          </w:tcPr>
          <w:p>
            <w:pPr>
              <w:spacing w:after="40"/>
            </w:pPr>
            <w:r>
              <w:rPr>
                <w:sz w:val="18"/>
              </w:rPr>
              <w:t>____________</w:t>
            </w:r>
          </w:p>
        </w:tc>
      </w:tr>
    </w:tbl>
    <w:p>
      <w:pPr>
        <w:spacing w:after="20"/>
      </w:pPr>
    </w:p>
    <w:p>
      <w:pPr>
        <w:pStyle w:val="Heading2"/>
        <w:keepNext/>
      </w:pPr>
      <w:r>
        <w:t>Before Final Approval</w:t>
      </w:r>
    </w:p>
    <w:p>
      <w:pPr>
        <w:pStyle w:val="Checklist"/>
      </w:pPr>
      <w:r>
        <w:rPr>
          <w:b/>
        </w:rPr>
        <w:t xml:space="preserve">[ ] </w:t>
      </w:r>
      <w:r>
        <w:t>Purpose and scope are clear.</w:t>
      </w:r>
    </w:p>
    <w:p>
      <w:pPr>
        <w:pStyle w:val="Checklist"/>
      </w:pPr>
      <w:r>
        <w:rPr>
          <w:b/>
        </w:rPr>
        <w:t xml:space="preserve">[ ] </w:t>
      </w:r>
      <w:r>
        <w:t>Decision authority reflects actual practice.</w:t>
      </w:r>
    </w:p>
    <w:p>
      <w:pPr>
        <w:pStyle w:val="Checklist"/>
      </w:pPr>
      <w:r>
        <w:rPr>
          <w:b/>
        </w:rPr>
        <w:t xml:space="preserve">[ ] </w:t>
      </w:r>
      <w:r>
        <w:t>Executive governance is separated where appropriate.</w:t>
      </w:r>
    </w:p>
    <w:p>
      <w:pPr>
        <w:pStyle w:val="Checklist"/>
      </w:pPr>
      <w:r>
        <w:rPr>
          <w:b/>
        </w:rPr>
        <w:t xml:space="preserve">[ ] </w:t>
      </w:r>
      <w:r>
        <w:t>Market-data language avoids title-only matching and rigid peer assumptions.</w:t>
      </w:r>
    </w:p>
    <w:p>
      <w:pPr>
        <w:pStyle w:val="Checklist"/>
      </w:pPr>
      <w:r>
        <w:rPr>
          <w:b/>
        </w:rPr>
        <w:t xml:space="preserve">[ ] </w:t>
      </w:r>
      <w:r>
        <w:t>Policy does not guarantee automatic salary outcomes.</w:t>
      </w:r>
    </w:p>
    <w:p>
      <w:pPr>
        <w:pStyle w:val="Checklist"/>
      </w:pPr>
      <w:r>
        <w:rPr>
          <w:b/>
        </w:rPr>
        <w:t xml:space="preserve">[ ] </w:t>
      </w:r>
      <w:r>
        <w:t>Review cadence and ownership are assigned.</w:t>
      </w:r>
    </w:p>
    <w:p>
      <w:pPr>
        <w:pStyle w:val="Checklist"/>
      </w:pPr>
      <w:r>
        <w:rPr>
          <w:b/>
        </w:rPr>
        <w:t xml:space="preserve">[ ] </w:t>
      </w:r>
      <w:r>
        <w:t>Appropriate professional review is complete.</w:t>
      </w:r>
    </w:p>
    <w:p>
      <w:pPr>
        <w:pStyle w:val="Eyebrow"/>
        <w:keepNext/>
        <w:pageBreakBefore w:val="0"/>
      </w:pPr>
      <w:r>
        <w:t>REFERENCES &amp; SUPPORT</w:t>
      </w:r>
    </w:p>
    <w:p>
      <w:pPr>
        <w:pStyle w:val="Heading1"/>
        <w:keepNext/>
      </w:pPr>
      <w:r>
        <w:t>Authoritative References</w:t>
      </w:r>
    </w:p>
    <w:p>
      <w:r>
        <w:t>These sources informed the executive-compensation governance concepts in this toolkit. They are not a substitute for organization-specific professional advice.</w:t>
      </w:r>
    </w:p>
    <w:p>
      <w:pPr>
        <w:pStyle w:val="ListBullet"/>
      </w:pPr>
      <w:hyperlink r:id="rId11">
        <w:r>
          <w:rPr>
            <w:color w:val="3E8DCC"/>
            <w:u w:val="single"/>
          </w:rPr>
          <w:t>Internal Revenue Service - Rebuttable presumption / intermediate sanctions</w:t>
        </w:r>
      </w:hyperlink>
    </w:p>
    <w:p>
      <w:pPr>
        <w:pStyle w:val="ListBullet"/>
      </w:pPr>
      <w:hyperlink r:id="rId12">
        <w:r>
          <w:rPr>
            <w:color w:val="3E8DCC"/>
            <w:u w:val="single"/>
          </w:rPr>
          <w:t>Internal Revenue Service - Intermediate sanctions / compensation</w:t>
        </w:r>
      </w:hyperlink>
    </w:p>
    <w:p>
      <w:pPr>
        <w:pStyle w:val="ListBullet"/>
      </w:pPr>
      <w:hyperlink r:id="rId13">
        <w:r>
          <w:rPr>
            <w:color w:val="3E8DCC"/>
            <w:u w:val="single"/>
          </w:rPr>
          <w:t>National Council of Nonprofits - Executive Compensation</w:t>
        </w:r>
      </w:hyperlink>
    </w:p>
    <w:p>
      <w:pPr>
        <w:pStyle w:val="Heading1"/>
        <w:keepNext/>
      </w:pPr>
      <w:r>
        <w:t>Need a Policy Built Around Your Actual Pay Program?</w:t>
      </w:r>
    </w:p>
    <w:p>
      <w:r>
        <w:t>JER HR Group helps nonprofit organizations connect compensation policy with salary benchmarking, pay structures, executive compensation, governance, and implementation. A template provides the starting point; your organization’s jobs, market, workforce, and decision structure determine what the final policy should say.</w:t>
      </w:r>
    </w:p>
    <w:p>
      <w:r>
        <w:rPr>
          <w:b/>
        </w:rPr>
        <w:t xml:space="preserve">Talk to a Nonprofit Compensation Consultant: </w:t>
      </w:r>
      <w:hyperlink r:id="rId14">
        <w:r>
          <w:rPr>
            <w:color w:val="3E8DCC"/>
            <w:u w:val="single"/>
          </w:rPr>
          <w:t>jerhrgroup.com/contact</w:t>
        </w:r>
      </w:hyperlink>
    </w:p>
    <w:tbl>
      <w:tblPr>
        <w:tblW w:type="auto" w:w="0"/>
        <w:tblLook w:firstColumn="1" w:firstRow="1" w:lastColumn="0" w:lastRow="0" w:noHBand="0" w:noVBand="1" w:val="04A0"/>
      </w:tblPr>
      <w:tblGrid>
        <w:gridCol w:w="10080"/>
      </w:tblGrid>
      <w:tr>
        <w:tc>
          <w:tcPr>
            <w:tcW w:type="dxa" w:w="10080"/>
            <w:shd w:fill="172A3A"/>
            <w:tcMar>
              <w:top w:w="240" w:type="dxa"/>
              <w:start w:w="260" w:type="dxa"/>
              <w:bottom w:w="240" w:type="dxa"/>
              <w:end w:w="260" w:type="dxa"/>
            </w:tcMar>
          </w:tcPr>
          <w:p>
            <w:pPr>
              <w:jc w:val="center"/>
            </w:pPr>
            <w:r>
              <w:rPr>
                <w:b/>
                <w:color w:val="FFFFFF"/>
                <w:sz w:val="36"/>
              </w:rPr>
              <w:t>JER HR GROUP</w:t>
            </w:r>
          </w:p>
          <w:p>
            <w:pPr>
              <w:jc w:val="center"/>
            </w:pPr>
            <w:r>
              <w:rPr>
                <w:color w:val="D9EAF7"/>
                <w:sz w:val="20"/>
              </w:rPr>
              <w:t>Nonprofit compensation consulting | Compensation studies | Pay structures | Executive compensation | Governance</w:t>
            </w:r>
          </w:p>
        </w:tc>
      </w:tr>
    </w:tbl>
    <w:sectPr w:rsidR="00FC693F" w:rsidRPr="0006063C" w:rsidSect="00034616">
      <w:headerReference w:type="default" r:id="rId9"/>
      <w:footerReference w:type="default" r:id="rId10"/>
      <w:pgSz w:w="12240" w:h="15840"/>
      <w:pgMar w:top="1008"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SmallNote"/>
    </w:pPr>
    <w:r>
      <w:t>Sample template - general information only; not legal or tax advice.</w:t>
    </w:r>
  </w:p>
  <w:p>
    <w:pPr>
      <w:pStyle w:val="SmallNote"/>
      <w:jc w:val="right"/>
    </w:pPr>
    <w:r>
      <w:t xml:space="preserve">Page </w:t>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b/>
        <w:color w:val="3E8DCC"/>
        <w:sz w:val="18"/>
      </w:rPr>
      <w:t>JER HR GROUP</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9" w:lineRule="auto"/>
    </w:pPr>
    <w:rPr>
      <w:rFonts w:ascii="Aptos" w:hAnsi="Aptos"/>
      <w:color w:val="20303D"/>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140"/>
      <w:outlineLvl w:val="0"/>
    </w:pPr>
    <w:rPr>
      <w:rFonts w:asciiTheme="majorHAnsi" w:eastAsiaTheme="majorEastAsia" w:hAnsiTheme="majorHAnsi" w:cstheme="majorBidi" w:ascii="Aptos Display" w:hAnsi="Aptos Display"/>
      <w:b/>
      <w:bCs/>
      <w:color w:val="172A3A"/>
      <w:sz w:val="40"/>
      <w:szCs w:val="28"/>
    </w:rPr>
  </w:style>
  <w:style w:type="paragraph" w:styleId="Heading2">
    <w:name w:val="heading 2"/>
    <w:basedOn w:val="Normal"/>
    <w:next w:val="Normal"/>
    <w:link w:val="Heading2Char"/>
    <w:uiPriority w:val="9"/>
    <w:unhideWhenUsed/>
    <w:qFormat/>
    <w:rsid w:val="00FC693F"/>
    <w:pPr>
      <w:keepNext/>
      <w:keepLines/>
      <w:spacing w:before="120" w:after="100"/>
      <w:outlineLvl w:val="1"/>
    </w:pPr>
    <w:rPr>
      <w:rFonts w:asciiTheme="majorHAnsi" w:eastAsiaTheme="majorEastAsia" w:hAnsiTheme="majorHAnsi" w:cstheme="majorBidi" w:ascii="Aptos Display" w:hAnsi="Aptos Display"/>
      <w:b/>
      <w:bCs/>
      <w:color w:val="3E8DCC"/>
      <w:sz w:val="30"/>
      <w:szCs w:val="26"/>
    </w:rPr>
  </w:style>
  <w:style w:type="paragraph" w:styleId="Heading3">
    <w:name w:val="heading 3"/>
    <w:basedOn w:val="Normal"/>
    <w:next w:val="Normal"/>
    <w:link w:val="Heading3Char"/>
    <w:uiPriority w:val="9"/>
    <w:unhideWhenUsed/>
    <w:qFormat/>
    <w:rsid w:val="00FC693F"/>
    <w:pPr>
      <w:keepNext/>
      <w:keepLines/>
      <w:spacing w:before="100" w:after="60"/>
      <w:outlineLvl w:val="2"/>
    </w:pPr>
    <w:rPr>
      <w:rFonts w:asciiTheme="majorHAnsi" w:eastAsiaTheme="majorEastAsia" w:hAnsiTheme="majorHAnsi" w:cstheme="majorBidi" w:ascii="Aptos" w:hAnsi="Aptos"/>
      <w:b/>
      <w:bCs/>
      <w:color w:val="172A3A"/>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before="0"/>
      <w:contextualSpacing/>
    </w:pPr>
    <w:rPr>
      <w:rFonts w:asciiTheme="majorHAnsi" w:eastAsiaTheme="majorEastAsia" w:hAnsiTheme="majorHAnsi" w:cstheme="majorBidi" w:ascii="Aptos Display" w:hAnsi="Aptos Display"/>
      <w:b/>
      <w:color w:val="172A3A"/>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Eyebrow">
    <w:name w:val="Eyebrow"/>
    <w:pPr>
      <w:spacing w:after="120"/>
    </w:pPr>
    <w:rPr>
      <w:rFonts w:ascii="Aptos" w:hAnsi="Aptos"/>
      <w:b/>
      <w:color w:val="3E8DCC"/>
      <w:sz w:val="18"/>
    </w:rPr>
  </w:style>
  <w:style w:type="paragraph" w:customStyle="1" w:styleId="SmallNote">
    <w:name w:val="Small Note"/>
    <w:rPr>
      <w:rFonts w:ascii="Aptos" w:hAnsi="Aptos"/>
      <w:color w:val="5A6772"/>
      <w:sz w:val="17"/>
    </w:rPr>
  </w:style>
  <w:style w:type="paragraph" w:customStyle="1" w:styleId="Callout">
    <w:name w:val="Callout"/>
    <w:rPr>
      <w:rFonts w:ascii="Aptos" w:hAnsi="Aptos"/>
      <w:color w:val="20303D"/>
      <w:sz w:val="21"/>
    </w:rPr>
  </w:style>
  <w:style w:type="paragraph" w:customStyle="1" w:styleId="Checklist">
    <w:name w:val="Checklist"/>
    <w:pPr>
      <w:spacing w:after="60"/>
      <w:ind w:left="144"/>
    </w:pPr>
    <w:rPr>
      <w:rFonts w:ascii="Aptos" w:hAnsi="Aptos"/>
      <w:sz w:val="20"/>
    </w:rPr>
  </w:style>
  <w:style w:type="paragraph" w:customStyle="1" w:styleId="SampleLanguage">
    <w:name w:val="Sample Language"/>
    <w:pPr>
      <w:spacing w:before="60" w:after="160"/>
      <w:ind w:left="259" w:right="259"/>
    </w:pPr>
    <w:rPr>
      <w:rFonts w:ascii="Aptos" w:hAnsi="Aptos"/>
      <w:i/>
      <w:color w:val="20303D"/>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irs.gov/charities-non-profits/charitable-organizations/rebuttable-presumption-intermediate-sanctions" TargetMode="External"/><Relationship Id="rId12" Type="http://schemas.openxmlformats.org/officeDocument/2006/relationships/hyperlink" Target="https://www.irs.gov/charities-non-profits/charitable-organizations/intermediate-sanctions-compensation" TargetMode="External"/><Relationship Id="rId13" Type="http://schemas.openxmlformats.org/officeDocument/2006/relationships/hyperlink" Target="https://www.councilofnonprofits.org/running-nonprofit/governance-leadership/executive-compensation" TargetMode="External"/><Relationship Id="rId14" Type="http://schemas.openxmlformats.org/officeDocument/2006/relationships/hyperlink" Target="https://jerhrgroup.com/conta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Nonprofit Compensation Policy Toolkit</dc:title>
  <dc:subject>Editable nonprofit compensation policy template and governance checklists</dc:subject>
  <dc:creator>JER HR Group</dc:creator>
  <cp:keywords>nonprofit compensation policy, compensation policy template, executive compensation governance</cp:keywords>
  <dc:description>generated by python-docx</dc:description>
  <cp:lastModifiedBy/>
  <cp:revision>1</cp:revision>
  <dcterms:created xsi:type="dcterms:W3CDTF">2013-12-23T23:15:00Z</dcterms:created>
  <dcterms:modified xsi:type="dcterms:W3CDTF">2013-12-23T23:15:00Z</dcterms:modified>
  <cp:category/>
</cp:coreProperties>
</file>