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32"/>
          <w:szCs w:val="32"/>
        </w:rPr>
        <w:t xml:space="preserve">Why I Should Attend The Breakpoint 2026</w:t>
      </w:r>
    </w:p>
    <w:p>
      <w:pPr>
        <w:spacing w:after="160"/>
      </w:pPr>
      <w:r>
        <w:t xml:space="preserve">The AAF District 10 Summit</w:t>
      </w:r>
    </w:p>
    <w:p>
      <w:pPr>
        <w:pBdr>
          <w:bottom w:val="single" w:color="CCCCCC" w:sz="6" w:space="6"/>
        </w:pBdr>
        <w:spacing w:after="200"/>
      </w:pPr>
    </w:p>
    <w:p>
      <w:pPr>
        <w:spacing w:after="160"/>
      </w:pPr>
      <w:r>
        <w:t xml:space="preserve">Conference dates: October 8–10, 2026</w:t>
      </w:r>
    </w:p>
    <w:p>
      <w:pPr>
        <w:spacing w:after="160"/>
      </w:pPr>
      <w:r>
        <w:t xml:space="preserve">Location: Moody Gardens Hotel &amp; Convention Center, Galveston, Texas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Investment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Registration: </w:t>
      </w:r>
      <w:r>
        <w:t xml:space="preserve">$349 early-bird at the AAF member rate ($399 to $450 for other tiers)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Hotel: </w:t>
      </w:r>
      <w:r>
        <w:t xml:space="preserve">discounted room block starting at $209 per night</w:t>
      </w:r>
    </w:p>
    <w:p>
      <w:pPr>
        <w:spacing w:after="160" w:before="160"/>
      </w:pPr>
      <w:r>
        <w:t xml:space="preserve">The Breakpoint offers one of the best values in professional development, delivering </w:t>
      </w:r>
      <w:r>
        <w:t xml:space="preserve">three days</w:t>
      </w:r>
      <w:r>
        <w:t xml:space="preserve"> of programming featuring </w:t>
      </w:r>
      <w:r>
        <w:t xml:space="preserve">18</w:t>
      </w:r>
      <w:r>
        <w:t xml:space="preserve"> speakers for less than the cost of many single-day conferences.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Organizations Represented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AI Digital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Lopez Negrete Communications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Gringo's Tex-Mex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Houston Chronicle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Gray Media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PMG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Creative Consumer Research</w:t>
      </w:r>
    </w:p>
    <w:p>
      <w:pPr>
        <w:spacing w:after="160" w:before="120"/>
      </w:pPr>
      <w:r>
        <w:t xml:space="preserve">Additional sessions cover market research, creative strategy, agency operations, and the media landscape, with more speakers announced on a rolling basis.</w:t>
      </w:r>
    </w:p>
    <w:p>
      <w:pPr>
        <w:spacing w:after="140" w:before="280"/>
      </w:pPr>
      <w:r>
        <w:rPr>
          <w:b/>
          <w:bCs/>
          <w:sz w:val="26"/>
          <w:szCs w:val="26"/>
        </w:rPr>
        <w:t xml:space="preserve">What I’ll Bring Back</w:t>
      </w:r>
    </w:p>
    <w:p>
      <w:pPr>
        <w:spacing w:after="160"/>
      </w:pPr>
      <w:r>
        <w:t xml:space="preserve">By attending, I will gain practical ideas that can immediately benefit our organization, including: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Practical AI tools and adoption strategies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Consumer insight strategies from leading brands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Marketing and branding best practices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to keep AI-generated work on the right side of copyright law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Culture-led brand building that avoids stereotype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Leadership strategies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Emerging digital marketing trends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Professional connections with industry leaders</w:t>
      </w:r>
    </w:p>
    <w:p>
      <w:pPr>
        <w:spacing w:after="160" w:before="160"/>
      </w:pPr>
      <w:r>
        <w:t xml:space="preserve">Following the conference, I will provide a recap of key sessions, recommended resources, and actionable ideas for our team.</w:t>
      </w:r>
    </w:p>
    <w:p>
      <w:pPr>
        <w:spacing w:after="160"/>
      </w:pPr>
      <w:r>
        <w:t xml:space="preserve">For a relatively small investment, this conference offers significant professional development and the opportunity to apply proven ideas from some of the region’s most respected organizations.</w:t>
      </w:r>
    </w:p>
    <w:p>
      <w:pPr>
        <w:spacing w:after="160"/>
      </w:pPr>
      <w:r>
        <w:t xml:space="preserve">Thank you for considering my request.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2026-07-28T00:15:55.217Z</dcterms:created>
  <dcterms:modified xsi:type="dcterms:W3CDTF">2026-07-28T00:15:55.217Z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