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F8E7D6" w14:textId="77777777" w:rsidR="00CF1AFC" w:rsidRDefault="00CF1AFC" w:rsidP="00A42702">
      <w:pPr>
        <w:rPr>
          <w:b/>
          <w:bCs/>
        </w:rPr>
      </w:pPr>
    </w:p>
    <w:p w14:paraId="21DFCDE8" w14:textId="77777777" w:rsidR="00CF1AFC" w:rsidRDefault="00CF1AFC" w:rsidP="00EA503E">
      <w:pPr>
        <w:jc w:val="center"/>
        <w:rPr>
          <w:b/>
          <w:bCs/>
        </w:rPr>
      </w:pPr>
    </w:p>
    <w:p w14:paraId="7C99A0E9" w14:textId="5BE2ABA5" w:rsidR="00A42702" w:rsidRPr="00A42702" w:rsidRDefault="00A42702" w:rsidP="00EA503E">
      <w:pPr>
        <w:jc w:val="center"/>
        <w:rPr>
          <w:b/>
          <w:bCs/>
        </w:rPr>
      </w:pPr>
      <w:proofErr w:type="spellStart"/>
      <w:r w:rsidRPr="00A42702">
        <w:rPr>
          <w:b/>
          <w:bCs/>
        </w:rPr>
        <w:t>Balance@Work</w:t>
      </w:r>
      <w:proofErr w:type="spellEnd"/>
      <w:r w:rsidRPr="00A42702">
        <w:rPr>
          <w:b/>
          <w:bCs/>
        </w:rPr>
        <w:t>: From Awareness to Workplace Action</w:t>
      </w:r>
    </w:p>
    <w:p w14:paraId="2CBF0574" w14:textId="77777777" w:rsidR="00A42702" w:rsidRPr="00A42702" w:rsidRDefault="00A42702" w:rsidP="00A42702">
      <w:proofErr w:type="spellStart"/>
      <w:r w:rsidRPr="00A42702">
        <w:t>Balance@Work</w:t>
      </w:r>
      <w:proofErr w:type="spellEnd"/>
      <w:r w:rsidRPr="00A42702">
        <w:t xml:space="preserve"> helps employers move beyond awareness days and policy documents to create practical, evidence-led hormone health support that employees and managers can use.</w:t>
      </w:r>
    </w:p>
    <w:p w14:paraId="374101E4" w14:textId="77777777" w:rsidR="00A42702" w:rsidRPr="00A42702" w:rsidRDefault="00A42702" w:rsidP="00A42702">
      <w:pPr>
        <w:rPr>
          <w:b/>
          <w:bCs/>
        </w:rPr>
      </w:pPr>
      <w:r w:rsidRPr="00A42702">
        <w:rPr>
          <w:b/>
          <w:bCs/>
        </w:rPr>
        <w:t>The Workplace Challenge</w:t>
      </w:r>
    </w:p>
    <w:p w14:paraId="53F25DFF" w14:textId="77777777" w:rsidR="00A42702" w:rsidRPr="00A42702" w:rsidRDefault="00A42702" w:rsidP="00A42702">
      <w:r w:rsidRPr="00A42702">
        <w:t xml:space="preserve">Hormone-related symptoms can affect how people sleep, think, communicate, lead and participate at work. The impact is often </w:t>
      </w:r>
      <w:proofErr w:type="gramStart"/>
      <w:r w:rsidRPr="00A42702">
        <w:t>hidden:</w:t>
      </w:r>
      <w:proofErr w:type="gramEnd"/>
      <w:r w:rsidRPr="00A42702">
        <w:t xml:space="preserve"> employees may remain at work while experiencing changes in confidence, concentration, energy, comfort or working patterns.</w:t>
      </w:r>
    </w:p>
    <w:p w14:paraId="4B59367E" w14:textId="5DD61DDE" w:rsidR="00A42702" w:rsidRPr="00A42702" w:rsidRDefault="00A42702" w:rsidP="00A42702">
      <w:pPr>
        <w:rPr>
          <w:b/>
          <w:bCs/>
        </w:rPr>
      </w:pPr>
      <w:r w:rsidRPr="00A42702">
        <w:t>This can affect performance, participation, progression and retention without appearing clearly in absence data. Managers may recognise that something has changed but lack the confidence, language or guidance to respond appropriately.</w:t>
      </w:r>
      <w:r w:rsidRPr="00A42702">
        <w:br/>
      </w:r>
      <w:r w:rsidRPr="00A42702">
        <w:br/>
      </w:r>
      <w:r w:rsidRPr="00A42702">
        <w:rPr>
          <w:b/>
          <w:bCs/>
        </w:rPr>
        <w:t>Who It Is For</w:t>
      </w:r>
    </w:p>
    <w:p w14:paraId="388C6201" w14:textId="77777777" w:rsidR="00A42702" w:rsidRPr="00A42702" w:rsidRDefault="00A42702" w:rsidP="00A42702">
      <w:proofErr w:type="spellStart"/>
      <w:r w:rsidRPr="00A42702">
        <w:t>Balance@Work</w:t>
      </w:r>
      <w:proofErr w:type="spellEnd"/>
      <w:r w:rsidRPr="00A42702">
        <w:t xml:space="preserve"> is designed for HR, wellbeing, occupational health and DEI teams, senior leaders and people managers responsible for employee experience, inclusion, performance and retention.</w:t>
      </w:r>
    </w:p>
    <w:p w14:paraId="7C989F38" w14:textId="77777777" w:rsidR="00A42702" w:rsidRPr="00A42702" w:rsidRDefault="00A42702" w:rsidP="00A42702">
      <w:pPr>
        <w:rPr>
          <w:b/>
          <w:bCs/>
        </w:rPr>
      </w:pPr>
      <w:r w:rsidRPr="00A42702">
        <w:rPr>
          <w:b/>
          <w:bCs/>
        </w:rPr>
        <w:t>Core Proposition</w:t>
      </w:r>
    </w:p>
    <w:p w14:paraId="062125E7" w14:textId="77777777" w:rsidR="00A42702" w:rsidRPr="00A42702" w:rsidRDefault="00A42702" w:rsidP="00A42702">
      <w:proofErr w:type="spellStart"/>
      <w:r w:rsidRPr="00A42702">
        <w:rPr>
          <w:b/>
          <w:bCs/>
        </w:rPr>
        <w:t>Balance@Work</w:t>
      </w:r>
      <w:proofErr w:type="spellEnd"/>
      <w:r w:rsidRPr="00A42702">
        <w:rPr>
          <w:b/>
          <w:bCs/>
        </w:rPr>
        <w:t xml:space="preserve"> turns clinically informed hormone health education into practical workplace action that supports participation, progression and more inclusive working cultures.</w:t>
      </w:r>
    </w:p>
    <w:p w14:paraId="40B7BA74" w14:textId="77777777" w:rsidR="00A42702" w:rsidRPr="00A42702" w:rsidRDefault="00A42702" w:rsidP="00A42702">
      <w:pPr>
        <w:rPr>
          <w:b/>
          <w:bCs/>
        </w:rPr>
      </w:pPr>
      <w:r w:rsidRPr="00A42702">
        <w:rPr>
          <w:b/>
          <w:bCs/>
        </w:rPr>
        <w:t>Key Messages</w:t>
      </w:r>
    </w:p>
    <w:p w14:paraId="6378BC12" w14:textId="77777777" w:rsidR="00A42702" w:rsidRPr="00A42702" w:rsidRDefault="00A42702" w:rsidP="00A42702">
      <w:pPr>
        <w:numPr>
          <w:ilvl w:val="0"/>
          <w:numId w:val="1"/>
        </w:numPr>
      </w:pPr>
      <w:r w:rsidRPr="00A42702">
        <w:rPr>
          <w:b/>
          <w:bCs/>
        </w:rPr>
        <w:t>Hormone health is a workforce participation issue.</w:t>
      </w:r>
      <w:r w:rsidRPr="00A42702">
        <w:t xml:space="preserve"> It can influence daily contribution, career decisions and sustainable working lives.</w:t>
      </w:r>
    </w:p>
    <w:p w14:paraId="29D3E6C4" w14:textId="77777777" w:rsidR="00A42702" w:rsidRPr="00A42702" w:rsidRDefault="00A42702" w:rsidP="00A42702">
      <w:pPr>
        <w:numPr>
          <w:ilvl w:val="0"/>
          <w:numId w:val="1"/>
        </w:numPr>
      </w:pPr>
      <w:r w:rsidRPr="00A42702">
        <w:rPr>
          <w:b/>
          <w:bCs/>
        </w:rPr>
        <w:t>Absence data does not show the full impact.</w:t>
      </w:r>
      <w:r w:rsidRPr="00A42702">
        <w:t xml:space="preserve"> Presenteeism, reduced confidence and changing ambitions can remain largely invisible.</w:t>
      </w:r>
    </w:p>
    <w:p w14:paraId="4148BA14" w14:textId="77777777" w:rsidR="00A42702" w:rsidRPr="00A42702" w:rsidRDefault="00A42702" w:rsidP="00A42702">
      <w:pPr>
        <w:numPr>
          <w:ilvl w:val="0"/>
          <w:numId w:val="1"/>
        </w:numPr>
      </w:pPr>
      <w:r w:rsidRPr="00A42702">
        <w:rPr>
          <w:b/>
          <w:bCs/>
        </w:rPr>
        <w:t>A policy is not practical support.</w:t>
      </w:r>
      <w:r w:rsidRPr="00A42702">
        <w:t xml:space="preserve"> Guidance must be visible, trusted and supported by capable managers and clear pathways.</w:t>
      </w:r>
    </w:p>
    <w:p w14:paraId="1E17790B" w14:textId="77777777" w:rsidR="00A42702" w:rsidRPr="00A42702" w:rsidRDefault="00A42702" w:rsidP="00A42702">
      <w:pPr>
        <w:numPr>
          <w:ilvl w:val="0"/>
          <w:numId w:val="1"/>
        </w:numPr>
      </w:pPr>
      <w:r w:rsidRPr="00A42702">
        <w:rPr>
          <w:b/>
          <w:bCs/>
        </w:rPr>
        <w:t>Employers can educate, listen, adjust, signpost and measure.</w:t>
      </w:r>
      <w:r w:rsidRPr="00A42702">
        <w:t xml:space="preserve"> They should not diagnose or give medical advice.</w:t>
      </w:r>
    </w:p>
    <w:p w14:paraId="058B646E" w14:textId="77777777" w:rsidR="00A42702" w:rsidRPr="00A42702" w:rsidRDefault="00A42702" w:rsidP="00A42702">
      <w:pPr>
        <w:rPr>
          <w:b/>
          <w:bCs/>
        </w:rPr>
      </w:pPr>
      <w:r w:rsidRPr="00A42702">
        <w:rPr>
          <w:b/>
          <w:bCs/>
        </w:rPr>
        <w:t>Practical Employer Q&amp;A</w:t>
      </w:r>
    </w:p>
    <w:p w14:paraId="4F9883BC" w14:textId="77777777" w:rsidR="00A42702" w:rsidRPr="00A42702" w:rsidRDefault="00A42702" w:rsidP="00A42702">
      <w:r w:rsidRPr="00A42702">
        <w:rPr>
          <w:b/>
          <w:bCs/>
        </w:rPr>
        <w:lastRenderedPageBreak/>
        <w:t>Do employees know where to find support?</w:t>
      </w:r>
      <w:r w:rsidRPr="00A42702">
        <w:rPr>
          <w:b/>
          <w:bCs/>
        </w:rPr>
        <w:br/>
      </w:r>
      <w:r w:rsidRPr="00A42702">
        <w:t>Make guidance easy to locate, written in plain English and clear about confidentiality and available routes.</w:t>
      </w:r>
    </w:p>
    <w:p w14:paraId="2902B0D8" w14:textId="77777777" w:rsidR="00A42702" w:rsidRPr="00A42702" w:rsidRDefault="00A42702" w:rsidP="00A42702">
      <w:r w:rsidRPr="00A42702">
        <w:rPr>
          <w:b/>
          <w:bCs/>
        </w:rPr>
        <w:t>Are managers equipped to respond well?</w:t>
      </w:r>
      <w:r w:rsidRPr="00A42702">
        <w:rPr>
          <w:b/>
          <w:bCs/>
        </w:rPr>
        <w:br/>
      </w:r>
      <w:r w:rsidRPr="00A42702">
        <w:t>Managers should know how to listen, avoid assumptions, discuss work impact, protect privacy and signpost appropriately.</w:t>
      </w:r>
    </w:p>
    <w:p w14:paraId="6747175F" w14:textId="77777777" w:rsidR="00A42702" w:rsidRPr="00A42702" w:rsidRDefault="00A42702" w:rsidP="00A42702">
      <w:r w:rsidRPr="00A42702">
        <w:rPr>
          <w:b/>
          <w:bCs/>
        </w:rPr>
        <w:t>Are adjustments practical and individual?</w:t>
      </w:r>
      <w:r w:rsidRPr="00A42702">
        <w:rPr>
          <w:b/>
          <w:bCs/>
        </w:rPr>
        <w:br/>
      </w:r>
      <w:r w:rsidRPr="00A42702">
        <w:t>Consider working hours, location, uniform, temperature, breaks, workload planning, meeting patterns or shift predictability.</w:t>
      </w:r>
    </w:p>
    <w:p w14:paraId="2D588D9A" w14:textId="77777777" w:rsidR="00A42702" w:rsidRPr="00A42702" w:rsidRDefault="00A42702" w:rsidP="00A42702">
      <w:r w:rsidRPr="00A42702">
        <w:rPr>
          <w:b/>
          <w:bCs/>
        </w:rPr>
        <w:t>Are career conversations safe?</w:t>
      </w:r>
      <w:r w:rsidRPr="00A42702">
        <w:rPr>
          <w:b/>
          <w:bCs/>
        </w:rPr>
        <w:br/>
      </w:r>
      <w:r w:rsidRPr="00A42702">
        <w:t>Employees should be able to ask for support without fearing damage to their progression or reputation.</w:t>
      </w:r>
    </w:p>
    <w:p w14:paraId="393D0A9D" w14:textId="77777777" w:rsidR="00A42702" w:rsidRPr="00A42702" w:rsidRDefault="00A42702" w:rsidP="00A42702">
      <w:r w:rsidRPr="00A42702">
        <w:rPr>
          <w:b/>
          <w:bCs/>
        </w:rPr>
        <w:t>Are you measuring what matters?</w:t>
      </w:r>
      <w:r w:rsidRPr="00A42702">
        <w:rPr>
          <w:b/>
          <w:bCs/>
        </w:rPr>
        <w:br/>
      </w:r>
      <w:r w:rsidRPr="00A42702">
        <w:t>Review awareness, manager confidence, support usage, employee feedback and themes from retention or progression data, using proportionate and privacy-conscious methods.</w:t>
      </w:r>
    </w:p>
    <w:p w14:paraId="75CCEF51" w14:textId="77777777" w:rsidR="00A42702" w:rsidRPr="00A42702" w:rsidRDefault="00A42702" w:rsidP="00A42702">
      <w:pPr>
        <w:rPr>
          <w:b/>
          <w:bCs/>
        </w:rPr>
      </w:pPr>
      <w:r w:rsidRPr="00A42702">
        <w:rPr>
          <w:b/>
          <w:bCs/>
        </w:rPr>
        <w:t xml:space="preserve">How </w:t>
      </w:r>
      <w:proofErr w:type="spellStart"/>
      <w:r w:rsidRPr="00A42702">
        <w:rPr>
          <w:b/>
          <w:bCs/>
        </w:rPr>
        <w:t>Balance@Work</w:t>
      </w:r>
      <w:proofErr w:type="spellEnd"/>
      <w:r w:rsidRPr="00A42702">
        <w:rPr>
          <w:b/>
          <w:bCs/>
        </w:rPr>
        <w:t xml:space="preserve"> Supports Organisations</w:t>
      </w:r>
    </w:p>
    <w:p w14:paraId="5205DECD" w14:textId="77777777" w:rsidR="00A42702" w:rsidRPr="00A42702" w:rsidRDefault="00A42702" w:rsidP="00A42702">
      <w:r w:rsidRPr="00A42702">
        <w:t>Support can include leadership briefings, manager training, employee education, HR and occupational health guidance, communications toolkits, measurement and reflection, and bespoke programmes.</w:t>
      </w:r>
    </w:p>
    <w:p w14:paraId="4641395C" w14:textId="77777777" w:rsidR="00A42702" w:rsidRPr="00A42702" w:rsidRDefault="00A42702" w:rsidP="00A42702">
      <w:hyperlink r:id="rId10" w:history="1">
        <w:r w:rsidRPr="00A42702">
          <w:rPr>
            <w:rStyle w:val="Hyperlink"/>
          </w:rPr>
          <w:t>www.balanceatwork.co.uk</w:t>
        </w:r>
      </w:hyperlink>
    </w:p>
    <w:p w14:paraId="7FE68073" w14:textId="77777777" w:rsidR="005A2581" w:rsidRPr="00A42702" w:rsidRDefault="005A2581" w:rsidP="00A42702"/>
    <w:sectPr w:rsidR="005A2581" w:rsidRPr="00A42702">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0AE801" w14:textId="77777777" w:rsidR="00430A18" w:rsidRDefault="00430A18" w:rsidP="002E12C1">
      <w:pPr>
        <w:spacing w:after="0" w:line="240" w:lineRule="auto"/>
      </w:pPr>
      <w:r>
        <w:separator/>
      </w:r>
    </w:p>
  </w:endnote>
  <w:endnote w:type="continuationSeparator" w:id="0">
    <w:p w14:paraId="117AD204" w14:textId="77777777" w:rsidR="00430A18" w:rsidRDefault="00430A18" w:rsidP="002E12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878A9D" w14:textId="77777777" w:rsidR="00430A18" w:rsidRDefault="00430A18" w:rsidP="002E12C1">
      <w:pPr>
        <w:spacing w:after="0" w:line="240" w:lineRule="auto"/>
      </w:pPr>
      <w:r>
        <w:separator/>
      </w:r>
    </w:p>
  </w:footnote>
  <w:footnote w:type="continuationSeparator" w:id="0">
    <w:p w14:paraId="437F1FB1" w14:textId="77777777" w:rsidR="00430A18" w:rsidRDefault="00430A18" w:rsidP="002E12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BA0DF" w14:textId="4DEB6538" w:rsidR="002E12C1" w:rsidRDefault="004F50D1" w:rsidP="002E12C1">
    <w:pPr>
      <w:pStyle w:val="Header"/>
      <w:tabs>
        <w:tab w:val="clear" w:pos="4513"/>
        <w:tab w:val="clear" w:pos="9026"/>
        <w:tab w:val="left" w:pos="3520"/>
      </w:tabs>
    </w:pPr>
    <w:r>
      <w:rPr>
        <w:noProof/>
      </w:rPr>
      <w:drawing>
        <wp:anchor distT="0" distB="0" distL="114300" distR="114300" simplePos="0" relativeHeight="251658240" behindDoc="0" locked="0" layoutInCell="1" allowOverlap="1" wp14:anchorId="599065D0" wp14:editId="5A96E18B">
          <wp:simplePos x="0" y="0"/>
          <wp:positionH relativeFrom="margin">
            <wp:posOffset>852805</wp:posOffset>
          </wp:positionH>
          <wp:positionV relativeFrom="paragraph">
            <wp:posOffset>-246380</wp:posOffset>
          </wp:positionV>
          <wp:extent cx="4025900" cy="1087755"/>
          <wp:effectExtent l="0" t="0" r="0" b="0"/>
          <wp:wrapSquare wrapText="bothSides"/>
          <wp:docPr id="994794429" name="Picture 1" descr="B@W Purple Background for Screen Strapline">
            <a:extLst xmlns:a="http://schemas.openxmlformats.org/drawingml/2006/main">
              <a:ext uri="{FF2B5EF4-FFF2-40B4-BE49-F238E27FC236}">
                <a16:creationId xmlns:a16="http://schemas.microsoft.com/office/drawing/2014/main" id="{C643A20E-33B1-4F8F-8D2E-571044EE5AB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4794429" name="Picture 1" descr="B@W Purple Background for Screen Strapli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25900" cy="1087755"/>
                  </a:xfrm>
                  <a:prstGeom prst="rect">
                    <a:avLst/>
                  </a:prstGeom>
                  <a:noFill/>
                  <a:ln>
                    <a:noFill/>
                  </a:ln>
                </pic:spPr>
              </pic:pic>
            </a:graphicData>
          </a:graphic>
        </wp:anchor>
      </w:drawing>
    </w:r>
    <w:r w:rsidR="002E12C1">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4C2000"/>
    <w:multiLevelType w:val="multilevel"/>
    <w:tmpl w:val="CF6E5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226821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702"/>
    <w:rsid w:val="00290FB4"/>
    <w:rsid w:val="002E12C1"/>
    <w:rsid w:val="00430A18"/>
    <w:rsid w:val="0049092D"/>
    <w:rsid w:val="004F50D1"/>
    <w:rsid w:val="005A2581"/>
    <w:rsid w:val="005C4D63"/>
    <w:rsid w:val="007E4C01"/>
    <w:rsid w:val="00835FCF"/>
    <w:rsid w:val="0087375A"/>
    <w:rsid w:val="00A42702"/>
    <w:rsid w:val="00C87151"/>
    <w:rsid w:val="00CF1AFC"/>
    <w:rsid w:val="00DD518D"/>
    <w:rsid w:val="00EA503E"/>
    <w:rsid w:val="00ED0578"/>
    <w:rsid w:val="00EE74BD"/>
    <w:rsid w:val="00F9255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7BDC73"/>
  <w15:chartTrackingRefBased/>
  <w15:docId w15:val="{308CEDF0-FA97-4319-BDEF-A4CB3BCDC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427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427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4270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4270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4270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4270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270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270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270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270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4270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4270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4270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4270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427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27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27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2702"/>
    <w:rPr>
      <w:rFonts w:eastAsiaTheme="majorEastAsia" w:cstheme="majorBidi"/>
      <w:color w:val="272727" w:themeColor="text1" w:themeTint="D8"/>
    </w:rPr>
  </w:style>
  <w:style w:type="paragraph" w:styleId="Title">
    <w:name w:val="Title"/>
    <w:basedOn w:val="Normal"/>
    <w:next w:val="Normal"/>
    <w:link w:val="TitleChar"/>
    <w:uiPriority w:val="10"/>
    <w:qFormat/>
    <w:rsid w:val="00A427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27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27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27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2702"/>
    <w:pPr>
      <w:spacing w:before="160"/>
      <w:jc w:val="center"/>
    </w:pPr>
    <w:rPr>
      <w:i/>
      <w:iCs/>
      <w:color w:val="404040" w:themeColor="text1" w:themeTint="BF"/>
    </w:rPr>
  </w:style>
  <w:style w:type="character" w:customStyle="1" w:styleId="QuoteChar">
    <w:name w:val="Quote Char"/>
    <w:basedOn w:val="DefaultParagraphFont"/>
    <w:link w:val="Quote"/>
    <w:uiPriority w:val="29"/>
    <w:rsid w:val="00A42702"/>
    <w:rPr>
      <w:i/>
      <w:iCs/>
      <w:color w:val="404040" w:themeColor="text1" w:themeTint="BF"/>
    </w:rPr>
  </w:style>
  <w:style w:type="paragraph" w:styleId="ListParagraph">
    <w:name w:val="List Paragraph"/>
    <w:basedOn w:val="Normal"/>
    <w:uiPriority w:val="34"/>
    <w:qFormat/>
    <w:rsid w:val="00A42702"/>
    <w:pPr>
      <w:ind w:left="720"/>
      <w:contextualSpacing/>
    </w:pPr>
  </w:style>
  <w:style w:type="character" w:styleId="IntenseEmphasis">
    <w:name w:val="Intense Emphasis"/>
    <w:basedOn w:val="DefaultParagraphFont"/>
    <w:uiPriority w:val="21"/>
    <w:qFormat/>
    <w:rsid w:val="00A42702"/>
    <w:rPr>
      <w:i/>
      <w:iCs/>
      <w:color w:val="0F4761" w:themeColor="accent1" w:themeShade="BF"/>
    </w:rPr>
  </w:style>
  <w:style w:type="paragraph" w:styleId="IntenseQuote">
    <w:name w:val="Intense Quote"/>
    <w:basedOn w:val="Normal"/>
    <w:next w:val="Normal"/>
    <w:link w:val="IntenseQuoteChar"/>
    <w:uiPriority w:val="30"/>
    <w:qFormat/>
    <w:rsid w:val="00A427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42702"/>
    <w:rPr>
      <w:i/>
      <w:iCs/>
      <w:color w:val="0F4761" w:themeColor="accent1" w:themeShade="BF"/>
    </w:rPr>
  </w:style>
  <w:style w:type="character" w:styleId="IntenseReference">
    <w:name w:val="Intense Reference"/>
    <w:basedOn w:val="DefaultParagraphFont"/>
    <w:uiPriority w:val="32"/>
    <w:qFormat/>
    <w:rsid w:val="00A42702"/>
    <w:rPr>
      <w:b/>
      <w:bCs/>
      <w:smallCaps/>
      <w:color w:val="0F4761" w:themeColor="accent1" w:themeShade="BF"/>
      <w:spacing w:val="5"/>
    </w:rPr>
  </w:style>
  <w:style w:type="character" w:styleId="Hyperlink">
    <w:name w:val="Hyperlink"/>
    <w:basedOn w:val="DefaultParagraphFont"/>
    <w:uiPriority w:val="99"/>
    <w:unhideWhenUsed/>
    <w:rsid w:val="00A42702"/>
    <w:rPr>
      <w:color w:val="467886" w:themeColor="hyperlink"/>
      <w:u w:val="single"/>
    </w:rPr>
  </w:style>
  <w:style w:type="character" w:styleId="UnresolvedMention">
    <w:name w:val="Unresolved Mention"/>
    <w:basedOn w:val="DefaultParagraphFont"/>
    <w:uiPriority w:val="99"/>
    <w:semiHidden/>
    <w:unhideWhenUsed/>
    <w:rsid w:val="00A42702"/>
    <w:rPr>
      <w:color w:val="605E5C"/>
      <w:shd w:val="clear" w:color="auto" w:fill="E1DFDD"/>
    </w:rPr>
  </w:style>
  <w:style w:type="paragraph" w:styleId="Header">
    <w:name w:val="header"/>
    <w:basedOn w:val="Normal"/>
    <w:link w:val="HeaderChar"/>
    <w:uiPriority w:val="99"/>
    <w:unhideWhenUsed/>
    <w:rsid w:val="002E12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12C1"/>
  </w:style>
  <w:style w:type="paragraph" w:styleId="Footer">
    <w:name w:val="footer"/>
    <w:basedOn w:val="Normal"/>
    <w:link w:val="FooterChar"/>
    <w:uiPriority w:val="99"/>
    <w:unhideWhenUsed/>
    <w:rsid w:val="002E12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12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balanceatwork.co.uk"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e2dde88-0660-436c-9c6f-c02489bc881e" xsi:nil="true"/>
    <lcf76f155ced4ddcb4097134ff3c332f xmlns="2cc61d2f-f506-4429-a71c-6a8a50052fc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51FA930C3E79446ABCBC56809037EEB" ma:contentTypeVersion="16" ma:contentTypeDescription="Create a new document." ma:contentTypeScope="" ma:versionID="83b106b988bc9c4cb98b3e2519b4dd52">
  <xsd:schema xmlns:xsd="http://www.w3.org/2001/XMLSchema" xmlns:xs="http://www.w3.org/2001/XMLSchema" xmlns:p="http://schemas.microsoft.com/office/2006/metadata/properties" xmlns:ns2="2cc61d2f-f506-4429-a71c-6a8a50052fc8" xmlns:ns3="7e2dde88-0660-436c-9c6f-c02489bc881e" targetNamespace="http://schemas.microsoft.com/office/2006/metadata/properties" ma:root="true" ma:fieldsID="858fd865e53ae1f71324ba4d8644ffd5" ns2:_="" ns3:_="">
    <xsd:import namespace="2cc61d2f-f506-4429-a71c-6a8a50052fc8"/>
    <xsd:import namespace="7e2dde88-0660-436c-9c6f-c02489bc881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MediaLengthInSeconds"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c61d2f-f506-4429-a71c-6a8a50052f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65888d96-acb6-4c98-8c3f-61a4c5ef7b20"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2dde88-0660-436c-9c6f-c02489bc881e"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43354cf-7830-4e3d-addd-1a2fdda6923a}" ma:internalName="TaxCatchAll" ma:showField="CatchAllData" ma:web="7e2dde88-0660-436c-9c6f-c02489bc881e">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E98AB2-DF31-44F5-8E56-8169D851D772}">
  <ds:schemaRefs>
    <ds:schemaRef ds:uri="http://schemas.microsoft.com/office/2006/metadata/properties"/>
    <ds:schemaRef ds:uri="http://schemas.microsoft.com/office/infopath/2007/PartnerControls"/>
    <ds:schemaRef ds:uri="7e2dde88-0660-436c-9c6f-c02489bc881e"/>
    <ds:schemaRef ds:uri="2cc61d2f-f506-4429-a71c-6a8a50052fc8"/>
  </ds:schemaRefs>
</ds:datastoreItem>
</file>

<file path=customXml/itemProps2.xml><?xml version="1.0" encoding="utf-8"?>
<ds:datastoreItem xmlns:ds="http://schemas.openxmlformats.org/officeDocument/2006/customXml" ds:itemID="{001767C3-EAD6-4CF2-8411-95DF722E7E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c61d2f-f506-4429-a71c-6a8a50052fc8"/>
    <ds:schemaRef ds:uri="7e2dde88-0660-436c-9c6f-c02489bc88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9D33B02-7BFB-4D39-AEBE-25ABDDA8B0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415</Words>
  <Characters>2367</Characters>
  <Application>Microsoft Office Word</Application>
  <DocSecurity>0</DocSecurity>
  <Lines>19</Lines>
  <Paragraphs>5</Paragraphs>
  <ScaleCrop>false</ScaleCrop>
  <Company/>
  <LinksUpToDate>false</LinksUpToDate>
  <CharactersWithSpaces>2777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Davies</dc:creator>
  <cp:keywords/>
  <dc:description/>
  <cp:lastModifiedBy>Sarah Davies</cp:lastModifiedBy>
  <cp:revision>14</cp:revision>
  <dcterms:created xsi:type="dcterms:W3CDTF">2026-07-02T06:29:00Z</dcterms:created>
  <dcterms:modified xsi:type="dcterms:W3CDTF">2026-07-02T14:32:00Z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0x010100551FA930C3E79446ABCBC56809037EEB</vt:lpwstr>
  </property>
  <property fmtid="{D5CDD505-2E9C-101B-9397-08002B2CF9AE}" pid="3" name="MediaServiceImageTags">
    <vt:lpwstr/>
  </property>
</Properties>
</file>