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05729" w14:textId="77777777" w:rsidR="00596C0E" w:rsidRDefault="00596C0E" w:rsidP="00743E57">
      <w:pPr>
        <w:rPr>
          <w:rFonts w:hint="eastAsia"/>
        </w:rPr>
      </w:pPr>
    </w:p>
    <w:p w14:paraId="3B7CB59C" w14:textId="77777777" w:rsidR="00596C0E" w:rsidRDefault="00596C0E">
      <w:pPr>
        <w:spacing w:after="160"/>
        <w:rPr>
          <w:rFonts w:hint="eastAsia"/>
        </w:rPr>
      </w:pPr>
    </w:p>
    <w:p w14:paraId="3A4FE2EF" w14:textId="77777777" w:rsidR="00596C0E" w:rsidRDefault="00596C0E">
      <w:pPr>
        <w:spacing w:after="160"/>
        <w:rPr>
          <w:rFonts w:hint="eastAsia"/>
        </w:rPr>
      </w:pPr>
    </w:p>
    <w:p w14:paraId="25C1CCAF" w14:textId="77777777" w:rsidR="00596C0E" w:rsidRDefault="00596C0E">
      <w:pPr>
        <w:spacing w:after="160"/>
        <w:rPr>
          <w:rFonts w:hint="eastAsia"/>
        </w:rPr>
      </w:pPr>
    </w:p>
    <w:p w14:paraId="16D61198" w14:textId="77777777" w:rsidR="00596C0E" w:rsidRDefault="00596C0E">
      <w:pPr>
        <w:spacing w:after="160"/>
        <w:rPr>
          <w:rFonts w:hint="eastAsia"/>
        </w:rPr>
      </w:pPr>
    </w:p>
    <w:p w14:paraId="2D6DBAA7" w14:textId="77777777" w:rsidR="00596C0E" w:rsidRDefault="00596C0E">
      <w:pPr>
        <w:spacing w:after="160"/>
        <w:rPr>
          <w:rFonts w:hint="eastAsia"/>
        </w:rPr>
      </w:pPr>
    </w:p>
    <w:p w14:paraId="659E689D" w14:textId="77777777" w:rsidR="00596C0E" w:rsidRDefault="00596C0E">
      <w:pPr>
        <w:spacing w:after="160"/>
        <w:rPr>
          <w:rFonts w:hint="eastAsia"/>
        </w:rPr>
      </w:pPr>
    </w:p>
    <w:p w14:paraId="742CC28D" w14:textId="77777777" w:rsidR="00596C0E" w:rsidRDefault="00596C0E">
      <w:pPr>
        <w:spacing w:after="160"/>
        <w:rPr>
          <w:rFonts w:hint="eastAsia"/>
        </w:rPr>
      </w:pPr>
    </w:p>
    <w:p w14:paraId="74308638" w14:textId="77777777" w:rsidR="00596C0E" w:rsidRDefault="00596C0E">
      <w:pPr>
        <w:spacing w:after="160"/>
        <w:rPr>
          <w:rFonts w:hint="eastAsia"/>
        </w:rPr>
      </w:pPr>
    </w:p>
    <w:p w14:paraId="0499FADF" w14:textId="77777777" w:rsidR="00596C0E" w:rsidRDefault="00000000">
      <w:pPr>
        <w:spacing w:after="0" w:line="640" w:lineRule="exact"/>
        <w:jc w:val="center"/>
        <w:rPr>
          <w:rFonts w:hint="eastAsia"/>
        </w:rPr>
      </w:pPr>
      <w:r>
        <w:rPr>
          <w:rFonts w:ascii="Ofelia Display Bold" w:hAnsi="Ofelia Display Bold"/>
          <w:b/>
          <w:sz w:val="40"/>
        </w:rPr>
        <w:t>Liquidity Risk</w:t>
      </w:r>
      <w:r>
        <w:rPr>
          <w:rFonts w:ascii="Ofelia Display Bold" w:hAnsi="Ofelia Display Bold"/>
          <w:b/>
          <w:sz w:val="40"/>
        </w:rPr>
        <w:br/>
        <w:t>Management Policy</w:t>
      </w:r>
    </w:p>
    <w:p w14:paraId="2239FF7A" w14:textId="77777777" w:rsidR="00596C0E" w:rsidRDefault="00596C0E">
      <w:pPr>
        <w:spacing w:after="160"/>
        <w:rPr>
          <w:rFonts w:hint="eastAsia"/>
        </w:rPr>
      </w:pPr>
    </w:p>
    <w:p w14:paraId="260AA338" w14:textId="77777777" w:rsidR="00596C0E" w:rsidRDefault="00596C0E">
      <w:pPr>
        <w:spacing w:after="160"/>
        <w:rPr>
          <w:rFonts w:hint="eastAsia"/>
        </w:rPr>
      </w:pPr>
    </w:p>
    <w:p w14:paraId="01246228" w14:textId="77777777" w:rsidR="00596C0E" w:rsidRDefault="00596C0E">
      <w:pPr>
        <w:spacing w:after="160"/>
        <w:rPr>
          <w:rFonts w:hint="eastAsia"/>
        </w:rPr>
      </w:pPr>
    </w:p>
    <w:p w14:paraId="6BD63E98" w14:textId="77777777" w:rsidR="00596C0E" w:rsidRDefault="00596C0E">
      <w:pPr>
        <w:spacing w:after="160"/>
        <w:rPr>
          <w:rFonts w:hint="eastAsia"/>
        </w:rPr>
      </w:pPr>
    </w:p>
    <w:p w14:paraId="152C318D" w14:textId="77777777" w:rsidR="00596C0E" w:rsidRDefault="00596C0E">
      <w:pPr>
        <w:spacing w:after="160"/>
        <w:rPr>
          <w:rFonts w:hint="eastAsia"/>
        </w:rPr>
      </w:pPr>
    </w:p>
    <w:p w14:paraId="5B75B5A1" w14:textId="77777777" w:rsidR="00596C0E" w:rsidRDefault="00596C0E">
      <w:pPr>
        <w:spacing w:after="160"/>
        <w:rPr>
          <w:rFonts w:hint="eastAsia"/>
        </w:rPr>
      </w:pPr>
    </w:p>
    <w:p w14:paraId="2A465BA3" w14:textId="77777777" w:rsidR="00596C0E" w:rsidRDefault="00596C0E">
      <w:pPr>
        <w:spacing w:after="160"/>
        <w:rPr>
          <w:rFonts w:hint="eastAsia"/>
        </w:rPr>
      </w:pPr>
    </w:p>
    <w:p w14:paraId="4D3CE6E2" w14:textId="77777777" w:rsidR="00674575" w:rsidRDefault="00674575">
      <w:pPr>
        <w:spacing w:after="160"/>
        <w:rPr>
          <w:rFonts w:hint="eastAsia"/>
        </w:rPr>
      </w:pPr>
    </w:p>
    <w:p w14:paraId="1ED82164" w14:textId="77777777" w:rsidR="00674575" w:rsidRDefault="00674575">
      <w:pPr>
        <w:spacing w:after="160"/>
        <w:rPr>
          <w:rFonts w:hint="eastAsia"/>
        </w:rPr>
      </w:pPr>
    </w:p>
    <w:p w14:paraId="05B9571D" w14:textId="77777777" w:rsidR="00674575" w:rsidRDefault="00674575">
      <w:pPr>
        <w:spacing w:after="160"/>
        <w:rPr>
          <w:rFonts w:hint="eastAsia"/>
        </w:rPr>
      </w:pPr>
    </w:p>
    <w:p w14:paraId="3567E885" w14:textId="77777777" w:rsidR="00674575" w:rsidRDefault="00674575">
      <w:pPr>
        <w:spacing w:after="160"/>
        <w:rPr>
          <w:rFonts w:hint="eastAsia"/>
        </w:rPr>
      </w:pPr>
    </w:p>
    <w:p w14:paraId="68364FAF" w14:textId="77777777" w:rsidR="00596C0E" w:rsidRDefault="00596C0E">
      <w:pPr>
        <w:spacing w:after="160"/>
        <w:rPr>
          <w:rFonts w:hint="eastAsia"/>
        </w:rPr>
      </w:pPr>
    </w:p>
    <w:p w14:paraId="406BB0EB" w14:textId="77F32E82" w:rsidR="00596C0E" w:rsidRDefault="00000000" w:rsidP="00674575">
      <w:pPr>
        <w:jc w:val="center"/>
        <w:rPr>
          <w:rFonts w:hint="eastAsia"/>
        </w:rPr>
      </w:pPr>
      <w:r>
        <w:rPr>
          <w:color w:val="666666"/>
          <w:sz w:val="20"/>
        </w:rPr>
        <w:t>April 2026</w:t>
      </w:r>
    </w:p>
    <w:p w14:paraId="7E6F028E" w14:textId="77777777" w:rsidR="00596C0E" w:rsidRDefault="00596C0E">
      <w:pPr>
        <w:spacing w:after="160"/>
        <w:rPr>
          <w:rFonts w:hint="eastAsia"/>
        </w:rPr>
      </w:pPr>
    </w:p>
    <w:p w14:paraId="03C203F7" w14:textId="77777777" w:rsidR="00596C0E" w:rsidRDefault="00000000">
      <w:pPr>
        <w:jc w:val="center"/>
        <w:rPr>
          <w:rFonts w:hint="eastAsia"/>
        </w:rPr>
      </w:pPr>
      <w:r>
        <w:rPr>
          <w:color w:val="666666"/>
          <w:sz w:val="20"/>
        </w:rPr>
        <w:t>www.jeracapital.com.br</w:t>
      </w:r>
    </w:p>
    <w:p w14:paraId="4A2A154E" w14:textId="6E500F1B" w:rsidR="00596C0E" w:rsidRDefault="00000000" w:rsidP="00674575">
      <w:pPr>
        <w:spacing w:after="0"/>
        <w:rPr>
          <w:rFonts w:hint="eastAsia"/>
        </w:rPr>
      </w:pPr>
      <w:r>
        <w:br w:type="page"/>
      </w:r>
      <w:r>
        <w:rPr>
          <w:rFonts w:ascii="Ofelia Display Bold" w:hAnsi="Ofelia Display Bold"/>
          <w:b/>
        </w:rPr>
        <w:lastRenderedPageBreak/>
        <w:t>Chapter I – Objective and Scope</w:t>
      </w:r>
    </w:p>
    <w:p w14:paraId="4B802A6D" w14:textId="77777777" w:rsidR="00596C0E" w:rsidRDefault="00000000">
      <w:pPr>
        <w:spacing w:after="280" w:line="360" w:lineRule="exact"/>
        <w:jc w:val="both"/>
        <w:rPr>
          <w:rFonts w:hint="eastAsia"/>
        </w:rPr>
      </w:pPr>
      <w:r>
        <w:t>The objective of this policy is to establish rules, criteria, procedures and controls for liquidity risk management covering the management of investment funds 175 constituted as open-ended condominiums. Exclusive and reserved funds are exempt from the observance of this policy.</w:t>
      </w:r>
    </w:p>
    <w:p w14:paraId="0EE87051" w14:textId="77777777" w:rsidR="00596C0E" w:rsidRDefault="00000000">
      <w:pPr>
        <w:spacing w:after="280" w:line="360" w:lineRule="exact"/>
        <w:jc w:val="both"/>
        <w:rPr>
          <w:rFonts w:hint="eastAsia"/>
        </w:rPr>
      </w:pPr>
      <w:r>
        <w:t>This policy complies with CVM Resolution 175/22 ("RCVM 175/22") and the ANBIMA Rules and Procedures for Liquidity Risk for Funds 175.</w:t>
      </w:r>
    </w:p>
    <w:p w14:paraId="0629894E" w14:textId="77777777" w:rsidR="00596C0E" w:rsidRDefault="00000000">
      <w:pPr>
        <w:spacing w:before="400" w:after="160" w:line="360" w:lineRule="exact"/>
        <w:rPr>
          <w:rFonts w:hint="eastAsia"/>
        </w:rPr>
      </w:pPr>
      <w:r>
        <w:rPr>
          <w:rFonts w:ascii="Ofelia Display Bold" w:hAnsi="Ofelia Display Bold"/>
          <w:b/>
        </w:rPr>
        <w:t>Chapter II – General Rules</w:t>
      </w:r>
    </w:p>
    <w:p w14:paraId="02851975" w14:textId="77777777" w:rsidR="00596C0E" w:rsidRDefault="00000000">
      <w:pPr>
        <w:spacing w:before="320" w:after="160" w:line="360" w:lineRule="exact"/>
        <w:rPr>
          <w:rFonts w:hint="eastAsia"/>
        </w:rPr>
      </w:pPr>
      <w:r>
        <w:rPr>
          <w:rFonts w:ascii="Ofelia Display Bold" w:hAnsi="Ofelia Display Bold"/>
          <w:b/>
        </w:rPr>
        <w:t>Section I – Responsibility</w:t>
      </w:r>
    </w:p>
    <w:p w14:paraId="472E3FBF" w14:textId="77777777" w:rsidR="00596C0E" w:rsidRDefault="00000000">
      <w:pPr>
        <w:spacing w:after="280" w:line="360" w:lineRule="exact"/>
        <w:jc w:val="both"/>
        <w:rPr>
          <w:rFonts w:hint="eastAsia"/>
        </w:rPr>
      </w:pPr>
      <w:r>
        <w:t>The Risk and Compliance area operates independently, avoiding any potential conflict of interest with the management areas. It therefore has the autonomy to define policies, guidelines, metrics and controls, as well as risk scenarios and review of monitoring performed.</w:t>
      </w:r>
    </w:p>
    <w:p w14:paraId="54505C9A" w14:textId="77777777" w:rsidR="00596C0E" w:rsidRDefault="00000000">
      <w:pPr>
        <w:spacing w:after="280" w:line="360" w:lineRule="exact"/>
        <w:jc w:val="both"/>
        <w:rPr>
          <w:rFonts w:hint="eastAsia"/>
        </w:rPr>
      </w:pPr>
      <w:r>
        <w:t>The Risk Director is responsible for periodically reviewing the execution of the Liquidity Risk Management Policy, with the aim of ensuring that the Mandates and Internal Limits are duly observed, and that best practices are employed, carrying out periodic improvements in the risk management process.</w:t>
      </w:r>
    </w:p>
    <w:p w14:paraId="29FD651A" w14:textId="77777777" w:rsidR="00596C0E" w:rsidRDefault="00000000">
      <w:pPr>
        <w:spacing w:after="280" w:line="360" w:lineRule="exact"/>
        <w:jc w:val="both"/>
        <w:rPr>
          <w:rFonts w:hint="eastAsia"/>
        </w:rPr>
      </w:pPr>
      <w:r>
        <w:t>The responsibilities of the Risk Director are:</w:t>
      </w:r>
    </w:p>
    <w:p w14:paraId="791C5229" w14:textId="77777777" w:rsidR="00596C0E" w:rsidRDefault="00596C0E">
      <w:pPr>
        <w:spacing w:after="160"/>
        <w:rPr>
          <w:rFonts w:hint="eastAsia"/>
        </w:rPr>
      </w:pPr>
    </w:p>
    <w:p w14:paraId="4E88E62E" w14:textId="77777777" w:rsidR="00596C0E" w:rsidRDefault="00000000">
      <w:pPr>
        <w:spacing w:after="120" w:line="360" w:lineRule="exact"/>
        <w:ind w:left="567" w:hanging="283"/>
        <w:jc w:val="both"/>
        <w:rPr>
          <w:rFonts w:hint="eastAsia"/>
        </w:rPr>
      </w:pPr>
      <w:r>
        <w:t>•  Monitor and ensure that the established risk limits are observed;</w:t>
      </w:r>
    </w:p>
    <w:p w14:paraId="74F35324" w14:textId="77777777" w:rsidR="00596C0E" w:rsidRDefault="00000000">
      <w:pPr>
        <w:spacing w:after="120" w:line="360" w:lineRule="exact"/>
        <w:ind w:left="567" w:hanging="283"/>
        <w:jc w:val="both"/>
        <w:rPr>
          <w:rFonts w:hint="eastAsia"/>
        </w:rPr>
      </w:pPr>
      <w:r>
        <w:t>•  Generate and forward risk monitoring reports to the relevant areas;</w:t>
      </w:r>
    </w:p>
    <w:p w14:paraId="35C98384" w14:textId="77777777" w:rsidR="00596C0E" w:rsidRDefault="00000000">
      <w:pPr>
        <w:spacing w:after="120" w:line="360" w:lineRule="exact"/>
        <w:ind w:left="567" w:hanging="283"/>
        <w:jc w:val="both"/>
        <w:rPr>
          <w:rFonts w:hint="eastAsia"/>
        </w:rPr>
      </w:pPr>
      <w:r>
        <w:t>•  Coordinate the Risk and Compliance Committee meetings; and</w:t>
      </w:r>
    </w:p>
    <w:p w14:paraId="0EC7271D" w14:textId="77777777" w:rsidR="00596C0E" w:rsidRDefault="00000000">
      <w:pPr>
        <w:spacing w:after="120" w:line="360" w:lineRule="exact"/>
        <w:ind w:left="567" w:hanging="283"/>
        <w:jc w:val="both"/>
        <w:rPr>
          <w:rFonts w:hint="eastAsia"/>
        </w:rPr>
      </w:pPr>
      <w:r>
        <w:t>•  Keep this policy up to date.</w:t>
      </w:r>
    </w:p>
    <w:p w14:paraId="093433F1" w14:textId="77777777" w:rsidR="00596C0E" w:rsidRDefault="00596C0E">
      <w:pPr>
        <w:spacing w:after="160"/>
        <w:rPr>
          <w:rFonts w:hint="eastAsia"/>
        </w:rPr>
      </w:pPr>
    </w:p>
    <w:p w14:paraId="32B96511" w14:textId="77777777" w:rsidR="00596C0E" w:rsidRDefault="00000000">
      <w:pPr>
        <w:spacing w:before="320" w:after="160" w:line="360" w:lineRule="exact"/>
        <w:rPr>
          <w:rFonts w:hint="eastAsia"/>
        </w:rPr>
      </w:pPr>
      <w:r>
        <w:rPr>
          <w:rFonts w:ascii="Ofelia Display Bold" w:hAnsi="Ofelia Display Bold"/>
          <w:b/>
        </w:rPr>
        <w:t>Section II – Functional Structure</w:t>
      </w:r>
    </w:p>
    <w:p w14:paraId="0D66FFB7" w14:textId="77777777" w:rsidR="00596C0E" w:rsidRDefault="00000000">
      <w:pPr>
        <w:spacing w:after="280" w:line="360" w:lineRule="exact"/>
        <w:jc w:val="both"/>
        <w:rPr>
          <w:rFonts w:hint="eastAsia"/>
        </w:rPr>
      </w:pPr>
      <w:r>
        <w:t>The Risk and Compliance area is made up of the Risk and Compliance Committee and the Risk and Compliance Director.</w:t>
      </w:r>
    </w:p>
    <w:p w14:paraId="436CCE58" w14:textId="77777777" w:rsidR="00596C0E" w:rsidRDefault="00000000">
      <w:pPr>
        <w:spacing w:after="280" w:line="360" w:lineRule="exact"/>
        <w:jc w:val="both"/>
        <w:rPr>
          <w:rFonts w:hint="eastAsia"/>
        </w:rPr>
      </w:pPr>
      <w:r>
        <w:lastRenderedPageBreak/>
        <w:t>The Risk and Compliance Committee is a body of a propositional and deliberative nature on all matters related to the management of the financial and operational risks of the Funds and Portfolios. It has full autonomy to make final decisions on risk and compliance matters. It is composed of the Risk Director, Compliance Director, Administrative Director, analyst(s) dedicated to the Risk and Compliance Area and the portfolio managers responsible before the CVM.</w:t>
      </w:r>
    </w:p>
    <w:p w14:paraId="4034EF05" w14:textId="77777777" w:rsidR="00596C0E" w:rsidRDefault="00000000">
      <w:pPr>
        <w:spacing w:after="280" w:line="360" w:lineRule="exact"/>
        <w:jc w:val="both"/>
        <w:rPr>
          <w:rFonts w:hint="eastAsia"/>
        </w:rPr>
      </w:pPr>
      <w:r>
        <w:t>The Risk and Compliance Committee meets periodically to assess the conduct of risk management. Meetings are conducted by the Compliance Director and the Risk Director, as the case may be, at least bimonthly and whenever necessary upon convocation by any Committee member. Decisions taken must be recorded in minutes and/or in the Compliasset system used by Jera, which must be kept on file for a minimum period of 5 (five) years.</w:t>
      </w:r>
    </w:p>
    <w:p w14:paraId="49C25F9E" w14:textId="77777777" w:rsidR="00596C0E" w:rsidRDefault="00000000">
      <w:pPr>
        <w:spacing w:after="280" w:line="360" w:lineRule="exact"/>
        <w:jc w:val="both"/>
        <w:rPr>
          <w:rFonts w:hint="eastAsia"/>
        </w:rPr>
      </w:pPr>
      <w:r>
        <w:t>The monitoring of risk limits, including liquidity risk, established in the Fund regulations and in the Internal Limits will be the responsibility of the Risk Director. Risk reports for the Funds are produced daily using the methodologies set out in this Policy.</w:t>
      </w:r>
    </w:p>
    <w:p w14:paraId="40DB1135" w14:textId="77777777" w:rsidR="00596C0E" w:rsidRDefault="00000000">
      <w:pPr>
        <w:spacing w:after="280" w:line="360" w:lineRule="exact"/>
        <w:jc w:val="both"/>
        <w:rPr>
          <w:rFonts w:hint="eastAsia"/>
        </w:rPr>
      </w:pPr>
      <w:r>
        <w:t>Risk is assessed daily by the Lote 45 system, in relation to all Funds, and should any discrepancy or breach of the established parameters and Internal Limits occur, the system automatically reports, by email, an alert to all those involved in the management process, including the Risk Director and Compliance Director.</w:t>
      </w:r>
    </w:p>
    <w:p w14:paraId="2F2FEBCE" w14:textId="77777777" w:rsidR="00596C0E" w:rsidRDefault="00000000">
      <w:pPr>
        <w:spacing w:before="320" w:after="160" w:line="360" w:lineRule="exact"/>
        <w:rPr>
          <w:rFonts w:hint="eastAsia"/>
        </w:rPr>
      </w:pPr>
      <w:r>
        <w:rPr>
          <w:rFonts w:ascii="Ofelia Display Bold" w:hAnsi="Ofelia Display Bold"/>
          <w:b/>
        </w:rPr>
        <w:t>Section III – Liquidity Risk Management Policy</w:t>
      </w:r>
    </w:p>
    <w:p w14:paraId="5C761799" w14:textId="77777777" w:rsidR="00596C0E" w:rsidRDefault="00000000">
      <w:pPr>
        <w:spacing w:after="280" w:line="360" w:lineRule="exact"/>
        <w:jc w:val="both"/>
        <w:rPr>
          <w:rFonts w:hint="eastAsia"/>
        </w:rPr>
      </w:pPr>
      <w:r>
        <w:t>Liquidity risk is the ability of the investment fund to make, within the timeframe established in its regulations and in the current regulations, the payments relating to share redemptions requested by shareholders, in the event of normal and atypical market conditions, high volume of redemption requests and/or other factors that cause a lack of liquidity in the markets in which the assets comprising the investment fund's portfolio are traded. This policy, in accordance with Art. 92 of RCVM 175/22, as well as ANBIMA Circular No. 2021/000034, sets out the procedures necessary for the identification and monitoring of the exposure to Liquidity risk of the investment funds and portfolios managed by Jera Capital, as well as the techniques, instruments and structure adopted for the implementation of this procedure. In compliance with best market practices, a set of metrics and reports was developed with the aim of properly controlling market risk.</w:t>
      </w:r>
    </w:p>
    <w:p w14:paraId="397439A6" w14:textId="77777777" w:rsidR="00596C0E" w:rsidRDefault="00000000" w:rsidP="00743E57">
      <w:pPr>
        <w:rPr>
          <w:rFonts w:hint="eastAsia"/>
        </w:rPr>
      </w:pPr>
      <w:r>
        <w:lastRenderedPageBreak/>
        <w:t>Pursuant to Art. 92 of RCVM 175/22, the manager must, together with the fund administrator, adopt the internal policies, procedures and controls necessary for the fund's portfolio liquidity to be compatible with:</w:t>
      </w:r>
    </w:p>
    <w:p w14:paraId="3AD472D1" w14:textId="77777777" w:rsidR="00596C0E" w:rsidRDefault="00596C0E">
      <w:pPr>
        <w:spacing w:after="160"/>
        <w:rPr>
          <w:rFonts w:hint="eastAsia"/>
        </w:rPr>
      </w:pPr>
    </w:p>
    <w:p w14:paraId="034589C8" w14:textId="77777777" w:rsidR="00596C0E" w:rsidRDefault="00000000">
      <w:pPr>
        <w:spacing w:line="360" w:lineRule="exact"/>
        <w:jc w:val="both"/>
        <w:rPr>
          <w:rFonts w:hint="eastAsia"/>
        </w:rPr>
      </w:pPr>
      <w:r>
        <w:t>I.   The timeframes set out in the regulations for the payment of redemption requests;</w:t>
      </w:r>
    </w:p>
    <w:p w14:paraId="1DC36692" w14:textId="77777777" w:rsidR="00596C0E" w:rsidRDefault="00000000">
      <w:pPr>
        <w:spacing w:line="360" w:lineRule="exact"/>
        <w:jc w:val="both"/>
        <w:rPr>
          <w:rFonts w:hint="eastAsia"/>
        </w:rPr>
      </w:pPr>
      <w:r>
        <w:t>II.  The fulfillment of the fund's obligations.</w:t>
      </w:r>
    </w:p>
    <w:p w14:paraId="6C42A942" w14:textId="77777777" w:rsidR="00596C0E" w:rsidRDefault="00596C0E">
      <w:pPr>
        <w:spacing w:after="160"/>
        <w:rPr>
          <w:rFonts w:hint="eastAsia"/>
        </w:rPr>
      </w:pPr>
    </w:p>
    <w:p w14:paraId="54643EFD" w14:textId="77777777" w:rsidR="00596C0E" w:rsidRDefault="00000000">
      <w:pPr>
        <w:spacing w:after="280" w:line="360" w:lineRule="exact"/>
        <w:jc w:val="both"/>
        <w:rPr>
          <w:rFonts w:hint="eastAsia"/>
        </w:rPr>
      </w:pPr>
      <w:r>
        <w:t>Such that the internal policies, procedures and controls referred to in the head provision must take into account, at a minimum:</w:t>
      </w:r>
    </w:p>
    <w:p w14:paraId="24D14D0C" w14:textId="77777777" w:rsidR="00596C0E" w:rsidRDefault="00596C0E">
      <w:pPr>
        <w:spacing w:after="160"/>
        <w:rPr>
          <w:rFonts w:hint="eastAsia"/>
        </w:rPr>
      </w:pPr>
    </w:p>
    <w:p w14:paraId="0C8596BC" w14:textId="77777777" w:rsidR="00596C0E" w:rsidRDefault="00000000">
      <w:pPr>
        <w:spacing w:line="360" w:lineRule="exact"/>
        <w:jc w:val="both"/>
        <w:rPr>
          <w:rFonts w:hint="eastAsia"/>
        </w:rPr>
      </w:pPr>
      <w:r>
        <w:t>I.   The liquidity of the fund's different financial assets;</w:t>
      </w:r>
    </w:p>
    <w:p w14:paraId="7BF467CF" w14:textId="77777777" w:rsidR="00596C0E" w:rsidRDefault="00000000">
      <w:pPr>
        <w:spacing w:line="360" w:lineRule="exact"/>
        <w:jc w:val="both"/>
        <w:rPr>
          <w:rFonts w:hint="eastAsia"/>
        </w:rPr>
      </w:pPr>
      <w:r>
        <w:t>II.  The fund's obligations, including expected margin deposits and other guarantees;</w:t>
      </w:r>
    </w:p>
    <w:p w14:paraId="6A3F7545" w14:textId="77777777" w:rsidR="00596C0E" w:rsidRDefault="00000000">
      <w:pPr>
        <w:spacing w:line="360" w:lineRule="exact"/>
        <w:jc w:val="both"/>
        <w:rPr>
          <w:rFonts w:hint="eastAsia"/>
        </w:rPr>
      </w:pPr>
      <w:r>
        <w:t>III. The expected redemption amounts under ordinary conditions, calculated using consistent and verifiable statistical criteria; and</w:t>
      </w:r>
    </w:p>
    <w:p w14:paraId="1F82C8B0" w14:textId="77777777" w:rsidR="00596C0E" w:rsidRDefault="00000000">
      <w:pPr>
        <w:spacing w:line="360" w:lineRule="exact"/>
        <w:jc w:val="both"/>
        <w:rPr>
          <w:rFonts w:hint="eastAsia"/>
        </w:rPr>
      </w:pPr>
      <w:r>
        <w:t>IV.  The degree of dispersion of share ownership. Risk and limit monitoring is performed daily.</w:t>
      </w:r>
    </w:p>
    <w:p w14:paraId="7759BBA3" w14:textId="77777777" w:rsidR="00596C0E" w:rsidRDefault="00596C0E">
      <w:pPr>
        <w:spacing w:after="160"/>
        <w:rPr>
          <w:rFonts w:hint="eastAsia"/>
        </w:rPr>
      </w:pPr>
    </w:p>
    <w:p w14:paraId="488042CB" w14:textId="77777777" w:rsidR="00596C0E" w:rsidRDefault="00000000">
      <w:pPr>
        <w:spacing w:after="280" w:line="360" w:lineRule="exact"/>
        <w:jc w:val="both"/>
        <w:rPr>
          <w:rFonts w:hint="eastAsia"/>
        </w:rPr>
      </w:pPr>
      <w:r>
        <w:t>The methodology used for Liquidity Risk Management will be reviewed by the Risk area each year or in a shorter period whenever necessary. To monitor utilization and any potential breach of liquidity limits, the risk team uses reports. Such reports are sent by email daily to the asset management areas and other interested areas, and are also sent to the risk management division.</w:t>
      </w:r>
    </w:p>
    <w:p w14:paraId="7B8F32D8" w14:textId="77777777" w:rsidR="00596C0E" w:rsidRDefault="00000000">
      <w:pPr>
        <w:spacing w:after="280" w:line="360" w:lineRule="exact"/>
        <w:jc w:val="both"/>
        <w:rPr>
          <w:rFonts w:hint="eastAsia"/>
        </w:rPr>
      </w:pPr>
      <w:r>
        <w:t>Liquidity metrics, as well as their limits and utilization percentages, are shown in the body of the email.</w:t>
      </w:r>
    </w:p>
    <w:p w14:paraId="3F9E8526" w14:textId="77777777" w:rsidR="00596C0E" w:rsidRDefault="00000000">
      <w:pPr>
        <w:spacing w:after="280" w:line="360" w:lineRule="exact"/>
        <w:jc w:val="both"/>
        <w:rPr>
          <w:rFonts w:hint="eastAsia"/>
        </w:rPr>
      </w:pPr>
      <w:r>
        <w:t>In the event of a breach of these limits, the management team is also contacted via other communication channels. In such cases, a formal explanation of the reason for the breach and a plan with a deadline for bringing utilization levels back into line is requested.</w:t>
      </w:r>
    </w:p>
    <w:p w14:paraId="3F66E63C" w14:textId="77777777" w:rsidR="00596C0E" w:rsidRDefault="00000000">
      <w:pPr>
        <w:spacing w:after="280" w:line="360" w:lineRule="exact"/>
        <w:jc w:val="both"/>
        <w:rPr>
          <w:rFonts w:hint="eastAsia"/>
        </w:rPr>
      </w:pPr>
      <w:r>
        <w:lastRenderedPageBreak/>
        <w:t>If the plan is not fulfilled by management within the established deadline, an unofficial risk committee may be convened to address the matter.</w:t>
      </w:r>
    </w:p>
    <w:p w14:paraId="699B670F" w14:textId="77777777" w:rsidR="00596C0E" w:rsidRDefault="00000000">
      <w:pPr>
        <w:spacing w:after="280" w:line="360" w:lineRule="exact"/>
        <w:jc w:val="both"/>
        <w:rPr>
          <w:rFonts w:hint="eastAsia"/>
        </w:rPr>
      </w:pPr>
      <w:r>
        <w:t>Reports are generated through a third-party market system, as well as through automated spreadsheets and online dashboards developed internally.</w:t>
      </w:r>
    </w:p>
    <w:p w14:paraId="09CD8D6F" w14:textId="77777777" w:rsidR="00596C0E" w:rsidRDefault="00000000">
      <w:pPr>
        <w:spacing w:after="280" w:line="360" w:lineRule="exact"/>
        <w:jc w:val="both"/>
        <w:rPr>
          <w:rFonts w:hint="eastAsia"/>
        </w:rPr>
      </w:pPr>
      <w:r>
        <w:t>For liquidity control, we use cash flow reports and asset liquidity reports, both with established limits.</w:t>
      </w:r>
    </w:p>
    <w:p w14:paraId="2DB78CC7" w14:textId="77777777" w:rsidR="00596C0E" w:rsidRDefault="00000000">
      <w:pPr>
        <w:spacing w:after="280" w:line="360" w:lineRule="exact"/>
        <w:jc w:val="both"/>
        <w:rPr>
          <w:rFonts w:hint="eastAsia"/>
        </w:rPr>
      </w:pPr>
      <w:r>
        <w:t>We also periodically prepare shareholder concentration and share redemption studies, which are used as the basis for calculating limits.</w:t>
      </w:r>
    </w:p>
    <w:p w14:paraId="75A083A2" w14:textId="77777777" w:rsidR="00596C0E" w:rsidRDefault="00000000">
      <w:pPr>
        <w:spacing w:after="280" w:line="360" w:lineRule="exact"/>
        <w:jc w:val="both"/>
        <w:rPr>
          <w:rFonts w:hint="eastAsia"/>
        </w:rPr>
      </w:pPr>
      <w:r>
        <w:t>Since the controls are designed to guarantee a robust cash position to meet the funds' obligations under normal and stress scenarios, when markets close and/or in exceptional cases of asset illiquidity, intraday reports containing these variables may be produced to provide management with information.</w:t>
      </w:r>
    </w:p>
    <w:p w14:paraId="29E6D9C9" w14:textId="77777777" w:rsidR="00596C0E" w:rsidRDefault="00000000">
      <w:pPr>
        <w:spacing w:after="280" w:line="360" w:lineRule="exact"/>
        <w:jc w:val="both"/>
        <w:rPr>
          <w:rFonts w:hint="eastAsia"/>
        </w:rPr>
      </w:pPr>
      <w:r>
        <w:t>An extraordinary committee may be convened should it be identified that the event could be harmful to our shareholders.</w:t>
      </w:r>
    </w:p>
    <w:p w14:paraId="183DB848" w14:textId="77777777" w:rsidR="00596C0E" w:rsidRDefault="00000000">
      <w:pPr>
        <w:spacing w:after="280" w:line="360" w:lineRule="exact"/>
        <w:jc w:val="both"/>
        <w:rPr>
          <w:rFonts w:hint="eastAsia"/>
        </w:rPr>
      </w:pPr>
      <w:r>
        <w:t>The methodology used for Liquidity Risk Management will be reviewed by the Risk area each year or in a shorter period whenever necessary.</w:t>
      </w:r>
    </w:p>
    <w:p w14:paraId="12D367D8" w14:textId="77777777" w:rsidR="00596C0E" w:rsidRDefault="00000000">
      <w:pPr>
        <w:spacing w:after="280" w:line="360" w:lineRule="exact"/>
        <w:jc w:val="both"/>
        <w:rPr>
          <w:rFonts w:hint="eastAsia"/>
        </w:rPr>
      </w:pPr>
      <w:r>
        <w:t>The full version of the document may also be consulted on the institution's website via the following link: https://jeracapital.com.br/politicas/</w:t>
      </w:r>
    </w:p>
    <w:p w14:paraId="53437A19" w14:textId="77777777" w:rsidR="00596C0E" w:rsidRDefault="00000000">
      <w:pPr>
        <w:spacing w:after="280" w:line="360" w:lineRule="exact"/>
        <w:jc w:val="both"/>
        <w:rPr>
          <w:rFonts w:hint="eastAsia"/>
        </w:rPr>
      </w:pPr>
      <w:r>
        <w:t>The controls and tools used in liquidity risk management/monitoring activities are the reports generated through the system developed by third party Lote 45, as well as through automated spreadsheets and online dashboards developed internally.</w:t>
      </w:r>
    </w:p>
    <w:p w14:paraId="1D2A990A" w14:textId="4EDF3152" w:rsidR="00596C0E" w:rsidRDefault="00000000">
      <w:pPr>
        <w:spacing w:after="280" w:line="360" w:lineRule="exact"/>
        <w:jc w:val="both"/>
        <w:rPr>
          <w:rFonts w:hint="eastAsia"/>
        </w:rPr>
      </w:pPr>
      <w:r>
        <w:t xml:space="preserve">In those exceptional cases where it is verified that redemption requests become incompatible with the possible liquidity of the assets without impairing the settlement prices within the required timeframes, the Risk Director will be responsible for deciding to notify the Compliance Director, who must convene an extraordinary meeting of the Risk and Compliance Committee to make the decision to notify the fund and portfolio Administrator of the need to close the fund for redemptions. It will be the responsibility of the Compliance Director to immediately convene a general meeting of shareholders, in accordance with the Fund or Portfolio regulations, to deliberate on the reopening or maintenance of the closure for redemption; the payment of redemptions in securities </w:t>
      </w:r>
      <w:r>
        <w:lastRenderedPageBreak/>
        <w:t>or its liquidation</w:t>
      </w:r>
      <w:r w:rsidR="00743E57">
        <w:t>, t</w:t>
      </w:r>
      <w:r>
        <w:t>hrough the reporting and decision-making structure that involves the participation of the Risk Director and the Risk Committee.</w:t>
      </w:r>
    </w:p>
    <w:p w14:paraId="063DD4A0" w14:textId="77777777" w:rsidR="00596C0E" w:rsidRDefault="00000000">
      <w:pPr>
        <w:spacing w:after="280" w:line="360" w:lineRule="exact"/>
        <w:jc w:val="both"/>
        <w:rPr>
          <w:rFonts w:hint="eastAsia"/>
        </w:rPr>
      </w:pPr>
      <w:r>
        <w:t>It will be the responsibility of the Risk and Compliance Director to set maximum deadlines for the liquidation of fund positions and redemptions under normal conditions and stress scenarios for each Fund and Portfolio, and historical changes in the parameters used will also be monitored. Reports will be mandatorily produced and sent by the Risk Director to recipients at least once a month or at another frequency, should current regulations so require, and/or at the frequency the Risk Director deems necessary. It is also the responsibility of the Risk Director to take preventive or corrective action when deemed necessary.</w:t>
      </w:r>
    </w:p>
    <w:p w14:paraId="0D12B640" w14:textId="77777777" w:rsidR="00596C0E" w:rsidRDefault="00000000">
      <w:pPr>
        <w:spacing w:before="400" w:after="160" w:line="360" w:lineRule="exact"/>
        <w:rPr>
          <w:rFonts w:hint="eastAsia"/>
        </w:rPr>
      </w:pPr>
      <w:r>
        <w:rPr>
          <w:rFonts w:ascii="Ofelia Display Bold" w:hAnsi="Ofelia Display Bold"/>
          <w:b/>
        </w:rPr>
        <w:t>Chapter III – Process Methodology</w:t>
      </w:r>
    </w:p>
    <w:p w14:paraId="21E66A9A" w14:textId="77777777" w:rsidR="00596C0E" w:rsidRDefault="00000000">
      <w:pPr>
        <w:spacing w:after="280" w:line="360" w:lineRule="exact"/>
        <w:jc w:val="both"/>
        <w:rPr>
          <w:rFonts w:hint="eastAsia"/>
        </w:rPr>
      </w:pPr>
      <w:r>
        <w:t>Liquidity indicators are calculated daily through the Lote45 system. Liquidity VaR is calculated with a 99% confidence interval, taking into account the investment fund's redemption history over a two-year window, assigning greater weight to the most recent observations in the sample.</w:t>
      </w:r>
    </w:p>
    <w:p w14:paraId="1F945603" w14:textId="77777777" w:rsidR="00596C0E" w:rsidRDefault="00000000">
      <w:pPr>
        <w:spacing w:after="280" w:line="360" w:lineRule="exact"/>
        <w:jc w:val="both"/>
        <w:rPr>
          <w:rFonts w:hint="eastAsia"/>
        </w:rPr>
      </w:pPr>
      <w:r>
        <w:t>Pending settlement orders are included in the sample used to calculate the Liquidity VaR.</w:t>
      </w:r>
    </w:p>
    <w:p w14:paraId="18B4702F" w14:textId="77777777" w:rsidR="00596C0E" w:rsidRDefault="00000000">
      <w:pPr>
        <w:spacing w:after="280" w:line="360" w:lineRule="exact"/>
        <w:jc w:val="both"/>
        <w:rPr>
          <w:rFonts w:hint="eastAsia"/>
        </w:rPr>
      </w:pPr>
      <w:r>
        <w:t>All windows are considered for each asset category. Depending on the asset profile, the sensitivity of the position in relation to market liquidity levels and the cash flow of applicable asset categories is measured.</w:t>
      </w:r>
    </w:p>
    <w:p w14:paraId="5D406C4D" w14:textId="77777777" w:rsidR="00596C0E" w:rsidRDefault="00000000">
      <w:pPr>
        <w:spacing w:after="280" w:line="360" w:lineRule="exact"/>
        <w:jc w:val="both"/>
        <w:rPr>
          <w:rFonts w:hint="eastAsia"/>
        </w:rPr>
      </w:pPr>
      <w:r>
        <w:t>In liquidity risk management, intermediate windows up to the effective payment of the redemption/settlement are not used.</w:t>
      </w:r>
    </w:p>
    <w:p w14:paraId="0B87ACC7" w14:textId="77777777" w:rsidR="00596C0E" w:rsidRDefault="00000000">
      <w:pPr>
        <w:spacing w:after="280" w:line="360" w:lineRule="exact"/>
        <w:jc w:val="both"/>
        <w:rPr>
          <w:rFonts w:hint="eastAsia"/>
        </w:rPr>
      </w:pPr>
      <w:r>
        <w:t>Soft Limits are established managerially for the purpose of alerting and monitoring liquidity indices, while Hard Limits generate an alert for liquidity indices to be adjusted. Hard Limits are established based on the regulations and liquidity profiles of the investment funds.</w:t>
      </w:r>
    </w:p>
    <w:p w14:paraId="6EFC09DC" w14:textId="77777777" w:rsidR="00596C0E" w:rsidRDefault="00000000">
      <w:pPr>
        <w:spacing w:after="280" w:line="360" w:lineRule="exact"/>
        <w:jc w:val="both"/>
        <w:rPr>
          <w:rFonts w:hint="eastAsia"/>
        </w:rPr>
      </w:pPr>
      <w:r>
        <w:t xml:space="preserve">Stress Tests are periodically conducted, seeking to assess the financial impact and respective gains or losses to which the assets comprising the portfolio of a given Fund may be subject under extreme scenarios, taking into account the macroeconomic and political variables in which the prices of the Fund's assets would tend to be substantially different from those considered at the time of the test. The Stress Test limit currently </w:t>
      </w:r>
      <w:r>
        <w:lastRenderedPageBreak/>
        <w:t>used by Jera Capital is defined individually for each fund and portfolio, except where expressly provided otherwise in the Fund's regulations.</w:t>
      </w:r>
    </w:p>
    <w:p w14:paraId="56132645" w14:textId="77777777" w:rsidR="00596C0E" w:rsidRDefault="00000000">
      <w:pPr>
        <w:spacing w:before="320" w:after="160" w:line="360" w:lineRule="exact"/>
        <w:rPr>
          <w:rFonts w:hint="eastAsia"/>
        </w:rPr>
      </w:pPr>
      <w:r>
        <w:rPr>
          <w:rFonts w:ascii="Ofelia Display Bold" w:hAnsi="Ofelia Display Bold"/>
          <w:b/>
        </w:rPr>
        <w:t>Section I – Assets of Funds 175</w:t>
      </w:r>
    </w:p>
    <w:p w14:paraId="37B00DE4" w14:textId="77777777" w:rsidR="00596C0E" w:rsidRDefault="00000000">
      <w:pPr>
        <w:spacing w:after="280" w:line="360" w:lineRule="exact"/>
        <w:jc w:val="both"/>
        <w:rPr>
          <w:rFonts w:hint="eastAsia"/>
        </w:rPr>
      </w:pPr>
      <w:r>
        <w:t>The liquidity risk management methodology is based on the Cash Flow criterion of each asset. For the calculation of liquidity, the Lote45 system estimates an ADTV (Average Daily Trading Volume) for each asset category and the cash flows for assets that make payments, generating an applicable sensitivity to the position in each asset and estimating the liquidatable amount for certain future intervals.</w:t>
      </w:r>
    </w:p>
    <w:p w14:paraId="7811C216" w14:textId="77777777" w:rsidR="00596C0E" w:rsidRDefault="00000000">
      <w:pPr>
        <w:spacing w:before="240" w:after="120" w:line="360" w:lineRule="exact"/>
        <w:rPr>
          <w:rFonts w:hint="eastAsia"/>
        </w:rPr>
      </w:pPr>
      <w:r>
        <w:rPr>
          <w:rFonts w:ascii="Ofelia Display Bold" w:hAnsi="Ofelia Display Bold"/>
          <w:b/>
        </w:rPr>
        <w:t>Assets Deposited as Margin</w:t>
      </w:r>
    </w:p>
    <w:p w14:paraId="5C4FB329" w14:textId="77777777" w:rsidR="00596C0E" w:rsidRDefault="00000000">
      <w:pPr>
        <w:spacing w:after="280" w:line="360" w:lineRule="exact"/>
        <w:jc w:val="both"/>
        <w:rPr>
          <w:rFonts w:hint="eastAsia"/>
        </w:rPr>
      </w:pPr>
      <w:r>
        <w:t>Margin assets are considered for the purposes of liquidity generation.</w:t>
      </w:r>
    </w:p>
    <w:p w14:paraId="78991EC2" w14:textId="77777777" w:rsidR="00596C0E" w:rsidRDefault="00000000">
      <w:pPr>
        <w:spacing w:before="320" w:after="160" w:line="360" w:lineRule="exact"/>
        <w:rPr>
          <w:rFonts w:hint="eastAsia"/>
        </w:rPr>
      </w:pPr>
      <w:r>
        <w:rPr>
          <w:rFonts w:ascii="Ofelia Display Bold" w:hAnsi="Ofelia Display Bold"/>
          <w:b/>
        </w:rPr>
        <w:t>Section II – Liabilities of Funds 175</w:t>
      </w:r>
    </w:p>
    <w:p w14:paraId="253DE3C7" w14:textId="77777777" w:rsidR="00596C0E" w:rsidRDefault="00000000">
      <w:pPr>
        <w:spacing w:before="240" w:after="120" w:line="360" w:lineRule="exact"/>
        <w:rPr>
          <w:rFonts w:hint="eastAsia"/>
        </w:rPr>
      </w:pPr>
      <w:r>
        <w:rPr>
          <w:rFonts w:ascii="Ofelia Display Bold" w:hAnsi="Ofelia Display Bold"/>
          <w:b/>
        </w:rPr>
        <w:t>Subsection I – Liability Analysis and Behavior</w:t>
      </w:r>
    </w:p>
    <w:p w14:paraId="525800F7" w14:textId="77777777" w:rsidR="00596C0E" w:rsidRDefault="00000000">
      <w:pPr>
        <w:spacing w:after="280" w:line="360" w:lineRule="exact"/>
        <w:jc w:val="both"/>
        <w:rPr>
          <w:rFonts w:hint="eastAsia"/>
        </w:rPr>
      </w:pPr>
      <w:r>
        <w:t>Expected but unliquidated redemptions are included in the sample used to calculate the Liquidity VaR.</w:t>
      </w:r>
    </w:p>
    <w:p w14:paraId="1529DC00" w14:textId="77777777" w:rsidR="00596C0E" w:rsidRDefault="00000000">
      <w:pPr>
        <w:spacing w:after="280" w:line="360" w:lineRule="exact"/>
        <w:jc w:val="both"/>
        <w:rPr>
          <w:rFonts w:hint="eastAsia"/>
        </w:rPr>
      </w:pPr>
      <w:r>
        <w:t>The degree of concentration of shares by shareholders is not taken into account in the liquidity calculation.</w:t>
      </w:r>
    </w:p>
    <w:p w14:paraId="01E99E6E" w14:textId="77777777" w:rsidR="00596C0E" w:rsidRDefault="00000000">
      <w:pPr>
        <w:spacing w:after="280" w:line="360" w:lineRule="exact"/>
        <w:jc w:val="both"/>
        <w:rPr>
          <w:rFonts w:hint="eastAsia"/>
        </w:rPr>
      </w:pPr>
      <w:r>
        <w:t>The liquidity metrics and controls for the funds are established with a focus on the settlement timeframe for fund redemptions. Accordingly, the asset redemption timeframe, as well as the liquidity and cash limits, are aligned with the requirement.</w:t>
      </w:r>
    </w:p>
    <w:p w14:paraId="7A6F9ECD" w14:textId="77777777" w:rsidR="00596C0E" w:rsidRDefault="00000000">
      <w:pPr>
        <w:spacing w:after="280" w:line="360" w:lineRule="exact"/>
        <w:jc w:val="both"/>
        <w:rPr>
          <w:rFonts w:hint="eastAsia"/>
        </w:rPr>
      </w:pPr>
      <w:r>
        <w:t>The worst redemption over a 24-month window with exponential decay is used.</w:t>
      </w:r>
    </w:p>
    <w:p w14:paraId="272C0B33" w14:textId="77777777" w:rsidR="00596C0E" w:rsidRDefault="00000000">
      <w:pPr>
        <w:spacing w:before="240" w:after="120" w:line="360" w:lineRule="exact"/>
        <w:rPr>
          <w:rFonts w:hint="eastAsia"/>
        </w:rPr>
      </w:pPr>
      <w:r>
        <w:rPr>
          <w:rFonts w:ascii="Ofelia Display Bold" w:hAnsi="Ofelia Display Bold"/>
          <w:b/>
        </w:rPr>
        <w:t>Subsection II – Mitigants and Aggravants</w:t>
      </w:r>
    </w:p>
    <w:p w14:paraId="5FB65D25" w14:textId="77777777" w:rsidR="00596C0E" w:rsidRDefault="00000000">
      <w:pPr>
        <w:spacing w:after="280" w:line="360" w:lineRule="exact"/>
        <w:jc w:val="both"/>
        <w:rPr>
          <w:rFonts w:hint="eastAsia"/>
        </w:rPr>
      </w:pPr>
      <w:r>
        <w:t>Quotization periods, redemption lock-up periods and Gates are considered in the portfolio allocation process as mitigating factors, as they provide greater control and timeframe for redemptions requested from investment funds. In the case of quotization periods and redemption lock-up periods, the timeframe for disinvestment of assets in the investment fund portfolios assists in managing fund liquidity.</w:t>
      </w:r>
    </w:p>
    <w:p w14:paraId="7220486D" w14:textId="77777777" w:rsidR="00596C0E" w:rsidRDefault="00000000">
      <w:pPr>
        <w:spacing w:after="280" w:line="360" w:lineRule="exact"/>
        <w:jc w:val="both"/>
        <w:rPr>
          <w:rFonts w:hint="eastAsia"/>
        </w:rPr>
      </w:pPr>
      <w:r>
        <w:t xml:space="preserve">Quotization periods, redemption lock-up periods, funds closed to subscriptions and relevant negative net subscriptions are factors considered by the allocation area, since they significantly limit the redemption period or give rise to consecutive disinvestments </w:t>
      </w:r>
      <w:r>
        <w:lastRenderedPageBreak/>
        <w:t>from fund portfolios, which may make it difficult to manage fund liquidity and must be taken into account in the allocation process.</w:t>
      </w:r>
    </w:p>
    <w:sectPr w:rsidR="00596C0E" w:rsidSect="00034616">
      <w:headerReference w:type="default" r:id="rId8"/>
      <w:footerReference w:type="default" r:id="rId9"/>
      <w:headerReference w:type="first" r:id="rId10"/>
      <w:footerReference w:type="first" r:id="rId11"/>
      <w:pgSz w:w="11906" w:h="16838"/>
      <w:pgMar w:top="1701" w:right="1701" w:bottom="1417" w:left="1701" w:header="482"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12393" w14:textId="77777777" w:rsidR="00A36727" w:rsidRDefault="00A36727">
      <w:pPr>
        <w:spacing w:after="0" w:line="240" w:lineRule="auto"/>
        <w:rPr>
          <w:rFonts w:hint="eastAsia"/>
        </w:rPr>
      </w:pPr>
      <w:r>
        <w:separator/>
      </w:r>
    </w:p>
  </w:endnote>
  <w:endnote w:type="continuationSeparator" w:id="0">
    <w:p w14:paraId="4DA79FC0" w14:textId="77777777" w:rsidR="00A36727" w:rsidRDefault="00A3672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felia Display Regular">
    <w:altName w:val="Ofelia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felia Display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D6B7" w14:textId="77777777" w:rsidR="00596C0E" w:rsidRDefault="00000000">
    <w:pPr>
      <w:spacing w:after="0"/>
      <w:jc w:val="center"/>
      <w:rPr>
        <w:rFonts w:hint="eastAsia"/>
      </w:rPr>
    </w:pPr>
    <w:r>
      <w:rPr>
        <w:sz w:val="20"/>
      </w:rPr>
      <w:fldChar w:fldCharType="begin"/>
    </w:r>
    <w:r>
      <w:rPr>
        <w:sz w:val="20"/>
      </w:rPr>
      <w:instrText xml:space="preserve"> PAGE </w:instrText>
    </w:r>
    <w:r>
      <w:rPr>
        <w:sz w:val="20"/>
      </w:rPr>
      <w:fldChar w:fldCharType="separate"/>
    </w:r>
    <w:r w:rsidR="00674575">
      <w:rPr>
        <w:rFonts w:hint="eastAsia"/>
        <w:noProof/>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102B" w14:textId="77777777" w:rsidR="00596C0E" w:rsidRDefault="00596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2C38B" w14:textId="77777777" w:rsidR="00A36727" w:rsidRDefault="00A36727">
      <w:pPr>
        <w:spacing w:after="0" w:line="240" w:lineRule="auto"/>
        <w:rPr>
          <w:rFonts w:hint="eastAsia"/>
        </w:rPr>
      </w:pPr>
      <w:r>
        <w:separator/>
      </w:r>
    </w:p>
  </w:footnote>
  <w:footnote w:type="continuationSeparator" w:id="0">
    <w:p w14:paraId="2950EE02" w14:textId="77777777" w:rsidR="00A36727" w:rsidRDefault="00A3672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3B7E" w14:textId="77777777" w:rsidR="00596C0E" w:rsidRDefault="00000000">
    <w:pPr>
      <w:spacing w:after="280"/>
      <w:rPr>
        <w:rFonts w:hint="eastAsia"/>
      </w:rPr>
    </w:pPr>
    <w:r>
      <w:rPr>
        <w:noProof/>
      </w:rPr>
      <w:drawing>
        <wp:inline distT="0" distB="0" distL="0" distR="0" wp14:anchorId="12A5076F" wp14:editId="601AD855">
          <wp:extent cx="1908000" cy="279840"/>
          <wp:effectExtent l="0" t="0" r="0" b="0"/>
          <wp:docPr id="1993477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png"/>
                  <pic:cNvPicPr/>
                </pic:nvPicPr>
                <pic:blipFill>
                  <a:blip r:embed="rId1"/>
                  <a:stretch>
                    <a:fillRect/>
                  </a:stretch>
                </pic:blipFill>
                <pic:spPr>
                  <a:xfrm>
                    <a:off x="0" y="0"/>
                    <a:ext cx="1908000" cy="2798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1A54" w14:textId="77777777" w:rsidR="00596C0E" w:rsidRDefault="00000000">
    <w:pPr>
      <w:spacing w:after="0"/>
      <w:rPr>
        <w:rFonts w:hint="eastAsia"/>
      </w:rPr>
    </w:pPr>
    <w:r>
      <w:rPr>
        <w:noProof/>
      </w:rPr>
      <w:drawing>
        <wp:inline distT="0" distB="0" distL="0" distR="0" wp14:anchorId="00EA18C3" wp14:editId="2FC4A930">
          <wp:extent cx="1908000" cy="279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png"/>
                  <pic:cNvPicPr/>
                </pic:nvPicPr>
                <pic:blipFill>
                  <a:blip r:embed="rId1"/>
                  <a:stretch>
                    <a:fillRect/>
                  </a:stretch>
                </pic:blipFill>
                <pic:spPr>
                  <a:xfrm>
                    <a:off x="0" y="0"/>
                    <a:ext cx="1908000" cy="279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941303105">
    <w:abstractNumId w:val="8"/>
  </w:num>
  <w:num w:numId="2" w16cid:durableId="1257397161">
    <w:abstractNumId w:val="6"/>
  </w:num>
  <w:num w:numId="3" w16cid:durableId="1377271200">
    <w:abstractNumId w:val="5"/>
  </w:num>
  <w:num w:numId="4" w16cid:durableId="714696153">
    <w:abstractNumId w:val="4"/>
  </w:num>
  <w:num w:numId="5" w16cid:durableId="934555276">
    <w:abstractNumId w:val="7"/>
  </w:num>
  <w:num w:numId="6" w16cid:durableId="1939947133">
    <w:abstractNumId w:val="3"/>
  </w:num>
  <w:num w:numId="7" w16cid:durableId="1127894417">
    <w:abstractNumId w:val="2"/>
  </w:num>
  <w:num w:numId="8" w16cid:durableId="220212961">
    <w:abstractNumId w:val="1"/>
  </w:num>
  <w:num w:numId="9" w16cid:durableId="1445424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8DD"/>
    <w:rsid w:val="0006063C"/>
    <w:rsid w:val="0015074B"/>
    <w:rsid w:val="0029639D"/>
    <w:rsid w:val="00326F90"/>
    <w:rsid w:val="003C29B8"/>
    <w:rsid w:val="00596C0E"/>
    <w:rsid w:val="005D66F3"/>
    <w:rsid w:val="00674575"/>
    <w:rsid w:val="00743E57"/>
    <w:rsid w:val="00A3672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94BDE"/>
  <w14:defaultImageDpi w14:val="300"/>
  <w15:docId w15:val="{6F5AB1D1-E8FF-4856-8D15-ABB454708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Ofelia Display Regular" w:hAnsi="Ofelia Display Regular"/>
      <w:color w:val="000000"/>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dca58620-8fbd-44b3-973c-d1cc79f8f69b}" enabled="1" method="Standard" siteId="{80edecac-2800-470c-9a90-6194f59237f3}"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8</Pages>
  <Words>1926</Words>
  <Characters>10401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Luisa Rocha Tabacchi | Jera Capital</cp:lastModifiedBy>
  <cp:revision>3</cp:revision>
  <dcterms:created xsi:type="dcterms:W3CDTF">2026-06-08T17:22:00Z</dcterms:created>
  <dcterms:modified xsi:type="dcterms:W3CDTF">2026-06-09T19:57:00Z</dcterms:modified>
  <cp:category/>
</cp:coreProperties>
</file>