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A0536"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b/>
          <w:bCs/>
          <w:color w:val="1F2937"/>
          <w:kern w:val="0"/>
          <w:sz w:val="20"/>
          <w:szCs w:val="20"/>
          <w:lang w:eastAsia="en-GB"/>
          <w14:ligatures w14:val="none"/>
        </w:rPr>
      </w:pPr>
      <w:r w:rsidRPr="002366D5">
        <w:rPr>
          <w:rFonts w:ascii="unset" w:eastAsia="Times New Roman" w:hAnsi="unset" w:cs="Times New Roman"/>
          <w:color w:val="1F2937"/>
          <w:kern w:val="0"/>
          <w:sz w:val="20"/>
          <w:szCs w:val="20"/>
          <w:lang w:eastAsia="en-GB"/>
          <w14:ligatures w14:val="none"/>
        </w:rPr>
        <w:t xml:space="preserve">Certain information contained within this Announcement is deemed by the Company to constitute inside information as stipulated under the Market Abuse Regulation (EU) No. 596/2014 ("MAR"). Upon publication of this Announcement, this information </w:t>
      </w:r>
      <w:proofErr w:type="gramStart"/>
      <w:r w:rsidRPr="002366D5">
        <w:rPr>
          <w:rFonts w:ascii="unset" w:eastAsia="Times New Roman" w:hAnsi="unset" w:cs="Times New Roman"/>
          <w:color w:val="1F2937"/>
          <w:kern w:val="0"/>
          <w:sz w:val="20"/>
          <w:szCs w:val="20"/>
          <w:lang w:eastAsia="en-GB"/>
          <w14:ligatures w14:val="none"/>
        </w:rPr>
        <w:t>is considered to be</w:t>
      </w:r>
      <w:proofErr w:type="gramEnd"/>
      <w:r w:rsidRPr="002366D5">
        <w:rPr>
          <w:rFonts w:ascii="unset" w:eastAsia="Times New Roman" w:hAnsi="unset" w:cs="Times New Roman"/>
          <w:color w:val="1F2937"/>
          <w:kern w:val="0"/>
          <w:sz w:val="20"/>
          <w:szCs w:val="20"/>
          <w:lang w:eastAsia="en-GB"/>
          <w14:ligatures w14:val="none"/>
        </w:rPr>
        <w:t xml:space="preserve"> in the public domain.</w:t>
      </w:r>
    </w:p>
    <w:p w14:paraId="3CF6ACF4"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b/>
          <w:bCs/>
          <w:color w:val="1F2937"/>
          <w:kern w:val="0"/>
          <w:sz w:val="20"/>
          <w:szCs w:val="20"/>
          <w:lang w:eastAsia="en-GB"/>
          <w14:ligatures w14:val="none"/>
        </w:rPr>
      </w:pPr>
      <w:r w:rsidRPr="002366D5">
        <w:rPr>
          <w:rFonts w:ascii="unset" w:eastAsia="Times New Roman" w:hAnsi="unset" w:cs="Times New Roman"/>
          <w:color w:val="1F2937"/>
          <w:kern w:val="0"/>
          <w:sz w:val="20"/>
          <w:szCs w:val="20"/>
          <w:lang w:eastAsia="en-GB"/>
          <w14:ligatures w14:val="none"/>
        </w:rPr>
        <w:t> </w:t>
      </w:r>
    </w:p>
    <w:p w14:paraId="5E55F04B"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b/>
          <w:bCs/>
          <w:color w:val="1F2937"/>
          <w:kern w:val="0"/>
          <w:sz w:val="20"/>
          <w:szCs w:val="20"/>
          <w:lang w:eastAsia="en-GB"/>
          <w14:ligatures w14:val="none"/>
        </w:rPr>
      </w:pPr>
      <w:r w:rsidRPr="002366D5">
        <w:rPr>
          <w:rFonts w:ascii="unset" w:eastAsia="Times New Roman" w:hAnsi="unset" w:cs="Times New Roman"/>
          <w:color w:val="1F2937"/>
          <w:kern w:val="0"/>
          <w:sz w:val="20"/>
          <w:szCs w:val="20"/>
          <w:lang w:eastAsia="en-GB"/>
          <w14:ligatures w14:val="none"/>
        </w:rPr>
        <w:t>30 April 2026</w:t>
      </w:r>
    </w:p>
    <w:p w14:paraId="21F05D6A"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w:t>
      </w:r>
    </w:p>
    <w:p w14:paraId="1D3C8221" w14:textId="77777777" w:rsidR="002366D5" w:rsidRPr="002366D5" w:rsidRDefault="002366D5" w:rsidP="002366D5">
      <w:pPr>
        <w:shd w:val="clear" w:color="auto" w:fill="FFFFFF"/>
        <w:spacing w:after="200" w:line="230" w:lineRule="atLeast"/>
        <w:jc w:val="center"/>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energy B Plc ("energy B" or "the Company")</w:t>
      </w:r>
    </w:p>
    <w:p w14:paraId="3558DE91" w14:textId="77777777" w:rsidR="002366D5" w:rsidRPr="002366D5" w:rsidRDefault="002366D5" w:rsidP="002366D5">
      <w:pPr>
        <w:shd w:val="clear" w:color="auto" w:fill="FFFFFF"/>
        <w:spacing w:after="200" w:line="230" w:lineRule="atLeast"/>
        <w:jc w:val="center"/>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Interim Results for six months ended 31 January 2026</w:t>
      </w:r>
    </w:p>
    <w:p w14:paraId="2D5F2B75" w14:textId="77777777" w:rsidR="002366D5" w:rsidRPr="002366D5" w:rsidRDefault="002366D5" w:rsidP="002366D5">
      <w:pPr>
        <w:shd w:val="clear" w:color="auto" w:fill="FFFFFF"/>
        <w:spacing w:after="200" w:line="23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energy B Plc (</w:t>
      </w:r>
      <w:proofErr w:type="gramStart"/>
      <w:r w:rsidRPr="002366D5">
        <w:rPr>
          <w:rFonts w:ascii="Times New Roman" w:eastAsia="Times New Roman" w:hAnsi="Times New Roman" w:cs="Times New Roman"/>
          <w:color w:val="1F2937"/>
          <w:kern w:val="0"/>
          <w:sz w:val="20"/>
          <w:szCs w:val="20"/>
          <w:lang w:eastAsia="en-GB"/>
          <w14:ligatures w14:val="none"/>
        </w:rPr>
        <w:t>AQSE:NRGB</w:t>
      </w:r>
      <w:proofErr w:type="gramEnd"/>
      <w:r w:rsidRPr="002366D5">
        <w:rPr>
          <w:rFonts w:ascii="Times New Roman" w:eastAsia="Times New Roman" w:hAnsi="Times New Roman" w:cs="Times New Roman"/>
          <w:color w:val="1F2937"/>
          <w:kern w:val="0"/>
          <w:sz w:val="20"/>
          <w:szCs w:val="20"/>
          <w:lang w:eastAsia="en-GB"/>
          <w14:ligatures w14:val="none"/>
        </w:rPr>
        <w:t>), a developer of a proprietary wind-based green hydrogen production system featuring an advanced aerodynamic wind turbine, announces its unaudited results for the six-month period ended 31 January 2026.</w:t>
      </w:r>
    </w:p>
    <w:p w14:paraId="3712E59F"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Summary</w:t>
      </w:r>
    </w:p>
    <w:p w14:paraId="6AFFCE7D" w14:textId="1AA01F1C" w:rsidR="002366D5" w:rsidRPr="002366D5" w:rsidRDefault="002366D5" w:rsidP="002366D5">
      <w:pPr>
        <w:shd w:val="clear" w:color="auto" w:fill="FFFFFF"/>
        <w:spacing w:after="240" w:line="240" w:lineRule="auto"/>
        <w:ind w:left="714" w:hanging="357"/>
        <w:rPr>
          <w:rFonts w:ascii="Times New Roman" w:eastAsia="Times New Roman" w:hAnsi="Times New Roman" w:cs="Times New Roman"/>
          <w:color w:val="1F2937"/>
          <w:kern w:val="0"/>
          <w:sz w:val="20"/>
          <w:szCs w:val="20"/>
          <w:lang w:eastAsia="en-GB"/>
          <w14:ligatures w14:val="none"/>
        </w:rPr>
      </w:pPr>
      <w:r w:rsidRPr="002366D5">
        <w:rPr>
          <w:rFonts w:ascii="Symbol" w:eastAsia="Times New Roman" w:hAnsi="Symbol" w:cs="Times New Roman"/>
          <w:color w:val="1F2937"/>
          <w:kern w:val="0"/>
          <w:sz w:val="20"/>
          <w:szCs w:val="20"/>
          <w:lang w:eastAsia="en-GB"/>
          <w14:ligatures w14:val="none"/>
        </w:rPr>
        <w:t>·</w:t>
      </w:r>
      <w:r w:rsidRPr="002366D5">
        <w:rPr>
          <w:rFonts w:ascii="unset" w:eastAsia="Times New Roman" w:hAnsi="unset" w:cs="Times New Roman"/>
          <w:color w:val="1F2937"/>
          <w:kern w:val="0"/>
          <w:sz w:val="20"/>
          <w:szCs w:val="20"/>
          <w:lang w:eastAsia="en-GB"/>
          <w14:ligatures w14:val="none"/>
        </w:rPr>
        <w:t>Period end cash balance of £6k (period ended 31 July 2025: £24k);</w:t>
      </w:r>
    </w:p>
    <w:p w14:paraId="72A1876B" w14:textId="528521AD" w:rsidR="002366D5" w:rsidRPr="002366D5" w:rsidRDefault="002366D5" w:rsidP="002366D5">
      <w:pPr>
        <w:shd w:val="clear" w:color="auto" w:fill="FFFFFF"/>
        <w:spacing w:after="240" w:line="240" w:lineRule="auto"/>
        <w:ind w:left="714" w:hanging="357"/>
        <w:rPr>
          <w:rFonts w:ascii="Times New Roman" w:eastAsia="Times New Roman" w:hAnsi="Times New Roman" w:cs="Times New Roman"/>
          <w:color w:val="1F2937"/>
          <w:kern w:val="0"/>
          <w:sz w:val="20"/>
          <w:szCs w:val="20"/>
          <w:lang w:eastAsia="en-GB"/>
          <w14:ligatures w14:val="none"/>
        </w:rPr>
      </w:pPr>
      <w:r w:rsidRPr="002366D5">
        <w:rPr>
          <w:rFonts w:ascii="Symbol" w:eastAsia="Times New Roman" w:hAnsi="Symbol" w:cs="Times New Roman"/>
          <w:color w:val="1F2937"/>
          <w:kern w:val="0"/>
          <w:sz w:val="20"/>
          <w:szCs w:val="20"/>
          <w:lang w:eastAsia="en-GB"/>
          <w14:ligatures w14:val="none"/>
        </w:rPr>
        <w:t>·</w:t>
      </w:r>
      <w:r w:rsidRPr="002366D5">
        <w:rPr>
          <w:rFonts w:ascii="unset" w:eastAsia="Times New Roman" w:hAnsi="unset" w:cs="Times New Roman"/>
          <w:color w:val="1F2937"/>
          <w:kern w:val="0"/>
          <w:sz w:val="20"/>
          <w:szCs w:val="20"/>
          <w:lang w:eastAsia="en-GB"/>
          <w14:ligatures w14:val="none"/>
        </w:rPr>
        <w:t>Gross proceeds of £401k were raised during the period through a subscription completed on 6 October 2025</w:t>
      </w:r>
    </w:p>
    <w:p w14:paraId="39D5175F" w14:textId="71E8E514" w:rsidR="002366D5" w:rsidRPr="002366D5" w:rsidRDefault="002366D5" w:rsidP="002366D5">
      <w:pPr>
        <w:shd w:val="clear" w:color="auto" w:fill="FFFFFF"/>
        <w:spacing w:after="0" w:line="300" w:lineRule="atLeast"/>
        <w:ind w:left="720" w:hanging="360"/>
        <w:rPr>
          <w:rFonts w:ascii="Times New Roman" w:eastAsia="Times New Roman" w:hAnsi="Times New Roman" w:cs="Times New Roman"/>
          <w:color w:val="1F2937"/>
          <w:kern w:val="0"/>
          <w:sz w:val="20"/>
          <w:szCs w:val="20"/>
          <w:lang w:eastAsia="en-GB"/>
          <w14:ligatures w14:val="none"/>
        </w:rPr>
      </w:pPr>
      <w:r w:rsidRPr="002366D5">
        <w:rPr>
          <w:rFonts w:ascii="Symbol" w:eastAsia="Times New Roman" w:hAnsi="Symbol" w:cs="Times New Roman"/>
          <w:color w:val="1F2937"/>
          <w:kern w:val="0"/>
          <w:sz w:val="20"/>
          <w:szCs w:val="20"/>
          <w:lang w:eastAsia="en-GB"/>
          <w14:ligatures w14:val="none"/>
        </w:rPr>
        <w:t>·</w:t>
      </w:r>
      <w:r w:rsidRPr="002366D5">
        <w:rPr>
          <w:rFonts w:ascii="unset" w:eastAsia="Times New Roman" w:hAnsi="unset" w:cs="Times New Roman"/>
          <w:color w:val="1F2937"/>
          <w:kern w:val="0"/>
          <w:sz w:val="20"/>
          <w:szCs w:val="20"/>
          <w:lang w:eastAsia="en-GB"/>
          <w14:ligatures w14:val="none"/>
        </w:rPr>
        <w:t xml:space="preserve">Trade and other payables decreased to £245k (31 January 2025: £519k). Trade and other payables </w:t>
      </w:r>
      <w:proofErr w:type="spellStart"/>
      <w:r w:rsidRPr="002366D5">
        <w:rPr>
          <w:rFonts w:ascii="unset" w:eastAsia="Times New Roman" w:hAnsi="unset" w:cs="Times New Roman"/>
          <w:color w:val="1F2937"/>
          <w:kern w:val="0"/>
          <w:sz w:val="20"/>
          <w:szCs w:val="20"/>
          <w:lang w:eastAsia="en-GB"/>
          <w14:ligatures w14:val="none"/>
        </w:rPr>
        <w:t>totaling</w:t>
      </w:r>
      <w:proofErr w:type="spellEnd"/>
      <w:r w:rsidRPr="002366D5">
        <w:rPr>
          <w:rFonts w:ascii="unset" w:eastAsia="Times New Roman" w:hAnsi="unset" w:cs="Times New Roman"/>
          <w:color w:val="1F2937"/>
          <w:kern w:val="0"/>
          <w:sz w:val="20"/>
          <w:szCs w:val="20"/>
          <w:lang w:eastAsia="en-GB"/>
          <w14:ligatures w14:val="none"/>
        </w:rPr>
        <w:t> £157k were settled through the issue of shares.</w:t>
      </w:r>
    </w:p>
    <w:p w14:paraId="3EEE68F6" w14:textId="77777777" w:rsidR="002366D5" w:rsidRPr="002366D5" w:rsidRDefault="002366D5" w:rsidP="002366D5">
      <w:pPr>
        <w:shd w:val="clear" w:color="auto" w:fill="FFFFFF"/>
        <w:spacing w:after="0" w:line="300" w:lineRule="atLeast"/>
        <w:ind w:left="720"/>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color w:val="1F2937"/>
          <w:kern w:val="0"/>
          <w:sz w:val="20"/>
          <w:szCs w:val="20"/>
          <w:lang w:eastAsia="en-GB"/>
          <w14:ligatures w14:val="none"/>
        </w:rPr>
        <w:t> </w:t>
      </w:r>
    </w:p>
    <w:p w14:paraId="5B3D69DA" w14:textId="77777777" w:rsidR="002366D5" w:rsidRPr="002366D5" w:rsidRDefault="002366D5" w:rsidP="002366D5">
      <w:pPr>
        <w:shd w:val="clear" w:color="auto" w:fill="FFFFFF"/>
        <w:spacing w:after="200" w:line="300" w:lineRule="atLeast"/>
        <w:rPr>
          <w:rFonts w:ascii="Calibri" w:eastAsia="Times New Roman" w:hAnsi="Calibri" w:cs="Calibri"/>
          <w:color w:val="1F2937"/>
          <w:kern w:val="0"/>
          <w:sz w:val="20"/>
          <w:szCs w:val="20"/>
          <w:lang w:eastAsia="en-GB"/>
          <w14:ligatures w14:val="none"/>
        </w:rPr>
      </w:pPr>
      <w:r w:rsidRPr="002366D5">
        <w:rPr>
          <w:rFonts w:ascii="unset" w:eastAsia="Times New Roman" w:hAnsi="unset" w:cs="Calibri"/>
          <w:b/>
          <w:bCs/>
          <w:color w:val="1F2937"/>
          <w:kern w:val="0"/>
          <w:sz w:val="20"/>
          <w:szCs w:val="20"/>
          <w:lang w:eastAsia="en-GB"/>
          <w14:ligatures w14:val="none"/>
        </w:rPr>
        <w:t>Post period events</w:t>
      </w:r>
    </w:p>
    <w:p w14:paraId="5E12AAC8" w14:textId="77777777" w:rsidR="002366D5" w:rsidRPr="002366D5" w:rsidRDefault="002366D5" w:rsidP="002366D5">
      <w:pPr>
        <w:shd w:val="clear" w:color="auto" w:fill="FFFFFF"/>
        <w:spacing w:after="240" w:line="230" w:lineRule="atLeast"/>
        <w:jc w:val="both"/>
        <w:rPr>
          <w:rFonts w:ascii="Calibri" w:eastAsia="Times New Roman" w:hAnsi="Calibri" w:cs="Calibri"/>
          <w:color w:val="1F2937"/>
          <w:kern w:val="0"/>
          <w:sz w:val="20"/>
          <w:szCs w:val="20"/>
          <w:lang w:eastAsia="en-GB"/>
          <w14:ligatures w14:val="none"/>
        </w:rPr>
      </w:pPr>
      <w:proofErr w:type="gramStart"/>
      <w:r w:rsidRPr="002366D5">
        <w:rPr>
          <w:rFonts w:ascii="Times New Roman" w:eastAsia="Times New Roman" w:hAnsi="Times New Roman" w:cs="Times New Roman"/>
          <w:color w:val="000000"/>
          <w:kern w:val="0"/>
          <w:sz w:val="20"/>
          <w:szCs w:val="20"/>
          <w:lang w:eastAsia="en-GB"/>
          <w14:ligatures w14:val="none"/>
        </w:rPr>
        <w:t>Subsequent to</w:t>
      </w:r>
      <w:proofErr w:type="gramEnd"/>
      <w:r w:rsidRPr="002366D5">
        <w:rPr>
          <w:rFonts w:ascii="Times New Roman" w:eastAsia="Times New Roman" w:hAnsi="Times New Roman" w:cs="Times New Roman"/>
          <w:color w:val="000000"/>
          <w:kern w:val="0"/>
          <w:sz w:val="20"/>
          <w:szCs w:val="20"/>
          <w:lang w:eastAsia="en-GB"/>
          <w14:ligatures w14:val="none"/>
        </w:rPr>
        <w:t xml:space="preserve"> the reporting period, the Company </w:t>
      </w:r>
      <w:proofErr w:type="gramStart"/>
      <w:r w:rsidRPr="002366D5">
        <w:rPr>
          <w:rFonts w:ascii="Times New Roman" w:eastAsia="Times New Roman" w:hAnsi="Times New Roman" w:cs="Times New Roman"/>
          <w:color w:val="000000"/>
          <w:kern w:val="0"/>
          <w:sz w:val="20"/>
          <w:szCs w:val="20"/>
          <w:lang w:eastAsia="en-GB"/>
          <w14:ligatures w14:val="none"/>
        </w:rPr>
        <w:t>entered into</w:t>
      </w:r>
      <w:proofErr w:type="gramEnd"/>
      <w:r w:rsidRPr="002366D5">
        <w:rPr>
          <w:rFonts w:ascii="Times New Roman" w:eastAsia="Times New Roman" w:hAnsi="Times New Roman" w:cs="Times New Roman"/>
          <w:color w:val="000000"/>
          <w:kern w:val="0"/>
          <w:sz w:val="20"/>
          <w:szCs w:val="20"/>
          <w:lang w:eastAsia="en-GB"/>
          <w14:ligatures w14:val="none"/>
        </w:rPr>
        <w:t xml:space="preserve"> a £50k interest-free director loan facility with Neil Ritson, Non-Executive Chairman. As announced on 20 February 2026, an initial drawdown of £10,000 was made by the Company. A further £20,000 was drawn down from the director loan facility on 29 April 2026, with the remaining £20,000 available to be drawn down. Repayment is due by 30 June 2026, after which it is at the lender's discretion, subject to the Company maintaining its minimum working capital requirements.</w:t>
      </w:r>
    </w:p>
    <w:p w14:paraId="0D2EABA7"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The Company continues to carefully manage its working capital position whilst it considers its future strategy.</w:t>
      </w:r>
    </w:p>
    <w:p w14:paraId="527BD5D9"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Operational Highlights</w:t>
      </w:r>
    </w:p>
    <w:p w14:paraId="73C7B7CD" w14:textId="77777777" w:rsidR="002366D5" w:rsidRPr="002366D5" w:rsidRDefault="002366D5" w:rsidP="002366D5">
      <w:pPr>
        <w:shd w:val="clear" w:color="auto" w:fill="FFFFFF"/>
        <w:spacing w:after="20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Corporate activity has focused on the pivot to a bitcoin treasury strategy and subsequent pursuit of a potential target for a transformational transaction that could add shareholder value.</w:t>
      </w:r>
    </w:p>
    <w:p w14:paraId="4FE328BC"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The Interim Management Report and financial results are set out further below.</w:t>
      </w:r>
    </w:p>
    <w:p w14:paraId="589E987A"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Contacts</w:t>
      </w:r>
    </w:p>
    <w:p w14:paraId="574C548A" w14:textId="77777777" w:rsidR="002366D5" w:rsidRPr="002366D5" w:rsidRDefault="002366D5" w:rsidP="002366D5">
      <w:pPr>
        <w:shd w:val="clear" w:color="auto" w:fill="FFFFFF"/>
        <w:spacing w:after="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Energy B Plc                                      </w:t>
      </w:r>
    </w:p>
    <w:p w14:paraId="26541245" w14:textId="77777777" w:rsidR="002366D5" w:rsidRPr="002366D5" w:rsidRDefault="002366D5" w:rsidP="002366D5">
      <w:pPr>
        <w:shd w:val="clear" w:color="auto" w:fill="FFFFFF"/>
        <w:spacing w:after="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Neil Ritson, Non-Executive Chairman                                            +44 (0) 20 3475 6834</w:t>
      </w:r>
    </w:p>
    <w:p w14:paraId="024D9645" w14:textId="77777777" w:rsidR="002366D5" w:rsidRPr="002366D5" w:rsidRDefault="002366D5" w:rsidP="002366D5">
      <w:pPr>
        <w:shd w:val="clear" w:color="auto" w:fill="FFFFFF"/>
        <w:spacing w:after="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 </w:t>
      </w:r>
    </w:p>
    <w:p w14:paraId="758A8731" w14:textId="77777777" w:rsidR="002366D5" w:rsidRPr="002366D5" w:rsidRDefault="002366D5" w:rsidP="002366D5">
      <w:pPr>
        <w:shd w:val="clear" w:color="auto" w:fill="FFFFFF"/>
        <w:spacing w:after="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Cairn Financial Advisers LLP (AQSE Corporate Adviser)                                  </w:t>
      </w:r>
    </w:p>
    <w:p w14:paraId="5E71507F" w14:textId="77777777" w:rsidR="002366D5" w:rsidRPr="002366D5" w:rsidRDefault="002366D5" w:rsidP="002366D5">
      <w:pPr>
        <w:shd w:val="clear" w:color="auto" w:fill="FFFFFF"/>
        <w:spacing w:after="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Ludovico Lazzaretti                                                                           +44 (0) 20 7213 0880</w:t>
      </w:r>
    </w:p>
    <w:p w14:paraId="3C2A05E8"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Liam Murray                                                                                                       </w:t>
      </w:r>
    </w:p>
    <w:p w14:paraId="33317318" w14:textId="77777777" w:rsidR="002366D5" w:rsidRPr="002366D5" w:rsidRDefault="002366D5" w:rsidP="002366D5">
      <w:pPr>
        <w:shd w:val="clear" w:color="auto" w:fill="FFFFFF"/>
        <w:spacing w:line="230" w:lineRule="atLeast"/>
        <w:jc w:val="both"/>
        <w:rPr>
          <w:rFonts w:ascii="Times New Roman" w:eastAsia="Times New Roman" w:hAnsi="Times New Roman" w:cs="Times New Roman"/>
          <w:color w:val="1F2937"/>
          <w:kern w:val="0"/>
          <w:sz w:val="20"/>
          <w:szCs w:val="20"/>
          <w:lang w:eastAsia="en-GB"/>
          <w14:ligatures w14:val="none"/>
        </w:rPr>
      </w:pPr>
      <w:r w:rsidRPr="002366D5">
        <w:rPr>
          <w:rFonts w:ascii="Arial" w:eastAsia="Times New Roman" w:hAnsi="Arial" w:cs="Arial"/>
          <w:b/>
          <w:bCs/>
          <w:color w:val="212529"/>
          <w:kern w:val="0"/>
          <w:sz w:val="18"/>
          <w:szCs w:val="18"/>
          <w:lang w:eastAsia="en-GB"/>
          <w14:ligatures w14:val="none"/>
        </w:rPr>
        <w:t>About</w:t>
      </w:r>
      <w:r w:rsidRPr="002366D5">
        <w:rPr>
          <w:rFonts w:ascii="Aptos" w:eastAsia="Times New Roman" w:hAnsi="Aptos" w:cs="Times New Roman"/>
          <w:color w:val="212529"/>
          <w:kern w:val="0"/>
          <w:sz w:val="20"/>
          <w:szCs w:val="20"/>
          <w:lang w:eastAsia="en-GB"/>
          <w14:ligatures w14:val="none"/>
        </w:rPr>
        <w:t> </w:t>
      </w:r>
      <w:r w:rsidRPr="002366D5">
        <w:rPr>
          <w:rFonts w:ascii="Arial" w:eastAsia="Times New Roman" w:hAnsi="Arial" w:cs="Arial"/>
          <w:b/>
          <w:bCs/>
          <w:color w:val="000000"/>
          <w:kern w:val="0"/>
          <w:sz w:val="18"/>
          <w:szCs w:val="18"/>
          <w:bdr w:val="none" w:sz="0" w:space="0" w:color="auto" w:frame="1"/>
          <w:lang w:eastAsia="en-GB"/>
          <w14:ligatures w14:val="none"/>
        </w:rPr>
        <w:t>energy B</w:t>
      </w:r>
    </w:p>
    <w:p w14:paraId="0B192315" w14:textId="77777777" w:rsidR="002366D5" w:rsidRPr="002366D5" w:rsidRDefault="002366D5" w:rsidP="002366D5">
      <w:pPr>
        <w:shd w:val="clear" w:color="auto" w:fill="FFFFFF"/>
        <w:spacing w:line="230" w:lineRule="atLeast"/>
        <w:jc w:val="both"/>
        <w:rPr>
          <w:rFonts w:ascii="Times New Roman" w:eastAsia="Times New Roman" w:hAnsi="Times New Roman" w:cs="Times New Roman"/>
          <w:color w:val="1F2937"/>
          <w:kern w:val="0"/>
          <w:sz w:val="20"/>
          <w:szCs w:val="20"/>
          <w:lang w:eastAsia="en-GB"/>
          <w14:ligatures w14:val="none"/>
        </w:rPr>
      </w:pPr>
      <w:r w:rsidRPr="002366D5">
        <w:rPr>
          <w:rFonts w:ascii="Arial" w:eastAsia="Times New Roman" w:hAnsi="Arial" w:cs="Arial"/>
          <w:color w:val="212529"/>
          <w:kern w:val="0"/>
          <w:sz w:val="18"/>
          <w:szCs w:val="18"/>
          <w:lang w:eastAsia="en-GB"/>
          <w14:ligatures w14:val="none"/>
        </w:rPr>
        <w:t>energy B are developing a proprietary wind-based hydrogen production system, incorporating hydrogen compression and storage. The Company is at the forefront of green hydrogen production with its integrated system that marries an advanced ducted wind turbine with a state-of-the-art Hydrogen Electrolyser technology, currently owned and being developed by a related party. This innovative pairing is designed to optimise renewable Energy for the efficient production of hydrogen.</w:t>
      </w:r>
    </w:p>
    <w:p w14:paraId="5E639B6B" w14:textId="77777777" w:rsidR="002366D5" w:rsidRPr="002366D5" w:rsidRDefault="002366D5" w:rsidP="002366D5">
      <w:pPr>
        <w:shd w:val="clear" w:color="auto" w:fill="FFFFFF"/>
        <w:spacing w:before="198" w:after="198" w:line="230" w:lineRule="atLeast"/>
        <w:jc w:val="both"/>
        <w:rPr>
          <w:rFonts w:ascii="Times New Roman" w:eastAsia="Times New Roman" w:hAnsi="Times New Roman" w:cs="Times New Roman"/>
          <w:color w:val="1F2937"/>
          <w:kern w:val="0"/>
          <w:sz w:val="20"/>
          <w:szCs w:val="20"/>
          <w:lang w:eastAsia="en-GB"/>
          <w14:ligatures w14:val="none"/>
        </w:rPr>
      </w:pPr>
      <w:r w:rsidRPr="002366D5">
        <w:rPr>
          <w:rFonts w:ascii="Arial" w:eastAsia="Times New Roman" w:hAnsi="Arial" w:cs="Arial"/>
          <w:color w:val="212529"/>
          <w:kern w:val="0"/>
          <w:sz w:val="18"/>
          <w:szCs w:val="18"/>
          <w:lang w:eastAsia="en-GB"/>
          <w14:ligatures w14:val="none"/>
        </w:rPr>
        <w:t>Visit our website: </w:t>
      </w:r>
      <w:hyperlink r:id="rId4" w:history="1">
        <w:r w:rsidRPr="002366D5">
          <w:rPr>
            <w:rFonts w:ascii="Arial" w:eastAsia="Times New Roman" w:hAnsi="Arial" w:cs="Arial"/>
            <w:color w:val="0000FF"/>
            <w:kern w:val="0"/>
            <w:sz w:val="18"/>
            <w:szCs w:val="18"/>
            <w:u w:val="single"/>
            <w:bdr w:val="single" w:sz="2" w:space="0" w:color="E5E7EB" w:frame="1"/>
            <w:lang w:eastAsia="en-GB"/>
            <w14:ligatures w14:val="none"/>
          </w:rPr>
          <w:t>www.hydrogenfutureindustries.com</w:t>
        </w:r>
      </w:hyperlink>
    </w:p>
    <w:p w14:paraId="2E4E39F4" w14:textId="77777777" w:rsidR="002366D5" w:rsidRPr="002366D5" w:rsidRDefault="002366D5" w:rsidP="002366D5">
      <w:pPr>
        <w:shd w:val="clear" w:color="auto" w:fill="FFFFFF"/>
        <w:spacing w:line="230" w:lineRule="atLeast"/>
        <w:jc w:val="both"/>
        <w:rPr>
          <w:rFonts w:ascii="Times New Roman" w:eastAsia="Times New Roman" w:hAnsi="Times New Roman" w:cs="Times New Roman"/>
          <w:color w:val="1F2937"/>
          <w:kern w:val="0"/>
          <w:sz w:val="20"/>
          <w:szCs w:val="20"/>
          <w:lang w:eastAsia="en-GB"/>
          <w14:ligatures w14:val="none"/>
        </w:rPr>
      </w:pPr>
      <w:r w:rsidRPr="002366D5">
        <w:rPr>
          <w:rFonts w:ascii="Arial" w:eastAsia="Times New Roman" w:hAnsi="Arial" w:cs="Arial"/>
          <w:b/>
          <w:bCs/>
          <w:color w:val="212529"/>
          <w:kern w:val="0"/>
          <w:sz w:val="18"/>
          <w:szCs w:val="18"/>
          <w:lang w:eastAsia="en-GB"/>
          <w14:ligatures w14:val="none"/>
        </w:rPr>
        <w:lastRenderedPageBreak/>
        <w:t>Caution Regarding Forward Looking Statements</w:t>
      </w:r>
    </w:p>
    <w:p w14:paraId="0A121691" w14:textId="77777777" w:rsidR="002366D5" w:rsidRPr="002366D5" w:rsidRDefault="002366D5" w:rsidP="002366D5">
      <w:pPr>
        <w:shd w:val="clear" w:color="auto" w:fill="FFFFFF"/>
        <w:spacing w:line="340" w:lineRule="atLeast"/>
        <w:jc w:val="both"/>
        <w:rPr>
          <w:rFonts w:ascii="Times New Roman" w:eastAsia="Times New Roman" w:hAnsi="Times New Roman" w:cs="Times New Roman"/>
          <w:color w:val="1F2937"/>
          <w:kern w:val="0"/>
          <w:sz w:val="20"/>
          <w:szCs w:val="20"/>
          <w:lang w:eastAsia="en-GB"/>
          <w14:ligatures w14:val="none"/>
        </w:rPr>
      </w:pPr>
      <w:r w:rsidRPr="002366D5">
        <w:rPr>
          <w:rFonts w:ascii="Arial" w:eastAsia="Times New Roman" w:hAnsi="Arial" w:cs="Arial"/>
          <w:color w:val="212529"/>
          <w:kern w:val="0"/>
          <w:sz w:val="18"/>
          <w:szCs w:val="18"/>
          <w:lang w:eastAsia="en-GB"/>
          <w14:ligatures w14:val="none"/>
        </w:rPr>
        <w:t>Certain statements made in this announcement are forward-looking statements. These forward-looking statements are not historical facts but rather are based on the Company's current expectations, estimates, and projections about its industry; its beliefs; and assumptions. Words such as 'anticipates,' 'expects,' 'intends,' 'plans,' 'believes,' 'seeks,' 'estimates,' and similar expressions are intended to identify forward-looking statements. These statements are not a guarantee of future performance and are subject to known and unknown risks, uncertainties, and other factors, some of which are beyond the Company's control, are difficult to predict, and could cause actual results to differ materially from those expressed or forecasted in the forward-looking statements. The Company cautions security holders and prospective security holders not to place undue reliance on these forward-looking statements, which reflect the view of the Company only as of the date of this announcement. The forward-looking statements made in this announcement relate only to events as of the date on which the statements are made. The Company will not undertake any obligation to release publicly any revisions or updates to these forward-looking statements to reflect events, circumstances, or unanticipated events occurring after the date of this announcement except as required by law or by any appropriate regulatory authority.</w:t>
      </w:r>
    </w:p>
    <w:p w14:paraId="72F872BE" w14:textId="77777777" w:rsidR="002366D5" w:rsidRPr="002366D5" w:rsidRDefault="002366D5" w:rsidP="002366D5">
      <w:pPr>
        <w:shd w:val="clear" w:color="auto" w:fill="FFFFFF"/>
        <w:spacing w:line="340" w:lineRule="atLeast"/>
        <w:jc w:val="both"/>
        <w:rPr>
          <w:rFonts w:ascii="Times New Roman" w:eastAsia="Times New Roman" w:hAnsi="Times New Roman" w:cs="Times New Roman"/>
          <w:color w:val="1F2937"/>
          <w:kern w:val="0"/>
          <w:sz w:val="20"/>
          <w:szCs w:val="20"/>
          <w:lang w:eastAsia="en-GB"/>
          <w14:ligatures w14:val="none"/>
        </w:rPr>
      </w:pPr>
      <w:r w:rsidRPr="002366D5">
        <w:rPr>
          <w:rFonts w:ascii="Arial" w:eastAsia="Times New Roman" w:hAnsi="Arial" w:cs="Arial"/>
          <w:b/>
          <w:bCs/>
          <w:color w:val="212529"/>
          <w:kern w:val="0"/>
          <w:sz w:val="18"/>
          <w:szCs w:val="18"/>
          <w:lang w:eastAsia="en-GB"/>
          <w14:ligatures w14:val="none"/>
        </w:rPr>
        <w:t>Important Notices</w:t>
      </w:r>
    </w:p>
    <w:p w14:paraId="4056DA76" w14:textId="77777777" w:rsidR="002366D5" w:rsidRPr="002366D5" w:rsidRDefault="002366D5" w:rsidP="002366D5">
      <w:pPr>
        <w:shd w:val="clear" w:color="auto" w:fill="FFFFFF"/>
        <w:spacing w:line="340" w:lineRule="atLeast"/>
        <w:jc w:val="both"/>
        <w:rPr>
          <w:rFonts w:ascii="Times New Roman" w:eastAsia="Times New Roman" w:hAnsi="Times New Roman" w:cs="Times New Roman"/>
          <w:color w:val="1F2937"/>
          <w:kern w:val="0"/>
          <w:sz w:val="20"/>
          <w:szCs w:val="20"/>
          <w:lang w:eastAsia="en-GB"/>
          <w14:ligatures w14:val="none"/>
        </w:rPr>
      </w:pPr>
      <w:r w:rsidRPr="002366D5">
        <w:rPr>
          <w:rFonts w:ascii="Arial" w:eastAsia="Times New Roman" w:hAnsi="Arial" w:cs="Arial"/>
          <w:color w:val="212529"/>
          <w:kern w:val="0"/>
          <w:sz w:val="18"/>
          <w:szCs w:val="18"/>
          <w:lang w:eastAsia="en-GB"/>
          <w14:ligatures w14:val="none"/>
        </w:rPr>
        <w:t>The Company intends to hold treasury reserves and surplus cash in bitcoin. Bitcoin is a type of cryptocurrency or crypto asset. Whilst the Board of Directors of the Company considers holding bitcoin to be in the best interests of the Company, the Board remains aware that the financial regulator in the UK (the "Financial Conduct Authority" or "FCA") considers investment in bitcoin to be high risk. At the outset, it is important to note that an investment in the Company is not an investment in bitcoin, either directly or by proxy. However, the Board of Directors of the Company consider bitcoin to be an appropriate store of value and growth for the Company's reserves and, accordingly, the Company is materially exposed to bitcoin. Such an approach is innovative, and the Board of Directors of the Company wish to be clear and transparent with prospective and actual investors in the Company on the Company's position in this regard.</w:t>
      </w:r>
    </w:p>
    <w:p w14:paraId="5F07A8DF" w14:textId="77777777" w:rsidR="002366D5" w:rsidRPr="002366D5" w:rsidRDefault="002366D5" w:rsidP="002366D5">
      <w:pPr>
        <w:shd w:val="clear" w:color="auto" w:fill="FFFFFF"/>
        <w:spacing w:line="340" w:lineRule="atLeast"/>
        <w:jc w:val="both"/>
        <w:rPr>
          <w:rFonts w:ascii="Times New Roman" w:eastAsia="Times New Roman" w:hAnsi="Times New Roman" w:cs="Times New Roman"/>
          <w:color w:val="1F2937"/>
          <w:kern w:val="0"/>
          <w:sz w:val="20"/>
          <w:szCs w:val="20"/>
          <w:lang w:eastAsia="en-GB"/>
          <w14:ligatures w14:val="none"/>
        </w:rPr>
      </w:pPr>
      <w:r w:rsidRPr="002366D5">
        <w:rPr>
          <w:rFonts w:ascii="Arial" w:eastAsia="Times New Roman" w:hAnsi="Arial" w:cs="Arial"/>
          <w:color w:val="212529"/>
          <w:kern w:val="0"/>
          <w:sz w:val="18"/>
          <w:szCs w:val="18"/>
          <w:lang w:eastAsia="en-GB"/>
          <w14:ligatures w14:val="none"/>
        </w:rPr>
        <w:t>The Company is neither authorised nor regulated by the FCA and cryptocurrencies (such as bitcoin) are unregulated in the UK. As with most other investments, the value of bitcoin can go down as well as up, and therefore the value of bitcoin holdings can fluctuate. The Company may not be able to realise any future bitcoin exposure for the same as it paid in the first place or even for the value the Company ascribes to bitcoin positions due to these market movements. As bitcoin is unregulated, the Company is not protected by the UK's Financial Ombudsman Service or the Financial Services Compensation Scheme.</w:t>
      </w:r>
    </w:p>
    <w:p w14:paraId="43E66235" w14:textId="77777777" w:rsidR="002366D5" w:rsidRPr="002366D5" w:rsidRDefault="002366D5" w:rsidP="002366D5">
      <w:pPr>
        <w:shd w:val="clear" w:color="auto" w:fill="FFFFFF"/>
        <w:spacing w:line="340" w:lineRule="atLeast"/>
        <w:jc w:val="both"/>
        <w:rPr>
          <w:rFonts w:ascii="Times New Roman" w:eastAsia="Times New Roman" w:hAnsi="Times New Roman" w:cs="Times New Roman"/>
          <w:color w:val="1F2937"/>
          <w:kern w:val="0"/>
          <w:sz w:val="20"/>
          <w:szCs w:val="20"/>
          <w:lang w:eastAsia="en-GB"/>
          <w14:ligatures w14:val="none"/>
        </w:rPr>
      </w:pPr>
      <w:r w:rsidRPr="002366D5">
        <w:rPr>
          <w:rFonts w:ascii="Arial" w:eastAsia="Times New Roman" w:hAnsi="Arial" w:cs="Arial"/>
          <w:color w:val="212529"/>
          <w:kern w:val="0"/>
          <w:sz w:val="18"/>
          <w:szCs w:val="18"/>
          <w:lang w:eastAsia="en-GB"/>
          <w14:ligatures w14:val="none"/>
        </w:rPr>
        <w:t xml:space="preserve">Nevertheless, the Board of Directors of the Company has taken the decision to invest in bitcoin, and in doing so is mindful of the special </w:t>
      </w:r>
      <w:proofErr w:type="gramStart"/>
      <w:r w:rsidRPr="002366D5">
        <w:rPr>
          <w:rFonts w:ascii="Arial" w:eastAsia="Times New Roman" w:hAnsi="Arial" w:cs="Arial"/>
          <w:color w:val="212529"/>
          <w:kern w:val="0"/>
          <w:sz w:val="18"/>
          <w:szCs w:val="18"/>
          <w:lang w:eastAsia="en-GB"/>
          <w14:ligatures w14:val="none"/>
        </w:rPr>
        <w:t>risks</w:t>
      </w:r>
      <w:proofErr w:type="gramEnd"/>
      <w:r w:rsidRPr="002366D5">
        <w:rPr>
          <w:rFonts w:ascii="Arial" w:eastAsia="Times New Roman" w:hAnsi="Arial" w:cs="Arial"/>
          <w:color w:val="212529"/>
          <w:kern w:val="0"/>
          <w:sz w:val="18"/>
          <w:szCs w:val="18"/>
          <w:lang w:eastAsia="en-GB"/>
          <w14:ligatures w14:val="none"/>
        </w:rPr>
        <w:t xml:space="preserve"> bitcoin presents to the Company's financial position. These risks include (but are not limited to): (</w:t>
      </w:r>
      <w:proofErr w:type="spellStart"/>
      <w:r w:rsidRPr="002366D5">
        <w:rPr>
          <w:rFonts w:ascii="Arial" w:eastAsia="Times New Roman" w:hAnsi="Arial" w:cs="Arial"/>
          <w:color w:val="212529"/>
          <w:kern w:val="0"/>
          <w:sz w:val="18"/>
          <w:szCs w:val="18"/>
          <w:lang w:eastAsia="en-GB"/>
          <w14:ligatures w14:val="none"/>
        </w:rPr>
        <w:t>i</w:t>
      </w:r>
      <w:proofErr w:type="spellEnd"/>
      <w:r w:rsidRPr="002366D5">
        <w:rPr>
          <w:rFonts w:ascii="Arial" w:eastAsia="Times New Roman" w:hAnsi="Arial" w:cs="Arial"/>
          <w:color w:val="212529"/>
          <w:kern w:val="0"/>
          <w:sz w:val="18"/>
          <w:szCs w:val="18"/>
          <w:lang w:eastAsia="en-GB"/>
          <w14:ligatures w14:val="none"/>
        </w:rPr>
        <w:t xml:space="preserve">) the value of bitcoin can be highly volatile, with value dropping as quickly as it can rise. Investors in bitcoin must be prepared to lose all money invested in bitcoin; (ii) the bitcoin market is largely unregulated. There is a risk of losing money due to risks such as cyber-attacks, financial crime and counterparty failure; (iii) the Company may not be able to sell bitcoin at will. The ability to sell bitcoin depends on various factors, including the supply and demand in the market at the relevant time. Operational failings such as technology outages, cyber-attacks and comingling of funds could cause unwanted delay; and (iv) crypto assets are characterised in some quarters by high degrees of fraud, money laundering and financial crime. In addition, there is a perception in some </w:t>
      </w:r>
      <w:r w:rsidRPr="002366D5">
        <w:rPr>
          <w:rFonts w:ascii="Arial" w:eastAsia="Times New Roman" w:hAnsi="Arial" w:cs="Arial"/>
          <w:color w:val="212529"/>
          <w:kern w:val="0"/>
          <w:sz w:val="18"/>
          <w:szCs w:val="18"/>
          <w:lang w:eastAsia="en-GB"/>
          <w14:ligatures w14:val="none"/>
        </w:rPr>
        <w:lastRenderedPageBreak/>
        <w:t>quarters that cyber-attacks are prominent which can lead to theft of holdings or ransom demands. The Board of Directors of the Company does not subscribe to such a negative view, especially in relation to bitcoin. However, prospective investors in the Company are encouraged to do their own research before investing.</w:t>
      </w:r>
    </w:p>
    <w:p w14:paraId="78525402" w14:textId="77777777" w:rsidR="002366D5" w:rsidRPr="002366D5" w:rsidRDefault="002366D5" w:rsidP="002366D5">
      <w:pPr>
        <w:shd w:val="clear" w:color="auto" w:fill="FFFFFF"/>
        <w:spacing w:after="120" w:line="230" w:lineRule="atLeast"/>
        <w:ind w:firstLine="142"/>
        <w:rPr>
          <w:rFonts w:ascii="Calibri" w:eastAsia="Times New Roman" w:hAnsi="Calibri" w:cs="Calibri"/>
          <w:color w:val="1F2937"/>
          <w:kern w:val="0"/>
          <w:sz w:val="20"/>
          <w:szCs w:val="20"/>
          <w:lang w:eastAsia="en-GB"/>
          <w14:ligatures w14:val="none"/>
        </w:rPr>
      </w:pPr>
    </w:p>
    <w:p w14:paraId="096DB8E1" w14:textId="77777777" w:rsidR="002366D5" w:rsidRPr="002366D5" w:rsidRDefault="002366D5" w:rsidP="002366D5">
      <w:pPr>
        <w:shd w:val="clear" w:color="auto" w:fill="FFFFFF"/>
        <w:spacing w:after="0" w:line="240" w:lineRule="auto"/>
        <w:rPr>
          <w:rFonts w:ascii="Arial" w:eastAsia="Times New Roman" w:hAnsi="Arial" w:cs="Arial"/>
          <w:color w:val="1F2937"/>
          <w:kern w:val="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br/>
      </w:r>
    </w:p>
    <w:p w14:paraId="515A55A5"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 </w:t>
      </w:r>
    </w:p>
    <w:p w14:paraId="119486D7" w14:textId="77777777" w:rsidR="002366D5" w:rsidRPr="002366D5" w:rsidRDefault="002366D5" w:rsidP="002366D5">
      <w:pPr>
        <w:shd w:val="clear" w:color="auto" w:fill="FFFFFF"/>
        <w:spacing w:after="200" w:line="30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Introduction</w:t>
      </w:r>
    </w:p>
    <w:p w14:paraId="0A05AF2A" w14:textId="77777777" w:rsidR="002366D5" w:rsidRPr="002366D5" w:rsidRDefault="002366D5" w:rsidP="002366D5">
      <w:pPr>
        <w:shd w:val="clear" w:color="auto" w:fill="FFFFFF"/>
        <w:spacing w:after="20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The Company announces its unaudited financial results for the 6-months ended 31 January 2026.</w:t>
      </w:r>
    </w:p>
    <w:p w14:paraId="171D958F" w14:textId="77777777" w:rsidR="002366D5" w:rsidRPr="002366D5" w:rsidRDefault="002366D5" w:rsidP="002366D5">
      <w:pPr>
        <w:shd w:val="clear" w:color="auto" w:fill="FFFFFF"/>
        <w:spacing w:after="20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During the period, the Company made only limited progress in the development of its green hydrogen production system, with financial constraints limiting the Company's ability to undertake the full planned testing of the newly upgraded wind turbine prototype located in Montana, USA. Some design upgrades have been progressing, as well as discussions with third parties to further collaborate to support future development opportunities of the green hydrogen system.</w:t>
      </w:r>
    </w:p>
    <w:p w14:paraId="64FF445F" w14:textId="77777777" w:rsidR="002366D5" w:rsidRPr="002366D5" w:rsidRDefault="002366D5" w:rsidP="002366D5">
      <w:pPr>
        <w:shd w:val="clear" w:color="auto" w:fill="FFFFFF"/>
        <w:spacing w:after="20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Corporate activity has focused on the pivot to a bitcoin treasury strategy and subsequent pursuit of a potential target for a transformational or similar transaction that would add shareholder value.</w:t>
      </w:r>
    </w:p>
    <w:p w14:paraId="2FEEDDE9" w14:textId="77777777" w:rsidR="002366D5" w:rsidRPr="002366D5" w:rsidRDefault="002366D5" w:rsidP="002366D5">
      <w:pPr>
        <w:shd w:val="clear" w:color="auto" w:fill="FFFFFF"/>
        <w:spacing w:after="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Development activities</w:t>
      </w:r>
    </w:p>
    <w:p w14:paraId="79C3EE9C" w14:textId="77777777" w:rsidR="002366D5" w:rsidRPr="002366D5" w:rsidRDefault="002366D5" w:rsidP="002366D5">
      <w:pPr>
        <w:shd w:val="clear" w:color="auto" w:fill="FFFFFF"/>
        <w:spacing w:after="0" w:line="300" w:lineRule="atLeast"/>
        <w:jc w:val="both"/>
        <w:textAlignment w:val="baseline"/>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Wind turbine development</w:t>
      </w:r>
    </w:p>
    <w:p w14:paraId="6CA5D500" w14:textId="77777777" w:rsidR="002366D5" w:rsidRPr="002366D5" w:rsidRDefault="002366D5" w:rsidP="002366D5">
      <w:pPr>
        <w:shd w:val="clear" w:color="auto" w:fill="FFFFFF"/>
        <w:spacing w:after="0" w:line="300" w:lineRule="atLeast"/>
        <w:jc w:val="both"/>
        <w:textAlignment w:val="baseline"/>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The Company's hydrogen production system includes a wind turbine that has been specifically designed to significantly increase the efficiency of power production.   A key element of the Company's patented design allows the turbines to be more efficient than current open rotor turbines due to modified aerodynamics. The design incorporates a cowling, that directs air flow across the rotor blades, increasing effective wind speed by a multiple factor. The cowling then channels airflow away from the rear of the turbine, reducing the formation of still air whilst maintaining consistent airflow through the turbines.</w:t>
      </w:r>
    </w:p>
    <w:p w14:paraId="30E94448" w14:textId="77777777" w:rsidR="002366D5" w:rsidRPr="002366D5" w:rsidRDefault="002366D5" w:rsidP="002366D5">
      <w:pPr>
        <w:shd w:val="clear" w:color="auto" w:fill="FFFFFF"/>
        <w:spacing w:after="0" w:line="300" w:lineRule="atLeast"/>
        <w:jc w:val="both"/>
        <w:textAlignment w:val="baseline"/>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w:t>
      </w:r>
    </w:p>
    <w:p w14:paraId="7FED4B8E" w14:textId="77777777" w:rsidR="002366D5" w:rsidRPr="002366D5" w:rsidRDefault="002366D5" w:rsidP="002366D5">
      <w:pPr>
        <w:shd w:val="clear" w:color="auto" w:fill="FFFFFF"/>
        <w:spacing w:after="0" w:line="300" w:lineRule="atLeast"/>
        <w:jc w:val="both"/>
        <w:textAlignment w:val="baseline"/>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The Company's prototypes have been tested in an area carefully selected for its consistent wind speeds and regulatory support for wind turbine development and wind farm placement. To date, the data collected has been consistent with those collected through extensive computational fluid dynamics and wind tunnel testing which suggests more than a 270% increase in energy production compared to open rotor wind turbines of comparable size.</w:t>
      </w:r>
    </w:p>
    <w:p w14:paraId="4D7878C7" w14:textId="77777777" w:rsidR="002366D5" w:rsidRPr="002366D5" w:rsidRDefault="002366D5" w:rsidP="002366D5">
      <w:pPr>
        <w:shd w:val="clear" w:color="auto" w:fill="FFFFFF"/>
        <w:spacing w:after="0" w:line="300" w:lineRule="atLeast"/>
        <w:jc w:val="both"/>
        <w:textAlignment w:val="baseline"/>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w:t>
      </w:r>
    </w:p>
    <w:p w14:paraId="21BE3D3E" w14:textId="77777777" w:rsidR="002366D5" w:rsidRPr="002366D5" w:rsidRDefault="002366D5" w:rsidP="002366D5">
      <w:pPr>
        <w:shd w:val="clear" w:color="auto" w:fill="FFFFFF"/>
        <w:spacing w:after="20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The test site in Montana is adjacent to a tailing's facility operated by Barrick Gold, a major global mining company. The Company has agreed to collaborate with Barrick Gold on a feasibility study, the first stage of which included the data collection from the prototype wind turbine testing detailed above and</w:t>
      </w:r>
      <w:r w:rsidRPr="002366D5">
        <w:rPr>
          <w:rFonts w:ascii="Calibri" w:eastAsia="Times New Roman" w:hAnsi="Calibri" w:cs="Calibri"/>
          <w:color w:val="1F2937"/>
          <w:kern w:val="0"/>
          <w:sz w:val="20"/>
          <w:szCs w:val="20"/>
          <w:lang w:eastAsia="en-GB"/>
          <w14:ligatures w14:val="none"/>
        </w:rPr>
        <w:t> </w:t>
      </w:r>
      <w:r w:rsidRPr="002366D5">
        <w:rPr>
          <w:rFonts w:ascii="Times New Roman" w:eastAsia="Times New Roman" w:hAnsi="Times New Roman" w:cs="Times New Roman"/>
          <w:color w:val="1F2937"/>
          <w:kern w:val="0"/>
          <w:sz w:val="20"/>
          <w:szCs w:val="20"/>
          <w:lang w:eastAsia="en-GB"/>
          <w14:ligatures w14:val="none"/>
        </w:rPr>
        <w:t>the sharing of mine site processing samples. The purpose of the feasibility study is to demonstrate the use of energy B's system to utilise wastewater from the tailings operation as a feedstock to generate both clean energy and clean water for on-site mining operations. That feasibility study remains to be completed at the date of this announcement.</w:t>
      </w:r>
    </w:p>
    <w:p w14:paraId="1A4029ED" w14:textId="77777777" w:rsidR="002366D5" w:rsidRPr="002366D5" w:rsidRDefault="002366D5" w:rsidP="002366D5">
      <w:pPr>
        <w:shd w:val="clear" w:color="auto" w:fill="FFFFFF"/>
        <w:spacing w:after="0" w:line="300" w:lineRule="atLeast"/>
        <w:jc w:val="both"/>
        <w:textAlignment w:val="baseline"/>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Electrolyser development</w:t>
      </w:r>
    </w:p>
    <w:p w14:paraId="2A9517A1" w14:textId="77777777" w:rsidR="002366D5" w:rsidRPr="002366D5" w:rsidRDefault="002366D5" w:rsidP="002366D5">
      <w:pPr>
        <w:shd w:val="clear" w:color="auto" w:fill="FFFFFF"/>
        <w:spacing w:after="0" w:line="300" w:lineRule="atLeast"/>
        <w:jc w:val="both"/>
        <w:textAlignment w:val="baseline"/>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xml:space="preserve">The Company announced in 2023 that concept testing of an electrolyser for the hydrogen production system was underway in California, partially supported by the Company. The objective is to build an Anion Exchange </w:t>
      </w:r>
      <w:r w:rsidRPr="002366D5">
        <w:rPr>
          <w:rFonts w:ascii="Times New Roman" w:eastAsia="Times New Roman" w:hAnsi="Times New Roman" w:cs="Times New Roman"/>
          <w:color w:val="1F2937"/>
          <w:kern w:val="0"/>
          <w:sz w:val="20"/>
          <w:szCs w:val="20"/>
          <w:lang w:eastAsia="en-GB"/>
          <w14:ligatures w14:val="none"/>
        </w:rPr>
        <w:lastRenderedPageBreak/>
        <w:t>Membrane Water Electrolyser (AEMWE) without platinum group metal catalysts, using cheaper and more readily available materials.</w:t>
      </w:r>
    </w:p>
    <w:p w14:paraId="34B84D9C" w14:textId="77777777" w:rsidR="002366D5" w:rsidRPr="002366D5" w:rsidRDefault="002366D5" w:rsidP="002366D5">
      <w:pPr>
        <w:shd w:val="clear" w:color="auto" w:fill="FFFFFF"/>
        <w:spacing w:after="0" w:line="300" w:lineRule="atLeast"/>
        <w:jc w:val="both"/>
        <w:textAlignment w:val="baseline"/>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w:t>
      </w:r>
    </w:p>
    <w:p w14:paraId="1D863683" w14:textId="77777777" w:rsidR="002366D5" w:rsidRPr="002366D5" w:rsidRDefault="002366D5" w:rsidP="002366D5">
      <w:pPr>
        <w:shd w:val="clear" w:color="auto" w:fill="FFFFFF"/>
        <w:spacing w:after="0" w:line="300" w:lineRule="atLeast"/>
        <w:jc w:val="both"/>
        <w:textAlignment w:val="baseline"/>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Work on this concept has continued during the period with encouraging results and work is underway to patent the innovative elements of the electrolyser design.</w:t>
      </w:r>
    </w:p>
    <w:p w14:paraId="40E5F517" w14:textId="77777777" w:rsidR="002366D5" w:rsidRPr="002366D5" w:rsidRDefault="002366D5" w:rsidP="002366D5">
      <w:pPr>
        <w:shd w:val="clear" w:color="auto" w:fill="FFFFFF"/>
        <w:spacing w:after="0" w:line="300" w:lineRule="atLeast"/>
        <w:jc w:val="both"/>
        <w:textAlignment w:val="baseline"/>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w:t>
      </w:r>
    </w:p>
    <w:p w14:paraId="50F8415B" w14:textId="77777777" w:rsidR="002366D5" w:rsidRPr="002366D5" w:rsidRDefault="002366D5" w:rsidP="002366D5">
      <w:pPr>
        <w:shd w:val="clear" w:color="auto" w:fill="FFFFFF"/>
        <w:spacing w:after="0" w:line="30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University Collaboration</w:t>
      </w:r>
    </w:p>
    <w:p w14:paraId="5EF01D45" w14:textId="77777777" w:rsidR="002366D5" w:rsidRPr="002366D5" w:rsidRDefault="002366D5" w:rsidP="002366D5">
      <w:pPr>
        <w:shd w:val="clear" w:color="auto" w:fill="FFFFFF"/>
        <w:spacing w:after="20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Collaboration has continued under a Memorandum of Understanding with the University of Bristol ("Bristol") to advance technologies, secure funding for joint research and development and accelerate commercial opportunities. Bristol is a leading research university with several active research and development projects related to hydrogen. Bristol has identified energy B's technology as having synergies with its Hydrogen Depleted Uranium Storage project.</w:t>
      </w:r>
    </w:p>
    <w:p w14:paraId="3C9FB868" w14:textId="77777777" w:rsidR="002366D5" w:rsidRPr="002366D5" w:rsidRDefault="002366D5" w:rsidP="002366D5">
      <w:pPr>
        <w:shd w:val="clear" w:color="auto" w:fill="FFFFFF"/>
        <w:spacing w:after="20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Bristol has also identified several pilot or demonstrator sites suitable for locating energy B's green hydrogen production system including potential use of university sites outside the city of Bristol. Discussions continue with the potential to co-locate the Company's electrolyser development efforts with Bristol University's hydrogen storage projects.</w:t>
      </w:r>
    </w:p>
    <w:p w14:paraId="56724D8A" w14:textId="77777777" w:rsidR="002366D5" w:rsidRPr="002366D5" w:rsidRDefault="002366D5" w:rsidP="002366D5">
      <w:pPr>
        <w:shd w:val="clear" w:color="auto" w:fill="FFFFFF"/>
        <w:spacing w:after="0" w:line="300" w:lineRule="atLeast"/>
        <w:jc w:val="both"/>
        <w:textAlignment w:val="baseline"/>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 </w:t>
      </w:r>
    </w:p>
    <w:p w14:paraId="7A158637" w14:textId="77777777" w:rsidR="002366D5" w:rsidRPr="002366D5" w:rsidRDefault="002366D5" w:rsidP="002366D5">
      <w:pPr>
        <w:shd w:val="clear" w:color="auto" w:fill="FFFFFF"/>
        <w:spacing w:after="0" w:line="300" w:lineRule="atLeast"/>
        <w:jc w:val="both"/>
        <w:textAlignment w:val="baseline"/>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Corporate activities</w:t>
      </w:r>
    </w:p>
    <w:p w14:paraId="26CAD914" w14:textId="77777777" w:rsidR="002366D5" w:rsidRPr="002366D5" w:rsidRDefault="002366D5" w:rsidP="002366D5">
      <w:pPr>
        <w:shd w:val="clear" w:color="auto" w:fill="FFFFFF"/>
        <w:spacing w:after="0" w:line="30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Financial Review</w:t>
      </w:r>
    </w:p>
    <w:p w14:paraId="4EF699B9" w14:textId="77777777" w:rsidR="002366D5" w:rsidRPr="002366D5" w:rsidRDefault="002366D5" w:rsidP="002366D5">
      <w:pPr>
        <w:shd w:val="clear" w:color="auto" w:fill="FFFFFF"/>
        <w:spacing w:after="12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During the period, the Group's administrative expenses primarily related to costs incurred in relation to the development of its previously announced strategy to pivot towards a Bitcoin Treasury Company and the subsequent reassessment of that strategy in favour of a potential revised strategic focus. As a result of this, the Group reported a loss for the six-month period of £229k (six months to 31 January 2025: £198k).</w:t>
      </w:r>
    </w:p>
    <w:p w14:paraId="657436A8" w14:textId="77777777" w:rsidR="002366D5" w:rsidRPr="002366D5" w:rsidRDefault="002366D5" w:rsidP="002366D5">
      <w:pPr>
        <w:shd w:val="clear" w:color="auto" w:fill="FFFFFF"/>
        <w:spacing w:after="240" w:line="30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xml:space="preserve">A summary of the financial highlights </w:t>
      </w:r>
      <w:proofErr w:type="gramStart"/>
      <w:r w:rsidRPr="002366D5">
        <w:rPr>
          <w:rFonts w:ascii="Times New Roman" w:eastAsia="Times New Roman" w:hAnsi="Times New Roman" w:cs="Times New Roman"/>
          <w:color w:val="1F2937"/>
          <w:kern w:val="0"/>
          <w:sz w:val="20"/>
          <w:szCs w:val="20"/>
          <w:lang w:eastAsia="en-GB"/>
          <w14:ligatures w14:val="none"/>
        </w:rPr>
        <w:t>are</w:t>
      </w:r>
      <w:proofErr w:type="gramEnd"/>
      <w:r w:rsidRPr="002366D5">
        <w:rPr>
          <w:rFonts w:ascii="Times New Roman" w:eastAsia="Times New Roman" w:hAnsi="Times New Roman" w:cs="Times New Roman"/>
          <w:color w:val="1F2937"/>
          <w:kern w:val="0"/>
          <w:sz w:val="20"/>
          <w:szCs w:val="20"/>
          <w:lang w:eastAsia="en-GB"/>
          <w14:ligatures w14:val="none"/>
        </w:rPr>
        <w:t xml:space="preserve"> as follows:</w:t>
      </w:r>
    </w:p>
    <w:p w14:paraId="3661ACD0" w14:textId="77777777" w:rsidR="002366D5" w:rsidRPr="002366D5" w:rsidRDefault="002366D5" w:rsidP="002366D5">
      <w:pPr>
        <w:shd w:val="clear" w:color="auto" w:fill="FFFFFF"/>
        <w:spacing w:after="0" w:line="300" w:lineRule="atLeast"/>
        <w:ind w:left="720" w:hanging="360"/>
        <w:rPr>
          <w:rFonts w:ascii="Times New Roman" w:eastAsia="Times New Roman" w:hAnsi="Times New Roman" w:cs="Times New Roman"/>
          <w:color w:val="1F2937"/>
          <w:kern w:val="0"/>
          <w:sz w:val="20"/>
          <w:szCs w:val="20"/>
          <w:lang w:eastAsia="en-GB"/>
          <w14:ligatures w14:val="none"/>
        </w:rPr>
      </w:pPr>
      <w:r w:rsidRPr="002366D5">
        <w:rPr>
          <w:rFonts w:ascii="Symbol" w:eastAsia="Times New Roman" w:hAnsi="Symbol" w:cs="Times New Roman"/>
          <w:color w:val="1F2937"/>
          <w:kern w:val="0"/>
          <w:sz w:val="20"/>
          <w:szCs w:val="20"/>
          <w:lang w:eastAsia="en-GB"/>
          <w14:ligatures w14:val="none"/>
        </w:rPr>
        <w:t>·     </w:t>
      </w:r>
      <w:r w:rsidRPr="002366D5">
        <w:rPr>
          <w:rFonts w:ascii="Times New Roman" w:eastAsia="Times New Roman" w:hAnsi="Times New Roman" w:cs="Times New Roman"/>
          <w:color w:val="1F2937"/>
          <w:kern w:val="0"/>
          <w:sz w:val="20"/>
          <w:szCs w:val="20"/>
          <w:lang w:eastAsia="en-GB"/>
          <w14:ligatures w14:val="none"/>
        </w:rPr>
        <w:t> </w:t>
      </w:r>
      <w:r w:rsidRPr="002366D5">
        <w:rPr>
          <w:rFonts w:ascii="unset" w:eastAsia="Times New Roman" w:hAnsi="unset" w:cs="Times New Roman"/>
          <w:color w:val="1F2937"/>
          <w:kern w:val="0"/>
          <w:sz w:val="20"/>
          <w:szCs w:val="20"/>
          <w:lang w:eastAsia="en-GB"/>
          <w14:ligatures w14:val="none"/>
        </w:rPr>
        <w:t>Gross proceeds of £401k were raised during the period through a subscription which completed on 6 October 2025, contributing to the Group's working capital position.</w:t>
      </w:r>
    </w:p>
    <w:p w14:paraId="5C2F82F9" w14:textId="77777777" w:rsidR="002366D5" w:rsidRPr="002366D5" w:rsidRDefault="002366D5" w:rsidP="002366D5">
      <w:pPr>
        <w:shd w:val="clear" w:color="auto" w:fill="FFFFFF"/>
        <w:spacing w:after="0" w:line="300" w:lineRule="atLeast"/>
        <w:ind w:left="720" w:hanging="360"/>
        <w:rPr>
          <w:rFonts w:ascii="Times New Roman" w:eastAsia="Times New Roman" w:hAnsi="Times New Roman" w:cs="Times New Roman"/>
          <w:color w:val="1F2937"/>
          <w:kern w:val="0"/>
          <w:sz w:val="20"/>
          <w:szCs w:val="20"/>
          <w:lang w:eastAsia="en-GB"/>
          <w14:ligatures w14:val="none"/>
        </w:rPr>
      </w:pPr>
      <w:r w:rsidRPr="002366D5">
        <w:rPr>
          <w:rFonts w:ascii="Symbol" w:eastAsia="Times New Roman" w:hAnsi="Symbol" w:cs="Times New Roman"/>
          <w:color w:val="1F2937"/>
          <w:kern w:val="0"/>
          <w:sz w:val="20"/>
          <w:szCs w:val="20"/>
          <w:lang w:eastAsia="en-GB"/>
          <w14:ligatures w14:val="none"/>
        </w:rPr>
        <w:t>·     </w:t>
      </w:r>
      <w:r w:rsidRPr="002366D5">
        <w:rPr>
          <w:rFonts w:ascii="Times New Roman" w:eastAsia="Times New Roman" w:hAnsi="Times New Roman" w:cs="Times New Roman"/>
          <w:color w:val="1F2937"/>
          <w:kern w:val="0"/>
          <w:sz w:val="20"/>
          <w:szCs w:val="20"/>
          <w:lang w:eastAsia="en-GB"/>
          <w14:ligatures w14:val="none"/>
        </w:rPr>
        <w:t> </w:t>
      </w:r>
      <w:r w:rsidRPr="002366D5">
        <w:rPr>
          <w:rFonts w:ascii="unset" w:eastAsia="Times New Roman" w:hAnsi="unset" w:cs="Times New Roman"/>
          <w:color w:val="1F2937"/>
          <w:kern w:val="0"/>
          <w:sz w:val="20"/>
          <w:szCs w:val="20"/>
          <w:lang w:eastAsia="en-GB"/>
          <w14:ligatures w14:val="none"/>
        </w:rPr>
        <w:t xml:space="preserve">Intangible assets, which primarily comprise patents related to the Group's wind energy sector, </w:t>
      </w:r>
      <w:proofErr w:type="spellStart"/>
      <w:r w:rsidRPr="002366D5">
        <w:rPr>
          <w:rFonts w:ascii="unset" w:eastAsia="Times New Roman" w:hAnsi="unset" w:cs="Times New Roman"/>
          <w:color w:val="1F2937"/>
          <w:kern w:val="0"/>
          <w:sz w:val="20"/>
          <w:szCs w:val="20"/>
          <w:lang w:eastAsia="en-GB"/>
          <w14:ligatures w14:val="none"/>
        </w:rPr>
        <w:t>totaled</w:t>
      </w:r>
      <w:proofErr w:type="spellEnd"/>
      <w:r w:rsidRPr="002366D5">
        <w:rPr>
          <w:rFonts w:ascii="unset" w:eastAsia="Times New Roman" w:hAnsi="unset" w:cs="Times New Roman"/>
          <w:color w:val="1F2937"/>
          <w:kern w:val="0"/>
          <w:sz w:val="20"/>
          <w:szCs w:val="20"/>
          <w:lang w:eastAsia="en-GB"/>
          <w14:ligatures w14:val="none"/>
        </w:rPr>
        <w:t> £626k </w:t>
      </w:r>
      <w:proofErr w:type="gramStart"/>
      <w:r w:rsidRPr="002366D5">
        <w:rPr>
          <w:rFonts w:ascii="unset" w:eastAsia="Times New Roman" w:hAnsi="unset" w:cs="Times New Roman"/>
          <w:color w:val="1F2937"/>
          <w:kern w:val="0"/>
          <w:sz w:val="20"/>
          <w:szCs w:val="20"/>
          <w:lang w:eastAsia="en-GB"/>
          <w14:ligatures w14:val="none"/>
        </w:rPr>
        <w:t>at</w:t>
      </w:r>
      <w:proofErr w:type="gramEnd"/>
      <w:r w:rsidRPr="002366D5">
        <w:rPr>
          <w:rFonts w:ascii="unset" w:eastAsia="Times New Roman" w:hAnsi="unset" w:cs="Times New Roman"/>
          <w:color w:val="1F2937"/>
          <w:kern w:val="0"/>
          <w:sz w:val="20"/>
          <w:szCs w:val="20"/>
          <w:lang w:eastAsia="en-GB"/>
          <w14:ligatures w14:val="none"/>
        </w:rPr>
        <w:t xml:space="preserve"> 31 January 2026 (31 January 2025: £627k).</w:t>
      </w:r>
    </w:p>
    <w:p w14:paraId="25C07B60" w14:textId="77777777" w:rsidR="002366D5" w:rsidRPr="002366D5" w:rsidRDefault="002366D5" w:rsidP="002366D5">
      <w:pPr>
        <w:shd w:val="clear" w:color="auto" w:fill="FFFFFF"/>
        <w:spacing w:after="0" w:line="300" w:lineRule="atLeast"/>
        <w:ind w:left="720" w:hanging="360"/>
        <w:rPr>
          <w:rFonts w:ascii="Times New Roman" w:eastAsia="Times New Roman" w:hAnsi="Times New Roman" w:cs="Times New Roman"/>
          <w:color w:val="1F2937"/>
          <w:kern w:val="0"/>
          <w:sz w:val="20"/>
          <w:szCs w:val="20"/>
          <w:lang w:eastAsia="en-GB"/>
          <w14:ligatures w14:val="none"/>
        </w:rPr>
      </w:pPr>
      <w:r w:rsidRPr="002366D5">
        <w:rPr>
          <w:rFonts w:ascii="Symbol" w:eastAsia="Times New Roman" w:hAnsi="Symbol" w:cs="Times New Roman"/>
          <w:color w:val="1F2937"/>
          <w:kern w:val="0"/>
          <w:sz w:val="20"/>
          <w:szCs w:val="20"/>
          <w:lang w:eastAsia="en-GB"/>
          <w14:ligatures w14:val="none"/>
        </w:rPr>
        <w:t>·     </w:t>
      </w:r>
      <w:r w:rsidRPr="002366D5">
        <w:rPr>
          <w:rFonts w:ascii="Times New Roman" w:eastAsia="Times New Roman" w:hAnsi="Times New Roman" w:cs="Times New Roman"/>
          <w:color w:val="1F2937"/>
          <w:kern w:val="0"/>
          <w:sz w:val="20"/>
          <w:szCs w:val="20"/>
          <w:lang w:eastAsia="en-GB"/>
          <w14:ligatures w14:val="none"/>
        </w:rPr>
        <w:t> </w:t>
      </w:r>
      <w:r w:rsidRPr="002366D5">
        <w:rPr>
          <w:rFonts w:ascii="unset" w:eastAsia="Times New Roman" w:hAnsi="unset" w:cs="Times New Roman"/>
          <w:color w:val="1F2937"/>
          <w:kern w:val="0"/>
          <w:sz w:val="20"/>
          <w:szCs w:val="20"/>
          <w:lang w:eastAsia="en-GB"/>
          <w14:ligatures w14:val="none"/>
        </w:rPr>
        <w:t>Trade and other receivables increased to £68k (31 January 2025: £20k).</w:t>
      </w:r>
    </w:p>
    <w:p w14:paraId="6449E172" w14:textId="77777777" w:rsidR="002366D5" w:rsidRPr="002366D5" w:rsidRDefault="002366D5" w:rsidP="002366D5">
      <w:pPr>
        <w:shd w:val="clear" w:color="auto" w:fill="FFFFFF"/>
        <w:spacing w:after="0" w:line="300" w:lineRule="atLeast"/>
        <w:ind w:left="720" w:hanging="360"/>
        <w:rPr>
          <w:rFonts w:ascii="Times New Roman" w:eastAsia="Times New Roman" w:hAnsi="Times New Roman" w:cs="Times New Roman"/>
          <w:color w:val="1F2937"/>
          <w:kern w:val="0"/>
          <w:sz w:val="20"/>
          <w:szCs w:val="20"/>
          <w:lang w:eastAsia="en-GB"/>
          <w14:ligatures w14:val="none"/>
        </w:rPr>
      </w:pPr>
      <w:r w:rsidRPr="002366D5">
        <w:rPr>
          <w:rFonts w:ascii="Symbol" w:eastAsia="Times New Roman" w:hAnsi="Symbol" w:cs="Times New Roman"/>
          <w:color w:val="1F2937"/>
          <w:kern w:val="0"/>
          <w:sz w:val="20"/>
          <w:szCs w:val="20"/>
          <w:lang w:eastAsia="en-GB"/>
          <w14:ligatures w14:val="none"/>
        </w:rPr>
        <w:t>·     </w:t>
      </w:r>
      <w:r w:rsidRPr="002366D5">
        <w:rPr>
          <w:rFonts w:ascii="Times New Roman" w:eastAsia="Times New Roman" w:hAnsi="Times New Roman" w:cs="Times New Roman"/>
          <w:color w:val="1F2937"/>
          <w:kern w:val="0"/>
          <w:sz w:val="20"/>
          <w:szCs w:val="20"/>
          <w:lang w:eastAsia="en-GB"/>
          <w14:ligatures w14:val="none"/>
        </w:rPr>
        <w:t> </w:t>
      </w:r>
      <w:r w:rsidRPr="002366D5">
        <w:rPr>
          <w:rFonts w:ascii="unset" w:eastAsia="Times New Roman" w:hAnsi="unset" w:cs="Times New Roman"/>
          <w:color w:val="1F2937"/>
          <w:kern w:val="0"/>
          <w:sz w:val="20"/>
          <w:szCs w:val="20"/>
          <w:lang w:eastAsia="en-GB"/>
          <w14:ligatures w14:val="none"/>
        </w:rPr>
        <w:t>Cash at bank and held in hand was £6k </w:t>
      </w:r>
      <w:proofErr w:type="gramStart"/>
      <w:r w:rsidRPr="002366D5">
        <w:rPr>
          <w:rFonts w:ascii="unset" w:eastAsia="Times New Roman" w:hAnsi="unset" w:cs="Times New Roman"/>
          <w:color w:val="1F2937"/>
          <w:kern w:val="0"/>
          <w:sz w:val="20"/>
          <w:szCs w:val="20"/>
          <w:lang w:eastAsia="en-GB"/>
          <w14:ligatures w14:val="none"/>
        </w:rPr>
        <w:t>at</w:t>
      </w:r>
      <w:proofErr w:type="gramEnd"/>
      <w:r w:rsidRPr="002366D5">
        <w:rPr>
          <w:rFonts w:ascii="unset" w:eastAsia="Times New Roman" w:hAnsi="unset" w:cs="Times New Roman"/>
          <w:color w:val="1F2937"/>
          <w:kern w:val="0"/>
          <w:sz w:val="20"/>
          <w:szCs w:val="20"/>
          <w:lang w:eastAsia="en-GB"/>
          <w14:ligatures w14:val="none"/>
        </w:rPr>
        <w:t xml:space="preserve"> 31 January 2026 (31 January 2025: £23k).</w:t>
      </w:r>
    </w:p>
    <w:p w14:paraId="015ACEE0" w14:textId="77777777" w:rsidR="002366D5" w:rsidRPr="002366D5" w:rsidRDefault="002366D5" w:rsidP="002366D5">
      <w:pPr>
        <w:shd w:val="clear" w:color="auto" w:fill="FFFFFF"/>
        <w:spacing w:after="0" w:line="300" w:lineRule="atLeast"/>
        <w:ind w:left="720" w:hanging="360"/>
        <w:rPr>
          <w:rFonts w:ascii="Times New Roman" w:eastAsia="Times New Roman" w:hAnsi="Times New Roman" w:cs="Times New Roman"/>
          <w:color w:val="1F2937"/>
          <w:kern w:val="0"/>
          <w:sz w:val="20"/>
          <w:szCs w:val="20"/>
          <w:lang w:eastAsia="en-GB"/>
          <w14:ligatures w14:val="none"/>
        </w:rPr>
      </w:pPr>
      <w:r w:rsidRPr="002366D5">
        <w:rPr>
          <w:rFonts w:ascii="Symbol" w:eastAsia="Times New Roman" w:hAnsi="Symbol" w:cs="Times New Roman"/>
          <w:color w:val="1F2937"/>
          <w:kern w:val="0"/>
          <w:sz w:val="20"/>
          <w:szCs w:val="20"/>
          <w:lang w:eastAsia="en-GB"/>
          <w14:ligatures w14:val="none"/>
        </w:rPr>
        <w:t>·     </w:t>
      </w:r>
      <w:r w:rsidRPr="002366D5">
        <w:rPr>
          <w:rFonts w:ascii="Times New Roman" w:eastAsia="Times New Roman" w:hAnsi="Times New Roman" w:cs="Times New Roman"/>
          <w:color w:val="1F2937"/>
          <w:kern w:val="0"/>
          <w:sz w:val="20"/>
          <w:szCs w:val="20"/>
          <w:lang w:eastAsia="en-GB"/>
          <w14:ligatures w14:val="none"/>
        </w:rPr>
        <w:t> </w:t>
      </w:r>
      <w:r w:rsidRPr="002366D5">
        <w:rPr>
          <w:rFonts w:ascii="unset" w:eastAsia="Times New Roman" w:hAnsi="unset" w:cs="Times New Roman"/>
          <w:color w:val="1F2937"/>
          <w:kern w:val="0"/>
          <w:sz w:val="20"/>
          <w:szCs w:val="20"/>
          <w:lang w:eastAsia="en-GB"/>
          <w14:ligatures w14:val="none"/>
        </w:rPr>
        <w:t>Trade and other payables decreased to £245k (31 January 2025: £519k). Included within this reduction is £157k of liabilities which were settled during the period through the issue of shares.</w:t>
      </w:r>
    </w:p>
    <w:p w14:paraId="13BF0F8A" w14:textId="77777777" w:rsidR="002366D5" w:rsidRPr="002366D5" w:rsidRDefault="002366D5" w:rsidP="002366D5">
      <w:pPr>
        <w:shd w:val="clear" w:color="auto" w:fill="FFFFFF"/>
        <w:spacing w:after="0" w:line="300" w:lineRule="atLeast"/>
        <w:ind w:left="720" w:hanging="360"/>
        <w:rPr>
          <w:rFonts w:ascii="Times New Roman" w:eastAsia="Times New Roman" w:hAnsi="Times New Roman" w:cs="Times New Roman"/>
          <w:color w:val="1F2937"/>
          <w:kern w:val="0"/>
          <w:sz w:val="20"/>
          <w:szCs w:val="20"/>
          <w:lang w:eastAsia="en-GB"/>
          <w14:ligatures w14:val="none"/>
        </w:rPr>
      </w:pPr>
      <w:r w:rsidRPr="002366D5">
        <w:rPr>
          <w:rFonts w:ascii="Symbol" w:eastAsia="Times New Roman" w:hAnsi="Symbol" w:cs="Times New Roman"/>
          <w:color w:val="1F2937"/>
          <w:kern w:val="0"/>
          <w:sz w:val="20"/>
          <w:szCs w:val="20"/>
          <w:lang w:eastAsia="en-GB"/>
          <w14:ligatures w14:val="none"/>
        </w:rPr>
        <w:t>·     </w:t>
      </w:r>
      <w:r w:rsidRPr="002366D5">
        <w:rPr>
          <w:rFonts w:ascii="Times New Roman" w:eastAsia="Times New Roman" w:hAnsi="Times New Roman" w:cs="Times New Roman"/>
          <w:color w:val="1F2937"/>
          <w:kern w:val="0"/>
          <w:sz w:val="20"/>
          <w:szCs w:val="20"/>
          <w:lang w:eastAsia="en-GB"/>
          <w14:ligatures w14:val="none"/>
        </w:rPr>
        <w:t> </w:t>
      </w:r>
      <w:r w:rsidRPr="002366D5">
        <w:rPr>
          <w:rFonts w:ascii="unset" w:eastAsia="Times New Roman" w:hAnsi="unset" w:cs="Times New Roman"/>
          <w:color w:val="1F2937"/>
          <w:kern w:val="0"/>
          <w:sz w:val="20"/>
          <w:szCs w:val="20"/>
          <w:lang w:eastAsia="en-GB"/>
          <w14:ligatures w14:val="none"/>
        </w:rPr>
        <w:t xml:space="preserve">Borrowings </w:t>
      </w:r>
      <w:proofErr w:type="gramStart"/>
      <w:r w:rsidRPr="002366D5">
        <w:rPr>
          <w:rFonts w:ascii="unset" w:eastAsia="Times New Roman" w:hAnsi="unset" w:cs="Times New Roman"/>
          <w:color w:val="1F2937"/>
          <w:kern w:val="0"/>
          <w:sz w:val="20"/>
          <w:szCs w:val="20"/>
          <w:lang w:eastAsia="en-GB"/>
          <w14:ligatures w14:val="none"/>
        </w:rPr>
        <w:t>at</w:t>
      </w:r>
      <w:proofErr w:type="gramEnd"/>
      <w:r w:rsidRPr="002366D5">
        <w:rPr>
          <w:rFonts w:ascii="unset" w:eastAsia="Times New Roman" w:hAnsi="unset" w:cs="Times New Roman"/>
          <w:color w:val="1F2937"/>
          <w:kern w:val="0"/>
          <w:sz w:val="20"/>
          <w:szCs w:val="20"/>
          <w:lang w:eastAsia="en-GB"/>
          <w14:ligatures w14:val="none"/>
        </w:rPr>
        <w:t xml:space="preserve"> 31 January 2026 were £174k (31 January 2025: £203k), of which £142k relates to amounts due to Directors.</w:t>
      </w:r>
    </w:p>
    <w:p w14:paraId="23C3E266" w14:textId="77777777" w:rsidR="002366D5" w:rsidRPr="002366D5" w:rsidRDefault="002366D5" w:rsidP="002366D5">
      <w:pPr>
        <w:shd w:val="clear" w:color="auto" w:fill="FFFFFF"/>
        <w:spacing w:after="0" w:line="30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w:t>
      </w:r>
    </w:p>
    <w:p w14:paraId="2CD12A0D" w14:textId="77777777" w:rsidR="002366D5" w:rsidRPr="002366D5" w:rsidRDefault="002366D5" w:rsidP="002366D5">
      <w:pPr>
        <w:shd w:val="clear" w:color="auto" w:fill="FFFFFF"/>
        <w:spacing w:after="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xml:space="preserve">Overall, the Group's net assets </w:t>
      </w:r>
      <w:proofErr w:type="gramStart"/>
      <w:r w:rsidRPr="002366D5">
        <w:rPr>
          <w:rFonts w:ascii="Times New Roman" w:eastAsia="Times New Roman" w:hAnsi="Times New Roman" w:cs="Times New Roman"/>
          <w:color w:val="1F2937"/>
          <w:kern w:val="0"/>
          <w:sz w:val="20"/>
          <w:szCs w:val="20"/>
          <w:lang w:eastAsia="en-GB"/>
          <w14:ligatures w14:val="none"/>
        </w:rPr>
        <w:t>at</w:t>
      </w:r>
      <w:proofErr w:type="gramEnd"/>
      <w:r w:rsidRPr="002366D5">
        <w:rPr>
          <w:rFonts w:ascii="Times New Roman" w:eastAsia="Times New Roman" w:hAnsi="Times New Roman" w:cs="Times New Roman"/>
          <w:color w:val="1F2937"/>
          <w:kern w:val="0"/>
          <w:sz w:val="20"/>
          <w:szCs w:val="20"/>
          <w:lang w:eastAsia="en-GB"/>
          <w14:ligatures w14:val="none"/>
        </w:rPr>
        <w:t xml:space="preserve"> 31 January 2026 was £283k (31 January 2025: net liabilities of £49k) reflecting the combined impact of the equity raise and the reduction in liabilities during the period.</w:t>
      </w:r>
    </w:p>
    <w:p w14:paraId="6F46FF63" w14:textId="77777777" w:rsidR="002366D5" w:rsidRPr="002366D5" w:rsidRDefault="002366D5" w:rsidP="002366D5">
      <w:pPr>
        <w:shd w:val="clear" w:color="auto" w:fill="FFFFFF"/>
        <w:spacing w:after="0" w:line="30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w:t>
      </w:r>
    </w:p>
    <w:p w14:paraId="11C0662D" w14:textId="77777777" w:rsidR="002366D5" w:rsidRPr="002366D5" w:rsidRDefault="002366D5" w:rsidP="002366D5">
      <w:pPr>
        <w:shd w:val="clear" w:color="auto" w:fill="FFFFFF"/>
        <w:spacing w:after="0" w:line="30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 </w:t>
      </w:r>
    </w:p>
    <w:p w14:paraId="1D1C891E" w14:textId="77777777" w:rsidR="002366D5" w:rsidRPr="002366D5" w:rsidRDefault="002366D5" w:rsidP="002366D5">
      <w:pPr>
        <w:shd w:val="clear" w:color="auto" w:fill="FFFFFF"/>
        <w:spacing w:after="0" w:line="30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 </w:t>
      </w:r>
    </w:p>
    <w:p w14:paraId="6AC50349" w14:textId="77777777" w:rsidR="002366D5" w:rsidRPr="002366D5" w:rsidRDefault="002366D5" w:rsidP="002366D5">
      <w:pPr>
        <w:shd w:val="clear" w:color="auto" w:fill="FFFFFF"/>
        <w:spacing w:after="0" w:line="30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 </w:t>
      </w:r>
    </w:p>
    <w:p w14:paraId="231BFAFC" w14:textId="77777777" w:rsidR="002366D5" w:rsidRPr="002366D5" w:rsidRDefault="002366D5" w:rsidP="002366D5">
      <w:pPr>
        <w:shd w:val="clear" w:color="auto" w:fill="FFFFFF"/>
        <w:spacing w:after="0" w:line="30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Pivot to a Bitcoin Treasury Company, Board Changes and Issue of Equity</w:t>
      </w:r>
    </w:p>
    <w:p w14:paraId="03786BF1" w14:textId="77777777" w:rsidR="002366D5" w:rsidRPr="002366D5" w:rsidRDefault="002366D5" w:rsidP="002366D5">
      <w:pPr>
        <w:shd w:val="clear" w:color="auto" w:fill="FFFFFF"/>
        <w:spacing w:after="20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lastRenderedPageBreak/>
        <w:t>On 26 September 2025, the Board announced a proposed pivot of the Company to a bitcoin treasury strategy which would sit alongside the existing operated technology business.  Consistent with that new strategy the Board appointed three new executive directors; Alex Appleton, Sarah Gow and Pierre Villeneuve, to bring relevant expertise to the Board. I simultaneously stepped back to my previous role as Non-Executive Chairman.</w:t>
      </w:r>
    </w:p>
    <w:p w14:paraId="3DD1C096" w14:textId="77777777" w:rsidR="002366D5" w:rsidRPr="002366D5" w:rsidRDefault="002366D5" w:rsidP="002366D5">
      <w:pPr>
        <w:shd w:val="clear" w:color="auto" w:fill="FFFFFF"/>
        <w:spacing w:after="20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xml:space="preserve">On 6 October 2025 the Company conditionally raised gross proceeds of £401,000 through the conditional issue of 40,100,000 new ordinary shares at a price of 1 </w:t>
      </w:r>
      <w:proofErr w:type="gramStart"/>
      <w:r w:rsidRPr="002366D5">
        <w:rPr>
          <w:rFonts w:ascii="Times New Roman" w:eastAsia="Times New Roman" w:hAnsi="Times New Roman" w:cs="Times New Roman"/>
          <w:color w:val="1F2937"/>
          <w:kern w:val="0"/>
          <w:sz w:val="20"/>
          <w:szCs w:val="20"/>
          <w:lang w:eastAsia="en-GB"/>
          <w14:ligatures w14:val="none"/>
        </w:rPr>
        <w:t>pence</w:t>
      </w:r>
      <w:proofErr w:type="gramEnd"/>
      <w:r w:rsidRPr="002366D5">
        <w:rPr>
          <w:rFonts w:ascii="Times New Roman" w:eastAsia="Times New Roman" w:hAnsi="Times New Roman" w:cs="Times New Roman"/>
          <w:color w:val="1F2937"/>
          <w:kern w:val="0"/>
          <w:sz w:val="20"/>
          <w:szCs w:val="20"/>
          <w:lang w:eastAsia="en-GB"/>
          <w14:ligatures w14:val="none"/>
        </w:rPr>
        <w:t> per share.</w:t>
      </w:r>
    </w:p>
    <w:p w14:paraId="32D611A3" w14:textId="77777777" w:rsidR="002366D5" w:rsidRPr="002366D5" w:rsidRDefault="002366D5" w:rsidP="002366D5">
      <w:pPr>
        <w:shd w:val="clear" w:color="auto" w:fill="FFFFFF"/>
        <w:spacing w:after="20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xml:space="preserve">In addition, the Company conditionally agreed to issue approximately 17.2 million new Ordinary Shares at 1 </w:t>
      </w:r>
      <w:proofErr w:type="gramStart"/>
      <w:r w:rsidRPr="002366D5">
        <w:rPr>
          <w:rFonts w:ascii="Times New Roman" w:eastAsia="Times New Roman" w:hAnsi="Times New Roman" w:cs="Times New Roman"/>
          <w:color w:val="1F2937"/>
          <w:kern w:val="0"/>
          <w:sz w:val="20"/>
          <w:szCs w:val="20"/>
          <w:lang w:eastAsia="en-GB"/>
          <w14:ligatures w14:val="none"/>
        </w:rPr>
        <w:t>pence</w:t>
      </w:r>
      <w:proofErr w:type="gramEnd"/>
      <w:r w:rsidRPr="002366D5">
        <w:rPr>
          <w:rFonts w:ascii="Times New Roman" w:eastAsia="Times New Roman" w:hAnsi="Times New Roman" w:cs="Times New Roman"/>
          <w:color w:val="1F2937"/>
          <w:kern w:val="0"/>
          <w:sz w:val="20"/>
          <w:szCs w:val="20"/>
          <w:lang w:eastAsia="en-GB"/>
          <w14:ligatures w14:val="none"/>
        </w:rPr>
        <w:t xml:space="preserve"> per share to settle creditor liabilities of approximately £172,000. Following this agreement, the Company subsequently issued 15,723,790 new Ordinary shares at 1 </w:t>
      </w:r>
      <w:proofErr w:type="gramStart"/>
      <w:r w:rsidRPr="002366D5">
        <w:rPr>
          <w:rFonts w:ascii="Times New Roman" w:eastAsia="Times New Roman" w:hAnsi="Times New Roman" w:cs="Times New Roman"/>
          <w:color w:val="1F2937"/>
          <w:kern w:val="0"/>
          <w:sz w:val="20"/>
          <w:szCs w:val="20"/>
          <w:lang w:eastAsia="en-GB"/>
          <w14:ligatures w14:val="none"/>
        </w:rPr>
        <w:t>pence</w:t>
      </w:r>
      <w:proofErr w:type="gramEnd"/>
      <w:r w:rsidRPr="002366D5">
        <w:rPr>
          <w:rFonts w:ascii="Times New Roman" w:eastAsia="Times New Roman" w:hAnsi="Times New Roman" w:cs="Times New Roman"/>
          <w:color w:val="1F2937"/>
          <w:kern w:val="0"/>
          <w:sz w:val="20"/>
          <w:szCs w:val="20"/>
          <w:lang w:eastAsia="en-GB"/>
          <w14:ligatures w14:val="none"/>
        </w:rPr>
        <w:t> per share to settle creditor liabilities of £157,238, with one creditor wishing to be paid in cash. The issue of these new shares was approved by shareholders at the Annual General Meeting held on 6 October 2025. Shares issued to settle Director's fees were subject to a lock-in agreement.</w:t>
      </w:r>
    </w:p>
    <w:p w14:paraId="596F5735" w14:textId="77777777" w:rsidR="002366D5" w:rsidRPr="002366D5" w:rsidRDefault="002366D5" w:rsidP="002366D5">
      <w:pPr>
        <w:shd w:val="clear" w:color="auto" w:fill="FFFFFF"/>
        <w:spacing w:after="20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Dan Maling retired as a director at the time of the Annual General Meeting. </w:t>
      </w:r>
    </w:p>
    <w:p w14:paraId="1F71608D" w14:textId="77777777" w:rsidR="002366D5" w:rsidRPr="002366D5" w:rsidRDefault="002366D5" w:rsidP="002366D5">
      <w:pPr>
        <w:shd w:val="clear" w:color="auto" w:fill="FFFFFF"/>
        <w:spacing w:after="20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A General Meeting subsequently held on 13 October 2025 approved the Company's new corporate strategy. In connection with this, the Company changed its name to energy B plc to reflect the revised strategic focus and undertook a 50 to 1 share consolation to provide a capital structure intended to be more attractive to crypto currency focused investors. </w:t>
      </w:r>
    </w:p>
    <w:p w14:paraId="5B91C1F6" w14:textId="77777777" w:rsidR="002366D5" w:rsidRPr="002366D5" w:rsidRDefault="002366D5" w:rsidP="002366D5">
      <w:pPr>
        <w:shd w:val="clear" w:color="auto" w:fill="FFFFFF"/>
        <w:spacing w:after="20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A subsequent downturn in the bitcoin price led the newly appointed directors to conclude they would be unable to complete their proposed funding and cryptocurrency treasury policy, and they resigned from the Board without notice on 3 December 2025.</w:t>
      </w:r>
    </w:p>
    <w:p w14:paraId="01CAD1D0" w14:textId="77777777" w:rsidR="002366D5" w:rsidRPr="002366D5" w:rsidRDefault="002366D5" w:rsidP="002366D5">
      <w:pPr>
        <w:shd w:val="clear" w:color="auto" w:fill="FFFFFF"/>
        <w:spacing w:after="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Licensing Agreement for the United States of America</w:t>
      </w:r>
    </w:p>
    <w:p w14:paraId="5CDFCB10" w14:textId="77777777" w:rsidR="002366D5" w:rsidRPr="002366D5" w:rsidRDefault="002366D5" w:rsidP="002366D5">
      <w:pPr>
        <w:shd w:val="clear" w:color="auto" w:fill="FFFFFF"/>
        <w:spacing w:after="20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In December 2025, the Board agreed to extend the licence previously granted to HFI Energy Systems US Inc ("HFI Energy") pending resolution of the future funding of HFI Energy.  No new sunset date for the license to come into effect was set pending resolution of future funding arrangements within HFI Energy.  The Board believes that it is in the best interests of the Company at present to hold open the potential to licence the IP in the USA through HFI Energy.</w:t>
      </w:r>
    </w:p>
    <w:p w14:paraId="107E0EFE" w14:textId="77777777" w:rsidR="002366D5" w:rsidRPr="002366D5" w:rsidRDefault="002366D5" w:rsidP="002366D5">
      <w:pPr>
        <w:shd w:val="clear" w:color="auto" w:fill="FFFFFF"/>
        <w:spacing w:after="0" w:line="30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Corporate activity</w:t>
      </w:r>
    </w:p>
    <w:p w14:paraId="4F11D926" w14:textId="77777777" w:rsidR="002366D5" w:rsidRPr="002366D5" w:rsidRDefault="002366D5" w:rsidP="002366D5">
      <w:pPr>
        <w:shd w:val="clear" w:color="auto" w:fill="FFFFFF"/>
        <w:spacing w:after="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Following the pivot to bitcoin the Board embarked on a business review and sought potential targets for a transformation acquisition or potential reverse take-over.  Several potential targets in areas such as hydrocarbons, metals, lithium, and other resources were considered, as well as opportunities outside the resource sector.  Discussions are ongoing at the time of this release. </w:t>
      </w:r>
    </w:p>
    <w:p w14:paraId="7AC46D74" w14:textId="77777777" w:rsidR="002366D5" w:rsidRPr="002366D5" w:rsidRDefault="002366D5" w:rsidP="002366D5">
      <w:pPr>
        <w:shd w:val="clear" w:color="auto" w:fill="FFFFFF"/>
        <w:spacing w:after="0" w:line="30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w:t>
      </w:r>
    </w:p>
    <w:p w14:paraId="5CA7F57F" w14:textId="77777777" w:rsidR="002366D5" w:rsidRPr="002366D5" w:rsidRDefault="002366D5" w:rsidP="002366D5">
      <w:pPr>
        <w:shd w:val="clear" w:color="auto" w:fill="FFFFFF"/>
        <w:spacing w:after="0" w:line="30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Post balance sheet events</w:t>
      </w:r>
    </w:p>
    <w:p w14:paraId="3281FACE" w14:textId="77777777" w:rsidR="002366D5" w:rsidRPr="002366D5" w:rsidRDefault="002366D5" w:rsidP="002366D5">
      <w:pPr>
        <w:shd w:val="clear" w:color="auto" w:fill="FFFFFF"/>
        <w:spacing w:after="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Licensing Agreement for Ireland</w:t>
      </w:r>
    </w:p>
    <w:p w14:paraId="3F7F795E" w14:textId="77777777" w:rsidR="002366D5" w:rsidRPr="002366D5" w:rsidRDefault="002366D5" w:rsidP="002366D5">
      <w:pPr>
        <w:shd w:val="clear" w:color="auto" w:fill="FFFFFF"/>
        <w:spacing w:after="200" w:line="30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In March 2026 an agreement was reached with Hydrogen Future Industries (Ireland) Limited ("HFI Ireland") to vary the terms of the existing licence for the wind turbine technology in Ireland.  The new agreement, awaiting signature, expands the licence to the whole of the island of Ireland, including Northern Ireland, resets the payment structure and transfers the residual energy B plc ownership of HFI Ireland to its founders in Ireland.  Full details will be announced when the parties have signed the new licence agreement.</w:t>
      </w:r>
    </w:p>
    <w:p w14:paraId="185FDE66" w14:textId="77777777" w:rsidR="002366D5" w:rsidRPr="002366D5" w:rsidRDefault="002366D5" w:rsidP="002366D5">
      <w:pPr>
        <w:shd w:val="clear" w:color="auto" w:fill="FFFFFF"/>
        <w:spacing w:after="20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Conclusion</w:t>
      </w:r>
    </w:p>
    <w:p w14:paraId="30E39AF7" w14:textId="77777777" w:rsidR="002366D5" w:rsidRPr="002366D5" w:rsidRDefault="002366D5" w:rsidP="002366D5">
      <w:pPr>
        <w:shd w:val="clear" w:color="auto" w:fill="FFFFFF"/>
        <w:spacing w:after="20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lastRenderedPageBreak/>
        <w:t>The last 24 months have been a difficult time for listed small cap technology companies and especially so in the hydrogen sector of the green energy space.  The Board has concluded that it needs to seek a transformational transaction that will expose shareholders to a larger potential opportunity whilst continuing to seek ways to separately advance the underlying clean hydrogen system IP.</w:t>
      </w:r>
    </w:p>
    <w:p w14:paraId="26BCBA24" w14:textId="77777777" w:rsidR="002366D5" w:rsidRPr="002366D5" w:rsidRDefault="002366D5" w:rsidP="002366D5">
      <w:pPr>
        <w:shd w:val="clear" w:color="auto" w:fill="FFFFFF"/>
        <w:spacing w:after="20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The Board remain positive that the Company's patented technology and energy systems concept has major long-term commercial potential, and we remain committed to ensuring the technology is fully tested and, if appropriate, readied for commercial manufacturing.  The funding model however needs to be changed with the introduction of greater emphasis on venture capital and governmental grants.</w:t>
      </w:r>
    </w:p>
    <w:p w14:paraId="313DCAB3" w14:textId="77777777" w:rsidR="002366D5" w:rsidRPr="002366D5" w:rsidRDefault="002366D5" w:rsidP="002366D5">
      <w:pPr>
        <w:shd w:val="clear" w:color="auto" w:fill="FFFFFF"/>
        <w:spacing w:after="200" w:line="30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 </w:t>
      </w:r>
    </w:p>
    <w:p w14:paraId="2A9603C7" w14:textId="77777777" w:rsidR="002366D5" w:rsidRPr="002366D5" w:rsidRDefault="002366D5" w:rsidP="002366D5">
      <w:pPr>
        <w:shd w:val="clear" w:color="auto" w:fill="FFFFFF"/>
        <w:spacing w:after="0" w:line="30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Neil Ritson</w:t>
      </w:r>
    </w:p>
    <w:p w14:paraId="581BBF76" w14:textId="77777777" w:rsidR="002366D5" w:rsidRPr="002366D5" w:rsidRDefault="002366D5" w:rsidP="002366D5">
      <w:pPr>
        <w:shd w:val="clear" w:color="auto" w:fill="FFFFFF"/>
        <w:spacing w:after="0" w:line="300" w:lineRule="atLeast"/>
        <w:jc w:val="both"/>
        <w:textAlignment w:val="baseline"/>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Non-Executive Chairman</w:t>
      </w:r>
    </w:p>
    <w:p w14:paraId="3B8CE75C" w14:textId="77777777" w:rsidR="002366D5" w:rsidRPr="002366D5" w:rsidRDefault="002366D5" w:rsidP="002366D5">
      <w:pPr>
        <w:shd w:val="clear" w:color="auto" w:fill="FFFFFF"/>
        <w:spacing w:after="200" w:line="30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29 April 2026</w:t>
      </w:r>
    </w:p>
    <w:p w14:paraId="279497EE"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 </w:t>
      </w:r>
    </w:p>
    <w:p w14:paraId="0A954155"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b/>
          <w:bCs/>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Unaudited Condensed Consolidated Statement of Total Comprehensive Income</w:t>
      </w:r>
    </w:p>
    <w:p w14:paraId="1AF81261" w14:textId="77777777" w:rsidR="002366D5" w:rsidRPr="002366D5" w:rsidRDefault="002366D5" w:rsidP="002366D5">
      <w:pPr>
        <w:shd w:val="clear" w:color="auto" w:fill="FFFFFF"/>
        <w:spacing w:after="0" w:line="240" w:lineRule="auto"/>
        <w:rPr>
          <w:rFonts w:ascii="Times New Roman" w:eastAsia="Times New Roman" w:hAnsi="Times New Roman" w:cs="Times New Roman"/>
          <w:b/>
          <w:bCs/>
          <w:i/>
          <w:iCs/>
          <w:color w:val="1F2937"/>
          <w:kern w:val="0"/>
          <w:sz w:val="20"/>
          <w:szCs w:val="20"/>
          <w:lang w:eastAsia="en-GB"/>
          <w14:ligatures w14:val="none"/>
        </w:rPr>
      </w:pPr>
      <w:r w:rsidRPr="002366D5">
        <w:rPr>
          <w:rFonts w:ascii="Times New Roman" w:eastAsia="Times New Roman" w:hAnsi="Times New Roman" w:cs="Times New Roman"/>
          <w:b/>
          <w:bCs/>
          <w:i/>
          <w:iCs/>
          <w:color w:val="1F2937"/>
          <w:kern w:val="0"/>
          <w:sz w:val="20"/>
          <w:szCs w:val="20"/>
          <w:lang w:eastAsia="en-GB"/>
          <w14:ligatures w14:val="none"/>
        </w:rPr>
        <w:t>for the interim period ended 31 January 2026</w:t>
      </w:r>
    </w:p>
    <w:p w14:paraId="39E5C511" w14:textId="77777777" w:rsidR="002366D5" w:rsidRPr="002366D5" w:rsidRDefault="002366D5" w:rsidP="002366D5">
      <w:pPr>
        <w:shd w:val="clear" w:color="auto" w:fill="FFFFFF"/>
        <w:spacing w:after="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w:t>
      </w:r>
    </w:p>
    <w:tbl>
      <w:tblPr>
        <w:tblW w:w="0" w:type="auto"/>
        <w:tblInd w:w="-91" w:type="dxa"/>
        <w:tblBorders>
          <w:top w:val="single" w:sz="2" w:space="0" w:color="808080"/>
          <w:left w:val="single" w:sz="2" w:space="0" w:color="808080"/>
          <w:bottom w:val="single" w:sz="2" w:space="0" w:color="808080"/>
          <w:right w:val="single" w:sz="2" w:space="0" w:color="808080"/>
        </w:tblBorders>
        <w:tblCellMar>
          <w:left w:w="0" w:type="dxa"/>
          <w:right w:w="0" w:type="dxa"/>
        </w:tblCellMar>
        <w:tblLook w:val="04A0" w:firstRow="1" w:lastRow="0" w:firstColumn="1" w:lastColumn="0" w:noHBand="0" w:noVBand="1"/>
      </w:tblPr>
      <w:tblGrid>
        <w:gridCol w:w="5473"/>
        <w:gridCol w:w="538"/>
        <w:gridCol w:w="1517"/>
        <w:gridCol w:w="1416"/>
      </w:tblGrid>
      <w:tr w:rsidR="002366D5" w:rsidRPr="002366D5" w14:paraId="3943171C" w14:textId="77777777">
        <w:trPr>
          <w:trHeight w:val="282"/>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hideMark/>
          </w:tcPr>
          <w:p w14:paraId="3EC5EEFF"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A6E93F6"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Note</w:t>
            </w:r>
          </w:p>
        </w:tc>
        <w:tc>
          <w:tcPr>
            <w:tcW w:w="151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F2F30B8"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Six months to</w:t>
            </w:r>
          </w:p>
          <w:p w14:paraId="206CA8FC"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31 Jan 2026</w:t>
            </w:r>
          </w:p>
        </w:tc>
        <w:tc>
          <w:tcPr>
            <w:tcW w:w="1416"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039B907C"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Six months to</w:t>
            </w:r>
          </w:p>
          <w:p w14:paraId="02029CB9"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31 Jan 2025</w:t>
            </w:r>
          </w:p>
        </w:tc>
      </w:tr>
      <w:tr w:rsidR="002366D5" w:rsidRPr="002366D5" w14:paraId="60AD043B" w14:textId="77777777">
        <w:trPr>
          <w:trHeight w:val="282"/>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hideMark/>
          </w:tcPr>
          <w:p w14:paraId="5DDA65F6"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1E868894"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51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2A32530F"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(Unaudited)</w:t>
            </w:r>
          </w:p>
        </w:tc>
        <w:tc>
          <w:tcPr>
            <w:tcW w:w="1416"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67A93040"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(Unaudited)</w:t>
            </w:r>
          </w:p>
        </w:tc>
      </w:tr>
      <w:tr w:rsidR="002366D5" w:rsidRPr="002366D5" w14:paraId="4AAFCE6B" w14:textId="77777777">
        <w:trPr>
          <w:trHeight w:val="270"/>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hideMark/>
          </w:tcPr>
          <w:p w14:paraId="6888245F"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9E841A7"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517" w:type="dxa"/>
            <w:tcBorders>
              <w:top w:val="nil"/>
              <w:left w:val="nil"/>
              <w:bottom w:val="single" w:sz="8" w:space="0" w:color="auto"/>
              <w:right w:val="nil"/>
            </w:tcBorders>
            <w:tcMar>
              <w:top w:w="0" w:type="dxa"/>
              <w:left w:w="57" w:type="dxa"/>
              <w:bottom w:w="0" w:type="dxa"/>
              <w:right w:w="57" w:type="dxa"/>
            </w:tcMar>
            <w:vAlign w:val="bottom"/>
            <w:hideMark/>
          </w:tcPr>
          <w:p w14:paraId="6E2B8825"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£'000</w:t>
            </w:r>
          </w:p>
        </w:tc>
        <w:tc>
          <w:tcPr>
            <w:tcW w:w="1416" w:type="dxa"/>
            <w:tcBorders>
              <w:top w:val="nil"/>
              <w:left w:val="nil"/>
              <w:bottom w:val="single" w:sz="8" w:space="0" w:color="auto"/>
              <w:right w:val="nil"/>
            </w:tcBorders>
            <w:tcMar>
              <w:top w:w="0" w:type="dxa"/>
              <w:left w:w="108" w:type="dxa"/>
              <w:bottom w:w="0" w:type="dxa"/>
              <w:right w:w="108" w:type="dxa"/>
            </w:tcMar>
            <w:vAlign w:val="bottom"/>
            <w:hideMark/>
          </w:tcPr>
          <w:p w14:paraId="1712E389"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£'000</w:t>
            </w:r>
          </w:p>
        </w:tc>
      </w:tr>
      <w:tr w:rsidR="002366D5" w:rsidRPr="002366D5" w14:paraId="04EE8228" w14:textId="77777777">
        <w:trPr>
          <w:trHeight w:val="267"/>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58EBBEE"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FCC8A3A"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51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center"/>
            <w:hideMark/>
          </w:tcPr>
          <w:p w14:paraId="44DFBB12"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16"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center"/>
            <w:hideMark/>
          </w:tcPr>
          <w:p w14:paraId="56187FDF"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36B7EDFD" w14:textId="77777777">
        <w:trPr>
          <w:trHeight w:val="267"/>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D03DA79"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Continuing operations</w:t>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27E138AA"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51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center"/>
            <w:hideMark/>
          </w:tcPr>
          <w:p w14:paraId="06478A08"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16"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center"/>
            <w:hideMark/>
          </w:tcPr>
          <w:p w14:paraId="01871832"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6672C96D" w14:textId="77777777">
        <w:trPr>
          <w:trHeight w:val="267"/>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931C2C0"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Administrative expenses</w:t>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15091BC4"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51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center"/>
            <w:hideMark/>
          </w:tcPr>
          <w:p w14:paraId="197AE3C8"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(229)</w:t>
            </w:r>
          </w:p>
        </w:tc>
        <w:tc>
          <w:tcPr>
            <w:tcW w:w="1416"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center"/>
            <w:hideMark/>
          </w:tcPr>
          <w:p w14:paraId="1A811E44"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(198)</w:t>
            </w:r>
          </w:p>
        </w:tc>
      </w:tr>
      <w:tr w:rsidR="002366D5" w:rsidRPr="002366D5" w14:paraId="47604C87" w14:textId="77777777">
        <w:trPr>
          <w:trHeight w:val="267"/>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CA659AD"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Loss before taxation</w:t>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74CB1E15"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517" w:type="dxa"/>
            <w:tcBorders>
              <w:top w:val="single" w:sz="8" w:space="0" w:color="auto"/>
              <w:left w:val="nil"/>
              <w:bottom w:val="nil"/>
              <w:right w:val="nil"/>
            </w:tcBorders>
            <w:tcMar>
              <w:top w:w="0" w:type="dxa"/>
              <w:left w:w="57" w:type="dxa"/>
              <w:bottom w:w="0" w:type="dxa"/>
              <w:right w:w="57" w:type="dxa"/>
            </w:tcMar>
            <w:vAlign w:val="center"/>
            <w:hideMark/>
          </w:tcPr>
          <w:p w14:paraId="2F4DFC79"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(229)</w:t>
            </w:r>
          </w:p>
        </w:tc>
        <w:tc>
          <w:tcPr>
            <w:tcW w:w="1416" w:type="dxa"/>
            <w:tcBorders>
              <w:top w:val="single" w:sz="8" w:space="0" w:color="auto"/>
              <w:left w:val="nil"/>
              <w:bottom w:val="nil"/>
              <w:right w:val="nil"/>
            </w:tcBorders>
            <w:tcMar>
              <w:top w:w="0" w:type="dxa"/>
              <w:left w:w="108" w:type="dxa"/>
              <w:bottom w:w="0" w:type="dxa"/>
              <w:right w:w="108" w:type="dxa"/>
            </w:tcMar>
            <w:vAlign w:val="center"/>
            <w:hideMark/>
          </w:tcPr>
          <w:p w14:paraId="5DDB7690"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(198)</w:t>
            </w:r>
          </w:p>
        </w:tc>
      </w:tr>
      <w:tr w:rsidR="002366D5" w:rsidRPr="002366D5" w14:paraId="3CF067A5" w14:textId="77777777">
        <w:trPr>
          <w:trHeight w:val="267"/>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464A531"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342233F3"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51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center"/>
            <w:hideMark/>
          </w:tcPr>
          <w:p w14:paraId="1F2FC161"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16"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center"/>
            <w:hideMark/>
          </w:tcPr>
          <w:p w14:paraId="061A6063"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55DAB2C1" w14:textId="77777777">
        <w:trPr>
          <w:trHeight w:val="267"/>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6DC4E8D3"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3624D639"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51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center"/>
            <w:hideMark/>
          </w:tcPr>
          <w:p w14:paraId="3E3B0E04"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16"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center"/>
            <w:hideMark/>
          </w:tcPr>
          <w:p w14:paraId="7A9589F7"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164CF955" w14:textId="77777777">
        <w:trPr>
          <w:trHeight w:val="267"/>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20870DA"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Taxation</w:t>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8DE33C2"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517" w:type="dxa"/>
            <w:tcBorders>
              <w:top w:val="nil"/>
              <w:left w:val="nil"/>
              <w:bottom w:val="single" w:sz="8" w:space="0" w:color="auto"/>
              <w:right w:val="nil"/>
            </w:tcBorders>
            <w:tcMar>
              <w:top w:w="0" w:type="dxa"/>
              <w:left w:w="57" w:type="dxa"/>
              <w:bottom w:w="0" w:type="dxa"/>
              <w:right w:w="57" w:type="dxa"/>
            </w:tcMar>
            <w:vAlign w:val="center"/>
            <w:hideMark/>
          </w:tcPr>
          <w:p w14:paraId="5F748E23"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416" w:type="dxa"/>
            <w:tcBorders>
              <w:top w:val="nil"/>
              <w:left w:val="nil"/>
              <w:bottom w:val="single" w:sz="8" w:space="0" w:color="auto"/>
              <w:right w:val="nil"/>
            </w:tcBorders>
            <w:tcMar>
              <w:top w:w="0" w:type="dxa"/>
              <w:left w:w="108" w:type="dxa"/>
              <w:bottom w:w="0" w:type="dxa"/>
              <w:right w:w="108" w:type="dxa"/>
            </w:tcMar>
            <w:vAlign w:val="center"/>
            <w:hideMark/>
          </w:tcPr>
          <w:p w14:paraId="157DCDCD"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r>
      <w:tr w:rsidR="002366D5" w:rsidRPr="002366D5" w14:paraId="377F7499" w14:textId="77777777">
        <w:trPr>
          <w:trHeight w:val="267"/>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2205ECC6"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Loss for the period attributable to the owners of the parent</w:t>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85938ED"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517" w:type="dxa"/>
            <w:tcBorders>
              <w:top w:val="nil"/>
              <w:left w:val="nil"/>
              <w:bottom w:val="single" w:sz="8" w:space="0" w:color="auto"/>
              <w:right w:val="nil"/>
            </w:tcBorders>
            <w:tcMar>
              <w:top w:w="0" w:type="dxa"/>
              <w:left w:w="57" w:type="dxa"/>
              <w:bottom w:w="0" w:type="dxa"/>
              <w:right w:w="57" w:type="dxa"/>
            </w:tcMar>
            <w:vAlign w:val="center"/>
            <w:hideMark/>
          </w:tcPr>
          <w:p w14:paraId="71E9C37F"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(229)</w:t>
            </w:r>
          </w:p>
        </w:tc>
        <w:tc>
          <w:tcPr>
            <w:tcW w:w="1416" w:type="dxa"/>
            <w:tcBorders>
              <w:top w:val="nil"/>
              <w:left w:val="nil"/>
              <w:bottom w:val="single" w:sz="8" w:space="0" w:color="auto"/>
              <w:right w:val="nil"/>
            </w:tcBorders>
            <w:tcMar>
              <w:top w:w="0" w:type="dxa"/>
              <w:left w:w="108" w:type="dxa"/>
              <w:bottom w:w="0" w:type="dxa"/>
              <w:right w:w="108" w:type="dxa"/>
            </w:tcMar>
            <w:vAlign w:val="center"/>
            <w:hideMark/>
          </w:tcPr>
          <w:p w14:paraId="2FFDD274"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(198)</w:t>
            </w:r>
          </w:p>
        </w:tc>
      </w:tr>
      <w:tr w:rsidR="002366D5" w:rsidRPr="002366D5" w14:paraId="13BCB016" w14:textId="77777777">
        <w:trPr>
          <w:trHeight w:val="267"/>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2FA8DDDC"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7C541750"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517" w:type="dxa"/>
            <w:tcBorders>
              <w:top w:val="nil"/>
              <w:left w:val="nil"/>
              <w:bottom w:val="nil"/>
              <w:right w:val="nil"/>
            </w:tcBorders>
            <w:tcMar>
              <w:top w:w="0" w:type="dxa"/>
              <w:left w:w="57" w:type="dxa"/>
              <w:bottom w:w="0" w:type="dxa"/>
              <w:right w:w="57" w:type="dxa"/>
            </w:tcMar>
            <w:vAlign w:val="center"/>
            <w:hideMark/>
          </w:tcPr>
          <w:p w14:paraId="410F4276"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16" w:type="dxa"/>
            <w:tcBorders>
              <w:top w:val="nil"/>
              <w:left w:val="nil"/>
              <w:bottom w:val="nil"/>
              <w:right w:val="nil"/>
            </w:tcBorders>
            <w:tcMar>
              <w:top w:w="0" w:type="dxa"/>
              <w:left w:w="108" w:type="dxa"/>
              <w:bottom w:w="0" w:type="dxa"/>
              <w:right w:w="108" w:type="dxa"/>
            </w:tcMar>
            <w:vAlign w:val="center"/>
            <w:hideMark/>
          </w:tcPr>
          <w:p w14:paraId="01758003"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1106024E" w14:textId="77777777">
        <w:trPr>
          <w:trHeight w:val="267"/>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8BBE9ED"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Other comprehensive income</w:t>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6C09F556"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51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center"/>
            <w:hideMark/>
          </w:tcPr>
          <w:p w14:paraId="5515CA5E"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16"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center"/>
            <w:hideMark/>
          </w:tcPr>
          <w:p w14:paraId="4001682B"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0300C7AD" w14:textId="77777777">
        <w:trPr>
          <w:trHeight w:val="267"/>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2E932528"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Item that may be subsequently reclassified to profit or loss:</w:t>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E05398F"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51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center"/>
            <w:hideMark/>
          </w:tcPr>
          <w:p w14:paraId="097E0E7A"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16"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center"/>
            <w:hideMark/>
          </w:tcPr>
          <w:p w14:paraId="43FE0489"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322CA643" w14:textId="77777777">
        <w:trPr>
          <w:trHeight w:val="267"/>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FF8EB66"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Currency translation differences</w:t>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1B6B80B3"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517" w:type="dxa"/>
            <w:tcBorders>
              <w:top w:val="nil"/>
              <w:left w:val="nil"/>
              <w:bottom w:val="single" w:sz="8" w:space="0" w:color="auto"/>
              <w:right w:val="nil"/>
            </w:tcBorders>
            <w:tcMar>
              <w:top w:w="0" w:type="dxa"/>
              <w:left w:w="57" w:type="dxa"/>
              <w:bottom w:w="0" w:type="dxa"/>
              <w:right w:w="57" w:type="dxa"/>
            </w:tcMar>
            <w:vAlign w:val="center"/>
            <w:hideMark/>
          </w:tcPr>
          <w:p w14:paraId="063518F0"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416" w:type="dxa"/>
            <w:tcBorders>
              <w:top w:val="nil"/>
              <w:left w:val="nil"/>
              <w:bottom w:val="single" w:sz="8" w:space="0" w:color="auto"/>
              <w:right w:val="nil"/>
            </w:tcBorders>
            <w:tcMar>
              <w:top w:w="0" w:type="dxa"/>
              <w:left w:w="108" w:type="dxa"/>
              <w:bottom w:w="0" w:type="dxa"/>
              <w:right w:w="108" w:type="dxa"/>
            </w:tcMar>
            <w:vAlign w:val="center"/>
            <w:hideMark/>
          </w:tcPr>
          <w:p w14:paraId="3E0A74B9"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(33)</w:t>
            </w:r>
          </w:p>
        </w:tc>
      </w:tr>
      <w:tr w:rsidR="002366D5" w:rsidRPr="002366D5" w14:paraId="322219F7" w14:textId="77777777">
        <w:trPr>
          <w:trHeight w:val="267"/>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75F335FF"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Total comprehensive loss, net of tax</w:t>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E6B79CA"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517" w:type="dxa"/>
            <w:tcBorders>
              <w:top w:val="nil"/>
              <w:left w:val="nil"/>
              <w:bottom w:val="single" w:sz="8" w:space="0" w:color="auto"/>
              <w:right w:val="nil"/>
            </w:tcBorders>
            <w:tcMar>
              <w:top w:w="0" w:type="dxa"/>
              <w:left w:w="57" w:type="dxa"/>
              <w:bottom w:w="0" w:type="dxa"/>
              <w:right w:w="57" w:type="dxa"/>
            </w:tcMar>
            <w:vAlign w:val="center"/>
            <w:hideMark/>
          </w:tcPr>
          <w:p w14:paraId="4C2C017D"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416" w:type="dxa"/>
            <w:tcBorders>
              <w:top w:val="nil"/>
              <w:left w:val="nil"/>
              <w:bottom w:val="single" w:sz="8" w:space="0" w:color="auto"/>
              <w:right w:val="nil"/>
            </w:tcBorders>
            <w:tcMar>
              <w:top w:w="0" w:type="dxa"/>
              <w:left w:w="108" w:type="dxa"/>
              <w:bottom w:w="0" w:type="dxa"/>
              <w:right w:w="108" w:type="dxa"/>
            </w:tcMar>
            <w:vAlign w:val="center"/>
            <w:hideMark/>
          </w:tcPr>
          <w:p w14:paraId="4F4200B6"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(33)</w:t>
            </w:r>
          </w:p>
        </w:tc>
      </w:tr>
      <w:tr w:rsidR="002366D5" w:rsidRPr="002366D5" w14:paraId="23FC8E4F" w14:textId="77777777">
        <w:trPr>
          <w:trHeight w:val="267"/>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614AD605"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F016DFD"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517" w:type="dxa"/>
            <w:tcBorders>
              <w:top w:val="nil"/>
              <w:left w:val="nil"/>
              <w:bottom w:val="single" w:sz="8" w:space="0" w:color="auto"/>
              <w:right w:val="nil"/>
            </w:tcBorders>
            <w:tcMar>
              <w:top w:w="0" w:type="dxa"/>
              <w:left w:w="57" w:type="dxa"/>
              <w:bottom w:w="0" w:type="dxa"/>
              <w:right w:w="57" w:type="dxa"/>
            </w:tcMar>
            <w:vAlign w:val="center"/>
            <w:hideMark/>
          </w:tcPr>
          <w:p w14:paraId="44E5332A"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16" w:type="dxa"/>
            <w:tcBorders>
              <w:top w:val="nil"/>
              <w:left w:val="nil"/>
              <w:bottom w:val="single" w:sz="8" w:space="0" w:color="auto"/>
              <w:right w:val="nil"/>
            </w:tcBorders>
            <w:tcMar>
              <w:top w:w="0" w:type="dxa"/>
              <w:left w:w="108" w:type="dxa"/>
              <w:bottom w:w="0" w:type="dxa"/>
              <w:right w:w="108" w:type="dxa"/>
            </w:tcMar>
            <w:vAlign w:val="center"/>
            <w:hideMark/>
          </w:tcPr>
          <w:p w14:paraId="27E8AB33"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2D6424D6" w14:textId="77777777">
        <w:trPr>
          <w:trHeight w:val="267"/>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2AEC2AD1"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Total comprehensive loss for the period attributable to owners of the parent</w:t>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1335DA8"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517" w:type="dxa"/>
            <w:tcBorders>
              <w:top w:val="nil"/>
              <w:left w:val="nil"/>
              <w:bottom w:val="double" w:sz="6" w:space="0" w:color="auto"/>
              <w:right w:val="nil"/>
            </w:tcBorders>
            <w:tcMar>
              <w:top w:w="0" w:type="dxa"/>
              <w:left w:w="57" w:type="dxa"/>
              <w:bottom w:w="0" w:type="dxa"/>
              <w:right w:w="57" w:type="dxa"/>
            </w:tcMar>
            <w:vAlign w:val="center"/>
            <w:hideMark/>
          </w:tcPr>
          <w:p w14:paraId="6A9CC5AE"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(229)</w:t>
            </w:r>
          </w:p>
        </w:tc>
        <w:tc>
          <w:tcPr>
            <w:tcW w:w="1416" w:type="dxa"/>
            <w:tcBorders>
              <w:top w:val="nil"/>
              <w:left w:val="nil"/>
              <w:bottom w:val="double" w:sz="6" w:space="0" w:color="auto"/>
              <w:right w:val="nil"/>
            </w:tcBorders>
            <w:tcMar>
              <w:top w:w="0" w:type="dxa"/>
              <w:left w:w="108" w:type="dxa"/>
              <w:bottom w:w="0" w:type="dxa"/>
              <w:right w:w="108" w:type="dxa"/>
            </w:tcMar>
            <w:vAlign w:val="center"/>
            <w:hideMark/>
          </w:tcPr>
          <w:p w14:paraId="1B588146"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(231)</w:t>
            </w:r>
          </w:p>
        </w:tc>
      </w:tr>
      <w:tr w:rsidR="002366D5" w:rsidRPr="002366D5" w14:paraId="3165980C" w14:textId="77777777">
        <w:trPr>
          <w:trHeight w:val="267"/>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75E5E760"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FEA5294"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517" w:type="dxa"/>
            <w:tcBorders>
              <w:top w:val="nil"/>
              <w:left w:val="nil"/>
              <w:bottom w:val="nil"/>
              <w:right w:val="nil"/>
            </w:tcBorders>
            <w:tcMar>
              <w:top w:w="0" w:type="dxa"/>
              <w:left w:w="57" w:type="dxa"/>
              <w:bottom w:w="0" w:type="dxa"/>
              <w:right w:w="57" w:type="dxa"/>
            </w:tcMar>
            <w:vAlign w:val="center"/>
            <w:hideMark/>
          </w:tcPr>
          <w:p w14:paraId="2B6E9F41"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16" w:type="dxa"/>
            <w:tcBorders>
              <w:top w:val="nil"/>
              <w:left w:val="nil"/>
              <w:bottom w:val="nil"/>
              <w:right w:val="nil"/>
            </w:tcBorders>
            <w:tcMar>
              <w:top w:w="0" w:type="dxa"/>
              <w:left w:w="108" w:type="dxa"/>
              <w:bottom w:w="0" w:type="dxa"/>
              <w:right w:w="108" w:type="dxa"/>
            </w:tcMar>
            <w:vAlign w:val="center"/>
            <w:hideMark/>
          </w:tcPr>
          <w:p w14:paraId="4DE04FE3"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341047CC" w14:textId="77777777">
        <w:trPr>
          <w:trHeight w:val="267"/>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2186E35F"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ECD7346"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51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center"/>
            <w:hideMark/>
          </w:tcPr>
          <w:p w14:paraId="3ACC3460"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16"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center"/>
            <w:hideMark/>
          </w:tcPr>
          <w:p w14:paraId="47020896"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15FDD42E" w14:textId="77777777">
        <w:trPr>
          <w:trHeight w:val="267"/>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6F9F26C3"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Loss per share from continuing operations attributable to owners of the parent:</w:t>
            </w:r>
          </w:p>
          <w:p w14:paraId="479EF5E2"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Basic and diluted (pence)</w:t>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384BC049"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7</w:t>
            </w:r>
          </w:p>
        </w:tc>
        <w:tc>
          <w:tcPr>
            <w:tcW w:w="1517" w:type="dxa"/>
            <w:tcBorders>
              <w:top w:val="nil"/>
              <w:left w:val="nil"/>
              <w:bottom w:val="double" w:sz="6" w:space="0" w:color="auto"/>
              <w:right w:val="nil"/>
            </w:tcBorders>
            <w:tcMar>
              <w:top w:w="0" w:type="dxa"/>
              <w:left w:w="57" w:type="dxa"/>
              <w:bottom w:w="0" w:type="dxa"/>
              <w:right w:w="57" w:type="dxa"/>
            </w:tcMar>
            <w:vAlign w:val="center"/>
            <w:hideMark/>
          </w:tcPr>
          <w:p w14:paraId="4D1C7A8C"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(11.39)</w:t>
            </w:r>
          </w:p>
        </w:tc>
        <w:tc>
          <w:tcPr>
            <w:tcW w:w="1416" w:type="dxa"/>
            <w:tcBorders>
              <w:top w:val="nil"/>
              <w:left w:val="nil"/>
              <w:bottom w:val="double" w:sz="6" w:space="0" w:color="auto"/>
              <w:right w:val="nil"/>
            </w:tcBorders>
            <w:tcMar>
              <w:top w:w="0" w:type="dxa"/>
              <w:left w:w="108" w:type="dxa"/>
              <w:bottom w:w="0" w:type="dxa"/>
              <w:right w:w="108" w:type="dxa"/>
            </w:tcMar>
            <w:vAlign w:val="center"/>
            <w:hideMark/>
          </w:tcPr>
          <w:p w14:paraId="58963861"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(16.0)</w:t>
            </w:r>
          </w:p>
        </w:tc>
      </w:tr>
      <w:tr w:rsidR="002366D5" w:rsidRPr="002366D5" w14:paraId="080E642F" w14:textId="77777777">
        <w:trPr>
          <w:trHeight w:val="253"/>
        </w:trPr>
        <w:tc>
          <w:tcPr>
            <w:tcW w:w="5473"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5C1B49D"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538"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333AC4F3"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517" w:type="dxa"/>
            <w:tcBorders>
              <w:top w:val="nil"/>
              <w:left w:val="nil"/>
              <w:bottom w:val="nil"/>
              <w:right w:val="nil"/>
            </w:tcBorders>
            <w:tcMar>
              <w:top w:w="0" w:type="dxa"/>
              <w:left w:w="57" w:type="dxa"/>
              <w:bottom w:w="0" w:type="dxa"/>
              <w:right w:w="57" w:type="dxa"/>
            </w:tcMar>
            <w:vAlign w:val="bottom"/>
            <w:hideMark/>
          </w:tcPr>
          <w:p w14:paraId="70A276EA"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16" w:type="dxa"/>
            <w:tcBorders>
              <w:top w:val="nil"/>
              <w:left w:val="nil"/>
              <w:bottom w:val="nil"/>
              <w:right w:val="nil"/>
            </w:tcBorders>
            <w:tcMar>
              <w:top w:w="0" w:type="dxa"/>
              <w:left w:w="108" w:type="dxa"/>
              <w:bottom w:w="0" w:type="dxa"/>
              <w:right w:w="108" w:type="dxa"/>
            </w:tcMar>
            <w:vAlign w:val="center"/>
            <w:hideMark/>
          </w:tcPr>
          <w:p w14:paraId="23B8EAA4"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bl>
    <w:p w14:paraId="2B2600F2" w14:textId="77777777" w:rsidR="002366D5" w:rsidRPr="002366D5" w:rsidRDefault="002366D5" w:rsidP="002366D5">
      <w:pPr>
        <w:shd w:val="clear" w:color="auto" w:fill="FFFFFF"/>
        <w:spacing w:after="0" w:line="23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w:t>
      </w:r>
    </w:p>
    <w:p w14:paraId="6BFEFB49" w14:textId="77777777" w:rsidR="002366D5" w:rsidRPr="002366D5" w:rsidRDefault="002366D5" w:rsidP="002366D5">
      <w:pPr>
        <w:shd w:val="clear" w:color="auto" w:fill="FFFFFF"/>
        <w:spacing w:after="200" w:line="23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The above condensed consolidated statement of total comprehensive income relates to continuing operations for the Group.</w:t>
      </w:r>
    </w:p>
    <w:p w14:paraId="2FFB0247"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br/>
      </w:r>
    </w:p>
    <w:p w14:paraId="4B9320B4"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b/>
          <w:bCs/>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lastRenderedPageBreak/>
        <w:t>Unaudited Condensed Consolidated Statement of Financial Position</w:t>
      </w:r>
    </w:p>
    <w:p w14:paraId="665A7B18" w14:textId="77777777" w:rsidR="002366D5" w:rsidRPr="002366D5" w:rsidRDefault="002366D5" w:rsidP="002366D5">
      <w:pPr>
        <w:shd w:val="clear" w:color="auto" w:fill="FFFFFF"/>
        <w:spacing w:after="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 xml:space="preserve">as </w:t>
      </w:r>
      <w:proofErr w:type="gramStart"/>
      <w:r w:rsidRPr="002366D5">
        <w:rPr>
          <w:rFonts w:ascii="Times New Roman" w:eastAsia="Times New Roman" w:hAnsi="Times New Roman" w:cs="Times New Roman"/>
          <w:b/>
          <w:bCs/>
          <w:color w:val="1F2937"/>
          <w:kern w:val="0"/>
          <w:sz w:val="20"/>
          <w:szCs w:val="20"/>
          <w:lang w:eastAsia="en-GB"/>
          <w14:ligatures w14:val="none"/>
        </w:rPr>
        <w:t>at</w:t>
      </w:r>
      <w:proofErr w:type="gramEnd"/>
      <w:r w:rsidRPr="002366D5">
        <w:rPr>
          <w:rFonts w:ascii="Times New Roman" w:eastAsia="Times New Roman" w:hAnsi="Times New Roman" w:cs="Times New Roman"/>
          <w:b/>
          <w:bCs/>
          <w:color w:val="1F2937"/>
          <w:kern w:val="0"/>
          <w:sz w:val="20"/>
          <w:szCs w:val="20"/>
          <w:lang w:eastAsia="en-GB"/>
          <w14:ligatures w14:val="none"/>
        </w:rPr>
        <w:t xml:space="preserve"> 31 January 2026</w:t>
      </w:r>
    </w:p>
    <w:p w14:paraId="38314287" w14:textId="77777777" w:rsidR="002366D5" w:rsidRPr="002366D5" w:rsidRDefault="002366D5" w:rsidP="002366D5">
      <w:pPr>
        <w:shd w:val="clear" w:color="auto" w:fill="FFFFFF"/>
        <w:spacing w:after="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 </w:t>
      </w:r>
    </w:p>
    <w:tbl>
      <w:tblPr>
        <w:tblW w:w="0" w:type="auto"/>
        <w:tblInd w:w="-57" w:type="dxa"/>
        <w:tblBorders>
          <w:top w:val="single" w:sz="2" w:space="0" w:color="808080"/>
          <w:left w:val="single" w:sz="2" w:space="0" w:color="808080"/>
          <w:bottom w:val="single" w:sz="2" w:space="0" w:color="808080"/>
          <w:right w:val="single" w:sz="2" w:space="0" w:color="808080"/>
        </w:tblBorders>
        <w:tblCellMar>
          <w:left w:w="0" w:type="dxa"/>
          <w:right w:w="0" w:type="dxa"/>
        </w:tblCellMar>
        <w:tblLook w:val="04A0" w:firstRow="1" w:lastRow="0" w:firstColumn="1" w:lastColumn="0" w:noHBand="0" w:noVBand="1"/>
      </w:tblPr>
      <w:tblGrid>
        <w:gridCol w:w="5437"/>
        <w:gridCol w:w="534"/>
        <w:gridCol w:w="1404"/>
        <w:gridCol w:w="1404"/>
      </w:tblGrid>
      <w:tr w:rsidR="002366D5" w:rsidRPr="002366D5" w14:paraId="0572093B" w14:textId="77777777">
        <w:trPr>
          <w:trHeight w:val="278"/>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hideMark/>
          </w:tcPr>
          <w:p w14:paraId="54D203B7"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17E5790C"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Note</w:t>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5961749C"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31 Jan 2026</w:t>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0AC367CE"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31 Jul 2025</w:t>
            </w:r>
          </w:p>
        </w:tc>
      </w:tr>
      <w:tr w:rsidR="002366D5" w:rsidRPr="002366D5" w14:paraId="15403E7E" w14:textId="77777777">
        <w:trPr>
          <w:trHeight w:val="278"/>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hideMark/>
          </w:tcPr>
          <w:p w14:paraId="02D8C32D"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0C4454D"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14A37E68"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(Unaudited)</w:t>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5F3527AF"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(Audited)</w:t>
            </w:r>
          </w:p>
        </w:tc>
      </w:tr>
      <w:tr w:rsidR="002366D5" w:rsidRPr="002366D5" w14:paraId="561DD80B" w14:textId="77777777">
        <w:trPr>
          <w:trHeight w:val="287"/>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CAA1A0D"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ASSETS</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4B639FF"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nil"/>
              <w:left w:val="nil"/>
              <w:bottom w:val="single" w:sz="8" w:space="0" w:color="auto"/>
              <w:right w:val="nil"/>
            </w:tcBorders>
            <w:tcMar>
              <w:top w:w="0" w:type="dxa"/>
              <w:left w:w="108" w:type="dxa"/>
              <w:bottom w:w="0" w:type="dxa"/>
              <w:right w:w="108" w:type="dxa"/>
            </w:tcMar>
            <w:vAlign w:val="bottom"/>
            <w:hideMark/>
          </w:tcPr>
          <w:p w14:paraId="5DDB93DF"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£'000</w:t>
            </w:r>
          </w:p>
        </w:tc>
        <w:tc>
          <w:tcPr>
            <w:tcW w:w="1404" w:type="dxa"/>
            <w:tcBorders>
              <w:top w:val="nil"/>
              <w:left w:val="nil"/>
              <w:bottom w:val="single" w:sz="8" w:space="0" w:color="auto"/>
              <w:right w:val="nil"/>
            </w:tcBorders>
            <w:tcMar>
              <w:top w:w="0" w:type="dxa"/>
              <w:left w:w="108" w:type="dxa"/>
              <w:bottom w:w="0" w:type="dxa"/>
              <w:right w:w="108" w:type="dxa"/>
            </w:tcMar>
            <w:vAlign w:val="bottom"/>
            <w:hideMark/>
          </w:tcPr>
          <w:p w14:paraId="4BC4C09B"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£'000</w:t>
            </w:r>
          </w:p>
        </w:tc>
      </w:tr>
      <w:tr w:rsidR="002366D5" w:rsidRPr="002366D5" w14:paraId="0B5EDB53" w14:textId="77777777">
        <w:trPr>
          <w:trHeight w:val="267"/>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1F600C0"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Non-current assets</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6587AF06"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nil"/>
              <w:left w:val="nil"/>
              <w:bottom w:val="nil"/>
              <w:right w:val="nil"/>
            </w:tcBorders>
            <w:tcMar>
              <w:top w:w="0" w:type="dxa"/>
              <w:left w:w="108" w:type="dxa"/>
              <w:bottom w:w="0" w:type="dxa"/>
              <w:right w:w="108" w:type="dxa"/>
            </w:tcMar>
            <w:vAlign w:val="bottom"/>
            <w:hideMark/>
          </w:tcPr>
          <w:p w14:paraId="21525AE3"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nil"/>
              <w:left w:val="nil"/>
              <w:bottom w:val="nil"/>
              <w:right w:val="nil"/>
            </w:tcBorders>
            <w:tcMar>
              <w:top w:w="0" w:type="dxa"/>
              <w:left w:w="108" w:type="dxa"/>
              <w:bottom w:w="0" w:type="dxa"/>
              <w:right w:w="108" w:type="dxa"/>
            </w:tcMar>
            <w:vAlign w:val="bottom"/>
            <w:hideMark/>
          </w:tcPr>
          <w:p w14:paraId="6F758AE8"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163D74BF"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110A7FD"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Intangible assets</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7096E87"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5</w:t>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0FE1EDD0"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626</w:t>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696D03F3"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627</w:t>
            </w:r>
          </w:p>
        </w:tc>
      </w:tr>
      <w:tr w:rsidR="002366D5" w:rsidRPr="002366D5" w14:paraId="4814B9C8"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EB47357"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Property, plant and equipment</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7BB9B408"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1E3C9889"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w:t>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15B47C64"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w:t>
            </w:r>
          </w:p>
        </w:tc>
      </w:tr>
      <w:tr w:rsidR="002366D5" w:rsidRPr="002366D5" w14:paraId="23B40C3E"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E280300"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Total non-current assets</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007EC92"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8" w:space="0" w:color="auto"/>
              <w:left w:val="nil"/>
              <w:bottom w:val="single" w:sz="8" w:space="0" w:color="auto"/>
              <w:right w:val="nil"/>
            </w:tcBorders>
            <w:tcMar>
              <w:top w:w="0" w:type="dxa"/>
              <w:left w:w="108" w:type="dxa"/>
              <w:bottom w:w="0" w:type="dxa"/>
              <w:right w:w="108" w:type="dxa"/>
            </w:tcMar>
            <w:vAlign w:val="bottom"/>
            <w:hideMark/>
          </w:tcPr>
          <w:p w14:paraId="0B0B6127"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628</w:t>
            </w:r>
          </w:p>
        </w:tc>
        <w:tc>
          <w:tcPr>
            <w:tcW w:w="1404" w:type="dxa"/>
            <w:tcBorders>
              <w:top w:val="single" w:sz="8" w:space="0" w:color="auto"/>
              <w:left w:val="nil"/>
              <w:bottom w:val="single" w:sz="8" w:space="0" w:color="auto"/>
              <w:right w:val="nil"/>
            </w:tcBorders>
            <w:tcMar>
              <w:top w:w="0" w:type="dxa"/>
              <w:left w:w="108" w:type="dxa"/>
              <w:bottom w:w="0" w:type="dxa"/>
              <w:right w:w="108" w:type="dxa"/>
            </w:tcMar>
            <w:vAlign w:val="bottom"/>
            <w:hideMark/>
          </w:tcPr>
          <w:p w14:paraId="4E9ACCEA"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629</w:t>
            </w:r>
          </w:p>
        </w:tc>
      </w:tr>
      <w:tr w:rsidR="002366D5" w:rsidRPr="002366D5" w14:paraId="3D4E793D"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D467B31"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23F0EA62"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nil"/>
              <w:left w:val="nil"/>
              <w:bottom w:val="nil"/>
              <w:right w:val="nil"/>
            </w:tcBorders>
            <w:tcMar>
              <w:top w:w="0" w:type="dxa"/>
              <w:left w:w="108" w:type="dxa"/>
              <w:bottom w:w="0" w:type="dxa"/>
              <w:right w:w="108" w:type="dxa"/>
            </w:tcMar>
            <w:vAlign w:val="bottom"/>
            <w:hideMark/>
          </w:tcPr>
          <w:p w14:paraId="6C5C746F"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nil"/>
              <w:left w:val="nil"/>
              <w:bottom w:val="nil"/>
              <w:right w:val="nil"/>
            </w:tcBorders>
            <w:tcMar>
              <w:top w:w="0" w:type="dxa"/>
              <w:left w:w="108" w:type="dxa"/>
              <w:bottom w:w="0" w:type="dxa"/>
              <w:right w:w="108" w:type="dxa"/>
            </w:tcMar>
            <w:vAlign w:val="bottom"/>
            <w:hideMark/>
          </w:tcPr>
          <w:p w14:paraId="31EBC76D"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62A96030"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68DEE6F"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Current assets</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E00C090"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4DE81C8B"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5C9BDE3B"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4F5642AD"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16DBFAB7"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Trade and other receivables</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102DF9D4"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4ED5E819"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68</w:t>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7F35D5C1"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20</w:t>
            </w:r>
          </w:p>
        </w:tc>
      </w:tr>
      <w:tr w:rsidR="002366D5" w:rsidRPr="002366D5" w14:paraId="2D019F98"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3B48C08A"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Cash and cash equivalents</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710F31DE"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6EF8F347"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6</w:t>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5F99DEB5"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24</w:t>
            </w:r>
          </w:p>
        </w:tc>
      </w:tr>
      <w:tr w:rsidR="002366D5" w:rsidRPr="002366D5" w14:paraId="4A6054B9"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32545BE4"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Total current assets</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69561337"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8" w:space="0" w:color="auto"/>
              <w:left w:val="nil"/>
              <w:bottom w:val="single" w:sz="8" w:space="0" w:color="auto"/>
              <w:right w:val="nil"/>
            </w:tcBorders>
            <w:tcMar>
              <w:top w:w="0" w:type="dxa"/>
              <w:left w:w="108" w:type="dxa"/>
              <w:bottom w:w="0" w:type="dxa"/>
              <w:right w:w="108" w:type="dxa"/>
            </w:tcMar>
            <w:vAlign w:val="bottom"/>
            <w:hideMark/>
          </w:tcPr>
          <w:p w14:paraId="262C1992"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74</w:t>
            </w:r>
          </w:p>
        </w:tc>
        <w:tc>
          <w:tcPr>
            <w:tcW w:w="1404" w:type="dxa"/>
            <w:tcBorders>
              <w:top w:val="single" w:sz="8" w:space="0" w:color="auto"/>
              <w:left w:val="nil"/>
              <w:bottom w:val="single" w:sz="8" w:space="0" w:color="auto"/>
              <w:right w:val="nil"/>
            </w:tcBorders>
            <w:tcMar>
              <w:top w:w="0" w:type="dxa"/>
              <w:left w:w="108" w:type="dxa"/>
              <w:bottom w:w="0" w:type="dxa"/>
              <w:right w:w="108" w:type="dxa"/>
            </w:tcMar>
            <w:vAlign w:val="bottom"/>
            <w:hideMark/>
          </w:tcPr>
          <w:p w14:paraId="04DDC1CC"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44</w:t>
            </w:r>
          </w:p>
        </w:tc>
      </w:tr>
      <w:tr w:rsidR="002366D5" w:rsidRPr="002366D5" w14:paraId="470B082E"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6C9F1E16"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2F522CE0"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nil"/>
              <w:left w:val="nil"/>
              <w:bottom w:val="single" w:sz="8" w:space="0" w:color="auto"/>
              <w:right w:val="nil"/>
            </w:tcBorders>
            <w:tcMar>
              <w:top w:w="0" w:type="dxa"/>
              <w:left w:w="108" w:type="dxa"/>
              <w:bottom w:w="0" w:type="dxa"/>
              <w:right w:w="108" w:type="dxa"/>
            </w:tcMar>
            <w:vAlign w:val="bottom"/>
            <w:hideMark/>
          </w:tcPr>
          <w:p w14:paraId="7E906304"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nil"/>
              <w:left w:val="nil"/>
              <w:bottom w:val="single" w:sz="8" w:space="0" w:color="auto"/>
              <w:right w:val="nil"/>
            </w:tcBorders>
            <w:tcMar>
              <w:top w:w="0" w:type="dxa"/>
              <w:left w:w="108" w:type="dxa"/>
              <w:bottom w:w="0" w:type="dxa"/>
              <w:right w:w="108" w:type="dxa"/>
            </w:tcMar>
            <w:vAlign w:val="bottom"/>
            <w:hideMark/>
          </w:tcPr>
          <w:p w14:paraId="043381E6"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4AB4CA39"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D45AC53"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Total assets</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4F096F0"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nil"/>
              <w:left w:val="nil"/>
              <w:bottom w:val="single" w:sz="8" w:space="0" w:color="auto"/>
              <w:right w:val="nil"/>
            </w:tcBorders>
            <w:tcMar>
              <w:top w:w="0" w:type="dxa"/>
              <w:left w:w="108" w:type="dxa"/>
              <w:bottom w:w="0" w:type="dxa"/>
              <w:right w:w="108" w:type="dxa"/>
            </w:tcMar>
            <w:vAlign w:val="bottom"/>
            <w:hideMark/>
          </w:tcPr>
          <w:p w14:paraId="5CDB4429"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702</w:t>
            </w:r>
          </w:p>
        </w:tc>
        <w:tc>
          <w:tcPr>
            <w:tcW w:w="1404" w:type="dxa"/>
            <w:tcBorders>
              <w:top w:val="nil"/>
              <w:left w:val="nil"/>
              <w:bottom w:val="single" w:sz="8" w:space="0" w:color="auto"/>
              <w:right w:val="nil"/>
            </w:tcBorders>
            <w:tcMar>
              <w:top w:w="0" w:type="dxa"/>
              <w:left w:w="108" w:type="dxa"/>
              <w:bottom w:w="0" w:type="dxa"/>
              <w:right w:w="108" w:type="dxa"/>
            </w:tcMar>
            <w:vAlign w:val="bottom"/>
            <w:hideMark/>
          </w:tcPr>
          <w:p w14:paraId="62D2C3F7"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673</w:t>
            </w:r>
          </w:p>
        </w:tc>
      </w:tr>
      <w:tr w:rsidR="002366D5" w:rsidRPr="002366D5" w14:paraId="43F2C000"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14BED157"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7771A7E8"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nil"/>
              <w:left w:val="nil"/>
              <w:bottom w:val="nil"/>
              <w:right w:val="nil"/>
            </w:tcBorders>
            <w:tcMar>
              <w:top w:w="0" w:type="dxa"/>
              <w:left w:w="108" w:type="dxa"/>
              <w:bottom w:w="0" w:type="dxa"/>
              <w:right w:w="108" w:type="dxa"/>
            </w:tcMar>
            <w:vAlign w:val="bottom"/>
            <w:hideMark/>
          </w:tcPr>
          <w:p w14:paraId="5E435D0D"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nil"/>
              <w:left w:val="nil"/>
              <w:bottom w:val="nil"/>
              <w:right w:val="nil"/>
            </w:tcBorders>
            <w:tcMar>
              <w:top w:w="0" w:type="dxa"/>
              <w:left w:w="108" w:type="dxa"/>
              <w:bottom w:w="0" w:type="dxa"/>
              <w:right w:w="108" w:type="dxa"/>
            </w:tcMar>
            <w:vAlign w:val="bottom"/>
            <w:hideMark/>
          </w:tcPr>
          <w:p w14:paraId="5955999B"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58E42BA6"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2BCA108"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LIABILITIES</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297A925D"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5E4DC72F"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68DF4843"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5E76C84B"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46B5C11"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Current liabilities</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65B7CD11"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5742FDA9"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400A193B"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3749FA49"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DEED99D"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Trade and other payables</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1F1F12E3"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06244072"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245</w:t>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37C90ECF"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519</w:t>
            </w:r>
          </w:p>
        </w:tc>
      </w:tr>
      <w:tr w:rsidR="002366D5" w:rsidRPr="002366D5" w14:paraId="3F8972B7"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2C138941"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Borrowings</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4854813"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082AC2FE"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174</w:t>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6B8745B0"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203</w:t>
            </w:r>
          </w:p>
        </w:tc>
      </w:tr>
      <w:tr w:rsidR="002366D5" w:rsidRPr="002366D5" w14:paraId="198BA05F"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1702A109"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Total current liabilities</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AE8A5D8"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8" w:space="0" w:color="auto"/>
              <w:left w:val="nil"/>
              <w:bottom w:val="nil"/>
              <w:right w:val="nil"/>
            </w:tcBorders>
            <w:tcMar>
              <w:top w:w="0" w:type="dxa"/>
              <w:left w:w="108" w:type="dxa"/>
              <w:bottom w:w="0" w:type="dxa"/>
              <w:right w:w="108" w:type="dxa"/>
            </w:tcMar>
            <w:vAlign w:val="bottom"/>
            <w:hideMark/>
          </w:tcPr>
          <w:p w14:paraId="2A2F2590"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419</w:t>
            </w:r>
          </w:p>
        </w:tc>
        <w:tc>
          <w:tcPr>
            <w:tcW w:w="1404" w:type="dxa"/>
            <w:tcBorders>
              <w:top w:val="single" w:sz="8" w:space="0" w:color="auto"/>
              <w:left w:val="nil"/>
              <w:bottom w:val="nil"/>
              <w:right w:val="nil"/>
            </w:tcBorders>
            <w:tcMar>
              <w:top w:w="0" w:type="dxa"/>
              <w:left w:w="108" w:type="dxa"/>
              <w:bottom w:w="0" w:type="dxa"/>
              <w:right w:w="108" w:type="dxa"/>
            </w:tcMar>
            <w:vAlign w:val="bottom"/>
            <w:hideMark/>
          </w:tcPr>
          <w:p w14:paraId="6DC0D3D6"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722</w:t>
            </w:r>
          </w:p>
        </w:tc>
      </w:tr>
      <w:tr w:rsidR="002366D5" w:rsidRPr="002366D5" w14:paraId="09A1E30D"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1C941815"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786CA09D"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8" w:space="0" w:color="auto"/>
              <w:left w:val="nil"/>
              <w:bottom w:val="nil"/>
              <w:right w:val="nil"/>
            </w:tcBorders>
            <w:tcMar>
              <w:top w:w="0" w:type="dxa"/>
              <w:left w:w="108" w:type="dxa"/>
              <w:bottom w:w="0" w:type="dxa"/>
              <w:right w:w="108" w:type="dxa"/>
            </w:tcMar>
            <w:vAlign w:val="bottom"/>
            <w:hideMark/>
          </w:tcPr>
          <w:p w14:paraId="7A5A8FB5"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8" w:space="0" w:color="auto"/>
              <w:left w:val="nil"/>
              <w:bottom w:val="nil"/>
              <w:right w:val="nil"/>
            </w:tcBorders>
            <w:tcMar>
              <w:top w:w="0" w:type="dxa"/>
              <w:left w:w="108" w:type="dxa"/>
              <w:bottom w:w="0" w:type="dxa"/>
              <w:right w:w="108" w:type="dxa"/>
            </w:tcMar>
            <w:vAlign w:val="bottom"/>
            <w:hideMark/>
          </w:tcPr>
          <w:p w14:paraId="7F480983"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795D78FB"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229011F6"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Total liabilities</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C0DD29A"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8" w:space="0" w:color="auto"/>
              <w:left w:val="nil"/>
              <w:bottom w:val="nil"/>
              <w:right w:val="nil"/>
            </w:tcBorders>
            <w:tcMar>
              <w:top w:w="0" w:type="dxa"/>
              <w:left w:w="108" w:type="dxa"/>
              <w:bottom w:w="0" w:type="dxa"/>
              <w:right w:w="108" w:type="dxa"/>
            </w:tcMar>
            <w:vAlign w:val="bottom"/>
            <w:hideMark/>
          </w:tcPr>
          <w:p w14:paraId="09551552"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419</w:t>
            </w:r>
          </w:p>
        </w:tc>
        <w:tc>
          <w:tcPr>
            <w:tcW w:w="1404" w:type="dxa"/>
            <w:tcBorders>
              <w:top w:val="single" w:sz="8" w:space="0" w:color="auto"/>
              <w:left w:val="nil"/>
              <w:bottom w:val="nil"/>
              <w:right w:val="nil"/>
            </w:tcBorders>
            <w:tcMar>
              <w:top w:w="0" w:type="dxa"/>
              <w:left w:w="108" w:type="dxa"/>
              <w:bottom w:w="0" w:type="dxa"/>
              <w:right w:w="108" w:type="dxa"/>
            </w:tcMar>
            <w:vAlign w:val="bottom"/>
            <w:hideMark/>
          </w:tcPr>
          <w:p w14:paraId="201FA72F"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722</w:t>
            </w:r>
          </w:p>
        </w:tc>
      </w:tr>
      <w:tr w:rsidR="002366D5" w:rsidRPr="002366D5" w14:paraId="1F7A0F58"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11F73D42"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4F5BB0E"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8" w:space="0" w:color="auto"/>
              <w:left w:val="nil"/>
              <w:bottom w:val="nil"/>
              <w:right w:val="nil"/>
            </w:tcBorders>
            <w:tcMar>
              <w:top w:w="0" w:type="dxa"/>
              <w:left w:w="108" w:type="dxa"/>
              <w:bottom w:w="0" w:type="dxa"/>
              <w:right w:w="108" w:type="dxa"/>
            </w:tcMar>
            <w:vAlign w:val="bottom"/>
            <w:hideMark/>
          </w:tcPr>
          <w:p w14:paraId="7215FD1F"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8" w:space="0" w:color="auto"/>
              <w:left w:val="nil"/>
              <w:bottom w:val="nil"/>
              <w:right w:val="nil"/>
            </w:tcBorders>
            <w:tcMar>
              <w:top w:w="0" w:type="dxa"/>
              <w:left w:w="108" w:type="dxa"/>
              <w:bottom w:w="0" w:type="dxa"/>
              <w:right w:w="108" w:type="dxa"/>
            </w:tcMar>
            <w:vAlign w:val="bottom"/>
            <w:hideMark/>
          </w:tcPr>
          <w:p w14:paraId="509C83D3"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19944EEB"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28AB66B5"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Net assets/(liabilities)</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28FE905"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8" w:space="0" w:color="auto"/>
              <w:left w:val="nil"/>
              <w:bottom w:val="double" w:sz="6" w:space="0" w:color="auto"/>
              <w:right w:val="nil"/>
            </w:tcBorders>
            <w:tcMar>
              <w:top w:w="0" w:type="dxa"/>
              <w:left w:w="108" w:type="dxa"/>
              <w:bottom w:w="0" w:type="dxa"/>
              <w:right w:w="108" w:type="dxa"/>
            </w:tcMar>
            <w:vAlign w:val="bottom"/>
            <w:hideMark/>
          </w:tcPr>
          <w:p w14:paraId="75EB58A7"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283</w:t>
            </w:r>
          </w:p>
        </w:tc>
        <w:tc>
          <w:tcPr>
            <w:tcW w:w="1404" w:type="dxa"/>
            <w:tcBorders>
              <w:top w:val="single" w:sz="8" w:space="0" w:color="auto"/>
              <w:left w:val="nil"/>
              <w:bottom w:val="double" w:sz="6" w:space="0" w:color="auto"/>
              <w:right w:val="nil"/>
            </w:tcBorders>
            <w:tcMar>
              <w:top w:w="0" w:type="dxa"/>
              <w:left w:w="108" w:type="dxa"/>
              <w:bottom w:w="0" w:type="dxa"/>
              <w:right w:w="108" w:type="dxa"/>
            </w:tcMar>
            <w:vAlign w:val="bottom"/>
            <w:hideMark/>
          </w:tcPr>
          <w:p w14:paraId="60B4F7D3"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(49)</w:t>
            </w:r>
          </w:p>
        </w:tc>
      </w:tr>
      <w:tr w:rsidR="002366D5" w:rsidRPr="002366D5" w14:paraId="6137D069"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69A44B1C"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EE264C9"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nil"/>
              <w:left w:val="nil"/>
              <w:bottom w:val="nil"/>
              <w:right w:val="nil"/>
            </w:tcBorders>
            <w:tcMar>
              <w:top w:w="0" w:type="dxa"/>
              <w:left w:w="108" w:type="dxa"/>
              <w:bottom w:w="0" w:type="dxa"/>
              <w:right w:w="108" w:type="dxa"/>
            </w:tcMar>
            <w:vAlign w:val="bottom"/>
            <w:hideMark/>
          </w:tcPr>
          <w:p w14:paraId="2E415746"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nil"/>
              <w:left w:val="nil"/>
              <w:bottom w:val="nil"/>
              <w:right w:val="nil"/>
            </w:tcBorders>
            <w:tcMar>
              <w:top w:w="0" w:type="dxa"/>
              <w:left w:w="108" w:type="dxa"/>
              <w:bottom w:w="0" w:type="dxa"/>
              <w:right w:w="108" w:type="dxa"/>
            </w:tcMar>
            <w:vAlign w:val="bottom"/>
            <w:hideMark/>
          </w:tcPr>
          <w:p w14:paraId="1BBDF39F"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378923A3"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35432815"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EQUITY</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6C658298"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0D5000AD"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51369F46"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306B7E10"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2328EA93"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Share capital</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73BBD261"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6</w:t>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0782D04C"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24</w:t>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407DAD3B"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647</w:t>
            </w:r>
          </w:p>
        </w:tc>
      </w:tr>
      <w:tr w:rsidR="002366D5" w:rsidRPr="002366D5" w14:paraId="52EDC60F"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26CFE62F"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Share premium</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10BE5FA9"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6</w:t>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72688DEA"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4,069</w:t>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30193AB4"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4,092</w:t>
            </w:r>
          </w:p>
        </w:tc>
      </w:tr>
      <w:tr w:rsidR="002366D5" w:rsidRPr="002366D5" w14:paraId="7ADDC78B"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6D40FE9"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Deferred share capital</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107304AF"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6</w:t>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27877967"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1,181</w:t>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1349375E"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r>
      <w:tr w:rsidR="002366D5" w:rsidRPr="002366D5" w14:paraId="48B0FEAF"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293D1AC1"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Share-based payment reserve</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28383050"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0EA22A82"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118</w:t>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7E456E9A"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92</w:t>
            </w:r>
          </w:p>
        </w:tc>
      </w:tr>
      <w:tr w:rsidR="002366D5" w:rsidRPr="002366D5" w14:paraId="736C457F"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9275943"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Foreign exchange reserve</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5984971"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3E462F52"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25922A44"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r>
      <w:tr w:rsidR="002366D5" w:rsidRPr="002366D5" w14:paraId="7CC2547B"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1BB30E54"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Retained losses</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3F39634A"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17A2DF42"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(5,100)</w:t>
            </w:r>
          </w:p>
        </w:tc>
        <w:tc>
          <w:tcPr>
            <w:tcW w:w="1404"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vAlign w:val="bottom"/>
            <w:hideMark/>
          </w:tcPr>
          <w:p w14:paraId="5E5BA47E"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(4,871)</w:t>
            </w:r>
          </w:p>
        </w:tc>
      </w:tr>
      <w:tr w:rsidR="002366D5" w:rsidRPr="002366D5" w14:paraId="6EB04279"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62FE34D"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Total equity attributable to owners of the parent</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362FDB1D"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8" w:space="0" w:color="auto"/>
              <w:left w:val="nil"/>
              <w:bottom w:val="single" w:sz="8" w:space="0" w:color="auto"/>
              <w:right w:val="nil"/>
            </w:tcBorders>
            <w:tcMar>
              <w:top w:w="0" w:type="dxa"/>
              <w:left w:w="108" w:type="dxa"/>
              <w:bottom w:w="0" w:type="dxa"/>
              <w:right w:w="108" w:type="dxa"/>
            </w:tcMar>
            <w:vAlign w:val="bottom"/>
            <w:hideMark/>
          </w:tcPr>
          <w:p w14:paraId="64F5AEB7"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292</w:t>
            </w:r>
          </w:p>
        </w:tc>
        <w:tc>
          <w:tcPr>
            <w:tcW w:w="1404" w:type="dxa"/>
            <w:tcBorders>
              <w:top w:val="single" w:sz="8" w:space="0" w:color="auto"/>
              <w:left w:val="nil"/>
              <w:bottom w:val="single" w:sz="8" w:space="0" w:color="auto"/>
              <w:right w:val="nil"/>
            </w:tcBorders>
            <w:tcMar>
              <w:top w:w="0" w:type="dxa"/>
              <w:left w:w="108" w:type="dxa"/>
              <w:bottom w:w="0" w:type="dxa"/>
              <w:right w:w="108" w:type="dxa"/>
            </w:tcMar>
            <w:vAlign w:val="bottom"/>
            <w:hideMark/>
          </w:tcPr>
          <w:p w14:paraId="403C91C0"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(40)</w:t>
            </w:r>
          </w:p>
        </w:tc>
      </w:tr>
      <w:tr w:rsidR="002366D5" w:rsidRPr="002366D5" w14:paraId="78193285"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7AF2FFFC"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7535344"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nil"/>
              <w:left w:val="nil"/>
              <w:bottom w:val="nil"/>
              <w:right w:val="nil"/>
            </w:tcBorders>
            <w:tcMar>
              <w:top w:w="0" w:type="dxa"/>
              <w:left w:w="108" w:type="dxa"/>
              <w:bottom w:w="0" w:type="dxa"/>
              <w:right w:w="108" w:type="dxa"/>
            </w:tcMar>
            <w:vAlign w:val="bottom"/>
            <w:hideMark/>
          </w:tcPr>
          <w:p w14:paraId="32AE471F"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nil"/>
              <w:left w:val="nil"/>
              <w:bottom w:val="nil"/>
              <w:right w:val="nil"/>
            </w:tcBorders>
            <w:tcMar>
              <w:top w:w="0" w:type="dxa"/>
              <w:left w:w="108" w:type="dxa"/>
              <w:bottom w:w="0" w:type="dxa"/>
              <w:right w:w="108" w:type="dxa"/>
            </w:tcMar>
            <w:vAlign w:val="bottom"/>
            <w:hideMark/>
          </w:tcPr>
          <w:p w14:paraId="62EB4DEC"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2BED168E"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79B405B5"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Non-controlling interests</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A4BF874"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8" w:space="0" w:color="auto"/>
              <w:left w:val="nil"/>
              <w:bottom w:val="nil"/>
              <w:right w:val="nil"/>
            </w:tcBorders>
            <w:tcMar>
              <w:top w:w="0" w:type="dxa"/>
              <w:left w:w="108" w:type="dxa"/>
              <w:bottom w:w="0" w:type="dxa"/>
              <w:right w:w="108" w:type="dxa"/>
            </w:tcMar>
            <w:vAlign w:val="bottom"/>
            <w:hideMark/>
          </w:tcPr>
          <w:p w14:paraId="1F872BD2"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(9)</w:t>
            </w:r>
          </w:p>
        </w:tc>
        <w:tc>
          <w:tcPr>
            <w:tcW w:w="1404" w:type="dxa"/>
            <w:tcBorders>
              <w:top w:val="single" w:sz="8" w:space="0" w:color="auto"/>
              <w:left w:val="nil"/>
              <w:bottom w:val="nil"/>
              <w:right w:val="nil"/>
            </w:tcBorders>
            <w:tcMar>
              <w:top w:w="0" w:type="dxa"/>
              <w:left w:w="108" w:type="dxa"/>
              <w:bottom w:w="0" w:type="dxa"/>
              <w:right w:w="108" w:type="dxa"/>
            </w:tcMar>
            <w:vAlign w:val="bottom"/>
            <w:hideMark/>
          </w:tcPr>
          <w:p w14:paraId="1FA8DB2D"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(9)</w:t>
            </w:r>
          </w:p>
        </w:tc>
      </w:tr>
      <w:tr w:rsidR="002366D5" w:rsidRPr="002366D5" w14:paraId="3AA27737"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1870AD2"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74B6EDD5"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8" w:space="0" w:color="auto"/>
              <w:left w:val="nil"/>
              <w:bottom w:val="nil"/>
              <w:right w:val="nil"/>
            </w:tcBorders>
            <w:tcMar>
              <w:top w:w="0" w:type="dxa"/>
              <w:left w:w="108" w:type="dxa"/>
              <w:bottom w:w="0" w:type="dxa"/>
              <w:right w:w="108" w:type="dxa"/>
            </w:tcMar>
            <w:vAlign w:val="bottom"/>
            <w:hideMark/>
          </w:tcPr>
          <w:p w14:paraId="28CEF286"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8" w:space="0" w:color="auto"/>
              <w:left w:val="nil"/>
              <w:bottom w:val="nil"/>
              <w:right w:val="nil"/>
            </w:tcBorders>
            <w:tcMar>
              <w:top w:w="0" w:type="dxa"/>
              <w:left w:w="108" w:type="dxa"/>
              <w:bottom w:w="0" w:type="dxa"/>
              <w:right w:w="108" w:type="dxa"/>
            </w:tcMar>
            <w:vAlign w:val="bottom"/>
            <w:hideMark/>
          </w:tcPr>
          <w:p w14:paraId="263AD8F8"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1313BE2A"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5C439A6"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Total equity</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3E43F6A"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single" w:sz="8" w:space="0" w:color="auto"/>
              <w:left w:val="nil"/>
              <w:bottom w:val="double" w:sz="6" w:space="0" w:color="auto"/>
              <w:right w:val="nil"/>
            </w:tcBorders>
            <w:tcMar>
              <w:top w:w="0" w:type="dxa"/>
              <w:left w:w="108" w:type="dxa"/>
              <w:bottom w:w="0" w:type="dxa"/>
              <w:right w:w="108" w:type="dxa"/>
            </w:tcMar>
            <w:vAlign w:val="bottom"/>
            <w:hideMark/>
          </w:tcPr>
          <w:p w14:paraId="7661A27E"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283</w:t>
            </w:r>
          </w:p>
        </w:tc>
        <w:tc>
          <w:tcPr>
            <w:tcW w:w="1404" w:type="dxa"/>
            <w:tcBorders>
              <w:top w:val="single" w:sz="8" w:space="0" w:color="auto"/>
              <w:left w:val="nil"/>
              <w:bottom w:val="double" w:sz="6" w:space="0" w:color="auto"/>
              <w:right w:val="nil"/>
            </w:tcBorders>
            <w:tcMar>
              <w:top w:w="0" w:type="dxa"/>
              <w:left w:w="108" w:type="dxa"/>
              <w:bottom w:w="0" w:type="dxa"/>
              <w:right w:w="108" w:type="dxa"/>
            </w:tcMar>
            <w:vAlign w:val="bottom"/>
            <w:hideMark/>
          </w:tcPr>
          <w:p w14:paraId="1AA3A593"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(49)</w:t>
            </w:r>
          </w:p>
        </w:tc>
      </w:tr>
      <w:tr w:rsidR="002366D5" w:rsidRPr="002366D5" w14:paraId="5C777F5E" w14:textId="77777777">
        <w:trPr>
          <w:trHeight w:val="269"/>
        </w:trPr>
        <w:tc>
          <w:tcPr>
            <w:tcW w:w="543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777308DA" w14:textId="77777777" w:rsidR="002366D5" w:rsidRPr="002366D5" w:rsidRDefault="002366D5" w:rsidP="002366D5">
            <w:pPr>
              <w:spacing w:after="0" w:line="240" w:lineRule="auto"/>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534"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13278ADC" w14:textId="77777777" w:rsidR="002366D5" w:rsidRPr="002366D5" w:rsidRDefault="002366D5" w:rsidP="002366D5">
            <w:pPr>
              <w:spacing w:after="0" w:line="240" w:lineRule="auto"/>
              <w:jc w:val="center"/>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nil"/>
              <w:left w:val="nil"/>
              <w:bottom w:val="nil"/>
              <w:right w:val="nil"/>
            </w:tcBorders>
            <w:tcMar>
              <w:top w:w="0" w:type="dxa"/>
              <w:left w:w="108" w:type="dxa"/>
              <w:bottom w:w="0" w:type="dxa"/>
              <w:right w:w="108" w:type="dxa"/>
            </w:tcMar>
            <w:vAlign w:val="bottom"/>
            <w:hideMark/>
          </w:tcPr>
          <w:p w14:paraId="6F06D08B"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404" w:type="dxa"/>
            <w:tcBorders>
              <w:top w:val="nil"/>
              <w:left w:val="nil"/>
              <w:bottom w:val="nil"/>
              <w:right w:val="nil"/>
            </w:tcBorders>
            <w:tcMar>
              <w:top w:w="0" w:type="dxa"/>
              <w:left w:w="108" w:type="dxa"/>
              <w:bottom w:w="0" w:type="dxa"/>
              <w:right w:w="108" w:type="dxa"/>
            </w:tcMar>
            <w:vAlign w:val="bottom"/>
            <w:hideMark/>
          </w:tcPr>
          <w:p w14:paraId="737B4E4B" w14:textId="77777777" w:rsidR="002366D5" w:rsidRPr="002366D5" w:rsidRDefault="002366D5" w:rsidP="002366D5">
            <w:pPr>
              <w:spacing w:after="0" w:line="240" w:lineRule="auto"/>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bl>
    <w:p w14:paraId="6F5E172E"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w:t>
      </w:r>
    </w:p>
    <w:p w14:paraId="07AC3E58" w14:textId="77777777" w:rsidR="002366D5" w:rsidRPr="002366D5" w:rsidRDefault="002366D5" w:rsidP="002366D5">
      <w:pPr>
        <w:shd w:val="clear" w:color="auto" w:fill="FFFFFF"/>
        <w:spacing w:before="100" w:beforeAutospacing="1" w:after="100" w:afterAutospacing="1" w:line="240" w:lineRule="auto"/>
        <w:rPr>
          <w:rFonts w:ascii="Arial" w:eastAsia="Times New Roman" w:hAnsi="Arial" w:cs="Arial"/>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br/>
      </w:r>
    </w:p>
    <w:p w14:paraId="75E06864"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b/>
          <w:bCs/>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Unaudited Condensed Consolidated Statement of Changes in Equity</w:t>
      </w:r>
    </w:p>
    <w:p w14:paraId="3D11CDE6" w14:textId="77777777" w:rsidR="002366D5" w:rsidRPr="002366D5" w:rsidRDefault="002366D5" w:rsidP="002366D5">
      <w:pPr>
        <w:shd w:val="clear" w:color="auto" w:fill="FFFFFF"/>
        <w:spacing w:after="0" w:line="240" w:lineRule="auto"/>
        <w:ind w:left="-284" w:firstLine="284"/>
        <w:rPr>
          <w:rFonts w:ascii="Times New Roman" w:eastAsia="Times New Roman" w:hAnsi="Times New Roman" w:cs="Times New Roman"/>
          <w:b/>
          <w:bCs/>
          <w:i/>
          <w:iCs/>
          <w:color w:val="1F2937"/>
          <w:kern w:val="0"/>
          <w:sz w:val="20"/>
          <w:szCs w:val="20"/>
          <w:lang w:eastAsia="en-GB"/>
          <w14:ligatures w14:val="none"/>
        </w:rPr>
      </w:pPr>
      <w:r w:rsidRPr="002366D5">
        <w:rPr>
          <w:rFonts w:ascii="Times New Roman" w:eastAsia="Times New Roman" w:hAnsi="Times New Roman" w:cs="Times New Roman"/>
          <w:b/>
          <w:bCs/>
          <w:i/>
          <w:iCs/>
          <w:color w:val="1F2937"/>
          <w:kern w:val="0"/>
          <w:sz w:val="20"/>
          <w:szCs w:val="20"/>
          <w:lang w:eastAsia="en-GB"/>
          <w14:ligatures w14:val="none"/>
        </w:rPr>
        <w:t>for the interim period ended 31 January 2026</w:t>
      </w:r>
    </w:p>
    <w:p w14:paraId="6F14B6E9" w14:textId="77777777" w:rsidR="002366D5" w:rsidRPr="002366D5" w:rsidRDefault="002366D5" w:rsidP="002366D5">
      <w:pPr>
        <w:shd w:val="clear" w:color="auto" w:fill="FFFFFF"/>
        <w:spacing w:after="0" w:line="240" w:lineRule="auto"/>
        <w:rPr>
          <w:rFonts w:ascii="Times New Roman" w:eastAsia="Times New Roman" w:hAnsi="Times New Roman" w:cs="Times New Roman"/>
          <w:b/>
          <w:bCs/>
          <w:i/>
          <w:iCs/>
          <w:color w:val="1F2937"/>
          <w:kern w:val="0"/>
          <w:sz w:val="20"/>
          <w:szCs w:val="20"/>
          <w:lang w:eastAsia="en-GB"/>
          <w14:ligatures w14:val="none"/>
        </w:rPr>
      </w:pPr>
      <w:r w:rsidRPr="002366D5">
        <w:rPr>
          <w:rFonts w:ascii="Times New Roman" w:eastAsia="Times New Roman" w:hAnsi="Times New Roman" w:cs="Times New Roman"/>
          <w:b/>
          <w:bCs/>
          <w:i/>
          <w:iCs/>
          <w:color w:val="1F2937"/>
          <w:kern w:val="0"/>
          <w:sz w:val="20"/>
          <w:szCs w:val="20"/>
          <w:lang w:eastAsia="en-GB"/>
          <w14:ligatures w14:val="none"/>
        </w:rPr>
        <w:t> </w:t>
      </w:r>
    </w:p>
    <w:tbl>
      <w:tblPr>
        <w:tblW w:w="0" w:type="auto"/>
        <w:tblInd w:w="-57" w:type="dxa"/>
        <w:tblBorders>
          <w:top w:val="single" w:sz="2" w:space="0" w:color="808080"/>
          <w:left w:val="single" w:sz="2" w:space="0" w:color="808080"/>
          <w:bottom w:val="single" w:sz="2" w:space="0" w:color="808080"/>
          <w:right w:val="single" w:sz="2" w:space="0" w:color="808080"/>
        </w:tblBorders>
        <w:tblCellMar>
          <w:left w:w="0" w:type="dxa"/>
          <w:right w:w="0" w:type="dxa"/>
        </w:tblCellMar>
        <w:tblLook w:val="04A0" w:firstRow="1" w:lastRow="0" w:firstColumn="1" w:lastColumn="0" w:noHBand="0" w:noVBand="1"/>
      </w:tblPr>
      <w:tblGrid>
        <w:gridCol w:w="1366"/>
        <w:gridCol w:w="210"/>
        <w:gridCol w:w="629"/>
        <w:gridCol w:w="828"/>
        <w:gridCol w:w="846"/>
        <w:gridCol w:w="783"/>
        <w:gridCol w:w="879"/>
        <w:gridCol w:w="845"/>
        <w:gridCol w:w="1085"/>
        <w:gridCol w:w="1003"/>
        <w:gridCol w:w="606"/>
      </w:tblGrid>
      <w:tr w:rsidR="002366D5" w:rsidRPr="002366D5" w14:paraId="69309518" w14:textId="77777777">
        <w:trPr>
          <w:trHeight w:val="374"/>
        </w:trPr>
        <w:tc>
          <w:tcPr>
            <w:tcW w:w="3096"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8B9F7FE" w14:textId="77777777" w:rsidR="002366D5" w:rsidRPr="002366D5" w:rsidRDefault="002366D5" w:rsidP="002366D5">
            <w:pPr>
              <w:spacing w:after="0" w:line="240" w:lineRule="auto"/>
              <w:ind w:firstLine="190"/>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lastRenderedPageBreak/>
              <w:br/>
            </w:r>
          </w:p>
        </w:tc>
        <w:tc>
          <w:tcPr>
            <w:tcW w:w="212"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616B7B9A"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 </w:t>
            </w:r>
          </w:p>
        </w:tc>
        <w:tc>
          <w:tcPr>
            <w:tcW w:w="640" w:type="dxa"/>
            <w:tcBorders>
              <w:top w:val="nil"/>
              <w:left w:val="nil"/>
              <w:bottom w:val="single" w:sz="8" w:space="0" w:color="auto"/>
              <w:right w:val="nil"/>
            </w:tcBorders>
            <w:tcMar>
              <w:top w:w="0" w:type="dxa"/>
              <w:left w:w="0" w:type="dxa"/>
              <w:bottom w:w="0" w:type="dxa"/>
              <w:right w:w="57" w:type="dxa"/>
            </w:tcMar>
            <w:vAlign w:val="bottom"/>
            <w:hideMark/>
          </w:tcPr>
          <w:p w14:paraId="7371A2DA"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Share</w:t>
            </w:r>
          </w:p>
          <w:p w14:paraId="69817237"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capital</w:t>
            </w:r>
            <w:r w:rsidRPr="002366D5">
              <w:rPr>
                <w:rFonts w:ascii="unset" w:eastAsia="Times New Roman" w:hAnsi="unset" w:cs="Times New Roman"/>
                <w:b/>
                <w:bCs/>
                <w:spacing w:val="-10"/>
                <w:kern w:val="0"/>
                <w:sz w:val="20"/>
                <w:szCs w:val="20"/>
                <w:lang w:eastAsia="en-GB"/>
                <w14:ligatures w14:val="none"/>
              </w:rPr>
              <w:br/>
              <w:t>£'000</w:t>
            </w:r>
          </w:p>
        </w:tc>
        <w:tc>
          <w:tcPr>
            <w:tcW w:w="1215" w:type="dxa"/>
            <w:tcBorders>
              <w:top w:val="nil"/>
              <w:left w:val="nil"/>
              <w:bottom w:val="single" w:sz="8" w:space="0" w:color="auto"/>
              <w:right w:val="nil"/>
            </w:tcBorders>
            <w:tcMar>
              <w:top w:w="0" w:type="dxa"/>
              <w:left w:w="0" w:type="dxa"/>
              <w:bottom w:w="0" w:type="dxa"/>
              <w:right w:w="57" w:type="dxa"/>
            </w:tcMar>
            <w:vAlign w:val="bottom"/>
            <w:hideMark/>
          </w:tcPr>
          <w:p w14:paraId="26078CE9"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Share</w:t>
            </w:r>
          </w:p>
          <w:p w14:paraId="0AB593D3"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premium</w:t>
            </w:r>
            <w:r w:rsidRPr="002366D5">
              <w:rPr>
                <w:rFonts w:ascii="unset" w:eastAsia="Times New Roman" w:hAnsi="unset" w:cs="Times New Roman"/>
                <w:b/>
                <w:bCs/>
                <w:spacing w:val="-10"/>
                <w:kern w:val="0"/>
                <w:sz w:val="20"/>
                <w:szCs w:val="20"/>
                <w:lang w:eastAsia="en-GB"/>
                <w14:ligatures w14:val="none"/>
              </w:rPr>
              <w:br/>
              <w:t>£'000</w:t>
            </w:r>
          </w:p>
        </w:tc>
        <w:tc>
          <w:tcPr>
            <w:tcW w:w="1160" w:type="dxa"/>
            <w:tcBorders>
              <w:top w:val="nil"/>
              <w:left w:val="nil"/>
              <w:bottom w:val="single" w:sz="8" w:space="0" w:color="auto"/>
              <w:right w:val="nil"/>
            </w:tcBorders>
            <w:tcMar>
              <w:top w:w="0" w:type="dxa"/>
              <w:left w:w="56" w:type="dxa"/>
              <w:bottom w:w="0" w:type="dxa"/>
              <w:right w:w="56" w:type="dxa"/>
            </w:tcMar>
            <w:vAlign w:val="bottom"/>
            <w:hideMark/>
          </w:tcPr>
          <w:p w14:paraId="72F4BC92"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Deferred share capital</w:t>
            </w:r>
          </w:p>
          <w:p w14:paraId="31F332B6"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£'000</w:t>
            </w:r>
          </w:p>
        </w:tc>
        <w:tc>
          <w:tcPr>
            <w:tcW w:w="773" w:type="dxa"/>
            <w:tcBorders>
              <w:top w:val="nil"/>
              <w:left w:val="nil"/>
              <w:bottom w:val="single" w:sz="8" w:space="0" w:color="auto"/>
              <w:right w:val="nil"/>
            </w:tcBorders>
            <w:tcMar>
              <w:top w:w="0" w:type="dxa"/>
              <w:left w:w="0" w:type="dxa"/>
              <w:bottom w:w="0" w:type="dxa"/>
              <w:right w:w="57" w:type="dxa"/>
            </w:tcMar>
            <w:vAlign w:val="bottom"/>
            <w:hideMark/>
          </w:tcPr>
          <w:p w14:paraId="59ED4BC1"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Share-based payment</w:t>
            </w:r>
          </w:p>
          <w:p w14:paraId="7F800A92"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 reserve</w:t>
            </w:r>
            <w:r w:rsidRPr="002366D5">
              <w:rPr>
                <w:rFonts w:ascii="unset" w:eastAsia="Times New Roman" w:hAnsi="unset" w:cs="Times New Roman"/>
                <w:b/>
                <w:bCs/>
                <w:spacing w:val="-10"/>
                <w:kern w:val="0"/>
                <w:sz w:val="20"/>
                <w:szCs w:val="20"/>
                <w:lang w:eastAsia="en-GB"/>
                <w14:ligatures w14:val="none"/>
              </w:rPr>
              <w:br/>
              <w:t>£'000</w:t>
            </w:r>
          </w:p>
        </w:tc>
        <w:tc>
          <w:tcPr>
            <w:tcW w:w="913" w:type="dxa"/>
            <w:tcBorders>
              <w:top w:val="nil"/>
              <w:left w:val="nil"/>
              <w:bottom w:val="single" w:sz="8" w:space="0" w:color="auto"/>
              <w:right w:val="nil"/>
            </w:tcBorders>
            <w:tcMar>
              <w:top w:w="0" w:type="dxa"/>
              <w:left w:w="56" w:type="dxa"/>
              <w:bottom w:w="0" w:type="dxa"/>
              <w:right w:w="56" w:type="dxa"/>
            </w:tcMar>
            <w:vAlign w:val="bottom"/>
            <w:hideMark/>
          </w:tcPr>
          <w:p w14:paraId="6E226C9C"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Foreign exchange reserve</w:t>
            </w:r>
            <w:r w:rsidRPr="002366D5">
              <w:rPr>
                <w:rFonts w:ascii="unset" w:eastAsia="Times New Roman" w:hAnsi="unset" w:cs="Times New Roman"/>
                <w:b/>
                <w:bCs/>
                <w:spacing w:val="-10"/>
                <w:kern w:val="0"/>
                <w:sz w:val="20"/>
                <w:szCs w:val="20"/>
                <w:lang w:eastAsia="en-GB"/>
                <w14:ligatures w14:val="none"/>
              </w:rPr>
              <w:br/>
              <w:t>£'000</w:t>
            </w:r>
          </w:p>
        </w:tc>
        <w:tc>
          <w:tcPr>
            <w:tcW w:w="1160" w:type="dxa"/>
            <w:tcBorders>
              <w:top w:val="nil"/>
              <w:left w:val="nil"/>
              <w:bottom w:val="single" w:sz="8" w:space="0" w:color="auto"/>
              <w:right w:val="nil"/>
            </w:tcBorders>
            <w:tcMar>
              <w:top w:w="0" w:type="dxa"/>
              <w:left w:w="56" w:type="dxa"/>
              <w:bottom w:w="0" w:type="dxa"/>
              <w:right w:w="56" w:type="dxa"/>
            </w:tcMar>
            <w:vAlign w:val="bottom"/>
            <w:hideMark/>
          </w:tcPr>
          <w:p w14:paraId="39AD9A54"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Retained</w:t>
            </w:r>
          </w:p>
          <w:p w14:paraId="54065385"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 losses</w:t>
            </w:r>
            <w:r w:rsidRPr="002366D5">
              <w:rPr>
                <w:rFonts w:ascii="unset" w:eastAsia="Times New Roman" w:hAnsi="unset" w:cs="Times New Roman"/>
                <w:b/>
                <w:bCs/>
                <w:spacing w:val="-10"/>
                <w:kern w:val="0"/>
                <w:sz w:val="20"/>
                <w:szCs w:val="20"/>
                <w:lang w:eastAsia="en-GB"/>
                <w14:ligatures w14:val="none"/>
              </w:rPr>
              <w:br/>
              <w:t>£'000</w:t>
            </w:r>
          </w:p>
        </w:tc>
        <w:tc>
          <w:tcPr>
            <w:tcW w:w="1160" w:type="dxa"/>
            <w:tcBorders>
              <w:top w:val="nil"/>
              <w:left w:val="nil"/>
              <w:bottom w:val="single" w:sz="8" w:space="0" w:color="auto"/>
              <w:right w:val="nil"/>
            </w:tcBorders>
            <w:tcMar>
              <w:top w:w="0" w:type="dxa"/>
              <w:left w:w="56" w:type="dxa"/>
              <w:bottom w:w="0" w:type="dxa"/>
              <w:right w:w="56" w:type="dxa"/>
            </w:tcMar>
            <w:hideMark/>
          </w:tcPr>
          <w:p w14:paraId="11BEE857"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Total equity attributable to owners of the parent</w:t>
            </w:r>
          </w:p>
        </w:tc>
        <w:tc>
          <w:tcPr>
            <w:tcW w:w="1160" w:type="dxa"/>
            <w:tcBorders>
              <w:top w:val="nil"/>
              <w:left w:val="nil"/>
              <w:bottom w:val="single" w:sz="8" w:space="0" w:color="auto"/>
              <w:right w:val="nil"/>
            </w:tcBorders>
            <w:tcMar>
              <w:top w:w="0" w:type="dxa"/>
              <w:left w:w="56" w:type="dxa"/>
              <w:bottom w:w="0" w:type="dxa"/>
              <w:right w:w="56" w:type="dxa"/>
            </w:tcMar>
            <w:vAlign w:val="bottom"/>
            <w:hideMark/>
          </w:tcPr>
          <w:p w14:paraId="63E40EF8"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 </w:t>
            </w:r>
          </w:p>
          <w:p w14:paraId="3F1F373B"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Non-controlling interest</w:t>
            </w:r>
          </w:p>
          <w:p w14:paraId="2B96A4EE"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£'000</w:t>
            </w:r>
          </w:p>
        </w:tc>
        <w:tc>
          <w:tcPr>
            <w:tcW w:w="1216" w:type="dxa"/>
            <w:tcBorders>
              <w:top w:val="nil"/>
              <w:left w:val="nil"/>
              <w:bottom w:val="single" w:sz="8" w:space="0" w:color="auto"/>
              <w:right w:val="nil"/>
            </w:tcBorders>
            <w:tcMar>
              <w:top w:w="0" w:type="dxa"/>
              <w:left w:w="0" w:type="dxa"/>
              <w:bottom w:w="0" w:type="dxa"/>
              <w:right w:w="57" w:type="dxa"/>
            </w:tcMar>
            <w:vAlign w:val="bottom"/>
            <w:hideMark/>
          </w:tcPr>
          <w:p w14:paraId="4D4217C6"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Total</w:t>
            </w:r>
          </w:p>
          <w:p w14:paraId="7B96F48C"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 equity</w:t>
            </w:r>
            <w:r w:rsidRPr="002366D5">
              <w:rPr>
                <w:rFonts w:ascii="unset" w:eastAsia="Times New Roman" w:hAnsi="unset" w:cs="Times New Roman"/>
                <w:b/>
                <w:bCs/>
                <w:spacing w:val="-10"/>
                <w:kern w:val="0"/>
                <w:sz w:val="20"/>
                <w:szCs w:val="20"/>
                <w:lang w:eastAsia="en-GB"/>
                <w14:ligatures w14:val="none"/>
              </w:rPr>
              <w:br/>
              <w:t>£'000</w:t>
            </w:r>
          </w:p>
        </w:tc>
      </w:tr>
      <w:tr w:rsidR="002366D5" w:rsidRPr="002366D5" w14:paraId="010D9C2F" w14:textId="77777777">
        <w:trPr>
          <w:trHeight w:val="253"/>
        </w:trPr>
        <w:tc>
          <w:tcPr>
            <w:tcW w:w="3096"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7D4ABB0" w14:textId="77777777" w:rsidR="002366D5" w:rsidRPr="002366D5" w:rsidRDefault="002366D5" w:rsidP="002366D5">
            <w:pPr>
              <w:spacing w:after="0" w:line="240" w:lineRule="auto"/>
              <w:ind w:firstLine="190"/>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212"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04CB3CFB"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640" w:type="dxa"/>
            <w:tcBorders>
              <w:top w:val="nil"/>
              <w:left w:val="nil"/>
              <w:bottom w:val="nil"/>
              <w:right w:val="nil"/>
            </w:tcBorders>
            <w:tcMar>
              <w:top w:w="0" w:type="dxa"/>
              <w:left w:w="0" w:type="dxa"/>
              <w:bottom w:w="0" w:type="dxa"/>
              <w:right w:w="57" w:type="dxa"/>
            </w:tcMar>
            <w:vAlign w:val="bottom"/>
            <w:hideMark/>
          </w:tcPr>
          <w:p w14:paraId="03EF2BF3"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1215" w:type="dxa"/>
            <w:tcBorders>
              <w:top w:val="nil"/>
              <w:left w:val="nil"/>
              <w:bottom w:val="nil"/>
              <w:right w:val="nil"/>
            </w:tcBorders>
            <w:tcMar>
              <w:top w:w="0" w:type="dxa"/>
              <w:left w:w="0" w:type="dxa"/>
              <w:bottom w:w="0" w:type="dxa"/>
              <w:right w:w="57" w:type="dxa"/>
            </w:tcMar>
            <w:vAlign w:val="bottom"/>
            <w:hideMark/>
          </w:tcPr>
          <w:p w14:paraId="0975B6B0"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1160" w:type="dxa"/>
            <w:tcBorders>
              <w:top w:val="nil"/>
              <w:left w:val="nil"/>
              <w:bottom w:val="nil"/>
              <w:right w:val="nil"/>
            </w:tcBorders>
            <w:tcMar>
              <w:top w:w="0" w:type="dxa"/>
              <w:left w:w="56" w:type="dxa"/>
              <w:bottom w:w="0" w:type="dxa"/>
              <w:right w:w="56" w:type="dxa"/>
            </w:tcMar>
            <w:vAlign w:val="bottom"/>
            <w:hideMark/>
          </w:tcPr>
          <w:p w14:paraId="03EE3444"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773" w:type="dxa"/>
            <w:tcBorders>
              <w:top w:val="nil"/>
              <w:left w:val="nil"/>
              <w:bottom w:val="nil"/>
              <w:right w:val="nil"/>
            </w:tcBorders>
            <w:tcMar>
              <w:top w:w="0" w:type="dxa"/>
              <w:left w:w="0" w:type="dxa"/>
              <w:bottom w:w="0" w:type="dxa"/>
              <w:right w:w="57" w:type="dxa"/>
            </w:tcMar>
            <w:vAlign w:val="bottom"/>
            <w:hideMark/>
          </w:tcPr>
          <w:p w14:paraId="6457BC43"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913" w:type="dxa"/>
            <w:tcBorders>
              <w:top w:val="nil"/>
              <w:left w:val="nil"/>
              <w:bottom w:val="nil"/>
              <w:right w:val="nil"/>
            </w:tcBorders>
            <w:tcMar>
              <w:top w:w="0" w:type="dxa"/>
              <w:left w:w="56" w:type="dxa"/>
              <w:bottom w:w="0" w:type="dxa"/>
              <w:right w:w="56" w:type="dxa"/>
            </w:tcMar>
            <w:vAlign w:val="bottom"/>
            <w:hideMark/>
          </w:tcPr>
          <w:p w14:paraId="14DE52F3"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1160" w:type="dxa"/>
            <w:tcBorders>
              <w:top w:val="nil"/>
              <w:left w:val="nil"/>
              <w:bottom w:val="nil"/>
              <w:right w:val="nil"/>
            </w:tcBorders>
            <w:tcMar>
              <w:top w:w="0" w:type="dxa"/>
              <w:left w:w="56" w:type="dxa"/>
              <w:bottom w:w="0" w:type="dxa"/>
              <w:right w:w="56" w:type="dxa"/>
            </w:tcMar>
            <w:vAlign w:val="bottom"/>
            <w:hideMark/>
          </w:tcPr>
          <w:p w14:paraId="3020EA60"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1160" w:type="dxa"/>
            <w:tcBorders>
              <w:top w:val="nil"/>
              <w:left w:val="nil"/>
              <w:bottom w:val="nil"/>
              <w:right w:val="nil"/>
            </w:tcBorders>
            <w:tcMar>
              <w:top w:w="0" w:type="dxa"/>
              <w:left w:w="56" w:type="dxa"/>
              <w:bottom w:w="0" w:type="dxa"/>
              <w:right w:w="56" w:type="dxa"/>
            </w:tcMar>
            <w:hideMark/>
          </w:tcPr>
          <w:p w14:paraId="79CC4441"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1160" w:type="dxa"/>
            <w:tcBorders>
              <w:top w:val="nil"/>
              <w:left w:val="nil"/>
              <w:bottom w:val="nil"/>
              <w:right w:val="nil"/>
            </w:tcBorders>
            <w:tcMar>
              <w:top w:w="0" w:type="dxa"/>
              <w:left w:w="56" w:type="dxa"/>
              <w:bottom w:w="0" w:type="dxa"/>
              <w:right w:w="56" w:type="dxa"/>
            </w:tcMar>
            <w:hideMark/>
          </w:tcPr>
          <w:p w14:paraId="2C637A95"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1216" w:type="dxa"/>
            <w:tcBorders>
              <w:top w:val="nil"/>
              <w:left w:val="nil"/>
              <w:bottom w:val="nil"/>
              <w:right w:val="nil"/>
            </w:tcBorders>
            <w:tcMar>
              <w:top w:w="0" w:type="dxa"/>
              <w:left w:w="0" w:type="dxa"/>
              <w:bottom w:w="0" w:type="dxa"/>
              <w:right w:w="57" w:type="dxa"/>
            </w:tcMar>
            <w:vAlign w:val="bottom"/>
            <w:hideMark/>
          </w:tcPr>
          <w:p w14:paraId="7F628177"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r>
      <w:tr w:rsidR="002366D5" w:rsidRPr="002366D5" w14:paraId="21777D5C" w14:textId="77777777">
        <w:trPr>
          <w:trHeight w:val="253"/>
        </w:trPr>
        <w:tc>
          <w:tcPr>
            <w:tcW w:w="3096"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22D6469" w14:textId="77777777" w:rsidR="002366D5" w:rsidRPr="002366D5" w:rsidRDefault="002366D5" w:rsidP="002366D5">
            <w:pPr>
              <w:spacing w:after="0" w:line="240" w:lineRule="auto"/>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xml:space="preserve">As </w:t>
            </w:r>
            <w:proofErr w:type="gramStart"/>
            <w:r w:rsidRPr="002366D5">
              <w:rPr>
                <w:rFonts w:ascii="unset" w:eastAsia="Times New Roman" w:hAnsi="unset" w:cs="Times New Roman"/>
                <w:b/>
                <w:bCs/>
                <w:kern w:val="0"/>
                <w:sz w:val="20"/>
                <w:szCs w:val="20"/>
                <w:lang w:eastAsia="en-GB"/>
                <w14:ligatures w14:val="none"/>
              </w:rPr>
              <w:t>at</w:t>
            </w:r>
            <w:proofErr w:type="gramEnd"/>
            <w:r w:rsidRPr="002366D5">
              <w:rPr>
                <w:rFonts w:ascii="unset" w:eastAsia="Times New Roman" w:hAnsi="unset" w:cs="Times New Roman"/>
                <w:b/>
                <w:bCs/>
                <w:kern w:val="0"/>
                <w:sz w:val="20"/>
                <w:szCs w:val="20"/>
                <w:lang w:eastAsia="en-GB"/>
                <w14:ligatures w14:val="none"/>
              </w:rPr>
              <w:t xml:space="preserve"> 1 August 2025</w:t>
            </w:r>
          </w:p>
        </w:tc>
        <w:tc>
          <w:tcPr>
            <w:tcW w:w="212"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2271BF81"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640" w:type="dxa"/>
            <w:tcBorders>
              <w:top w:val="nil"/>
              <w:left w:val="nil"/>
              <w:bottom w:val="single" w:sz="8" w:space="0" w:color="auto"/>
              <w:right w:val="nil"/>
            </w:tcBorders>
            <w:tcMar>
              <w:top w:w="0" w:type="dxa"/>
              <w:left w:w="0" w:type="dxa"/>
              <w:bottom w:w="0" w:type="dxa"/>
              <w:right w:w="57" w:type="dxa"/>
            </w:tcMar>
            <w:vAlign w:val="bottom"/>
            <w:hideMark/>
          </w:tcPr>
          <w:p w14:paraId="00CC6F0D"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647</w:t>
            </w:r>
          </w:p>
        </w:tc>
        <w:tc>
          <w:tcPr>
            <w:tcW w:w="1215" w:type="dxa"/>
            <w:tcBorders>
              <w:top w:val="nil"/>
              <w:left w:val="nil"/>
              <w:bottom w:val="single" w:sz="8" w:space="0" w:color="auto"/>
              <w:right w:val="nil"/>
            </w:tcBorders>
            <w:tcMar>
              <w:top w:w="0" w:type="dxa"/>
              <w:left w:w="0" w:type="dxa"/>
              <w:bottom w:w="0" w:type="dxa"/>
              <w:right w:w="57" w:type="dxa"/>
            </w:tcMar>
            <w:vAlign w:val="bottom"/>
            <w:hideMark/>
          </w:tcPr>
          <w:p w14:paraId="3DCCECE0"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4,092</w:t>
            </w:r>
          </w:p>
        </w:tc>
        <w:tc>
          <w:tcPr>
            <w:tcW w:w="1160" w:type="dxa"/>
            <w:tcBorders>
              <w:top w:val="nil"/>
              <w:left w:val="nil"/>
              <w:bottom w:val="single" w:sz="8" w:space="0" w:color="auto"/>
              <w:right w:val="nil"/>
            </w:tcBorders>
            <w:tcMar>
              <w:top w:w="0" w:type="dxa"/>
              <w:left w:w="56" w:type="dxa"/>
              <w:bottom w:w="0" w:type="dxa"/>
              <w:right w:w="56" w:type="dxa"/>
            </w:tcMar>
            <w:vAlign w:val="bottom"/>
            <w:hideMark/>
          </w:tcPr>
          <w:p w14:paraId="79A81079"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w:t>
            </w:r>
          </w:p>
        </w:tc>
        <w:tc>
          <w:tcPr>
            <w:tcW w:w="773" w:type="dxa"/>
            <w:tcBorders>
              <w:top w:val="nil"/>
              <w:left w:val="nil"/>
              <w:bottom w:val="single" w:sz="8" w:space="0" w:color="auto"/>
              <w:right w:val="nil"/>
            </w:tcBorders>
            <w:tcMar>
              <w:top w:w="0" w:type="dxa"/>
              <w:left w:w="0" w:type="dxa"/>
              <w:bottom w:w="0" w:type="dxa"/>
              <w:right w:w="57" w:type="dxa"/>
            </w:tcMar>
            <w:vAlign w:val="bottom"/>
            <w:hideMark/>
          </w:tcPr>
          <w:p w14:paraId="3F8CDD68"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92</w:t>
            </w:r>
          </w:p>
        </w:tc>
        <w:tc>
          <w:tcPr>
            <w:tcW w:w="913" w:type="dxa"/>
            <w:tcBorders>
              <w:top w:val="nil"/>
              <w:left w:val="nil"/>
              <w:bottom w:val="single" w:sz="8" w:space="0" w:color="auto"/>
              <w:right w:val="nil"/>
            </w:tcBorders>
            <w:tcMar>
              <w:top w:w="0" w:type="dxa"/>
              <w:left w:w="56" w:type="dxa"/>
              <w:bottom w:w="0" w:type="dxa"/>
              <w:right w:w="56" w:type="dxa"/>
            </w:tcMar>
            <w:vAlign w:val="bottom"/>
            <w:hideMark/>
          </w:tcPr>
          <w:p w14:paraId="1A16A464"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w:t>
            </w:r>
          </w:p>
        </w:tc>
        <w:tc>
          <w:tcPr>
            <w:tcW w:w="1160" w:type="dxa"/>
            <w:tcBorders>
              <w:top w:val="nil"/>
              <w:left w:val="nil"/>
              <w:bottom w:val="single" w:sz="8" w:space="0" w:color="auto"/>
              <w:right w:val="nil"/>
            </w:tcBorders>
            <w:tcMar>
              <w:top w:w="0" w:type="dxa"/>
              <w:left w:w="56" w:type="dxa"/>
              <w:bottom w:w="0" w:type="dxa"/>
              <w:right w:w="56" w:type="dxa"/>
            </w:tcMar>
            <w:vAlign w:val="bottom"/>
            <w:hideMark/>
          </w:tcPr>
          <w:p w14:paraId="71AD6059"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(4,871)</w:t>
            </w:r>
          </w:p>
        </w:tc>
        <w:tc>
          <w:tcPr>
            <w:tcW w:w="1160" w:type="dxa"/>
            <w:tcBorders>
              <w:top w:val="nil"/>
              <w:left w:val="nil"/>
              <w:bottom w:val="single" w:sz="8" w:space="0" w:color="auto"/>
              <w:right w:val="nil"/>
            </w:tcBorders>
            <w:tcMar>
              <w:top w:w="0" w:type="dxa"/>
              <w:left w:w="56" w:type="dxa"/>
              <w:bottom w:w="0" w:type="dxa"/>
              <w:right w:w="56" w:type="dxa"/>
            </w:tcMar>
            <w:vAlign w:val="bottom"/>
            <w:hideMark/>
          </w:tcPr>
          <w:p w14:paraId="2356363D"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color w:val="000000"/>
                <w:kern w:val="0"/>
                <w:sz w:val="20"/>
                <w:szCs w:val="20"/>
                <w:lang w:eastAsia="en-GB"/>
                <w14:ligatures w14:val="none"/>
              </w:rPr>
              <w:t>(40)</w:t>
            </w:r>
          </w:p>
        </w:tc>
        <w:tc>
          <w:tcPr>
            <w:tcW w:w="1160" w:type="dxa"/>
            <w:tcBorders>
              <w:top w:val="nil"/>
              <w:left w:val="nil"/>
              <w:bottom w:val="single" w:sz="8" w:space="0" w:color="auto"/>
              <w:right w:val="nil"/>
            </w:tcBorders>
            <w:tcMar>
              <w:top w:w="0" w:type="dxa"/>
              <w:left w:w="56" w:type="dxa"/>
              <w:bottom w:w="0" w:type="dxa"/>
              <w:right w:w="56" w:type="dxa"/>
            </w:tcMar>
            <w:vAlign w:val="bottom"/>
            <w:hideMark/>
          </w:tcPr>
          <w:p w14:paraId="3D6B7809"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color w:val="000000"/>
                <w:kern w:val="0"/>
                <w:sz w:val="20"/>
                <w:szCs w:val="20"/>
                <w:lang w:eastAsia="en-GB"/>
                <w14:ligatures w14:val="none"/>
              </w:rPr>
              <w:t>(9)</w:t>
            </w:r>
          </w:p>
        </w:tc>
        <w:tc>
          <w:tcPr>
            <w:tcW w:w="1216" w:type="dxa"/>
            <w:tcBorders>
              <w:top w:val="nil"/>
              <w:left w:val="nil"/>
              <w:bottom w:val="single" w:sz="8" w:space="0" w:color="auto"/>
              <w:right w:val="nil"/>
            </w:tcBorders>
            <w:tcMar>
              <w:top w:w="0" w:type="dxa"/>
              <w:left w:w="0" w:type="dxa"/>
              <w:bottom w:w="0" w:type="dxa"/>
              <w:right w:w="57" w:type="dxa"/>
            </w:tcMar>
            <w:vAlign w:val="bottom"/>
            <w:hideMark/>
          </w:tcPr>
          <w:p w14:paraId="5EE8BBBF"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(49)</w:t>
            </w:r>
          </w:p>
        </w:tc>
      </w:tr>
      <w:tr w:rsidR="002366D5" w:rsidRPr="002366D5" w14:paraId="54EBD554" w14:textId="77777777">
        <w:trPr>
          <w:trHeight w:val="253"/>
        </w:trPr>
        <w:tc>
          <w:tcPr>
            <w:tcW w:w="3096"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010E647"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Loss for the period </w:t>
            </w:r>
          </w:p>
        </w:tc>
        <w:tc>
          <w:tcPr>
            <w:tcW w:w="212"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235ED995"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640" w:type="dxa"/>
            <w:tcBorders>
              <w:top w:val="nil"/>
              <w:left w:val="nil"/>
              <w:bottom w:val="nil"/>
              <w:right w:val="nil"/>
            </w:tcBorders>
            <w:tcMar>
              <w:top w:w="0" w:type="dxa"/>
              <w:left w:w="0" w:type="dxa"/>
              <w:bottom w:w="0" w:type="dxa"/>
              <w:right w:w="57" w:type="dxa"/>
            </w:tcMar>
            <w:vAlign w:val="bottom"/>
            <w:hideMark/>
          </w:tcPr>
          <w:p w14:paraId="08CDEDEB"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215" w:type="dxa"/>
            <w:tcBorders>
              <w:top w:val="nil"/>
              <w:left w:val="nil"/>
              <w:bottom w:val="nil"/>
              <w:right w:val="nil"/>
            </w:tcBorders>
            <w:tcMar>
              <w:top w:w="0" w:type="dxa"/>
              <w:left w:w="0" w:type="dxa"/>
              <w:bottom w:w="0" w:type="dxa"/>
              <w:right w:w="57" w:type="dxa"/>
            </w:tcMar>
            <w:vAlign w:val="bottom"/>
            <w:hideMark/>
          </w:tcPr>
          <w:p w14:paraId="5F2D07BE"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160" w:type="dxa"/>
            <w:tcBorders>
              <w:top w:val="nil"/>
              <w:left w:val="nil"/>
              <w:bottom w:val="nil"/>
              <w:right w:val="nil"/>
            </w:tcBorders>
            <w:tcMar>
              <w:top w:w="0" w:type="dxa"/>
              <w:left w:w="56" w:type="dxa"/>
              <w:bottom w:w="0" w:type="dxa"/>
              <w:right w:w="56" w:type="dxa"/>
            </w:tcMar>
            <w:vAlign w:val="bottom"/>
            <w:hideMark/>
          </w:tcPr>
          <w:p w14:paraId="5D8EE6C7"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773" w:type="dxa"/>
            <w:tcBorders>
              <w:top w:val="nil"/>
              <w:left w:val="nil"/>
              <w:bottom w:val="nil"/>
              <w:right w:val="nil"/>
            </w:tcBorders>
            <w:tcMar>
              <w:top w:w="0" w:type="dxa"/>
              <w:left w:w="0" w:type="dxa"/>
              <w:bottom w:w="0" w:type="dxa"/>
              <w:right w:w="57" w:type="dxa"/>
            </w:tcMar>
            <w:vAlign w:val="bottom"/>
            <w:hideMark/>
          </w:tcPr>
          <w:p w14:paraId="4E384991"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913" w:type="dxa"/>
            <w:tcBorders>
              <w:top w:val="nil"/>
              <w:left w:val="nil"/>
              <w:bottom w:val="nil"/>
              <w:right w:val="nil"/>
            </w:tcBorders>
            <w:tcMar>
              <w:top w:w="0" w:type="dxa"/>
              <w:left w:w="56" w:type="dxa"/>
              <w:bottom w:w="0" w:type="dxa"/>
              <w:right w:w="56" w:type="dxa"/>
            </w:tcMar>
            <w:vAlign w:val="bottom"/>
            <w:hideMark/>
          </w:tcPr>
          <w:p w14:paraId="606B2161"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160" w:type="dxa"/>
            <w:tcBorders>
              <w:top w:val="nil"/>
              <w:left w:val="nil"/>
              <w:bottom w:val="nil"/>
              <w:right w:val="nil"/>
            </w:tcBorders>
            <w:tcMar>
              <w:top w:w="0" w:type="dxa"/>
              <w:left w:w="56" w:type="dxa"/>
              <w:bottom w:w="0" w:type="dxa"/>
              <w:right w:w="56" w:type="dxa"/>
            </w:tcMar>
            <w:vAlign w:val="bottom"/>
            <w:hideMark/>
          </w:tcPr>
          <w:p w14:paraId="08EC810D"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(229)</w:t>
            </w:r>
          </w:p>
        </w:tc>
        <w:tc>
          <w:tcPr>
            <w:tcW w:w="1160" w:type="dxa"/>
            <w:tcBorders>
              <w:top w:val="nil"/>
              <w:left w:val="nil"/>
              <w:bottom w:val="nil"/>
              <w:right w:val="nil"/>
            </w:tcBorders>
            <w:tcMar>
              <w:top w:w="0" w:type="dxa"/>
              <w:left w:w="56" w:type="dxa"/>
              <w:bottom w:w="0" w:type="dxa"/>
              <w:right w:w="56" w:type="dxa"/>
            </w:tcMar>
            <w:vAlign w:val="bottom"/>
            <w:hideMark/>
          </w:tcPr>
          <w:p w14:paraId="741F7808"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(229)</w:t>
            </w:r>
          </w:p>
        </w:tc>
        <w:tc>
          <w:tcPr>
            <w:tcW w:w="1160" w:type="dxa"/>
            <w:tcBorders>
              <w:top w:val="nil"/>
              <w:left w:val="nil"/>
              <w:bottom w:val="nil"/>
              <w:right w:val="nil"/>
            </w:tcBorders>
            <w:tcMar>
              <w:top w:w="0" w:type="dxa"/>
              <w:left w:w="56" w:type="dxa"/>
              <w:bottom w:w="0" w:type="dxa"/>
              <w:right w:w="56" w:type="dxa"/>
            </w:tcMar>
            <w:vAlign w:val="bottom"/>
            <w:hideMark/>
          </w:tcPr>
          <w:p w14:paraId="764CC077"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216" w:type="dxa"/>
            <w:tcBorders>
              <w:top w:val="nil"/>
              <w:left w:val="nil"/>
              <w:bottom w:val="nil"/>
              <w:right w:val="nil"/>
            </w:tcBorders>
            <w:tcMar>
              <w:top w:w="0" w:type="dxa"/>
              <w:left w:w="0" w:type="dxa"/>
              <w:bottom w:w="0" w:type="dxa"/>
              <w:right w:w="57" w:type="dxa"/>
            </w:tcMar>
            <w:vAlign w:val="bottom"/>
            <w:hideMark/>
          </w:tcPr>
          <w:p w14:paraId="79809548"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(229)</w:t>
            </w:r>
          </w:p>
        </w:tc>
      </w:tr>
      <w:tr w:rsidR="002366D5" w:rsidRPr="002366D5" w14:paraId="4B7B6DCE" w14:textId="77777777">
        <w:trPr>
          <w:trHeight w:val="253"/>
        </w:trPr>
        <w:tc>
          <w:tcPr>
            <w:tcW w:w="3096"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7663E030"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i/>
                <w:iCs/>
                <w:kern w:val="0"/>
                <w:sz w:val="20"/>
                <w:szCs w:val="20"/>
                <w:lang w:eastAsia="en-GB"/>
                <w14:ligatures w14:val="none"/>
              </w:rPr>
              <w:t>Other comprehensive loss:</w:t>
            </w:r>
          </w:p>
        </w:tc>
        <w:tc>
          <w:tcPr>
            <w:tcW w:w="212"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709C881F"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640"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401F02AD"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215"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00B6729B"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725749EB"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773"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19BBC39F"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91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534C6461"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34B3D13A"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716E7ECD"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37036B6B"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216"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193CC5C2"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6F651537" w14:textId="77777777">
        <w:trPr>
          <w:trHeight w:val="253"/>
        </w:trPr>
        <w:tc>
          <w:tcPr>
            <w:tcW w:w="3096"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93058DE"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Foreign currency exchange difference</w:t>
            </w:r>
          </w:p>
        </w:tc>
        <w:tc>
          <w:tcPr>
            <w:tcW w:w="212"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2ECE1F1B"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640"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hideMark/>
          </w:tcPr>
          <w:p w14:paraId="348C1C36"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215"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hideMark/>
          </w:tcPr>
          <w:p w14:paraId="7E230F71"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22145B5D"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773"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hideMark/>
          </w:tcPr>
          <w:p w14:paraId="0201B543"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91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169380D7"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33C2861C"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489FAE06"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30E3EB74"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216"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hideMark/>
          </w:tcPr>
          <w:p w14:paraId="32CCA1B9"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r>
      <w:tr w:rsidR="002366D5" w:rsidRPr="002366D5" w14:paraId="772478A0" w14:textId="77777777">
        <w:trPr>
          <w:trHeight w:val="253"/>
        </w:trPr>
        <w:tc>
          <w:tcPr>
            <w:tcW w:w="3096"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13EBC51C"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Total comprehensive loss for the period</w:t>
            </w:r>
          </w:p>
        </w:tc>
        <w:tc>
          <w:tcPr>
            <w:tcW w:w="212"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56F58CD3"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640" w:type="dxa"/>
            <w:tcBorders>
              <w:top w:val="single" w:sz="8" w:space="0" w:color="auto"/>
              <w:left w:val="nil"/>
              <w:bottom w:val="single" w:sz="8" w:space="0" w:color="auto"/>
              <w:right w:val="nil"/>
            </w:tcBorders>
            <w:tcMar>
              <w:top w:w="0" w:type="dxa"/>
              <w:left w:w="0" w:type="dxa"/>
              <w:bottom w:w="0" w:type="dxa"/>
              <w:right w:w="57" w:type="dxa"/>
            </w:tcMar>
            <w:vAlign w:val="bottom"/>
            <w:hideMark/>
          </w:tcPr>
          <w:p w14:paraId="252869B3"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215" w:type="dxa"/>
            <w:tcBorders>
              <w:top w:val="single" w:sz="8" w:space="0" w:color="auto"/>
              <w:left w:val="nil"/>
              <w:bottom w:val="single" w:sz="8" w:space="0" w:color="auto"/>
              <w:right w:val="nil"/>
            </w:tcBorders>
            <w:tcMar>
              <w:top w:w="0" w:type="dxa"/>
              <w:left w:w="0" w:type="dxa"/>
              <w:bottom w:w="0" w:type="dxa"/>
              <w:right w:w="57" w:type="dxa"/>
            </w:tcMar>
            <w:vAlign w:val="bottom"/>
            <w:hideMark/>
          </w:tcPr>
          <w:p w14:paraId="1A6BB2D9"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160" w:type="dxa"/>
            <w:tcBorders>
              <w:top w:val="single" w:sz="8" w:space="0" w:color="auto"/>
              <w:left w:val="nil"/>
              <w:bottom w:val="single" w:sz="8" w:space="0" w:color="auto"/>
              <w:right w:val="nil"/>
            </w:tcBorders>
            <w:tcMar>
              <w:top w:w="0" w:type="dxa"/>
              <w:left w:w="56" w:type="dxa"/>
              <w:bottom w:w="0" w:type="dxa"/>
              <w:right w:w="56" w:type="dxa"/>
            </w:tcMar>
            <w:vAlign w:val="bottom"/>
            <w:hideMark/>
          </w:tcPr>
          <w:p w14:paraId="30B8F8DD"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773" w:type="dxa"/>
            <w:tcBorders>
              <w:top w:val="single" w:sz="8" w:space="0" w:color="auto"/>
              <w:left w:val="nil"/>
              <w:bottom w:val="single" w:sz="8" w:space="0" w:color="auto"/>
              <w:right w:val="nil"/>
            </w:tcBorders>
            <w:tcMar>
              <w:top w:w="0" w:type="dxa"/>
              <w:left w:w="0" w:type="dxa"/>
              <w:bottom w:w="0" w:type="dxa"/>
              <w:right w:w="57" w:type="dxa"/>
            </w:tcMar>
            <w:vAlign w:val="bottom"/>
            <w:hideMark/>
          </w:tcPr>
          <w:p w14:paraId="432FFB72"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913" w:type="dxa"/>
            <w:tcBorders>
              <w:top w:val="single" w:sz="8" w:space="0" w:color="auto"/>
              <w:left w:val="nil"/>
              <w:bottom w:val="single" w:sz="8" w:space="0" w:color="auto"/>
              <w:right w:val="nil"/>
            </w:tcBorders>
            <w:tcMar>
              <w:top w:w="0" w:type="dxa"/>
              <w:left w:w="56" w:type="dxa"/>
              <w:bottom w:w="0" w:type="dxa"/>
              <w:right w:w="56" w:type="dxa"/>
            </w:tcMar>
            <w:vAlign w:val="bottom"/>
            <w:hideMark/>
          </w:tcPr>
          <w:p w14:paraId="22CE10FE"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160" w:type="dxa"/>
            <w:tcBorders>
              <w:top w:val="single" w:sz="8" w:space="0" w:color="auto"/>
              <w:left w:val="nil"/>
              <w:bottom w:val="single" w:sz="8" w:space="0" w:color="auto"/>
              <w:right w:val="nil"/>
            </w:tcBorders>
            <w:tcMar>
              <w:top w:w="0" w:type="dxa"/>
              <w:left w:w="56" w:type="dxa"/>
              <w:bottom w:w="0" w:type="dxa"/>
              <w:right w:w="56" w:type="dxa"/>
            </w:tcMar>
            <w:vAlign w:val="bottom"/>
            <w:hideMark/>
          </w:tcPr>
          <w:p w14:paraId="566EAC2D"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(229)</w:t>
            </w:r>
          </w:p>
        </w:tc>
        <w:tc>
          <w:tcPr>
            <w:tcW w:w="1160" w:type="dxa"/>
            <w:tcBorders>
              <w:top w:val="single" w:sz="8" w:space="0" w:color="auto"/>
              <w:left w:val="nil"/>
              <w:bottom w:val="single" w:sz="8" w:space="0" w:color="auto"/>
              <w:right w:val="nil"/>
            </w:tcBorders>
            <w:tcMar>
              <w:top w:w="0" w:type="dxa"/>
              <w:left w:w="56" w:type="dxa"/>
              <w:bottom w:w="0" w:type="dxa"/>
              <w:right w:w="56" w:type="dxa"/>
            </w:tcMar>
            <w:vAlign w:val="bottom"/>
            <w:hideMark/>
          </w:tcPr>
          <w:p w14:paraId="6ED01442"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p w14:paraId="3FA626FB"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(229)</w:t>
            </w:r>
          </w:p>
        </w:tc>
        <w:tc>
          <w:tcPr>
            <w:tcW w:w="1160" w:type="dxa"/>
            <w:tcBorders>
              <w:top w:val="single" w:sz="8" w:space="0" w:color="auto"/>
              <w:left w:val="nil"/>
              <w:bottom w:val="single" w:sz="8" w:space="0" w:color="auto"/>
              <w:right w:val="nil"/>
            </w:tcBorders>
            <w:tcMar>
              <w:top w:w="0" w:type="dxa"/>
              <w:left w:w="56" w:type="dxa"/>
              <w:bottom w:w="0" w:type="dxa"/>
              <w:right w:w="56" w:type="dxa"/>
            </w:tcMar>
            <w:vAlign w:val="bottom"/>
            <w:hideMark/>
          </w:tcPr>
          <w:p w14:paraId="64324086"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p w14:paraId="76E2509C"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216" w:type="dxa"/>
            <w:tcBorders>
              <w:top w:val="single" w:sz="8" w:space="0" w:color="auto"/>
              <w:left w:val="nil"/>
              <w:bottom w:val="single" w:sz="8" w:space="0" w:color="auto"/>
              <w:right w:val="nil"/>
            </w:tcBorders>
            <w:tcMar>
              <w:top w:w="0" w:type="dxa"/>
              <w:left w:w="0" w:type="dxa"/>
              <w:bottom w:w="0" w:type="dxa"/>
              <w:right w:w="57" w:type="dxa"/>
            </w:tcMar>
            <w:vAlign w:val="bottom"/>
            <w:hideMark/>
          </w:tcPr>
          <w:p w14:paraId="633B5B25"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(229)</w:t>
            </w:r>
          </w:p>
        </w:tc>
      </w:tr>
      <w:tr w:rsidR="002366D5" w:rsidRPr="002366D5" w14:paraId="1BDEFC67" w14:textId="77777777">
        <w:trPr>
          <w:trHeight w:val="253"/>
        </w:trPr>
        <w:tc>
          <w:tcPr>
            <w:tcW w:w="3096"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D347854"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212"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70F8FF10"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640" w:type="dxa"/>
            <w:tcBorders>
              <w:top w:val="nil"/>
              <w:left w:val="nil"/>
              <w:bottom w:val="nil"/>
              <w:right w:val="nil"/>
            </w:tcBorders>
            <w:tcMar>
              <w:top w:w="0" w:type="dxa"/>
              <w:left w:w="0" w:type="dxa"/>
              <w:bottom w:w="0" w:type="dxa"/>
              <w:right w:w="57" w:type="dxa"/>
            </w:tcMar>
            <w:vAlign w:val="bottom"/>
            <w:hideMark/>
          </w:tcPr>
          <w:p w14:paraId="1B5DECC5"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215" w:type="dxa"/>
            <w:tcBorders>
              <w:top w:val="nil"/>
              <w:left w:val="nil"/>
              <w:bottom w:val="nil"/>
              <w:right w:val="nil"/>
            </w:tcBorders>
            <w:tcMar>
              <w:top w:w="0" w:type="dxa"/>
              <w:left w:w="0" w:type="dxa"/>
              <w:bottom w:w="0" w:type="dxa"/>
              <w:right w:w="57" w:type="dxa"/>
            </w:tcMar>
            <w:vAlign w:val="bottom"/>
            <w:hideMark/>
          </w:tcPr>
          <w:p w14:paraId="7D5100E1"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160" w:type="dxa"/>
            <w:tcBorders>
              <w:top w:val="nil"/>
              <w:left w:val="nil"/>
              <w:bottom w:val="nil"/>
              <w:right w:val="nil"/>
            </w:tcBorders>
            <w:tcMar>
              <w:top w:w="0" w:type="dxa"/>
              <w:left w:w="56" w:type="dxa"/>
              <w:bottom w:w="0" w:type="dxa"/>
              <w:right w:w="56" w:type="dxa"/>
            </w:tcMar>
            <w:vAlign w:val="bottom"/>
            <w:hideMark/>
          </w:tcPr>
          <w:p w14:paraId="279BA43C"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773" w:type="dxa"/>
            <w:tcBorders>
              <w:top w:val="nil"/>
              <w:left w:val="nil"/>
              <w:bottom w:val="nil"/>
              <w:right w:val="nil"/>
            </w:tcBorders>
            <w:tcMar>
              <w:top w:w="0" w:type="dxa"/>
              <w:left w:w="0" w:type="dxa"/>
              <w:bottom w:w="0" w:type="dxa"/>
              <w:right w:w="57" w:type="dxa"/>
            </w:tcMar>
            <w:vAlign w:val="bottom"/>
            <w:hideMark/>
          </w:tcPr>
          <w:p w14:paraId="18F86C3D"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913" w:type="dxa"/>
            <w:tcBorders>
              <w:top w:val="nil"/>
              <w:left w:val="nil"/>
              <w:bottom w:val="nil"/>
              <w:right w:val="nil"/>
            </w:tcBorders>
            <w:tcMar>
              <w:top w:w="0" w:type="dxa"/>
              <w:left w:w="56" w:type="dxa"/>
              <w:bottom w:w="0" w:type="dxa"/>
              <w:right w:w="56" w:type="dxa"/>
            </w:tcMar>
            <w:vAlign w:val="bottom"/>
            <w:hideMark/>
          </w:tcPr>
          <w:p w14:paraId="0D5D1CDB"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160" w:type="dxa"/>
            <w:tcBorders>
              <w:top w:val="nil"/>
              <w:left w:val="nil"/>
              <w:bottom w:val="nil"/>
              <w:right w:val="nil"/>
            </w:tcBorders>
            <w:tcMar>
              <w:top w:w="0" w:type="dxa"/>
              <w:left w:w="56" w:type="dxa"/>
              <w:bottom w:w="0" w:type="dxa"/>
              <w:right w:w="56" w:type="dxa"/>
            </w:tcMar>
            <w:vAlign w:val="bottom"/>
            <w:hideMark/>
          </w:tcPr>
          <w:p w14:paraId="4828B5FB"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160" w:type="dxa"/>
            <w:tcBorders>
              <w:top w:val="nil"/>
              <w:left w:val="nil"/>
              <w:bottom w:val="nil"/>
              <w:right w:val="nil"/>
            </w:tcBorders>
            <w:tcMar>
              <w:top w:w="0" w:type="dxa"/>
              <w:left w:w="56" w:type="dxa"/>
              <w:bottom w:w="0" w:type="dxa"/>
              <w:right w:w="56" w:type="dxa"/>
            </w:tcMar>
            <w:hideMark/>
          </w:tcPr>
          <w:p w14:paraId="5CDA2F68"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160" w:type="dxa"/>
            <w:tcBorders>
              <w:top w:val="nil"/>
              <w:left w:val="nil"/>
              <w:bottom w:val="nil"/>
              <w:right w:val="nil"/>
            </w:tcBorders>
            <w:tcMar>
              <w:top w:w="0" w:type="dxa"/>
              <w:left w:w="56" w:type="dxa"/>
              <w:bottom w:w="0" w:type="dxa"/>
              <w:right w:w="56" w:type="dxa"/>
            </w:tcMar>
            <w:hideMark/>
          </w:tcPr>
          <w:p w14:paraId="39597EBA"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216" w:type="dxa"/>
            <w:tcBorders>
              <w:top w:val="nil"/>
              <w:left w:val="nil"/>
              <w:bottom w:val="nil"/>
              <w:right w:val="nil"/>
            </w:tcBorders>
            <w:tcMar>
              <w:top w:w="0" w:type="dxa"/>
              <w:left w:w="0" w:type="dxa"/>
              <w:bottom w:w="0" w:type="dxa"/>
              <w:right w:w="57" w:type="dxa"/>
            </w:tcMar>
            <w:vAlign w:val="bottom"/>
            <w:hideMark/>
          </w:tcPr>
          <w:p w14:paraId="395F6629"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r>
      <w:tr w:rsidR="002366D5" w:rsidRPr="002366D5" w14:paraId="5107D939" w14:textId="77777777">
        <w:trPr>
          <w:trHeight w:val="253"/>
        </w:trPr>
        <w:tc>
          <w:tcPr>
            <w:tcW w:w="3096"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485B629"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Transactions with owners</w:t>
            </w:r>
          </w:p>
        </w:tc>
        <w:tc>
          <w:tcPr>
            <w:tcW w:w="212"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28AA2C52"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640"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23730F12"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215"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1015F1BF"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34E7D573"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773"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3CF464EF"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91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06D0FB98"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1A50B6BC"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257F0CD6"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161C2C9C"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216"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51E81F5B"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r>
      <w:tr w:rsidR="002366D5" w:rsidRPr="002366D5" w14:paraId="6DC4E17F" w14:textId="77777777">
        <w:trPr>
          <w:trHeight w:val="253"/>
        </w:trPr>
        <w:tc>
          <w:tcPr>
            <w:tcW w:w="3096"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35254084"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Issue of ordinary shares - cash</w:t>
            </w:r>
          </w:p>
        </w:tc>
        <w:tc>
          <w:tcPr>
            <w:tcW w:w="212"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7128D580"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6</w:t>
            </w:r>
          </w:p>
        </w:tc>
        <w:tc>
          <w:tcPr>
            <w:tcW w:w="640" w:type="dxa"/>
            <w:tcBorders>
              <w:top w:val="single" w:sz="8" w:space="0" w:color="auto"/>
              <w:left w:val="nil"/>
              <w:bottom w:val="nil"/>
              <w:right w:val="nil"/>
            </w:tcBorders>
            <w:tcMar>
              <w:top w:w="0" w:type="dxa"/>
              <w:left w:w="0" w:type="dxa"/>
              <w:bottom w:w="0" w:type="dxa"/>
              <w:right w:w="57" w:type="dxa"/>
            </w:tcMar>
            <w:vAlign w:val="bottom"/>
            <w:hideMark/>
          </w:tcPr>
          <w:p w14:paraId="46938FA1"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401</w:t>
            </w:r>
          </w:p>
        </w:tc>
        <w:tc>
          <w:tcPr>
            <w:tcW w:w="1215" w:type="dxa"/>
            <w:tcBorders>
              <w:top w:val="single" w:sz="8" w:space="0" w:color="auto"/>
              <w:left w:val="nil"/>
              <w:bottom w:val="nil"/>
              <w:right w:val="nil"/>
            </w:tcBorders>
            <w:tcMar>
              <w:top w:w="0" w:type="dxa"/>
              <w:left w:w="0" w:type="dxa"/>
              <w:bottom w:w="0" w:type="dxa"/>
              <w:right w:w="57" w:type="dxa"/>
            </w:tcMar>
            <w:vAlign w:val="bottom"/>
            <w:hideMark/>
          </w:tcPr>
          <w:p w14:paraId="25F9DE32"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160" w:type="dxa"/>
            <w:tcBorders>
              <w:top w:val="single" w:sz="8" w:space="0" w:color="auto"/>
              <w:left w:val="nil"/>
              <w:bottom w:val="nil"/>
              <w:right w:val="nil"/>
            </w:tcBorders>
            <w:tcMar>
              <w:top w:w="0" w:type="dxa"/>
              <w:left w:w="56" w:type="dxa"/>
              <w:bottom w:w="0" w:type="dxa"/>
              <w:right w:w="56" w:type="dxa"/>
            </w:tcMar>
            <w:vAlign w:val="bottom"/>
            <w:hideMark/>
          </w:tcPr>
          <w:p w14:paraId="7DCDDB4F"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773" w:type="dxa"/>
            <w:tcBorders>
              <w:top w:val="single" w:sz="8" w:space="0" w:color="auto"/>
              <w:left w:val="nil"/>
              <w:bottom w:val="nil"/>
              <w:right w:val="nil"/>
            </w:tcBorders>
            <w:tcMar>
              <w:top w:w="0" w:type="dxa"/>
              <w:left w:w="0" w:type="dxa"/>
              <w:bottom w:w="0" w:type="dxa"/>
              <w:right w:w="57" w:type="dxa"/>
            </w:tcMar>
            <w:vAlign w:val="bottom"/>
            <w:hideMark/>
          </w:tcPr>
          <w:p w14:paraId="5D6359E9"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913" w:type="dxa"/>
            <w:tcBorders>
              <w:top w:val="single" w:sz="8" w:space="0" w:color="auto"/>
              <w:left w:val="nil"/>
              <w:bottom w:val="nil"/>
              <w:right w:val="nil"/>
            </w:tcBorders>
            <w:tcMar>
              <w:top w:w="0" w:type="dxa"/>
              <w:left w:w="56" w:type="dxa"/>
              <w:bottom w:w="0" w:type="dxa"/>
              <w:right w:w="56" w:type="dxa"/>
            </w:tcMar>
            <w:vAlign w:val="bottom"/>
            <w:hideMark/>
          </w:tcPr>
          <w:p w14:paraId="477D355B"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160" w:type="dxa"/>
            <w:tcBorders>
              <w:top w:val="single" w:sz="8" w:space="0" w:color="auto"/>
              <w:left w:val="nil"/>
              <w:bottom w:val="nil"/>
              <w:right w:val="nil"/>
            </w:tcBorders>
            <w:tcMar>
              <w:top w:w="0" w:type="dxa"/>
              <w:left w:w="56" w:type="dxa"/>
              <w:bottom w:w="0" w:type="dxa"/>
              <w:right w:w="56" w:type="dxa"/>
            </w:tcMar>
            <w:vAlign w:val="bottom"/>
            <w:hideMark/>
          </w:tcPr>
          <w:p w14:paraId="2974CB9C"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00B3FA90"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401</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13A02674"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216"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01EFF634"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401</w:t>
            </w:r>
          </w:p>
        </w:tc>
      </w:tr>
      <w:tr w:rsidR="002366D5" w:rsidRPr="002366D5" w14:paraId="43FA1600" w14:textId="77777777">
        <w:trPr>
          <w:trHeight w:val="253"/>
        </w:trPr>
        <w:tc>
          <w:tcPr>
            <w:tcW w:w="3096"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350BBAF7"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Issue of ordinary shares - settlement of creditors</w:t>
            </w:r>
          </w:p>
        </w:tc>
        <w:tc>
          <w:tcPr>
            <w:tcW w:w="212"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1E10653B"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 </w:t>
            </w:r>
          </w:p>
          <w:p w14:paraId="7608578E"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6</w:t>
            </w:r>
          </w:p>
        </w:tc>
        <w:tc>
          <w:tcPr>
            <w:tcW w:w="640"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3913DB99"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157</w:t>
            </w:r>
          </w:p>
        </w:tc>
        <w:tc>
          <w:tcPr>
            <w:tcW w:w="1215"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49DC3D8B"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2131E9D8"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773"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12E4CFF9"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91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6F0B4863"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1EE5025E"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52988220"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 </w:t>
            </w:r>
          </w:p>
          <w:p w14:paraId="3FC4E562"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157</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7FA0BFAF"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 </w:t>
            </w:r>
          </w:p>
          <w:p w14:paraId="54E689AB"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216"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2B3C50F2"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157</w:t>
            </w:r>
          </w:p>
        </w:tc>
      </w:tr>
      <w:tr w:rsidR="002366D5" w:rsidRPr="002366D5" w14:paraId="536FB60E" w14:textId="77777777">
        <w:trPr>
          <w:trHeight w:val="253"/>
        </w:trPr>
        <w:tc>
          <w:tcPr>
            <w:tcW w:w="3096"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6C2ADFC7"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Sub-division of shares</w:t>
            </w:r>
          </w:p>
        </w:tc>
        <w:tc>
          <w:tcPr>
            <w:tcW w:w="212"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43D7D712"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6</w:t>
            </w:r>
          </w:p>
        </w:tc>
        <w:tc>
          <w:tcPr>
            <w:tcW w:w="640"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4A629818"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(1,181)</w:t>
            </w:r>
          </w:p>
        </w:tc>
        <w:tc>
          <w:tcPr>
            <w:tcW w:w="1215"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4371A04B"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791F3356"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1,181</w:t>
            </w:r>
          </w:p>
        </w:tc>
        <w:tc>
          <w:tcPr>
            <w:tcW w:w="773"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3D015F21"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91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78AB5C9C"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610CD4E4"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44501136"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4EB10B0D"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216"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7901C1AB"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r>
      <w:tr w:rsidR="002366D5" w:rsidRPr="002366D5" w14:paraId="339D709D" w14:textId="77777777">
        <w:trPr>
          <w:trHeight w:val="253"/>
        </w:trPr>
        <w:tc>
          <w:tcPr>
            <w:tcW w:w="3096"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7FA8175D"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Cost of share issue</w:t>
            </w:r>
          </w:p>
        </w:tc>
        <w:tc>
          <w:tcPr>
            <w:tcW w:w="212"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6E955AA5"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640"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72C3628D"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215"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4CA8A9BE"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(24)</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7D84B4DD"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773"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671B7021"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91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22A986C5"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5CA3F2CE"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18A6AE5E"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(24)</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4D7C0458"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216"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29BF86A7"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(24)</w:t>
            </w:r>
          </w:p>
        </w:tc>
      </w:tr>
      <w:tr w:rsidR="002366D5" w:rsidRPr="002366D5" w14:paraId="0D56140D" w14:textId="77777777">
        <w:trPr>
          <w:trHeight w:val="253"/>
        </w:trPr>
        <w:tc>
          <w:tcPr>
            <w:tcW w:w="3096"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39F5F680"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Share-based payment</w:t>
            </w:r>
          </w:p>
        </w:tc>
        <w:tc>
          <w:tcPr>
            <w:tcW w:w="212"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2BFE6092"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640" w:type="dxa"/>
            <w:tcBorders>
              <w:top w:val="nil"/>
              <w:left w:val="nil"/>
              <w:bottom w:val="single" w:sz="8" w:space="0" w:color="auto"/>
              <w:right w:val="nil"/>
            </w:tcBorders>
            <w:tcMar>
              <w:top w:w="0" w:type="dxa"/>
              <w:left w:w="0" w:type="dxa"/>
              <w:bottom w:w="0" w:type="dxa"/>
              <w:right w:w="57" w:type="dxa"/>
            </w:tcMar>
            <w:vAlign w:val="bottom"/>
            <w:hideMark/>
          </w:tcPr>
          <w:p w14:paraId="58CB933C"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215" w:type="dxa"/>
            <w:tcBorders>
              <w:top w:val="nil"/>
              <w:left w:val="nil"/>
              <w:bottom w:val="single" w:sz="8" w:space="0" w:color="auto"/>
              <w:right w:val="nil"/>
            </w:tcBorders>
            <w:tcMar>
              <w:top w:w="0" w:type="dxa"/>
              <w:left w:w="0" w:type="dxa"/>
              <w:bottom w:w="0" w:type="dxa"/>
              <w:right w:w="57" w:type="dxa"/>
            </w:tcMar>
            <w:vAlign w:val="bottom"/>
            <w:hideMark/>
          </w:tcPr>
          <w:p w14:paraId="14DC489B"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160" w:type="dxa"/>
            <w:tcBorders>
              <w:top w:val="nil"/>
              <w:left w:val="nil"/>
              <w:bottom w:val="single" w:sz="8" w:space="0" w:color="auto"/>
              <w:right w:val="nil"/>
            </w:tcBorders>
            <w:tcMar>
              <w:top w:w="0" w:type="dxa"/>
              <w:left w:w="56" w:type="dxa"/>
              <w:bottom w:w="0" w:type="dxa"/>
              <w:right w:w="56" w:type="dxa"/>
            </w:tcMar>
            <w:vAlign w:val="bottom"/>
            <w:hideMark/>
          </w:tcPr>
          <w:p w14:paraId="61DA13AF"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773" w:type="dxa"/>
            <w:tcBorders>
              <w:top w:val="nil"/>
              <w:left w:val="nil"/>
              <w:bottom w:val="single" w:sz="8" w:space="0" w:color="auto"/>
              <w:right w:val="nil"/>
            </w:tcBorders>
            <w:tcMar>
              <w:top w:w="0" w:type="dxa"/>
              <w:left w:w="0" w:type="dxa"/>
              <w:bottom w:w="0" w:type="dxa"/>
              <w:right w:w="57" w:type="dxa"/>
            </w:tcMar>
            <w:vAlign w:val="bottom"/>
            <w:hideMark/>
          </w:tcPr>
          <w:p w14:paraId="06321551"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26</w:t>
            </w:r>
          </w:p>
        </w:tc>
        <w:tc>
          <w:tcPr>
            <w:tcW w:w="913" w:type="dxa"/>
            <w:tcBorders>
              <w:top w:val="nil"/>
              <w:left w:val="nil"/>
              <w:bottom w:val="single" w:sz="8" w:space="0" w:color="auto"/>
              <w:right w:val="nil"/>
            </w:tcBorders>
            <w:tcMar>
              <w:top w:w="0" w:type="dxa"/>
              <w:left w:w="56" w:type="dxa"/>
              <w:bottom w:w="0" w:type="dxa"/>
              <w:right w:w="56" w:type="dxa"/>
            </w:tcMar>
            <w:vAlign w:val="bottom"/>
            <w:hideMark/>
          </w:tcPr>
          <w:p w14:paraId="4A6877C0"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160" w:type="dxa"/>
            <w:tcBorders>
              <w:top w:val="nil"/>
              <w:left w:val="nil"/>
              <w:bottom w:val="single" w:sz="8" w:space="0" w:color="auto"/>
              <w:right w:val="nil"/>
            </w:tcBorders>
            <w:tcMar>
              <w:top w:w="0" w:type="dxa"/>
              <w:left w:w="56" w:type="dxa"/>
              <w:bottom w:w="0" w:type="dxa"/>
              <w:right w:w="56" w:type="dxa"/>
            </w:tcMar>
            <w:vAlign w:val="bottom"/>
            <w:hideMark/>
          </w:tcPr>
          <w:p w14:paraId="24C6EADA"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7E2C6876"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26</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08B06AB6"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216"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72FA748C"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26</w:t>
            </w:r>
          </w:p>
        </w:tc>
      </w:tr>
      <w:tr w:rsidR="002366D5" w:rsidRPr="002366D5" w14:paraId="6FBD3FC1" w14:textId="77777777">
        <w:trPr>
          <w:trHeight w:val="253"/>
        </w:trPr>
        <w:tc>
          <w:tcPr>
            <w:tcW w:w="3096"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3A4BED7F"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Total transactions with owners</w:t>
            </w:r>
          </w:p>
        </w:tc>
        <w:tc>
          <w:tcPr>
            <w:tcW w:w="212"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0DE2F283"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640"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567E491B"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(623)</w:t>
            </w:r>
          </w:p>
        </w:tc>
        <w:tc>
          <w:tcPr>
            <w:tcW w:w="1215"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45C76F85"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(24)</w:t>
            </w:r>
          </w:p>
        </w:tc>
        <w:tc>
          <w:tcPr>
            <w:tcW w:w="116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0F0E0B93"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1,181</w:t>
            </w:r>
          </w:p>
        </w:tc>
        <w:tc>
          <w:tcPr>
            <w:tcW w:w="773"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28DEBA1B"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26</w:t>
            </w:r>
          </w:p>
        </w:tc>
        <w:tc>
          <w:tcPr>
            <w:tcW w:w="913" w:type="dxa"/>
            <w:tcBorders>
              <w:top w:val="nil"/>
              <w:left w:val="nil"/>
              <w:bottom w:val="nil"/>
              <w:right w:val="nil"/>
            </w:tcBorders>
            <w:tcMar>
              <w:top w:w="0" w:type="dxa"/>
              <w:left w:w="56" w:type="dxa"/>
              <w:bottom w:w="0" w:type="dxa"/>
              <w:right w:w="56" w:type="dxa"/>
            </w:tcMar>
            <w:vAlign w:val="bottom"/>
            <w:hideMark/>
          </w:tcPr>
          <w:p w14:paraId="03965E07"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160" w:type="dxa"/>
            <w:tcBorders>
              <w:top w:val="nil"/>
              <w:left w:val="nil"/>
              <w:bottom w:val="nil"/>
              <w:right w:val="nil"/>
            </w:tcBorders>
            <w:tcMar>
              <w:top w:w="0" w:type="dxa"/>
              <w:left w:w="56" w:type="dxa"/>
              <w:bottom w:w="0" w:type="dxa"/>
              <w:right w:w="56" w:type="dxa"/>
            </w:tcMar>
            <w:vAlign w:val="bottom"/>
            <w:hideMark/>
          </w:tcPr>
          <w:p w14:paraId="3AA1D935"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160" w:type="dxa"/>
            <w:tcBorders>
              <w:top w:val="single" w:sz="8" w:space="0" w:color="auto"/>
              <w:left w:val="nil"/>
              <w:bottom w:val="nil"/>
              <w:right w:val="nil"/>
            </w:tcBorders>
            <w:tcMar>
              <w:top w:w="0" w:type="dxa"/>
              <w:left w:w="56" w:type="dxa"/>
              <w:bottom w:w="0" w:type="dxa"/>
              <w:right w:w="56" w:type="dxa"/>
            </w:tcMar>
            <w:vAlign w:val="bottom"/>
            <w:hideMark/>
          </w:tcPr>
          <w:p w14:paraId="6E16959A"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560</w:t>
            </w:r>
          </w:p>
        </w:tc>
        <w:tc>
          <w:tcPr>
            <w:tcW w:w="1160" w:type="dxa"/>
            <w:tcBorders>
              <w:top w:val="single" w:sz="8" w:space="0" w:color="auto"/>
              <w:left w:val="nil"/>
              <w:bottom w:val="nil"/>
              <w:right w:val="nil"/>
            </w:tcBorders>
            <w:tcMar>
              <w:top w:w="0" w:type="dxa"/>
              <w:left w:w="56" w:type="dxa"/>
              <w:bottom w:w="0" w:type="dxa"/>
              <w:right w:w="56" w:type="dxa"/>
            </w:tcMar>
            <w:hideMark/>
          </w:tcPr>
          <w:p w14:paraId="73761C7E"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216" w:type="dxa"/>
            <w:tcBorders>
              <w:top w:val="single" w:sz="8" w:space="0" w:color="auto"/>
              <w:left w:val="nil"/>
              <w:bottom w:val="nil"/>
              <w:right w:val="nil"/>
            </w:tcBorders>
            <w:tcMar>
              <w:top w:w="0" w:type="dxa"/>
              <w:left w:w="0" w:type="dxa"/>
              <w:bottom w:w="0" w:type="dxa"/>
              <w:right w:w="57" w:type="dxa"/>
            </w:tcMar>
            <w:vAlign w:val="bottom"/>
            <w:hideMark/>
          </w:tcPr>
          <w:p w14:paraId="15300F07"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560</w:t>
            </w:r>
          </w:p>
        </w:tc>
      </w:tr>
      <w:tr w:rsidR="002366D5" w:rsidRPr="002366D5" w14:paraId="6B0A8BAC" w14:textId="77777777">
        <w:trPr>
          <w:trHeight w:val="253"/>
        </w:trPr>
        <w:tc>
          <w:tcPr>
            <w:tcW w:w="3096"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A43C281"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212"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24899E37"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640" w:type="dxa"/>
            <w:tcBorders>
              <w:top w:val="single" w:sz="8" w:space="0" w:color="auto"/>
              <w:left w:val="nil"/>
              <w:bottom w:val="nil"/>
              <w:right w:val="nil"/>
            </w:tcBorders>
            <w:tcMar>
              <w:top w:w="0" w:type="dxa"/>
              <w:left w:w="0" w:type="dxa"/>
              <w:bottom w:w="0" w:type="dxa"/>
              <w:right w:w="57" w:type="dxa"/>
            </w:tcMar>
            <w:vAlign w:val="bottom"/>
            <w:hideMark/>
          </w:tcPr>
          <w:p w14:paraId="4E87652B"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215" w:type="dxa"/>
            <w:tcBorders>
              <w:top w:val="single" w:sz="8" w:space="0" w:color="auto"/>
              <w:left w:val="nil"/>
              <w:bottom w:val="nil"/>
              <w:right w:val="nil"/>
            </w:tcBorders>
            <w:tcMar>
              <w:top w:w="0" w:type="dxa"/>
              <w:left w:w="0" w:type="dxa"/>
              <w:bottom w:w="0" w:type="dxa"/>
              <w:right w:w="57" w:type="dxa"/>
            </w:tcMar>
            <w:vAlign w:val="bottom"/>
            <w:hideMark/>
          </w:tcPr>
          <w:p w14:paraId="3B40FD82"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160" w:type="dxa"/>
            <w:tcBorders>
              <w:top w:val="single" w:sz="8" w:space="0" w:color="auto"/>
              <w:left w:val="nil"/>
              <w:bottom w:val="nil"/>
              <w:right w:val="nil"/>
            </w:tcBorders>
            <w:tcMar>
              <w:top w:w="0" w:type="dxa"/>
              <w:left w:w="56" w:type="dxa"/>
              <w:bottom w:w="0" w:type="dxa"/>
              <w:right w:w="56" w:type="dxa"/>
            </w:tcMar>
            <w:vAlign w:val="bottom"/>
            <w:hideMark/>
          </w:tcPr>
          <w:p w14:paraId="474A4ABA"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773" w:type="dxa"/>
            <w:tcBorders>
              <w:top w:val="single" w:sz="8" w:space="0" w:color="auto"/>
              <w:left w:val="nil"/>
              <w:bottom w:val="nil"/>
              <w:right w:val="nil"/>
            </w:tcBorders>
            <w:tcMar>
              <w:top w:w="0" w:type="dxa"/>
              <w:left w:w="0" w:type="dxa"/>
              <w:bottom w:w="0" w:type="dxa"/>
              <w:right w:w="57" w:type="dxa"/>
            </w:tcMar>
            <w:vAlign w:val="bottom"/>
            <w:hideMark/>
          </w:tcPr>
          <w:p w14:paraId="0821ADFF"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913" w:type="dxa"/>
            <w:tcBorders>
              <w:top w:val="single" w:sz="8" w:space="0" w:color="auto"/>
              <w:left w:val="nil"/>
              <w:bottom w:val="nil"/>
              <w:right w:val="nil"/>
            </w:tcBorders>
            <w:tcMar>
              <w:top w:w="0" w:type="dxa"/>
              <w:left w:w="56" w:type="dxa"/>
              <w:bottom w:w="0" w:type="dxa"/>
              <w:right w:w="56" w:type="dxa"/>
            </w:tcMar>
            <w:vAlign w:val="bottom"/>
            <w:hideMark/>
          </w:tcPr>
          <w:p w14:paraId="0F1CBCBF"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160" w:type="dxa"/>
            <w:tcBorders>
              <w:top w:val="single" w:sz="8" w:space="0" w:color="auto"/>
              <w:left w:val="nil"/>
              <w:bottom w:val="nil"/>
              <w:right w:val="nil"/>
            </w:tcBorders>
            <w:tcMar>
              <w:top w:w="0" w:type="dxa"/>
              <w:left w:w="56" w:type="dxa"/>
              <w:bottom w:w="0" w:type="dxa"/>
              <w:right w:w="56" w:type="dxa"/>
            </w:tcMar>
            <w:vAlign w:val="bottom"/>
            <w:hideMark/>
          </w:tcPr>
          <w:p w14:paraId="5C81AC33"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160" w:type="dxa"/>
            <w:tcBorders>
              <w:top w:val="single" w:sz="8" w:space="0" w:color="auto"/>
              <w:left w:val="nil"/>
              <w:bottom w:val="nil"/>
              <w:right w:val="nil"/>
            </w:tcBorders>
            <w:tcMar>
              <w:top w:w="0" w:type="dxa"/>
              <w:left w:w="56" w:type="dxa"/>
              <w:bottom w:w="0" w:type="dxa"/>
              <w:right w:w="56" w:type="dxa"/>
            </w:tcMar>
            <w:vAlign w:val="bottom"/>
            <w:hideMark/>
          </w:tcPr>
          <w:p w14:paraId="75B7FEEF"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160" w:type="dxa"/>
            <w:tcBorders>
              <w:top w:val="single" w:sz="8" w:space="0" w:color="auto"/>
              <w:left w:val="nil"/>
              <w:bottom w:val="nil"/>
              <w:right w:val="nil"/>
            </w:tcBorders>
            <w:tcMar>
              <w:top w:w="0" w:type="dxa"/>
              <w:left w:w="56" w:type="dxa"/>
              <w:bottom w:w="0" w:type="dxa"/>
              <w:right w:w="56" w:type="dxa"/>
            </w:tcMar>
            <w:hideMark/>
          </w:tcPr>
          <w:p w14:paraId="2EBC11EF"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216" w:type="dxa"/>
            <w:tcBorders>
              <w:top w:val="single" w:sz="8" w:space="0" w:color="auto"/>
              <w:left w:val="nil"/>
              <w:bottom w:val="nil"/>
              <w:right w:val="nil"/>
            </w:tcBorders>
            <w:tcMar>
              <w:top w:w="0" w:type="dxa"/>
              <w:left w:w="0" w:type="dxa"/>
              <w:bottom w:w="0" w:type="dxa"/>
              <w:right w:w="57" w:type="dxa"/>
            </w:tcMar>
            <w:vAlign w:val="bottom"/>
            <w:hideMark/>
          </w:tcPr>
          <w:p w14:paraId="0008C217"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r>
      <w:tr w:rsidR="002366D5" w:rsidRPr="002366D5" w14:paraId="16EB6819" w14:textId="77777777">
        <w:trPr>
          <w:trHeight w:val="253"/>
        </w:trPr>
        <w:tc>
          <w:tcPr>
            <w:tcW w:w="3096"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E9D42D8" w14:textId="77777777" w:rsidR="002366D5" w:rsidRPr="002366D5" w:rsidRDefault="002366D5" w:rsidP="002366D5">
            <w:pPr>
              <w:spacing w:after="0" w:line="240" w:lineRule="auto"/>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xml:space="preserve">As </w:t>
            </w:r>
            <w:proofErr w:type="gramStart"/>
            <w:r w:rsidRPr="002366D5">
              <w:rPr>
                <w:rFonts w:ascii="unset" w:eastAsia="Times New Roman" w:hAnsi="unset" w:cs="Times New Roman"/>
                <w:b/>
                <w:bCs/>
                <w:kern w:val="0"/>
                <w:sz w:val="20"/>
                <w:szCs w:val="20"/>
                <w:lang w:eastAsia="en-GB"/>
                <w14:ligatures w14:val="none"/>
              </w:rPr>
              <w:t>at</w:t>
            </w:r>
            <w:proofErr w:type="gramEnd"/>
            <w:r w:rsidRPr="002366D5">
              <w:rPr>
                <w:rFonts w:ascii="unset" w:eastAsia="Times New Roman" w:hAnsi="unset" w:cs="Times New Roman"/>
                <w:b/>
                <w:bCs/>
                <w:kern w:val="0"/>
                <w:sz w:val="20"/>
                <w:szCs w:val="20"/>
                <w:lang w:eastAsia="en-GB"/>
                <w14:ligatures w14:val="none"/>
              </w:rPr>
              <w:t xml:space="preserve"> 31 January 2026</w:t>
            </w:r>
          </w:p>
        </w:tc>
        <w:tc>
          <w:tcPr>
            <w:tcW w:w="212"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421A153C"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 </w:t>
            </w:r>
          </w:p>
        </w:tc>
        <w:tc>
          <w:tcPr>
            <w:tcW w:w="640" w:type="dxa"/>
            <w:tcBorders>
              <w:top w:val="single" w:sz="8" w:space="0" w:color="auto"/>
              <w:left w:val="nil"/>
              <w:bottom w:val="double" w:sz="6" w:space="0" w:color="auto"/>
              <w:right w:val="nil"/>
            </w:tcBorders>
            <w:tcMar>
              <w:top w:w="0" w:type="dxa"/>
              <w:left w:w="0" w:type="dxa"/>
              <w:bottom w:w="0" w:type="dxa"/>
              <w:right w:w="57" w:type="dxa"/>
            </w:tcMar>
            <w:vAlign w:val="bottom"/>
            <w:hideMark/>
          </w:tcPr>
          <w:p w14:paraId="7DAD848C"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24</w:t>
            </w:r>
          </w:p>
        </w:tc>
        <w:tc>
          <w:tcPr>
            <w:tcW w:w="1215" w:type="dxa"/>
            <w:tcBorders>
              <w:top w:val="single" w:sz="8" w:space="0" w:color="auto"/>
              <w:left w:val="nil"/>
              <w:bottom w:val="double" w:sz="6" w:space="0" w:color="auto"/>
              <w:right w:val="nil"/>
            </w:tcBorders>
            <w:tcMar>
              <w:top w:w="0" w:type="dxa"/>
              <w:left w:w="0" w:type="dxa"/>
              <w:bottom w:w="0" w:type="dxa"/>
              <w:right w:w="57" w:type="dxa"/>
            </w:tcMar>
            <w:vAlign w:val="bottom"/>
            <w:hideMark/>
          </w:tcPr>
          <w:p w14:paraId="04C2E254"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4,069</w:t>
            </w:r>
          </w:p>
        </w:tc>
        <w:tc>
          <w:tcPr>
            <w:tcW w:w="1160" w:type="dxa"/>
            <w:tcBorders>
              <w:top w:val="single" w:sz="8" w:space="0" w:color="auto"/>
              <w:left w:val="nil"/>
              <w:bottom w:val="double" w:sz="6" w:space="0" w:color="auto"/>
              <w:right w:val="nil"/>
            </w:tcBorders>
            <w:tcMar>
              <w:top w:w="0" w:type="dxa"/>
              <w:left w:w="56" w:type="dxa"/>
              <w:bottom w:w="0" w:type="dxa"/>
              <w:right w:w="56" w:type="dxa"/>
            </w:tcMar>
            <w:vAlign w:val="bottom"/>
            <w:hideMark/>
          </w:tcPr>
          <w:p w14:paraId="4371608B"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1,181</w:t>
            </w:r>
          </w:p>
        </w:tc>
        <w:tc>
          <w:tcPr>
            <w:tcW w:w="773" w:type="dxa"/>
            <w:tcBorders>
              <w:top w:val="single" w:sz="8" w:space="0" w:color="auto"/>
              <w:left w:val="nil"/>
              <w:bottom w:val="double" w:sz="6" w:space="0" w:color="auto"/>
              <w:right w:val="nil"/>
            </w:tcBorders>
            <w:tcMar>
              <w:top w:w="0" w:type="dxa"/>
              <w:left w:w="0" w:type="dxa"/>
              <w:bottom w:w="0" w:type="dxa"/>
              <w:right w:w="57" w:type="dxa"/>
            </w:tcMar>
            <w:vAlign w:val="bottom"/>
            <w:hideMark/>
          </w:tcPr>
          <w:p w14:paraId="6F919EE4"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118</w:t>
            </w:r>
          </w:p>
        </w:tc>
        <w:tc>
          <w:tcPr>
            <w:tcW w:w="913" w:type="dxa"/>
            <w:tcBorders>
              <w:top w:val="single" w:sz="8" w:space="0" w:color="auto"/>
              <w:left w:val="nil"/>
              <w:bottom w:val="double" w:sz="6" w:space="0" w:color="auto"/>
              <w:right w:val="nil"/>
            </w:tcBorders>
            <w:tcMar>
              <w:top w:w="0" w:type="dxa"/>
              <w:left w:w="56" w:type="dxa"/>
              <w:bottom w:w="0" w:type="dxa"/>
              <w:right w:w="56" w:type="dxa"/>
            </w:tcMar>
            <w:vAlign w:val="bottom"/>
            <w:hideMark/>
          </w:tcPr>
          <w:p w14:paraId="40898E55"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w:t>
            </w:r>
          </w:p>
        </w:tc>
        <w:tc>
          <w:tcPr>
            <w:tcW w:w="1160" w:type="dxa"/>
            <w:tcBorders>
              <w:top w:val="single" w:sz="8" w:space="0" w:color="auto"/>
              <w:left w:val="nil"/>
              <w:bottom w:val="double" w:sz="6" w:space="0" w:color="auto"/>
              <w:right w:val="nil"/>
            </w:tcBorders>
            <w:tcMar>
              <w:top w:w="0" w:type="dxa"/>
              <w:left w:w="56" w:type="dxa"/>
              <w:bottom w:w="0" w:type="dxa"/>
              <w:right w:w="56" w:type="dxa"/>
            </w:tcMar>
            <w:vAlign w:val="bottom"/>
            <w:hideMark/>
          </w:tcPr>
          <w:p w14:paraId="7826364E"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(5,100)</w:t>
            </w:r>
          </w:p>
        </w:tc>
        <w:tc>
          <w:tcPr>
            <w:tcW w:w="1160" w:type="dxa"/>
            <w:tcBorders>
              <w:top w:val="single" w:sz="8" w:space="0" w:color="auto"/>
              <w:left w:val="nil"/>
              <w:bottom w:val="double" w:sz="6" w:space="0" w:color="auto"/>
              <w:right w:val="nil"/>
            </w:tcBorders>
            <w:tcMar>
              <w:top w:w="0" w:type="dxa"/>
              <w:left w:w="56" w:type="dxa"/>
              <w:bottom w:w="0" w:type="dxa"/>
              <w:right w:w="56" w:type="dxa"/>
            </w:tcMar>
            <w:vAlign w:val="bottom"/>
            <w:hideMark/>
          </w:tcPr>
          <w:p w14:paraId="6CFE4FF6"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292</w:t>
            </w:r>
          </w:p>
        </w:tc>
        <w:tc>
          <w:tcPr>
            <w:tcW w:w="1160" w:type="dxa"/>
            <w:tcBorders>
              <w:top w:val="single" w:sz="8" w:space="0" w:color="auto"/>
              <w:left w:val="nil"/>
              <w:bottom w:val="double" w:sz="6" w:space="0" w:color="auto"/>
              <w:right w:val="nil"/>
            </w:tcBorders>
            <w:tcMar>
              <w:top w:w="0" w:type="dxa"/>
              <w:left w:w="56" w:type="dxa"/>
              <w:bottom w:w="0" w:type="dxa"/>
              <w:right w:w="56" w:type="dxa"/>
            </w:tcMar>
            <w:vAlign w:val="bottom"/>
            <w:hideMark/>
          </w:tcPr>
          <w:p w14:paraId="734E7358"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(9)</w:t>
            </w:r>
          </w:p>
        </w:tc>
        <w:tc>
          <w:tcPr>
            <w:tcW w:w="1216" w:type="dxa"/>
            <w:tcBorders>
              <w:top w:val="single" w:sz="8" w:space="0" w:color="auto"/>
              <w:left w:val="nil"/>
              <w:bottom w:val="double" w:sz="6" w:space="0" w:color="auto"/>
              <w:right w:val="nil"/>
            </w:tcBorders>
            <w:tcMar>
              <w:top w:w="0" w:type="dxa"/>
              <w:left w:w="0" w:type="dxa"/>
              <w:bottom w:w="0" w:type="dxa"/>
              <w:right w:w="57" w:type="dxa"/>
            </w:tcMar>
            <w:vAlign w:val="bottom"/>
            <w:hideMark/>
          </w:tcPr>
          <w:p w14:paraId="23ABF53A"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283</w:t>
            </w:r>
          </w:p>
        </w:tc>
      </w:tr>
    </w:tbl>
    <w:p w14:paraId="60053922"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 </w:t>
      </w:r>
    </w:p>
    <w:p w14:paraId="436DB414"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 </w:t>
      </w:r>
    </w:p>
    <w:p w14:paraId="62A23E3A"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p>
    <w:p w14:paraId="053A248B"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 </w:t>
      </w:r>
    </w:p>
    <w:p w14:paraId="2298AA6F"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b/>
          <w:bCs/>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Unaudited Condensed Consolidated Statement of Changes in Equity</w:t>
      </w:r>
    </w:p>
    <w:p w14:paraId="55CF382B" w14:textId="77777777" w:rsidR="002366D5" w:rsidRPr="002366D5" w:rsidRDefault="002366D5" w:rsidP="002366D5">
      <w:pPr>
        <w:shd w:val="clear" w:color="auto" w:fill="FFFFFF"/>
        <w:spacing w:after="0" w:line="240" w:lineRule="auto"/>
        <w:ind w:left="-284" w:firstLine="284"/>
        <w:rPr>
          <w:rFonts w:ascii="Times New Roman" w:eastAsia="Times New Roman" w:hAnsi="Times New Roman" w:cs="Times New Roman"/>
          <w:b/>
          <w:bCs/>
          <w:i/>
          <w:iCs/>
          <w:color w:val="1F2937"/>
          <w:kern w:val="0"/>
          <w:sz w:val="20"/>
          <w:szCs w:val="20"/>
          <w:lang w:eastAsia="en-GB"/>
          <w14:ligatures w14:val="none"/>
        </w:rPr>
      </w:pPr>
      <w:r w:rsidRPr="002366D5">
        <w:rPr>
          <w:rFonts w:ascii="Times New Roman" w:eastAsia="Times New Roman" w:hAnsi="Times New Roman" w:cs="Times New Roman"/>
          <w:b/>
          <w:bCs/>
          <w:i/>
          <w:iCs/>
          <w:color w:val="1F2937"/>
          <w:kern w:val="0"/>
          <w:sz w:val="20"/>
          <w:szCs w:val="20"/>
          <w:lang w:eastAsia="en-GB"/>
          <w14:ligatures w14:val="none"/>
        </w:rPr>
        <w:t>for the interim period ended 31 January 2025</w:t>
      </w:r>
    </w:p>
    <w:p w14:paraId="09AAAD48"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 </w:t>
      </w:r>
    </w:p>
    <w:p w14:paraId="73C64698"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 </w:t>
      </w:r>
    </w:p>
    <w:p w14:paraId="188F3234"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 </w:t>
      </w:r>
    </w:p>
    <w:tbl>
      <w:tblPr>
        <w:tblW w:w="0" w:type="auto"/>
        <w:tblInd w:w="-57" w:type="dxa"/>
        <w:tblBorders>
          <w:top w:val="single" w:sz="2" w:space="0" w:color="808080"/>
          <w:left w:val="single" w:sz="2" w:space="0" w:color="808080"/>
          <w:bottom w:val="single" w:sz="2" w:space="0" w:color="808080"/>
          <w:right w:val="single" w:sz="2" w:space="0" w:color="808080"/>
        </w:tblBorders>
        <w:tblCellMar>
          <w:left w:w="0" w:type="dxa"/>
          <w:right w:w="0" w:type="dxa"/>
        </w:tblCellMar>
        <w:tblLook w:val="04A0" w:firstRow="1" w:lastRow="0" w:firstColumn="1" w:lastColumn="0" w:noHBand="0" w:noVBand="1"/>
      </w:tblPr>
      <w:tblGrid>
        <w:gridCol w:w="1863"/>
        <w:gridCol w:w="764"/>
        <w:gridCol w:w="948"/>
        <w:gridCol w:w="911"/>
        <w:gridCol w:w="824"/>
        <w:gridCol w:w="976"/>
        <w:gridCol w:w="949"/>
        <w:gridCol w:w="1076"/>
        <w:gridCol w:w="769"/>
      </w:tblGrid>
      <w:tr w:rsidR="002366D5" w:rsidRPr="002366D5" w14:paraId="397DB72D" w14:textId="77777777">
        <w:trPr>
          <w:trHeight w:val="392"/>
        </w:trPr>
        <w:tc>
          <w:tcPr>
            <w:tcW w:w="362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885A778" w14:textId="77777777" w:rsidR="002366D5" w:rsidRPr="002366D5" w:rsidRDefault="002366D5" w:rsidP="002366D5">
            <w:pPr>
              <w:spacing w:after="0" w:line="240" w:lineRule="auto"/>
              <w:ind w:firstLine="190"/>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lastRenderedPageBreak/>
              <w:br/>
            </w:r>
          </w:p>
        </w:tc>
        <w:tc>
          <w:tcPr>
            <w:tcW w:w="1336" w:type="dxa"/>
            <w:tcBorders>
              <w:top w:val="nil"/>
              <w:left w:val="nil"/>
              <w:bottom w:val="single" w:sz="8" w:space="0" w:color="auto"/>
              <w:right w:val="nil"/>
            </w:tcBorders>
            <w:tcMar>
              <w:top w:w="0" w:type="dxa"/>
              <w:left w:w="0" w:type="dxa"/>
              <w:bottom w:w="0" w:type="dxa"/>
              <w:right w:w="57" w:type="dxa"/>
            </w:tcMar>
            <w:vAlign w:val="bottom"/>
            <w:hideMark/>
          </w:tcPr>
          <w:p w14:paraId="4A76715F"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Share</w:t>
            </w:r>
          </w:p>
          <w:p w14:paraId="3CE82DFE"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capital</w:t>
            </w:r>
            <w:r w:rsidRPr="002366D5">
              <w:rPr>
                <w:rFonts w:ascii="unset" w:eastAsia="Times New Roman" w:hAnsi="unset" w:cs="Times New Roman"/>
                <w:b/>
                <w:bCs/>
                <w:spacing w:val="-10"/>
                <w:kern w:val="0"/>
                <w:sz w:val="20"/>
                <w:szCs w:val="20"/>
                <w:lang w:eastAsia="en-GB"/>
                <w14:ligatures w14:val="none"/>
              </w:rPr>
              <w:br/>
              <w:t>£'000</w:t>
            </w:r>
          </w:p>
        </w:tc>
        <w:tc>
          <w:tcPr>
            <w:tcW w:w="1336" w:type="dxa"/>
            <w:tcBorders>
              <w:top w:val="nil"/>
              <w:left w:val="nil"/>
              <w:bottom w:val="single" w:sz="8" w:space="0" w:color="auto"/>
              <w:right w:val="nil"/>
            </w:tcBorders>
            <w:tcMar>
              <w:top w:w="0" w:type="dxa"/>
              <w:left w:w="0" w:type="dxa"/>
              <w:bottom w:w="0" w:type="dxa"/>
              <w:right w:w="57" w:type="dxa"/>
            </w:tcMar>
            <w:vAlign w:val="bottom"/>
            <w:hideMark/>
          </w:tcPr>
          <w:p w14:paraId="32393301"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Share</w:t>
            </w:r>
          </w:p>
          <w:p w14:paraId="57667D03"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premium</w:t>
            </w:r>
            <w:r w:rsidRPr="002366D5">
              <w:rPr>
                <w:rFonts w:ascii="unset" w:eastAsia="Times New Roman" w:hAnsi="unset" w:cs="Times New Roman"/>
                <w:b/>
                <w:bCs/>
                <w:spacing w:val="-10"/>
                <w:kern w:val="0"/>
                <w:sz w:val="20"/>
                <w:szCs w:val="20"/>
                <w:lang w:eastAsia="en-GB"/>
                <w14:ligatures w14:val="none"/>
              </w:rPr>
              <w:br/>
              <w:t>£'000</w:t>
            </w:r>
          </w:p>
        </w:tc>
        <w:tc>
          <w:tcPr>
            <w:tcW w:w="1337" w:type="dxa"/>
            <w:tcBorders>
              <w:top w:val="nil"/>
              <w:left w:val="nil"/>
              <w:bottom w:val="single" w:sz="8" w:space="0" w:color="auto"/>
              <w:right w:val="nil"/>
            </w:tcBorders>
            <w:tcMar>
              <w:top w:w="0" w:type="dxa"/>
              <w:left w:w="0" w:type="dxa"/>
              <w:bottom w:w="0" w:type="dxa"/>
              <w:right w:w="57" w:type="dxa"/>
            </w:tcMar>
            <w:vAlign w:val="bottom"/>
            <w:hideMark/>
          </w:tcPr>
          <w:p w14:paraId="11D6B927"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Share-based payment</w:t>
            </w:r>
          </w:p>
          <w:p w14:paraId="7589D792"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 reserve</w:t>
            </w:r>
            <w:r w:rsidRPr="002366D5">
              <w:rPr>
                <w:rFonts w:ascii="unset" w:eastAsia="Times New Roman" w:hAnsi="unset" w:cs="Times New Roman"/>
                <w:b/>
                <w:bCs/>
                <w:spacing w:val="-10"/>
                <w:kern w:val="0"/>
                <w:sz w:val="20"/>
                <w:szCs w:val="20"/>
                <w:lang w:eastAsia="en-GB"/>
                <w14:ligatures w14:val="none"/>
              </w:rPr>
              <w:br/>
              <w:t>£'000</w:t>
            </w:r>
          </w:p>
        </w:tc>
        <w:tc>
          <w:tcPr>
            <w:tcW w:w="1336" w:type="dxa"/>
            <w:tcBorders>
              <w:top w:val="nil"/>
              <w:left w:val="nil"/>
              <w:bottom w:val="single" w:sz="8" w:space="0" w:color="auto"/>
              <w:right w:val="nil"/>
            </w:tcBorders>
            <w:tcMar>
              <w:top w:w="0" w:type="dxa"/>
              <w:left w:w="0" w:type="dxa"/>
              <w:bottom w:w="0" w:type="dxa"/>
              <w:right w:w="57" w:type="dxa"/>
            </w:tcMar>
            <w:vAlign w:val="bottom"/>
            <w:hideMark/>
          </w:tcPr>
          <w:p w14:paraId="441FE40A"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Merger</w:t>
            </w:r>
          </w:p>
          <w:p w14:paraId="167C31F8"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reserve</w:t>
            </w:r>
            <w:r w:rsidRPr="002366D5">
              <w:rPr>
                <w:rFonts w:ascii="unset" w:eastAsia="Times New Roman" w:hAnsi="unset" w:cs="Times New Roman"/>
                <w:b/>
                <w:bCs/>
                <w:spacing w:val="-10"/>
                <w:kern w:val="0"/>
                <w:sz w:val="20"/>
                <w:szCs w:val="20"/>
                <w:lang w:eastAsia="en-GB"/>
                <w14:ligatures w14:val="none"/>
              </w:rPr>
              <w:br/>
              <w:t>£'000</w:t>
            </w:r>
          </w:p>
        </w:tc>
        <w:tc>
          <w:tcPr>
            <w:tcW w:w="1281" w:type="dxa"/>
            <w:tcBorders>
              <w:top w:val="nil"/>
              <w:left w:val="nil"/>
              <w:bottom w:val="single" w:sz="8" w:space="0" w:color="auto"/>
              <w:right w:val="nil"/>
            </w:tcBorders>
            <w:tcMar>
              <w:top w:w="0" w:type="dxa"/>
              <w:left w:w="56" w:type="dxa"/>
              <w:bottom w:w="0" w:type="dxa"/>
              <w:right w:w="56" w:type="dxa"/>
            </w:tcMar>
            <w:vAlign w:val="bottom"/>
            <w:hideMark/>
          </w:tcPr>
          <w:p w14:paraId="3595C4DF"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Foreign exchange reserve</w:t>
            </w:r>
            <w:r w:rsidRPr="002366D5">
              <w:rPr>
                <w:rFonts w:ascii="unset" w:eastAsia="Times New Roman" w:hAnsi="unset" w:cs="Times New Roman"/>
                <w:b/>
                <w:bCs/>
                <w:spacing w:val="-10"/>
                <w:kern w:val="0"/>
                <w:sz w:val="20"/>
                <w:szCs w:val="20"/>
                <w:lang w:eastAsia="en-GB"/>
                <w14:ligatures w14:val="none"/>
              </w:rPr>
              <w:br/>
              <w:t>£'000</w:t>
            </w:r>
          </w:p>
        </w:tc>
        <w:tc>
          <w:tcPr>
            <w:tcW w:w="1282" w:type="dxa"/>
            <w:tcBorders>
              <w:top w:val="nil"/>
              <w:left w:val="nil"/>
              <w:bottom w:val="single" w:sz="8" w:space="0" w:color="auto"/>
              <w:right w:val="nil"/>
            </w:tcBorders>
            <w:tcMar>
              <w:top w:w="0" w:type="dxa"/>
              <w:left w:w="56" w:type="dxa"/>
              <w:bottom w:w="0" w:type="dxa"/>
              <w:right w:w="56" w:type="dxa"/>
            </w:tcMar>
            <w:vAlign w:val="bottom"/>
            <w:hideMark/>
          </w:tcPr>
          <w:p w14:paraId="4DAE6751"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Retained</w:t>
            </w:r>
          </w:p>
          <w:p w14:paraId="36BE7321"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 losses</w:t>
            </w:r>
            <w:r w:rsidRPr="002366D5">
              <w:rPr>
                <w:rFonts w:ascii="unset" w:eastAsia="Times New Roman" w:hAnsi="unset" w:cs="Times New Roman"/>
                <w:b/>
                <w:bCs/>
                <w:spacing w:val="-10"/>
                <w:kern w:val="0"/>
                <w:sz w:val="20"/>
                <w:szCs w:val="20"/>
                <w:lang w:eastAsia="en-GB"/>
                <w14:ligatures w14:val="none"/>
              </w:rPr>
              <w:br/>
              <w:t>£'000</w:t>
            </w:r>
          </w:p>
        </w:tc>
        <w:tc>
          <w:tcPr>
            <w:tcW w:w="1281" w:type="dxa"/>
            <w:tcBorders>
              <w:top w:val="nil"/>
              <w:left w:val="nil"/>
              <w:bottom w:val="single" w:sz="8" w:space="0" w:color="auto"/>
              <w:right w:val="nil"/>
            </w:tcBorders>
            <w:tcMar>
              <w:top w:w="0" w:type="dxa"/>
              <w:left w:w="56" w:type="dxa"/>
              <w:bottom w:w="0" w:type="dxa"/>
              <w:right w:w="56" w:type="dxa"/>
            </w:tcMar>
            <w:hideMark/>
          </w:tcPr>
          <w:p w14:paraId="4353979F"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 </w:t>
            </w:r>
          </w:p>
          <w:p w14:paraId="78EC9868"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Non-controlling interest</w:t>
            </w:r>
          </w:p>
          <w:p w14:paraId="279FD255"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£'000</w:t>
            </w:r>
          </w:p>
        </w:tc>
        <w:tc>
          <w:tcPr>
            <w:tcW w:w="1337" w:type="dxa"/>
            <w:tcBorders>
              <w:top w:val="nil"/>
              <w:left w:val="nil"/>
              <w:bottom w:val="single" w:sz="8" w:space="0" w:color="auto"/>
              <w:right w:val="nil"/>
            </w:tcBorders>
            <w:tcMar>
              <w:top w:w="0" w:type="dxa"/>
              <w:left w:w="0" w:type="dxa"/>
              <w:bottom w:w="0" w:type="dxa"/>
              <w:right w:w="57" w:type="dxa"/>
            </w:tcMar>
            <w:vAlign w:val="bottom"/>
            <w:hideMark/>
          </w:tcPr>
          <w:p w14:paraId="3954C6CB"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Total</w:t>
            </w:r>
          </w:p>
          <w:p w14:paraId="045B3144" w14:textId="77777777" w:rsidR="002366D5" w:rsidRPr="002366D5" w:rsidRDefault="002366D5" w:rsidP="002366D5">
            <w:pPr>
              <w:spacing w:after="0" w:line="180" w:lineRule="atLeast"/>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spacing w:val="-10"/>
                <w:kern w:val="0"/>
                <w:sz w:val="20"/>
                <w:szCs w:val="20"/>
                <w:lang w:eastAsia="en-GB"/>
                <w14:ligatures w14:val="none"/>
              </w:rPr>
              <w:t> equity</w:t>
            </w:r>
            <w:r w:rsidRPr="002366D5">
              <w:rPr>
                <w:rFonts w:ascii="unset" w:eastAsia="Times New Roman" w:hAnsi="unset" w:cs="Times New Roman"/>
                <w:b/>
                <w:bCs/>
                <w:spacing w:val="-10"/>
                <w:kern w:val="0"/>
                <w:sz w:val="20"/>
                <w:szCs w:val="20"/>
                <w:lang w:eastAsia="en-GB"/>
                <w14:ligatures w14:val="none"/>
              </w:rPr>
              <w:br/>
              <w:t>£'000</w:t>
            </w:r>
          </w:p>
        </w:tc>
      </w:tr>
      <w:tr w:rsidR="002366D5" w:rsidRPr="002366D5" w14:paraId="15BB7133" w14:textId="77777777">
        <w:trPr>
          <w:trHeight w:val="265"/>
        </w:trPr>
        <w:tc>
          <w:tcPr>
            <w:tcW w:w="362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26E8F90A" w14:textId="77777777" w:rsidR="002366D5" w:rsidRPr="002366D5" w:rsidRDefault="002366D5" w:rsidP="002366D5">
            <w:pPr>
              <w:spacing w:after="0" w:line="240" w:lineRule="auto"/>
              <w:ind w:firstLine="190"/>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1336" w:type="dxa"/>
            <w:tcBorders>
              <w:top w:val="nil"/>
              <w:left w:val="nil"/>
              <w:bottom w:val="nil"/>
              <w:right w:val="nil"/>
            </w:tcBorders>
            <w:tcMar>
              <w:top w:w="0" w:type="dxa"/>
              <w:left w:w="0" w:type="dxa"/>
              <w:bottom w:w="0" w:type="dxa"/>
              <w:right w:w="57" w:type="dxa"/>
            </w:tcMar>
            <w:vAlign w:val="bottom"/>
            <w:hideMark/>
          </w:tcPr>
          <w:p w14:paraId="52A6B73E"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1336" w:type="dxa"/>
            <w:tcBorders>
              <w:top w:val="nil"/>
              <w:left w:val="nil"/>
              <w:bottom w:val="nil"/>
              <w:right w:val="nil"/>
            </w:tcBorders>
            <w:tcMar>
              <w:top w:w="0" w:type="dxa"/>
              <w:left w:w="0" w:type="dxa"/>
              <w:bottom w:w="0" w:type="dxa"/>
              <w:right w:w="57" w:type="dxa"/>
            </w:tcMar>
            <w:vAlign w:val="bottom"/>
            <w:hideMark/>
          </w:tcPr>
          <w:p w14:paraId="60D0B1B8"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1337" w:type="dxa"/>
            <w:tcBorders>
              <w:top w:val="nil"/>
              <w:left w:val="nil"/>
              <w:bottom w:val="nil"/>
              <w:right w:val="nil"/>
            </w:tcBorders>
            <w:tcMar>
              <w:top w:w="0" w:type="dxa"/>
              <w:left w:w="0" w:type="dxa"/>
              <w:bottom w:w="0" w:type="dxa"/>
              <w:right w:w="57" w:type="dxa"/>
            </w:tcMar>
            <w:vAlign w:val="bottom"/>
            <w:hideMark/>
          </w:tcPr>
          <w:p w14:paraId="413EC4C6"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1336" w:type="dxa"/>
            <w:tcBorders>
              <w:top w:val="nil"/>
              <w:left w:val="nil"/>
              <w:bottom w:val="nil"/>
              <w:right w:val="nil"/>
            </w:tcBorders>
            <w:tcMar>
              <w:top w:w="0" w:type="dxa"/>
              <w:left w:w="0" w:type="dxa"/>
              <w:bottom w:w="0" w:type="dxa"/>
              <w:right w:w="57" w:type="dxa"/>
            </w:tcMar>
            <w:vAlign w:val="bottom"/>
            <w:hideMark/>
          </w:tcPr>
          <w:p w14:paraId="200FAD1C"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1281" w:type="dxa"/>
            <w:tcBorders>
              <w:top w:val="nil"/>
              <w:left w:val="nil"/>
              <w:bottom w:val="nil"/>
              <w:right w:val="nil"/>
            </w:tcBorders>
            <w:tcMar>
              <w:top w:w="0" w:type="dxa"/>
              <w:left w:w="56" w:type="dxa"/>
              <w:bottom w:w="0" w:type="dxa"/>
              <w:right w:w="56" w:type="dxa"/>
            </w:tcMar>
            <w:vAlign w:val="bottom"/>
            <w:hideMark/>
          </w:tcPr>
          <w:p w14:paraId="1470C219"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1282" w:type="dxa"/>
            <w:tcBorders>
              <w:top w:val="nil"/>
              <w:left w:val="nil"/>
              <w:bottom w:val="nil"/>
              <w:right w:val="nil"/>
            </w:tcBorders>
            <w:tcMar>
              <w:top w:w="0" w:type="dxa"/>
              <w:left w:w="56" w:type="dxa"/>
              <w:bottom w:w="0" w:type="dxa"/>
              <w:right w:w="56" w:type="dxa"/>
            </w:tcMar>
            <w:vAlign w:val="bottom"/>
            <w:hideMark/>
          </w:tcPr>
          <w:p w14:paraId="44D2F207"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1281" w:type="dxa"/>
            <w:tcBorders>
              <w:top w:val="nil"/>
              <w:left w:val="nil"/>
              <w:bottom w:val="nil"/>
              <w:right w:val="nil"/>
            </w:tcBorders>
            <w:tcMar>
              <w:top w:w="0" w:type="dxa"/>
              <w:left w:w="56" w:type="dxa"/>
              <w:bottom w:w="0" w:type="dxa"/>
              <w:right w:w="56" w:type="dxa"/>
            </w:tcMar>
            <w:hideMark/>
          </w:tcPr>
          <w:p w14:paraId="6B9BD22E"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1337" w:type="dxa"/>
            <w:tcBorders>
              <w:top w:val="nil"/>
              <w:left w:val="nil"/>
              <w:bottom w:val="nil"/>
              <w:right w:val="nil"/>
            </w:tcBorders>
            <w:tcMar>
              <w:top w:w="0" w:type="dxa"/>
              <w:left w:w="0" w:type="dxa"/>
              <w:bottom w:w="0" w:type="dxa"/>
              <w:right w:w="57" w:type="dxa"/>
            </w:tcMar>
            <w:vAlign w:val="bottom"/>
            <w:hideMark/>
          </w:tcPr>
          <w:p w14:paraId="53DB0E2B"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r>
      <w:tr w:rsidR="002366D5" w:rsidRPr="002366D5" w14:paraId="04304987" w14:textId="77777777">
        <w:trPr>
          <w:trHeight w:val="265"/>
        </w:trPr>
        <w:tc>
          <w:tcPr>
            <w:tcW w:w="362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2F26261" w14:textId="77777777" w:rsidR="002366D5" w:rsidRPr="002366D5" w:rsidRDefault="002366D5" w:rsidP="002366D5">
            <w:pPr>
              <w:spacing w:after="0" w:line="240" w:lineRule="auto"/>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xml:space="preserve">As </w:t>
            </w:r>
            <w:proofErr w:type="gramStart"/>
            <w:r w:rsidRPr="002366D5">
              <w:rPr>
                <w:rFonts w:ascii="unset" w:eastAsia="Times New Roman" w:hAnsi="unset" w:cs="Times New Roman"/>
                <w:b/>
                <w:bCs/>
                <w:kern w:val="0"/>
                <w:sz w:val="20"/>
                <w:szCs w:val="20"/>
                <w:lang w:eastAsia="en-GB"/>
                <w14:ligatures w14:val="none"/>
              </w:rPr>
              <w:t>at</w:t>
            </w:r>
            <w:proofErr w:type="gramEnd"/>
            <w:r w:rsidRPr="002366D5">
              <w:rPr>
                <w:rFonts w:ascii="unset" w:eastAsia="Times New Roman" w:hAnsi="unset" w:cs="Times New Roman"/>
                <w:b/>
                <w:bCs/>
                <w:kern w:val="0"/>
                <w:sz w:val="20"/>
                <w:szCs w:val="20"/>
                <w:lang w:eastAsia="en-GB"/>
                <w14:ligatures w14:val="none"/>
              </w:rPr>
              <w:t xml:space="preserve"> 1 August 2024</w:t>
            </w:r>
          </w:p>
        </w:tc>
        <w:tc>
          <w:tcPr>
            <w:tcW w:w="1336" w:type="dxa"/>
            <w:tcBorders>
              <w:top w:val="nil"/>
              <w:left w:val="nil"/>
              <w:bottom w:val="single" w:sz="8" w:space="0" w:color="auto"/>
              <w:right w:val="nil"/>
            </w:tcBorders>
            <w:tcMar>
              <w:top w:w="0" w:type="dxa"/>
              <w:left w:w="0" w:type="dxa"/>
              <w:bottom w:w="0" w:type="dxa"/>
              <w:right w:w="57" w:type="dxa"/>
            </w:tcMar>
            <w:vAlign w:val="bottom"/>
            <w:hideMark/>
          </w:tcPr>
          <w:p w14:paraId="37B50D90"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618</w:t>
            </w:r>
          </w:p>
        </w:tc>
        <w:tc>
          <w:tcPr>
            <w:tcW w:w="1336" w:type="dxa"/>
            <w:tcBorders>
              <w:top w:val="nil"/>
              <w:left w:val="nil"/>
              <w:bottom w:val="single" w:sz="8" w:space="0" w:color="auto"/>
              <w:right w:val="nil"/>
            </w:tcBorders>
            <w:tcMar>
              <w:top w:w="0" w:type="dxa"/>
              <w:left w:w="0" w:type="dxa"/>
              <w:bottom w:w="0" w:type="dxa"/>
              <w:right w:w="57" w:type="dxa"/>
            </w:tcMar>
            <w:vAlign w:val="bottom"/>
            <w:hideMark/>
          </w:tcPr>
          <w:p w14:paraId="37D61D7D"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4,075</w:t>
            </w:r>
          </w:p>
        </w:tc>
        <w:tc>
          <w:tcPr>
            <w:tcW w:w="1337" w:type="dxa"/>
            <w:tcBorders>
              <w:top w:val="nil"/>
              <w:left w:val="nil"/>
              <w:bottom w:val="single" w:sz="8" w:space="0" w:color="auto"/>
              <w:right w:val="nil"/>
            </w:tcBorders>
            <w:tcMar>
              <w:top w:w="0" w:type="dxa"/>
              <w:left w:w="0" w:type="dxa"/>
              <w:bottom w:w="0" w:type="dxa"/>
              <w:right w:w="57" w:type="dxa"/>
            </w:tcMar>
            <w:vAlign w:val="bottom"/>
            <w:hideMark/>
          </w:tcPr>
          <w:p w14:paraId="2C360586"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91</w:t>
            </w:r>
          </w:p>
        </w:tc>
        <w:tc>
          <w:tcPr>
            <w:tcW w:w="1336" w:type="dxa"/>
            <w:tcBorders>
              <w:top w:val="nil"/>
              <w:left w:val="nil"/>
              <w:bottom w:val="single" w:sz="8" w:space="0" w:color="auto"/>
              <w:right w:val="nil"/>
            </w:tcBorders>
            <w:tcMar>
              <w:top w:w="0" w:type="dxa"/>
              <w:left w:w="0" w:type="dxa"/>
              <w:bottom w:w="0" w:type="dxa"/>
              <w:right w:w="57" w:type="dxa"/>
            </w:tcMar>
            <w:vAlign w:val="bottom"/>
            <w:hideMark/>
          </w:tcPr>
          <w:p w14:paraId="2F7EB99A"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w:t>
            </w:r>
          </w:p>
        </w:tc>
        <w:tc>
          <w:tcPr>
            <w:tcW w:w="1281" w:type="dxa"/>
            <w:tcBorders>
              <w:top w:val="nil"/>
              <w:left w:val="nil"/>
              <w:bottom w:val="single" w:sz="8" w:space="0" w:color="auto"/>
              <w:right w:val="nil"/>
            </w:tcBorders>
            <w:tcMar>
              <w:top w:w="0" w:type="dxa"/>
              <w:left w:w="56" w:type="dxa"/>
              <w:bottom w:w="0" w:type="dxa"/>
              <w:right w:w="56" w:type="dxa"/>
            </w:tcMar>
            <w:vAlign w:val="bottom"/>
            <w:hideMark/>
          </w:tcPr>
          <w:p w14:paraId="2BA30D35"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21</w:t>
            </w:r>
          </w:p>
        </w:tc>
        <w:tc>
          <w:tcPr>
            <w:tcW w:w="1282" w:type="dxa"/>
            <w:tcBorders>
              <w:top w:val="nil"/>
              <w:left w:val="nil"/>
              <w:bottom w:val="single" w:sz="8" w:space="0" w:color="auto"/>
              <w:right w:val="nil"/>
            </w:tcBorders>
            <w:tcMar>
              <w:top w:w="0" w:type="dxa"/>
              <w:left w:w="56" w:type="dxa"/>
              <w:bottom w:w="0" w:type="dxa"/>
              <w:right w:w="56" w:type="dxa"/>
            </w:tcMar>
            <w:vAlign w:val="bottom"/>
            <w:hideMark/>
          </w:tcPr>
          <w:p w14:paraId="293E6FF0"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(4,226)</w:t>
            </w:r>
          </w:p>
        </w:tc>
        <w:tc>
          <w:tcPr>
            <w:tcW w:w="1281" w:type="dxa"/>
            <w:tcBorders>
              <w:top w:val="nil"/>
              <w:left w:val="nil"/>
              <w:bottom w:val="single" w:sz="8" w:space="0" w:color="auto"/>
              <w:right w:val="nil"/>
            </w:tcBorders>
            <w:tcMar>
              <w:top w:w="0" w:type="dxa"/>
              <w:left w:w="56" w:type="dxa"/>
              <w:bottom w:w="0" w:type="dxa"/>
              <w:right w:w="56" w:type="dxa"/>
            </w:tcMar>
            <w:hideMark/>
          </w:tcPr>
          <w:p w14:paraId="5B59212E"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color w:val="000000"/>
                <w:kern w:val="0"/>
                <w:sz w:val="20"/>
                <w:szCs w:val="20"/>
                <w:lang w:eastAsia="en-GB"/>
                <w14:ligatures w14:val="none"/>
              </w:rPr>
              <w:t>(9)</w:t>
            </w:r>
          </w:p>
        </w:tc>
        <w:tc>
          <w:tcPr>
            <w:tcW w:w="1337" w:type="dxa"/>
            <w:tcBorders>
              <w:top w:val="nil"/>
              <w:left w:val="nil"/>
              <w:bottom w:val="single" w:sz="8" w:space="0" w:color="auto"/>
              <w:right w:val="nil"/>
            </w:tcBorders>
            <w:tcMar>
              <w:top w:w="0" w:type="dxa"/>
              <w:left w:w="0" w:type="dxa"/>
              <w:bottom w:w="0" w:type="dxa"/>
              <w:right w:w="57" w:type="dxa"/>
            </w:tcMar>
            <w:vAlign w:val="bottom"/>
            <w:hideMark/>
          </w:tcPr>
          <w:p w14:paraId="055AB722"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570</w:t>
            </w:r>
          </w:p>
        </w:tc>
      </w:tr>
      <w:tr w:rsidR="002366D5" w:rsidRPr="002366D5" w14:paraId="04C41804" w14:textId="77777777">
        <w:trPr>
          <w:trHeight w:val="265"/>
        </w:trPr>
        <w:tc>
          <w:tcPr>
            <w:tcW w:w="362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4B818008"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Loss for the period </w:t>
            </w:r>
          </w:p>
        </w:tc>
        <w:tc>
          <w:tcPr>
            <w:tcW w:w="1336" w:type="dxa"/>
            <w:tcBorders>
              <w:top w:val="nil"/>
              <w:left w:val="nil"/>
              <w:bottom w:val="nil"/>
              <w:right w:val="nil"/>
            </w:tcBorders>
            <w:tcMar>
              <w:top w:w="0" w:type="dxa"/>
              <w:left w:w="0" w:type="dxa"/>
              <w:bottom w:w="0" w:type="dxa"/>
              <w:right w:w="57" w:type="dxa"/>
            </w:tcMar>
            <w:vAlign w:val="bottom"/>
            <w:hideMark/>
          </w:tcPr>
          <w:p w14:paraId="42199164"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336" w:type="dxa"/>
            <w:tcBorders>
              <w:top w:val="nil"/>
              <w:left w:val="nil"/>
              <w:bottom w:val="nil"/>
              <w:right w:val="nil"/>
            </w:tcBorders>
            <w:tcMar>
              <w:top w:w="0" w:type="dxa"/>
              <w:left w:w="0" w:type="dxa"/>
              <w:bottom w:w="0" w:type="dxa"/>
              <w:right w:w="57" w:type="dxa"/>
            </w:tcMar>
            <w:vAlign w:val="bottom"/>
            <w:hideMark/>
          </w:tcPr>
          <w:p w14:paraId="69EB850A"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337" w:type="dxa"/>
            <w:tcBorders>
              <w:top w:val="nil"/>
              <w:left w:val="nil"/>
              <w:bottom w:val="nil"/>
              <w:right w:val="nil"/>
            </w:tcBorders>
            <w:tcMar>
              <w:top w:w="0" w:type="dxa"/>
              <w:left w:w="0" w:type="dxa"/>
              <w:bottom w:w="0" w:type="dxa"/>
              <w:right w:w="57" w:type="dxa"/>
            </w:tcMar>
            <w:vAlign w:val="bottom"/>
            <w:hideMark/>
          </w:tcPr>
          <w:p w14:paraId="0B5BB710"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336" w:type="dxa"/>
            <w:tcBorders>
              <w:top w:val="nil"/>
              <w:left w:val="nil"/>
              <w:bottom w:val="nil"/>
              <w:right w:val="nil"/>
            </w:tcBorders>
            <w:tcMar>
              <w:top w:w="0" w:type="dxa"/>
              <w:left w:w="0" w:type="dxa"/>
              <w:bottom w:w="0" w:type="dxa"/>
              <w:right w:w="57" w:type="dxa"/>
            </w:tcMar>
            <w:vAlign w:val="bottom"/>
            <w:hideMark/>
          </w:tcPr>
          <w:p w14:paraId="588A9FE7"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281" w:type="dxa"/>
            <w:tcBorders>
              <w:top w:val="nil"/>
              <w:left w:val="nil"/>
              <w:bottom w:val="nil"/>
              <w:right w:val="nil"/>
            </w:tcBorders>
            <w:tcMar>
              <w:top w:w="0" w:type="dxa"/>
              <w:left w:w="56" w:type="dxa"/>
              <w:bottom w:w="0" w:type="dxa"/>
              <w:right w:w="56" w:type="dxa"/>
            </w:tcMar>
            <w:vAlign w:val="bottom"/>
            <w:hideMark/>
          </w:tcPr>
          <w:p w14:paraId="59253882"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282" w:type="dxa"/>
            <w:tcBorders>
              <w:top w:val="nil"/>
              <w:left w:val="nil"/>
              <w:bottom w:val="nil"/>
              <w:right w:val="nil"/>
            </w:tcBorders>
            <w:tcMar>
              <w:top w:w="0" w:type="dxa"/>
              <w:left w:w="56" w:type="dxa"/>
              <w:bottom w:w="0" w:type="dxa"/>
              <w:right w:w="56" w:type="dxa"/>
            </w:tcMar>
            <w:vAlign w:val="bottom"/>
            <w:hideMark/>
          </w:tcPr>
          <w:p w14:paraId="03F5BA08"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(198)</w:t>
            </w:r>
          </w:p>
        </w:tc>
        <w:tc>
          <w:tcPr>
            <w:tcW w:w="1281" w:type="dxa"/>
            <w:tcBorders>
              <w:top w:val="nil"/>
              <w:left w:val="nil"/>
              <w:bottom w:val="nil"/>
              <w:right w:val="nil"/>
            </w:tcBorders>
            <w:tcMar>
              <w:top w:w="0" w:type="dxa"/>
              <w:left w:w="56" w:type="dxa"/>
              <w:bottom w:w="0" w:type="dxa"/>
              <w:right w:w="56" w:type="dxa"/>
            </w:tcMar>
            <w:hideMark/>
          </w:tcPr>
          <w:p w14:paraId="04EE807A"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337" w:type="dxa"/>
            <w:tcBorders>
              <w:top w:val="nil"/>
              <w:left w:val="nil"/>
              <w:bottom w:val="nil"/>
              <w:right w:val="nil"/>
            </w:tcBorders>
            <w:tcMar>
              <w:top w:w="0" w:type="dxa"/>
              <w:left w:w="0" w:type="dxa"/>
              <w:bottom w:w="0" w:type="dxa"/>
              <w:right w:w="57" w:type="dxa"/>
            </w:tcMar>
            <w:vAlign w:val="bottom"/>
            <w:hideMark/>
          </w:tcPr>
          <w:p w14:paraId="4CC38B4E"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(198)</w:t>
            </w:r>
          </w:p>
        </w:tc>
      </w:tr>
      <w:tr w:rsidR="002366D5" w:rsidRPr="002366D5" w14:paraId="26E020CE" w14:textId="77777777">
        <w:trPr>
          <w:trHeight w:val="265"/>
        </w:trPr>
        <w:tc>
          <w:tcPr>
            <w:tcW w:w="362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71D9FB69"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i/>
                <w:iCs/>
                <w:kern w:val="0"/>
                <w:sz w:val="20"/>
                <w:szCs w:val="20"/>
                <w:lang w:eastAsia="en-GB"/>
                <w14:ligatures w14:val="none"/>
              </w:rPr>
              <w:t>Other comprehensive loss:</w:t>
            </w:r>
          </w:p>
        </w:tc>
        <w:tc>
          <w:tcPr>
            <w:tcW w:w="1336"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528EE08E"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336"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4E4999B4"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337"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789A5A5D"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336"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5489A908"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28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40266C80"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282"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1D1D471D"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28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073DEA7F"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c>
          <w:tcPr>
            <w:tcW w:w="1337"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6D59BE22"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br/>
            </w:r>
          </w:p>
        </w:tc>
      </w:tr>
      <w:tr w:rsidR="002366D5" w:rsidRPr="002366D5" w14:paraId="6DC0D7D0" w14:textId="77777777">
        <w:trPr>
          <w:trHeight w:val="265"/>
        </w:trPr>
        <w:tc>
          <w:tcPr>
            <w:tcW w:w="362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7F573B73"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Foreign currency exchange difference</w:t>
            </w:r>
          </w:p>
        </w:tc>
        <w:tc>
          <w:tcPr>
            <w:tcW w:w="1336"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hideMark/>
          </w:tcPr>
          <w:p w14:paraId="5090A8F5"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336"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hideMark/>
          </w:tcPr>
          <w:p w14:paraId="58AE9459"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337"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hideMark/>
          </w:tcPr>
          <w:p w14:paraId="3C7DEFE7"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336"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hideMark/>
          </w:tcPr>
          <w:p w14:paraId="46693507"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28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4D242BA7"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(33)</w:t>
            </w:r>
          </w:p>
        </w:tc>
        <w:tc>
          <w:tcPr>
            <w:tcW w:w="1282"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7FAB84E6"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28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72166696"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w:t>
            </w:r>
          </w:p>
        </w:tc>
        <w:tc>
          <w:tcPr>
            <w:tcW w:w="1337"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hideMark/>
          </w:tcPr>
          <w:p w14:paraId="606A6C12"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(33)</w:t>
            </w:r>
          </w:p>
        </w:tc>
      </w:tr>
      <w:tr w:rsidR="002366D5" w:rsidRPr="002366D5" w14:paraId="09DA472A" w14:textId="77777777">
        <w:trPr>
          <w:trHeight w:val="265"/>
        </w:trPr>
        <w:tc>
          <w:tcPr>
            <w:tcW w:w="362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1A242846"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Total comprehensive loss for the period</w:t>
            </w:r>
          </w:p>
        </w:tc>
        <w:tc>
          <w:tcPr>
            <w:tcW w:w="1336" w:type="dxa"/>
            <w:tcBorders>
              <w:top w:val="single" w:sz="8" w:space="0" w:color="auto"/>
              <w:left w:val="nil"/>
              <w:bottom w:val="single" w:sz="8" w:space="0" w:color="auto"/>
              <w:right w:val="nil"/>
            </w:tcBorders>
            <w:tcMar>
              <w:top w:w="0" w:type="dxa"/>
              <w:left w:w="0" w:type="dxa"/>
              <w:bottom w:w="0" w:type="dxa"/>
              <w:right w:w="57" w:type="dxa"/>
            </w:tcMar>
            <w:vAlign w:val="bottom"/>
            <w:hideMark/>
          </w:tcPr>
          <w:p w14:paraId="7829B382"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336" w:type="dxa"/>
            <w:tcBorders>
              <w:top w:val="single" w:sz="8" w:space="0" w:color="auto"/>
              <w:left w:val="nil"/>
              <w:bottom w:val="single" w:sz="8" w:space="0" w:color="auto"/>
              <w:right w:val="nil"/>
            </w:tcBorders>
            <w:tcMar>
              <w:top w:w="0" w:type="dxa"/>
              <w:left w:w="0" w:type="dxa"/>
              <w:bottom w:w="0" w:type="dxa"/>
              <w:right w:w="57" w:type="dxa"/>
            </w:tcMar>
            <w:vAlign w:val="bottom"/>
            <w:hideMark/>
          </w:tcPr>
          <w:p w14:paraId="72D87743"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337" w:type="dxa"/>
            <w:tcBorders>
              <w:top w:val="single" w:sz="8" w:space="0" w:color="auto"/>
              <w:left w:val="nil"/>
              <w:bottom w:val="single" w:sz="8" w:space="0" w:color="auto"/>
              <w:right w:val="nil"/>
            </w:tcBorders>
            <w:tcMar>
              <w:top w:w="0" w:type="dxa"/>
              <w:left w:w="0" w:type="dxa"/>
              <w:bottom w:w="0" w:type="dxa"/>
              <w:right w:w="57" w:type="dxa"/>
            </w:tcMar>
            <w:vAlign w:val="bottom"/>
            <w:hideMark/>
          </w:tcPr>
          <w:p w14:paraId="75643AE6"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336" w:type="dxa"/>
            <w:tcBorders>
              <w:top w:val="single" w:sz="8" w:space="0" w:color="auto"/>
              <w:left w:val="nil"/>
              <w:bottom w:val="single" w:sz="8" w:space="0" w:color="auto"/>
              <w:right w:val="nil"/>
            </w:tcBorders>
            <w:tcMar>
              <w:top w:w="0" w:type="dxa"/>
              <w:left w:w="0" w:type="dxa"/>
              <w:bottom w:w="0" w:type="dxa"/>
              <w:right w:w="57" w:type="dxa"/>
            </w:tcMar>
            <w:vAlign w:val="bottom"/>
            <w:hideMark/>
          </w:tcPr>
          <w:p w14:paraId="2134899C"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281" w:type="dxa"/>
            <w:tcBorders>
              <w:top w:val="single" w:sz="8" w:space="0" w:color="auto"/>
              <w:left w:val="nil"/>
              <w:bottom w:val="single" w:sz="8" w:space="0" w:color="auto"/>
              <w:right w:val="nil"/>
            </w:tcBorders>
            <w:tcMar>
              <w:top w:w="0" w:type="dxa"/>
              <w:left w:w="56" w:type="dxa"/>
              <w:bottom w:w="0" w:type="dxa"/>
              <w:right w:w="56" w:type="dxa"/>
            </w:tcMar>
            <w:vAlign w:val="bottom"/>
            <w:hideMark/>
          </w:tcPr>
          <w:p w14:paraId="778FE97B"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(33)</w:t>
            </w:r>
          </w:p>
        </w:tc>
        <w:tc>
          <w:tcPr>
            <w:tcW w:w="1282" w:type="dxa"/>
            <w:tcBorders>
              <w:top w:val="single" w:sz="8" w:space="0" w:color="auto"/>
              <w:left w:val="nil"/>
              <w:bottom w:val="single" w:sz="8" w:space="0" w:color="auto"/>
              <w:right w:val="nil"/>
            </w:tcBorders>
            <w:tcMar>
              <w:top w:w="0" w:type="dxa"/>
              <w:left w:w="56" w:type="dxa"/>
              <w:bottom w:w="0" w:type="dxa"/>
              <w:right w:w="56" w:type="dxa"/>
            </w:tcMar>
            <w:vAlign w:val="bottom"/>
            <w:hideMark/>
          </w:tcPr>
          <w:p w14:paraId="66FCFC48"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(198)</w:t>
            </w:r>
          </w:p>
        </w:tc>
        <w:tc>
          <w:tcPr>
            <w:tcW w:w="1281" w:type="dxa"/>
            <w:tcBorders>
              <w:top w:val="single" w:sz="8" w:space="0" w:color="auto"/>
              <w:left w:val="nil"/>
              <w:bottom w:val="single" w:sz="8" w:space="0" w:color="auto"/>
              <w:right w:val="nil"/>
            </w:tcBorders>
            <w:tcMar>
              <w:top w:w="0" w:type="dxa"/>
              <w:left w:w="56" w:type="dxa"/>
              <w:bottom w:w="0" w:type="dxa"/>
              <w:right w:w="56" w:type="dxa"/>
            </w:tcMar>
            <w:hideMark/>
          </w:tcPr>
          <w:p w14:paraId="126745E1"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337" w:type="dxa"/>
            <w:tcBorders>
              <w:top w:val="single" w:sz="8" w:space="0" w:color="auto"/>
              <w:left w:val="nil"/>
              <w:bottom w:val="single" w:sz="8" w:space="0" w:color="auto"/>
              <w:right w:val="nil"/>
            </w:tcBorders>
            <w:tcMar>
              <w:top w:w="0" w:type="dxa"/>
              <w:left w:w="0" w:type="dxa"/>
              <w:bottom w:w="0" w:type="dxa"/>
              <w:right w:w="57" w:type="dxa"/>
            </w:tcMar>
            <w:vAlign w:val="bottom"/>
            <w:hideMark/>
          </w:tcPr>
          <w:p w14:paraId="1EF0758C"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(231)</w:t>
            </w:r>
          </w:p>
        </w:tc>
      </w:tr>
      <w:tr w:rsidR="002366D5" w:rsidRPr="002366D5" w14:paraId="48E7E710" w14:textId="77777777">
        <w:trPr>
          <w:trHeight w:val="265"/>
        </w:trPr>
        <w:tc>
          <w:tcPr>
            <w:tcW w:w="362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15E8DECB"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336" w:type="dxa"/>
            <w:tcBorders>
              <w:top w:val="nil"/>
              <w:left w:val="nil"/>
              <w:bottom w:val="nil"/>
              <w:right w:val="nil"/>
            </w:tcBorders>
            <w:tcMar>
              <w:top w:w="0" w:type="dxa"/>
              <w:left w:w="0" w:type="dxa"/>
              <w:bottom w:w="0" w:type="dxa"/>
              <w:right w:w="57" w:type="dxa"/>
            </w:tcMar>
            <w:vAlign w:val="bottom"/>
            <w:hideMark/>
          </w:tcPr>
          <w:p w14:paraId="21B7BEA1"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336" w:type="dxa"/>
            <w:tcBorders>
              <w:top w:val="nil"/>
              <w:left w:val="nil"/>
              <w:bottom w:val="nil"/>
              <w:right w:val="nil"/>
            </w:tcBorders>
            <w:tcMar>
              <w:top w:w="0" w:type="dxa"/>
              <w:left w:w="0" w:type="dxa"/>
              <w:bottom w:w="0" w:type="dxa"/>
              <w:right w:w="57" w:type="dxa"/>
            </w:tcMar>
            <w:vAlign w:val="bottom"/>
            <w:hideMark/>
          </w:tcPr>
          <w:p w14:paraId="2118F8C3"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337" w:type="dxa"/>
            <w:tcBorders>
              <w:top w:val="nil"/>
              <w:left w:val="nil"/>
              <w:bottom w:val="nil"/>
              <w:right w:val="nil"/>
            </w:tcBorders>
            <w:tcMar>
              <w:top w:w="0" w:type="dxa"/>
              <w:left w:w="0" w:type="dxa"/>
              <w:bottom w:w="0" w:type="dxa"/>
              <w:right w:w="57" w:type="dxa"/>
            </w:tcMar>
            <w:vAlign w:val="bottom"/>
            <w:hideMark/>
          </w:tcPr>
          <w:p w14:paraId="560C1540"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336" w:type="dxa"/>
            <w:tcBorders>
              <w:top w:val="nil"/>
              <w:left w:val="nil"/>
              <w:bottom w:val="nil"/>
              <w:right w:val="nil"/>
            </w:tcBorders>
            <w:tcMar>
              <w:top w:w="0" w:type="dxa"/>
              <w:left w:w="0" w:type="dxa"/>
              <w:bottom w:w="0" w:type="dxa"/>
              <w:right w:w="57" w:type="dxa"/>
            </w:tcMar>
            <w:vAlign w:val="bottom"/>
            <w:hideMark/>
          </w:tcPr>
          <w:p w14:paraId="28980BDF"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281" w:type="dxa"/>
            <w:tcBorders>
              <w:top w:val="nil"/>
              <w:left w:val="nil"/>
              <w:bottom w:val="nil"/>
              <w:right w:val="nil"/>
            </w:tcBorders>
            <w:tcMar>
              <w:top w:w="0" w:type="dxa"/>
              <w:left w:w="56" w:type="dxa"/>
              <w:bottom w:w="0" w:type="dxa"/>
              <w:right w:w="56" w:type="dxa"/>
            </w:tcMar>
            <w:vAlign w:val="bottom"/>
            <w:hideMark/>
          </w:tcPr>
          <w:p w14:paraId="6C0C38C2"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282" w:type="dxa"/>
            <w:tcBorders>
              <w:top w:val="nil"/>
              <w:left w:val="nil"/>
              <w:bottom w:val="nil"/>
              <w:right w:val="nil"/>
            </w:tcBorders>
            <w:tcMar>
              <w:top w:w="0" w:type="dxa"/>
              <w:left w:w="56" w:type="dxa"/>
              <w:bottom w:w="0" w:type="dxa"/>
              <w:right w:w="56" w:type="dxa"/>
            </w:tcMar>
            <w:vAlign w:val="bottom"/>
            <w:hideMark/>
          </w:tcPr>
          <w:p w14:paraId="2BEA6702"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281" w:type="dxa"/>
            <w:tcBorders>
              <w:top w:val="nil"/>
              <w:left w:val="nil"/>
              <w:bottom w:val="nil"/>
              <w:right w:val="nil"/>
            </w:tcBorders>
            <w:tcMar>
              <w:top w:w="0" w:type="dxa"/>
              <w:left w:w="56" w:type="dxa"/>
              <w:bottom w:w="0" w:type="dxa"/>
              <w:right w:w="56" w:type="dxa"/>
            </w:tcMar>
            <w:hideMark/>
          </w:tcPr>
          <w:p w14:paraId="5A7E8D38"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337" w:type="dxa"/>
            <w:tcBorders>
              <w:top w:val="nil"/>
              <w:left w:val="nil"/>
              <w:bottom w:val="nil"/>
              <w:right w:val="nil"/>
            </w:tcBorders>
            <w:tcMar>
              <w:top w:w="0" w:type="dxa"/>
              <w:left w:w="0" w:type="dxa"/>
              <w:bottom w:w="0" w:type="dxa"/>
              <w:right w:w="57" w:type="dxa"/>
            </w:tcMar>
            <w:vAlign w:val="bottom"/>
            <w:hideMark/>
          </w:tcPr>
          <w:p w14:paraId="43FC80D9"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r>
      <w:tr w:rsidR="002366D5" w:rsidRPr="002366D5" w14:paraId="30FDBF34" w14:textId="77777777">
        <w:trPr>
          <w:trHeight w:val="265"/>
        </w:trPr>
        <w:tc>
          <w:tcPr>
            <w:tcW w:w="362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3982FAD"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Transactions with owners</w:t>
            </w:r>
          </w:p>
        </w:tc>
        <w:tc>
          <w:tcPr>
            <w:tcW w:w="1336"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0069B1AE"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336"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71D20BAB"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337"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22168673"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336"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5530BE12"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28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49F89FA4"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282"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62112E05"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28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481F4EAE"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337"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741A5362"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r>
      <w:tr w:rsidR="002366D5" w:rsidRPr="002366D5" w14:paraId="797F369B" w14:textId="77777777">
        <w:trPr>
          <w:trHeight w:val="265"/>
        </w:trPr>
        <w:tc>
          <w:tcPr>
            <w:tcW w:w="362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119CF740"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Issue of share capital</w:t>
            </w:r>
          </w:p>
        </w:tc>
        <w:tc>
          <w:tcPr>
            <w:tcW w:w="1336" w:type="dxa"/>
            <w:tcBorders>
              <w:top w:val="nil"/>
              <w:left w:val="nil"/>
              <w:bottom w:val="single" w:sz="8" w:space="0" w:color="auto"/>
              <w:right w:val="nil"/>
            </w:tcBorders>
            <w:tcMar>
              <w:top w:w="0" w:type="dxa"/>
              <w:left w:w="0" w:type="dxa"/>
              <w:bottom w:w="0" w:type="dxa"/>
              <w:right w:w="57" w:type="dxa"/>
            </w:tcMar>
            <w:vAlign w:val="bottom"/>
            <w:hideMark/>
          </w:tcPr>
          <w:p w14:paraId="4DC5FF0E"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29</w:t>
            </w:r>
          </w:p>
        </w:tc>
        <w:tc>
          <w:tcPr>
            <w:tcW w:w="1336" w:type="dxa"/>
            <w:tcBorders>
              <w:top w:val="nil"/>
              <w:left w:val="nil"/>
              <w:bottom w:val="single" w:sz="8" w:space="0" w:color="auto"/>
              <w:right w:val="nil"/>
            </w:tcBorders>
            <w:tcMar>
              <w:top w:w="0" w:type="dxa"/>
              <w:left w:w="0" w:type="dxa"/>
              <w:bottom w:w="0" w:type="dxa"/>
              <w:right w:w="57" w:type="dxa"/>
            </w:tcMar>
            <w:vAlign w:val="bottom"/>
            <w:hideMark/>
          </w:tcPr>
          <w:p w14:paraId="3FD6ADC1"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18</w:t>
            </w:r>
          </w:p>
        </w:tc>
        <w:tc>
          <w:tcPr>
            <w:tcW w:w="1337" w:type="dxa"/>
            <w:tcBorders>
              <w:top w:val="nil"/>
              <w:left w:val="nil"/>
              <w:bottom w:val="single" w:sz="8" w:space="0" w:color="auto"/>
              <w:right w:val="nil"/>
            </w:tcBorders>
            <w:tcMar>
              <w:top w:w="0" w:type="dxa"/>
              <w:left w:w="0" w:type="dxa"/>
              <w:bottom w:w="0" w:type="dxa"/>
              <w:right w:w="57" w:type="dxa"/>
            </w:tcMar>
            <w:vAlign w:val="bottom"/>
            <w:hideMark/>
          </w:tcPr>
          <w:p w14:paraId="29D48DA5"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336"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5A4AC62F"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28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01A1F1B7"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282"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3CC29787"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28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103BE9AB"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337" w:type="dxa"/>
            <w:tcBorders>
              <w:top w:val="single" w:sz="2" w:space="0" w:color="E5E7EB"/>
              <w:left w:val="single" w:sz="2" w:space="0" w:color="E5E7EB"/>
              <w:bottom w:val="single" w:sz="2" w:space="0" w:color="E5E7EB"/>
              <w:right w:val="single" w:sz="2" w:space="0" w:color="E5E7EB"/>
            </w:tcBorders>
            <w:tcMar>
              <w:top w:w="0" w:type="dxa"/>
              <w:left w:w="0" w:type="dxa"/>
              <w:bottom w:w="0" w:type="dxa"/>
              <w:right w:w="57" w:type="dxa"/>
            </w:tcMar>
            <w:vAlign w:val="bottom"/>
            <w:hideMark/>
          </w:tcPr>
          <w:p w14:paraId="657FF8F8"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47</w:t>
            </w:r>
          </w:p>
        </w:tc>
      </w:tr>
      <w:tr w:rsidR="002366D5" w:rsidRPr="002366D5" w14:paraId="4B99630D" w14:textId="77777777">
        <w:trPr>
          <w:trHeight w:val="265"/>
        </w:trPr>
        <w:tc>
          <w:tcPr>
            <w:tcW w:w="362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205EC375"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Total transactions with owners</w:t>
            </w:r>
          </w:p>
        </w:tc>
        <w:tc>
          <w:tcPr>
            <w:tcW w:w="1336" w:type="dxa"/>
            <w:tcBorders>
              <w:top w:val="nil"/>
              <w:left w:val="nil"/>
              <w:bottom w:val="nil"/>
              <w:right w:val="nil"/>
            </w:tcBorders>
            <w:tcMar>
              <w:top w:w="0" w:type="dxa"/>
              <w:left w:w="0" w:type="dxa"/>
              <w:bottom w:w="0" w:type="dxa"/>
              <w:right w:w="57" w:type="dxa"/>
            </w:tcMar>
            <w:vAlign w:val="bottom"/>
            <w:hideMark/>
          </w:tcPr>
          <w:p w14:paraId="6E7D2F9A"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29</w:t>
            </w:r>
          </w:p>
        </w:tc>
        <w:tc>
          <w:tcPr>
            <w:tcW w:w="1336" w:type="dxa"/>
            <w:tcBorders>
              <w:top w:val="nil"/>
              <w:left w:val="nil"/>
              <w:bottom w:val="nil"/>
              <w:right w:val="nil"/>
            </w:tcBorders>
            <w:tcMar>
              <w:top w:w="0" w:type="dxa"/>
              <w:left w:w="0" w:type="dxa"/>
              <w:bottom w:w="0" w:type="dxa"/>
              <w:right w:w="57" w:type="dxa"/>
            </w:tcMar>
            <w:vAlign w:val="bottom"/>
            <w:hideMark/>
          </w:tcPr>
          <w:p w14:paraId="53980774"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18</w:t>
            </w:r>
          </w:p>
        </w:tc>
        <w:tc>
          <w:tcPr>
            <w:tcW w:w="1337" w:type="dxa"/>
            <w:tcBorders>
              <w:top w:val="nil"/>
              <w:left w:val="nil"/>
              <w:bottom w:val="nil"/>
              <w:right w:val="nil"/>
            </w:tcBorders>
            <w:tcMar>
              <w:top w:w="0" w:type="dxa"/>
              <w:left w:w="0" w:type="dxa"/>
              <w:bottom w:w="0" w:type="dxa"/>
              <w:right w:w="57" w:type="dxa"/>
            </w:tcMar>
            <w:vAlign w:val="bottom"/>
            <w:hideMark/>
          </w:tcPr>
          <w:p w14:paraId="0A62C52F"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336" w:type="dxa"/>
            <w:tcBorders>
              <w:top w:val="single" w:sz="8" w:space="0" w:color="auto"/>
              <w:left w:val="nil"/>
              <w:bottom w:val="nil"/>
              <w:right w:val="nil"/>
            </w:tcBorders>
            <w:tcMar>
              <w:top w:w="0" w:type="dxa"/>
              <w:left w:w="0" w:type="dxa"/>
              <w:bottom w:w="0" w:type="dxa"/>
              <w:right w:w="57" w:type="dxa"/>
            </w:tcMar>
            <w:vAlign w:val="bottom"/>
            <w:hideMark/>
          </w:tcPr>
          <w:p w14:paraId="0A335FF6"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281" w:type="dxa"/>
            <w:tcBorders>
              <w:top w:val="single" w:sz="8" w:space="0" w:color="auto"/>
              <w:left w:val="nil"/>
              <w:bottom w:val="nil"/>
              <w:right w:val="nil"/>
            </w:tcBorders>
            <w:tcMar>
              <w:top w:w="0" w:type="dxa"/>
              <w:left w:w="56" w:type="dxa"/>
              <w:bottom w:w="0" w:type="dxa"/>
              <w:right w:w="56" w:type="dxa"/>
            </w:tcMar>
            <w:vAlign w:val="bottom"/>
            <w:hideMark/>
          </w:tcPr>
          <w:p w14:paraId="6FF52992"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282" w:type="dxa"/>
            <w:tcBorders>
              <w:top w:val="single" w:sz="8" w:space="0" w:color="auto"/>
              <w:left w:val="nil"/>
              <w:bottom w:val="nil"/>
              <w:right w:val="nil"/>
            </w:tcBorders>
            <w:tcMar>
              <w:top w:w="0" w:type="dxa"/>
              <w:left w:w="56" w:type="dxa"/>
              <w:bottom w:w="0" w:type="dxa"/>
              <w:right w:w="56" w:type="dxa"/>
            </w:tcMar>
            <w:vAlign w:val="bottom"/>
            <w:hideMark/>
          </w:tcPr>
          <w:p w14:paraId="2B48B1A3"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281" w:type="dxa"/>
            <w:tcBorders>
              <w:top w:val="single" w:sz="8" w:space="0" w:color="auto"/>
              <w:left w:val="nil"/>
              <w:bottom w:val="nil"/>
              <w:right w:val="nil"/>
            </w:tcBorders>
            <w:tcMar>
              <w:top w:w="0" w:type="dxa"/>
              <w:left w:w="56" w:type="dxa"/>
              <w:bottom w:w="0" w:type="dxa"/>
              <w:right w:w="56" w:type="dxa"/>
            </w:tcMar>
            <w:hideMark/>
          </w:tcPr>
          <w:p w14:paraId="1ED38DC3"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337" w:type="dxa"/>
            <w:tcBorders>
              <w:top w:val="single" w:sz="8" w:space="0" w:color="auto"/>
              <w:left w:val="nil"/>
              <w:bottom w:val="nil"/>
              <w:right w:val="nil"/>
            </w:tcBorders>
            <w:tcMar>
              <w:top w:w="0" w:type="dxa"/>
              <w:left w:w="0" w:type="dxa"/>
              <w:bottom w:w="0" w:type="dxa"/>
              <w:right w:w="57" w:type="dxa"/>
            </w:tcMar>
            <w:vAlign w:val="bottom"/>
            <w:hideMark/>
          </w:tcPr>
          <w:p w14:paraId="34F2399F"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47</w:t>
            </w:r>
          </w:p>
        </w:tc>
      </w:tr>
      <w:tr w:rsidR="002366D5" w:rsidRPr="002366D5" w14:paraId="073B7857" w14:textId="77777777">
        <w:trPr>
          <w:trHeight w:val="265"/>
        </w:trPr>
        <w:tc>
          <w:tcPr>
            <w:tcW w:w="362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5679BED7" w14:textId="77777777" w:rsidR="002366D5" w:rsidRPr="002366D5" w:rsidRDefault="002366D5" w:rsidP="002366D5">
            <w:pPr>
              <w:spacing w:after="0" w:line="230" w:lineRule="atLeas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336" w:type="dxa"/>
            <w:tcBorders>
              <w:top w:val="single" w:sz="8" w:space="0" w:color="auto"/>
              <w:left w:val="nil"/>
              <w:bottom w:val="nil"/>
              <w:right w:val="nil"/>
            </w:tcBorders>
            <w:tcMar>
              <w:top w:w="0" w:type="dxa"/>
              <w:left w:w="0" w:type="dxa"/>
              <w:bottom w:w="0" w:type="dxa"/>
              <w:right w:w="57" w:type="dxa"/>
            </w:tcMar>
            <w:vAlign w:val="bottom"/>
            <w:hideMark/>
          </w:tcPr>
          <w:p w14:paraId="179B2522"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336" w:type="dxa"/>
            <w:tcBorders>
              <w:top w:val="single" w:sz="8" w:space="0" w:color="auto"/>
              <w:left w:val="nil"/>
              <w:bottom w:val="nil"/>
              <w:right w:val="nil"/>
            </w:tcBorders>
            <w:tcMar>
              <w:top w:w="0" w:type="dxa"/>
              <w:left w:w="0" w:type="dxa"/>
              <w:bottom w:w="0" w:type="dxa"/>
              <w:right w:w="57" w:type="dxa"/>
            </w:tcMar>
            <w:vAlign w:val="bottom"/>
            <w:hideMark/>
          </w:tcPr>
          <w:p w14:paraId="35EC59D3"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337" w:type="dxa"/>
            <w:tcBorders>
              <w:top w:val="single" w:sz="8" w:space="0" w:color="auto"/>
              <w:left w:val="nil"/>
              <w:bottom w:val="nil"/>
              <w:right w:val="nil"/>
            </w:tcBorders>
            <w:tcMar>
              <w:top w:w="0" w:type="dxa"/>
              <w:left w:w="0" w:type="dxa"/>
              <w:bottom w:w="0" w:type="dxa"/>
              <w:right w:w="57" w:type="dxa"/>
            </w:tcMar>
            <w:vAlign w:val="bottom"/>
            <w:hideMark/>
          </w:tcPr>
          <w:p w14:paraId="473ED0A3"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336" w:type="dxa"/>
            <w:tcBorders>
              <w:top w:val="single" w:sz="8" w:space="0" w:color="auto"/>
              <w:left w:val="nil"/>
              <w:bottom w:val="nil"/>
              <w:right w:val="nil"/>
            </w:tcBorders>
            <w:tcMar>
              <w:top w:w="0" w:type="dxa"/>
              <w:left w:w="0" w:type="dxa"/>
              <w:bottom w:w="0" w:type="dxa"/>
              <w:right w:w="57" w:type="dxa"/>
            </w:tcMar>
            <w:vAlign w:val="bottom"/>
            <w:hideMark/>
          </w:tcPr>
          <w:p w14:paraId="4FD6E703"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281" w:type="dxa"/>
            <w:tcBorders>
              <w:top w:val="single" w:sz="8" w:space="0" w:color="auto"/>
              <w:left w:val="nil"/>
              <w:bottom w:val="nil"/>
              <w:right w:val="nil"/>
            </w:tcBorders>
            <w:tcMar>
              <w:top w:w="0" w:type="dxa"/>
              <w:left w:w="56" w:type="dxa"/>
              <w:bottom w:w="0" w:type="dxa"/>
              <w:right w:w="56" w:type="dxa"/>
            </w:tcMar>
            <w:vAlign w:val="bottom"/>
            <w:hideMark/>
          </w:tcPr>
          <w:p w14:paraId="02694A37"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282" w:type="dxa"/>
            <w:tcBorders>
              <w:top w:val="single" w:sz="8" w:space="0" w:color="auto"/>
              <w:left w:val="nil"/>
              <w:bottom w:val="nil"/>
              <w:right w:val="nil"/>
            </w:tcBorders>
            <w:tcMar>
              <w:top w:w="0" w:type="dxa"/>
              <w:left w:w="56" w:type="dxa"/>
              <w:bottom w:w="0" w:type="dxa"/>
              <w:right w:w="56" w:type="dxa"/>
            </w:tcMar>
            <w:vAlign w:val="bottom"/>
            <w:hideMark/>
          </w:tcPr>
          <w:p w14:paraId="1C50D794"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281" w:type="dxa"/>
            <w:tcBorders>
              <w:top w:val="single" w:sz="8" w:space="0" w:color="auto"/>
              <w:left w:val="nil"/>
              <w:bottom w:val="nil"/>
              <w:right w:val="nil"/>
            </w:tcBorders>
            <w:tcMar>
              <w:top w:w="0" w:type="dxa"/>
              <w:left w:w="56" w:type="dxa"/>
              <w:bottom w:w="0" w:type="dxa"/>
              <w:right w:w="56" w:type="dxa"/>
            </w:tcMar>
            <w:hideMark/>
          </w:tcPr>
          <w:p w14:paraId="646B1A10"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c>
          <w:tcPr>
            <w:tcW w:w="1337" w:type="dxa"/>
            <w:tcBorders>
              <w:top w:val="single" w:sz="8" w:space="0" w:color="auto"/>
              <w:left w:val="nil"/>
              <w:bottom w:val="nil"/>
              <w:right w:val="nil"/>
            </w:tcBorders>
            <w:tcMar>
              <w:top w:w="0" w:type="dxa"/>
              <w:left w:w="0" w:type="dxa"/>
              <w:bottom w:w="0" w:type="dxa"/>
              <w:right w:w="57" w:type="dxa"/>
            </w:tcMar>
            <w:vAlign w:val="bottom"/>
            <w:hideMark/>
          </w:tcPr>
          <w:p w14:paraId="7BD3CBB9"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tc>
      </w:tr>
      <w:tr w:rsidR="002366D5" w:rsidRPr="002366D5" w14:paraId="1BBE69CA" w14:textId="77777777">
        <w:trPr>
          <w:trHeight w:val="265"/>
        </w:trPr>
        <w:tc>
          <w:tcPr>
            <w:tcW w:w="3627"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7" w:type="dxa"/>
            </w:tcMar>
            <w:vAlign w:val="bottom"/>
            <w:hideMark/>
          </w:tcPr>
          <w:p w14:paraId="0F8445F3" w14:textId="77777777" w:rsidR="002366D5" w:rsidRPr="002366D5" w:rsidRDefault="002366D5" w:rsidP="002366D5">
            <w:pPr>
              <w:spacing w:after="0" w:line="240" w:lineRule="auto"/>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xml:space="preserve">As </w:t>
            </w:r>
            <w:proofErr w:type="gramStart"/>
            <w:r w:rsidRPr="002366D5">
              <w:rPr>
                <w:rFonts w:ascii="unset" w:eastAsia="Times New Roman" w:hAnsi="unset" w:cs="Times New Roman"/>
                <w:b/>
                <w:bCs/>
                <w:kern w:val="0"/>
                <w:sz w:val="20"/>
                <w:szCs w:val="20"/>
                <w:lang w:eastAsia="en-GB"/>
                <w14:ligatures w14:val="none"/>
              </w:rPr>
              <w:t>at</w:t>
            </w:r>
            <w:proofErr w:type="gramEnd"/>
            <w:r w:rsidRPr="002366D5">
              <w:rPr>
                <w:rFonts w:ascii="unset" w:eastAsia="Times New Roman" w:hAnsi="unset" w:cs="Times New Roman"/>
                <w:b/>
                <w:bCs/>
                <w:kern w:val="0"/>
                <w:sz w:val="20"/>
                <w:szCs w:val="20"/>
                <w:lang w:eastAsia="en-GB"/>
                <w14:ligatures w14:val="none"/>
              </w:rPr>
              <w:t xml:space="preserve"> 31 January 2025</w:t>
            </w:r>
          </w:p>
        </w:tc>
        <w:tc>
          <w:tcPr>
            <w:tcW w:w="1336" w:type="dxa"/>
            <w:tcBorders>
              <w:top w:val="single" w:sz="8" w:space="0" w:color="auto"/>
              <w:left w:val="nil"/>
              <w:bottom w:val="double" w:sz="6" w:space="0" w:color="auto"/>
              <w:right w:val="nil"/>
            </w:tcBorders>
            <w:tcMar>
              <w:top w:w="0" w:type="dxa"/>
              <w:left w:w="0" w:type="dxa"/>
              <w:bottom w:w="0" w:type="dxa"/>
              <w:right w:w="57" w:type="dxa"/>
            </w:tcMar>
            <w:vAlign w:val="bottom"/>
            <w:hideMark/>
          </w:tcPr>
          <w:p w14:paraId="607C326C"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647</w:t>
            </w:r>
          </w:p>
        </w:tc>
        <w:tc>
          <w:tcPr>
            <w:tcW w:w="1336" w:type="dxa"/>
            <w:tcBorders>
              <w:top w:val="single" w:sz="8" w:space="0" w:color="auto"/>
              <w:left w:val="nil"/>
              <w:bottom w:val="double" w:sz="6" w:space="0" w:color="auto"/>
              <w:right w:val="nil"/>
            </w:tcBorders>
            <w:tcMar>
              <w:top w:w="0" w:type="dxa"/>
              <w:left w:w="0" w:type="dxa"/>
              <w:bottom w:w="0" w:type="dxa"/>
              <w:right w:w="57" w:type="dxa"/>
            </w:tcMar>
            <w:vAlign w:val="bottom"/>
            <w:hideMark/>
          </w:tcPr>
          <w:p w14:paraId="17A74D73"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4,093</w:t>
            </w:r>
          </w:p>
        </w:tc>
        <w:tc>
          <w:tcPr>
            <w:tcW w:w="1337" w:type="dxa"/>
            <w:tcBorders>
              <w:top w:val="single" w:sz="8" w:space="0" w:color="auto"/>
              <w:left w:val="nil"/>
              <w:bottom w:val="double" w:sz="6" w:space="0" w:color="auto"/>
              <w:right w:val="nil"/>
            </w:tcBorders>
            <w:tcMar>
              <w:top w:w="0" w:type="dxa"/>
              <w:left w:w="0" w:type="dxa"/>
              <w:bottom w:w="0" w:type="dxa"/>
              <w:right w:w="57" w:type="dxa"/>
            </w:tcMar>
            <w:vAlign w:val="bottom"/>
            <w:hideMark/>
          </w:tcPr>
          <w:p w14:paraId="0853040E"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91</w:t>
            </w:r>
          </w:p>
        </w:tc>
        <w:tc>
          <w:tcPr>
            <w:tcW w:w="1336" w:type="dxa"/>
            <w:tcBorders>
              <w:top w:val="single" w:sz="8" w:space="0" w:color="auto"/>
              <w:left w:val="nil"/>
              <w:bottom w:val="double" w:sz="6" w:space="0" w:color="auto"/>
              <w:right w:val="nil"/>
            </w:tcBorders>
            <w:tcMar>
              <w:top w:w="0" w:type="dxa"/>
              <w:left w:w="0" w:type="dxa"/>
              <w:bottom w:w="0" w:type="dxa"/>
              <w:right w:w="57" w:type="dxa"/>
            </w:tcMar>
            <w:vAlign w:val="bottom"/>
            <w:hideMark/>
          </w:tcPr>
          <w:p w14:paraId="73CF474D"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w:t>
            </w:r>
          </w:p>
        </w:tc>
        <w:tc>
          <w:tcPr>
            <w:tcW w:w="1281" w:type="dxa"/>
            <w:tcBorders>
              <w:top w:val="single" w:sz="8" w:space="0" w:color="auto"/>
              <w:left w:val="nil"/>
              <w:bottom w:val="double" w:sz="6" w:space="0" w:color="auto"/>
              <w:right w:val="nil"/>
            </w:tcBorders>
            <w:tcMar>
              <w:top w:w="0" w:type="dxa"/>
              <w:left w:w="56" w:type="dxa"/>
              <w:bottom w:w="0" w:type="dxa"/>
              <w:right w:w="56" w:type="dxa"/>
            </w:tcMar>
            <w:vAlign w:val="bottom"/>
            <w:hideMark/>
          </w:tcPr>
          <w:p w14:paraId="71EF5A58"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(12)</w:t>
            </w:r>
          </w:p>
        </w:tc>
        <w:tc>
          <w:tcPr>
            <w:tcW w:w="1282" w:type="dxa"/>
            <w:tcBorders>
              <w:top w:val="single" w:sz="8" w:space="0" w:color="auto"/>
              <w:left w:val="nil"/>
              <w:bottom w:val="double" w:sz="6" w:space="0" w:color="auto"/>
              <w:right w:val="nil"/>
            </w:tcBorders>
            <w:tcMar>
              <w:top w:w="0" w:type="dxa"/>
              <w:left w:w="56" w:type="dxa"/>
              <w:bottom w:w="0" w:type="dxa"/>
              <w:right w:w="56" w:type="dxa"/>
            </w:tcMar>
            <w:vAlign w:val="bottom"/>
            <w:hideMark/>
          </w:tcPr>
          <w:p w14:paraId="0669C81A" w14:textId="77777777" w:rsidR="002366D5" w:rsidRPr="002366D5" w:rsidRDefault="002366D5" w:rsidP="002366D5">
            <w:pPr>
              <w:spacing w:after="0" w:line="230" w:lineRule="atLeast"/>
              <w:ind w:left="149"/>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(4,424)</w:t>
            </w:r>
          </w:p>
        </w:tc>
        <w:tc>
          <w:tcPr>
            <w:tcW w:w="1281" w:type="dxa"/>
            <w:tcBorders>
              <w:top w:val="single" w:sz="8" w:space="0" w:color="auto"/>
              <w:left w:val="nil"/>
              <w:bottom w:val="double" w:sz="6" w:space="0" w:color="auto"/>
              <w:right w:val="nil"/>
            </w:tcBorders>
            <w:tcMar>
              <w:top w:w="0" w:type="dxa"/>
              <w:left w:w="56" w:type="dxa"/>
              <w:bottom w:w="0" w:type="dxa"/>
              <w:right w:w="56" w:type="dxa"/>
            </w:tcMar>
            <w:hideMark/>
          </w:tcPr>
          <w:p w14:paraId="232E30BD"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(9)</w:t>
            </w:r>
          </w:p>
        </w:tc>
        <w:tc>
          <w:tcPr>
            <w:tcW w:w="1337" w:type="dxa"/>
            <w:tcBorders>
              <w:top w:val="single" w:sz="8" w:space="0" w:color="auto"/>
              <w:left w:val="nil"/>
              <w:bottom w:val="double" w:sz="6" w:space="0" w:color="auto"/>
              <w:right w:val="nil"/>
            </w:tcBorders>
            <w:tcMar>
              <w:top w:w="0" w:type="dxa"/>
              <w:left w:w="0" w:type="dxa"/>
              <w:bottom w:w="0" w:type="dxa"/>
              <w:right w:w="57" w:type="dxa"/>
            </w:tcMar>
            <w:vAlign w:val="bottom"/>
            <w:hideMark/>
          </w:tcPr>
          <w:p w14:paraId="3E108B57"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386</w:t>
            </w:r>
          </w:p>
        </w:tc>
      </w:tr>
    </w:tbl>
    <w:p w14:paraId="72ED3469"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 </w:t>
      </w:r>
    </w:p>
    <w:p w14:paraId="11008BAB"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 </w:t>
      </w:r>
    </w:p>
    <w:p w14:paraId="5CFAEBC5" w14:textId="77777777" w:rsidR="002366D5" w:rsidRPr="002366D5" w:rsidRDefault="002366D5" w:rsidP="002366D5">
      <w:pPr>
        <w:shd w:val="clear" w:color="auto" w:fill="FFFFFF"/>
        <w:spacing w:after="0" w:line="240" w:lineRule="auto"/>
        <w:rPr>
          <w:rFonts w:ascii="Arial" w:eastAsia="Times New Roman" w:hAnsi="Arial" w:cs="Arial"/>
          <w:color w:val="1F2937"/>
          <w:kern w:val="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br/>
      </w:r>
    </w:p>
    <w:p w14:paraId="2133DDCD"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b/>
          <w:bCs/>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Unaudited Condensed Consolidated Statement of Cash Flows</w:t>
      </w:r>
    </w:p>
    <w:tbl>
      <w:tblPr>
        <w:tblW w:w="0" w:type="auto"/>
        <w:tblInd w:w="-56" w:type="dxa"/>
        <w:tblBorders>
          <w:top w:val="single" w:sz="2" w:space="0" w:color="808080"/>
          <w:left w:val="single" w:sz="2" w:space="0" w:color="808080"/>
          <w:bottom w:val="single" w:sz="2" w:space="0" w:color="808080"/>
          <w:right w:val="single" w:sz="2" w:space="0" w:color="808080"/>
        </w:tblBorders>
        <w:tblCellMar>
          <w:left w:w="0" w:type="dxa"/>
          <w:right w:w="0" w:type="dxa"/>
        </w:tblCellMar>
        <w:tblLook w:val="04A0" w:firstRow="1" w:lastRow="0" w:firstColumn="1" w:lastColumn="0" w:noHBand="0" w:noVBand="1"/>
      </w:tblPr>
      <w:tblGrid>
        <w:gridCol w:w="5518"/>
        <w:gridCol w:w="1779"/>
        <w:gridCol w:w="1779"/>
      </w:tblGrid>
      <w:tr w:rsidR="002366D5" w:rsidRPr="002366D5" w14:paraId="3393A11F" w14:textId="77777777">
        <w:trPr>
          <w:trHeight w:val="259"/>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5DD0D744"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2FDF24B8"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Six months to</w:t>
            </w:r>
          </w:p>
          <w:p w14:paraId="1E907898"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31 Jan 2026</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276F1937"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Six months to</w:t>
            </w:r>
          </w:p>
          <w:p w14:paraId="6C271D15"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31 Jan 2025</w:t>
            </w:r>
          </w:p>
        </w:tc>
      </w:tr>
      <w:tr w:rsidR="002366D5" w:rsidRPr="002366D5" w14:paraId="2763C911" w14:textId="77777777">
        <w:trPr>
          <w:trHeight w:val="259"/>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4198EAB8"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2271611F"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(Unaudited)</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72A7B8A7"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(Unaudited)</w:t>
            </w:r>
          </w:p>
        </w:tc>
      </w:tr>
      <w:tr w:rsidR="002366D5" w:rsidRPr="002366D5" w14:paraId="22142B61" w14:textId="77777777">
        <w:trPr>
          <w:trHeight w:val="259"/>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3A256851"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481FCEC8"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£'000</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074CA2F4"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£'000</w:t>
            </w:r>
          </w:p>
        </w:tc>
      </w:tr>
      <w:tr w:rsidR="002366D5" w:rsidRPr="002366D5" w14:paraId="42D3DF81"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7AD0FFAD"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Cash flows from operating activities</w:t>
            </w:r>
          </w:p>
        </w:tc>
        <w:tc>
          <w:tcPr>
            <w:tcW w:w="1806" w:type="dxa"/>
            <w:tcBorders>
              <w:top w:val="single" w:sz="8" w:space="0" w:color="auto"/>
              <w:left w:val="nil"/>
              <w:bottom w:val="nil"/>
              <w:right w:val="nil"/>
            </w:tcBorders>
            <w:tcMar>
              <w:top w:w="0" w:type="dxa"/>
              <w:left w:w="56" w:type="dxa"/>
              <w:bottom w:w="0" w:type="dxa"/>
              <w:right w:w="56" w:type="dxa"/>
            </w:tcMar>
            <w:vAlign w:val="bottom"/>
            <w:hideMark/>
          </w:tcPr>
          <w:p w14:paraId="3EED8F14"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1806" w:type="dxa"/>
            <w:tcBorders>
              <w:top w:val="single" w:sz="8" w:space="0" w:color="auto"/>
              <w:left w:val="nil"/>
              <w:bottom w:val="nil"/>
              <w:right w:val="nil"/>
            </w:tcBorders>
            <w:tcMar>
              <w:top w:w="0" w:type="dxa"/>
              <w:left w:w="56" w:type="dxa"/>
              <w:bottom w:w="0" w:type="dxa"/>
              <w:right w:w="56" w:type="dxa"/>
            </w:tcMar>
            <w:vAlign w:val="bottom"/>
            <w:hideMark/>
          </w:tcPr>
          <w:p w14:paraId="3A96B614"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r>
      <w:tr w:rsidR="002366D5" w:rsidRPr="002366D5" w14:paraId="48C3E795"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55322138"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Loss before taxation</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7F313483"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(229)</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1DB87742"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(198)</w:t>
            </w:r>
          </w:p>
        </w:tc>
      </w:tr>
      <w:tr w:rsidR="002366D5" w:rsidRPr="002366D5" w14:paraId="078D0976"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1E981958"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Adjustments for:</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4C11131E"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4617510C"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r>
      <w:tr w:rsidR="002366D5" w:rsidRPr="002366D5" w14:paraId="776D225D"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48B0AE03"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Share based payment</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3D108122"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26</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3D36B93D"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47</w:t>
            </w:r>
          </w:p>
        </w:tc>
      </w:tr>
      <w:tr w:rsidR="002366D5" w:rsidRPr="002366D5" w14:paraId="30852DC8"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30CC3562"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Amortisation of right-of-use assets</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2528C426"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27F9AD96"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15</w:t>
            </w:r>
          </w:p>
        </w:tc>
      </w:tr>
      <w:tr w:rsidR="002366D5" w:rsidRPr="002366D5" w14:paraId="47309EB1"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003A26C7"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Amortisation of intangible assets</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51EE60F5"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11</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410A677B"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15</w:t>
            </w:r>
          </w:p>
        </w:tc>
      </w:tr>
      <w:tr w:rsidR="002366D5" w:rsidRPr="002366D5" w14:paraId="6867E883"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2F44D14E"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Waiver of director's remuneration</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7E1E717A"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(139)</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70F454D8"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r>
      <w:tr w:rsidR="002366D5" w:rsidRPr="002366D5" w14:paraId="7D25801A"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754FE824"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Foreign exchange differences</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1589A544"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5C95E2AA"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(12)</w:t>
            </w:r>
          </w:p>
        </w:tc>
      </w:tr>
      <w:tr w:rsidR="002366D5" w:rsidRPr="002366D5" w14:paraId="06118DA5"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22B05850" w14:textId="77777777" w:rsidR="002366D5" w:rsidRPr="002366D5" w:rsidRDefault="002366D5" w:rsidP="002366D5">
            <w:pPr>
              <w:spacing w:after="0" w:line="240" w:lineRule="auto"/>
              <w:ind w:left="56" w:right="124" w:hanging="56"/>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Net cash used in operating activities before changes in working capital</w:t>
            </w:r>
          </w:p>
        </w:tc>
        <w:tc>
          <w:tcPr>
            <w:tcW w:w="1806" w:type="dxa"/>
            <w:tcBorders>
              <w:top w:val="single" w:sz="8" w:space="0" w:color="auto"/>
              <w:left w:val="nil"/>
              <w:bottom w:val="nil"/>
              <w:right w:val="nil"/>
            </w:tcBorders>
            <w:tcMar>
              <w:top w:w="0" w:type="dxa"/>
              <w:left w:w="56" w:type="dxa"/>
              <w:bottom w:w="0" w:type="dxa"/>
              <w:right w:w="56" w:type="dxa"/>
            </w:tcMar>
            <w:vAlign w:val="center"/>
            <w:hideMark/>
          </w:tcPr>
          <w:p w14:paraId="6238BA12"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(331)</w:t>
            </w:r>
          </w:p>
        </w:tc>
        <w:tc>
          <w:tcPr>
            <w:tcW w:w="1806" w:type="dxa"/>
            <w:tcBorders>
              <w:top w:val="single" w:sz="8" w:space="0" w:color="auto"/>
              <w:left w:val="nil"/>
              <w:bottom w:val="nil"/>
              <w:right w:val="nil"/>
            </w:tcBorders>
            <w:tcMar>
              <w:top w:w="0" w:type="dxa"/>
              <w:left w:w="56" w:type="dxa"/>
              <w:bottom w:w="0" w:type="dxa"/>
              <w:right w:w="56" w:type="dxa"/>
            </w:tcMar>
            <w:vAlign w:val="center"/>
            <w:hideMark/>
          </w:tcPr>
          <w:p w14:paraId="3547298B"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(133)</w:t>
            </w:r>
          </w:p>
        </w:tc>
      </w:tr>
      <w:tr w:rsidR="002366D5" w:rsidRPr="002366D5" w14:paraId="54F541DD"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6A73A5BE" w14:textId="77777777" w:rsidR="002366D5" w:rsidRPr="002366D5" w:rsidRDefault="002366D5" w:rsidP="002366D5">
            <w:pPr>
              <w:spacing w:after="0" w:line="240" w:lineRule="auto"/>
              <w:ind w:left="56" w:right="124" w:hanging="56"/>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1806" w:type="dxa"/>
            <w:tcBorders>
              <w:top w:val="single" w:sz="8" w:space="0" w:color="auto"/>
              <w:left w:val="nil"/>
              <w:bottom w:val="nil"/>
              <w:right w:val="nil"/>
            </w:tcBorders>
            <w:tcMar>
              <w:top w:w="0" w:type="dxa"/>
              <w:left w:w="56" w:type="dxa"/>
              <w:bottom w:w="0" w:type="dxa"/>
              <w:right w:w="56" w:type="dxa"/>
            </w:tcMar>
            <w:vAlign w:val="center"/>
            <w:hideMark/>
          </w:tcPr>
          <w:p w14:paraId="71AA49B4"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806" w:type="dxa"/>
            <w:tcBorders>
              <w:top w:val="single" w:sz="8" w:space="0" w:color="auto"/>
              <w:left w:val="nil"/>
              <w:bottom w:val="nil"/>
              <w:right w:val="nil"/>
            </w:tcBorders>
            <w:tcMar>
              <w:top w:w="0" w:type="dxa"/>
              <w:left w:w="56" w:type="dxa"/>
              <w:bottom w:w="0" w:type="dxa"/>
              <w:right w:w="56" w:type="dxa"/>
            </w:tcMar>
            <w:vAlign w:val="center"/>
            <w:hideMark/>
          </w:tcPr>
          <w:p w14:paraId="2CDA7CDF"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r>
      <w:tr w:rsidR="002366D5" w:rsidRPr="002366D5" w14:paraId="7ABAC4DF"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5FECA6BB"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Changes in working capital</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14C53FE9"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6E31774D"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r>
      <w:tr w:rsidR="002366D5" w:rsidRPr="002366D5" w14:paraId="4353C00E"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6A1FA19C"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(Increase)/decrease in trade and other receivables</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5A87CE96"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(48)</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270D466E"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49</w:t>
            </w:r>
          </w:p>
        </w:tc>
      </w:tr>
      <w:tr w:rsidR="002366D5" w:rsidRPr="002366D5" w14:paraId="1837737C"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7EFBA79B"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Increase in trade and other payables</w:t>
            </w:r>
          </w:p>
        </w:tc>
        <w:tc>
          <w:tcPr>
            <w:tcW w:w="1806" w:type="dxa"/>
            <w:tcBorders>
              <w:top w:val="nil"/>
              <w:left w:val="nil"/>
              <w:bottom w:val="single" w:sz="8" w:space="0" w:color="auto"/>
              <w:right w:val="nil"/>
            </w:tcBorders>
            <w:tcMar>
              <w:top w:w="0" w:type="dxa"/>
              <w:left w:w="56" w:type="dxa"/>
              <w:bottom w:w="0" w:type="dxa"/>
              <w:right w:w="56" w:type="dxa"/>
            </w:tcMar>
            <w:vAlign w:val="center"/>
            <w:hideMark/>
          </w:tcPr>
          <w:p w14:paraId="1759F34D"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13</w:t>
            </w:r>
          </w:p>
        </w:tc>
        <w:tc>
          <w:tcPr>
            <w:tcW w:w="1806" w:type="dxa"/>
            <w:tcBorders>
              <w:top w:val="nil"/>
              <w:left w:val="nil"/>
              <w:bottom w:val="single" w:sz="8" w:space="0" w:color="auto"/>
              <w:right w:val="nil"/>
            </w:tcBorders>
            <w:tcMar>
              <w:top w:w="0" w:type="dxa"/>
              <w:left w:w="56" w:type="dxa"/>
              <w:bottom w:w="0" w:type="dxa"/>
              <w:right w:w="56" w:type="dxa"/>
            </w:tcMar>
            <w:vAlign w:val="center"/>
            <w:hideMark/>
          </w:tcPr>
          <w:p w14:paraId="70D78C8A"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43</w:t>
            </w:r>
          </w:p>
        </w:tc>
      </w:tr>
      <w:tr w:rsidR="002366D5" w:rsidRPr="002366D5" w14:paraId="5E74415D"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22561E5C"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Net cash used in operations</w:t>
            </w:r>
          </w:p>
        </w:tc>
        <w:tc>
          <w:tcPr>
            <w:tcW w:w="1806" w:type="dxa"/>
            <w:tcBorders>
              <w:top w:val="nil"/>
              <w:left w:val="nil"/>
              <w:bottom w:val="single" w:sz="8" w:space="0" w:color="auto"/>
              <w:right w:val="nil"/>
            </w:tcBorders>
            <w:tcMar>
              <w:top w:w="0" w:type="dxa"/>
              <w:left w:w="56" w:type="dxa"/>
              <w:bottom w:w="0" w:type="dxa"/>
              <w:right w:w="56" w:type="dxa"/>
            </w:tcMar>
            <w:vAlign w:val="center"/>
            <w:hideMark/>
          </w:tcPr>
          <w:p w14:paraId="5CD77FBE"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(366)</w:t>
            </w:r>
          </w:p>
        </w:tc>
        <w:tc>
          <w:tcPr>
            <w:tcW w:w="1806" w:type="dxa"/>
            <w:tcBorders>
              <w:top w:val="nil"/>
              <w:left w:val="nil"/>
              <w:bottom w:val="single" w:sz="8" w:space="0" w:color="auto"/>
              <w:right w:val="nil"/>
            </w:tcBorders>
            <w:tcMar>
              <w:top w:w="0" w:type="dxa"/>
              <w:left w:w="56" w:type="dxa"/>
              <w:bottom w:w="0" w:type="dxa"/>
              <w:right w:w="56" w:type="dxa"/>
            </w:tcMar>
            <w:vAlign w:val="center"/>
            <w:hideMark/>
          </w:tcPr>
          <w:p w14:paraId="524C916F"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92</w:t>
            </w:r>
          </w:p>
        </w:tc>
      </w:tr>
      <w:tr w:rsidR="002366D5" w:rsidRPr="002366D5" w14:paraId="00E98C40"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2CFC7829" w14:textId="77777777" w:rsidR="002366D5" w:rsidRPr="002366D5" w:rsidRDefault="002366D5" w:rsidP="002366D5">
            <w:pPr>
              <w:spacing w:after="0" w:line="240" w:lineRule="auto"/>
              <w:ind w:left="180" w:right="124" w:hanging="180"/>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806" w:type="dxa"/>
            <w:tcBorders>
              <w:top w:val="nil"/>
              <w:left w:val="nil"/>
              <w:bottom w:val="nil"/>
              <w:right w:val="nil"/>
            </w:tcBorders>
            <w:tcMar>
              <w:top w:w="0" w:type="dxa"/>
              <w:left w:w="56" w:type="dxa"/>
              <w:bottom w:w="0" w:type="dxa"/>
              <w:right w:w="56" w:type="dxa"/>
            </w:tcMar>
            <w:vAlign w:val="center"/>
            <w:hideMark/>
          </w:tcPr>
          <w:p w14:paraId="6C9A7B88"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806" w:type="dxa"/>
            <w:tcBorders>
              <w:top w:val="nil"/>
              <w:left w:val="nil"/>
              <w:bottom w:val="nil"/>
              <w:right w:val="nil"/>
            </w:tcBorders>
            <w:tcMar>
              <w:top w:w="0" w:type="dxa"/>
              <w:left w:w="56" w:type="dxa"/>
              <w:bottom w:w="0" w:type="dxa"/>
              <w:right w:w="56" w:type="dxa"/>
            </w:tcMar>
            <w:vAlign w:val="center"/>
            <w:hideMark/>
          </w:tcPr>
          <w:p w14:paraId="7D820AE9"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r>
      <w:tr w:rsidR="002366D5" w:rsidRPr="002366D5" w14:paraId="064A6C4C"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1AB6339E" w14:textId="77777777" w:rsidR="002366D5" w:rsidRPr="002366D5" w:rsidRDefault="002366D5" w:rsidP="002366D5">
            <w:pPr>
              <w:spacing w:after="0" w:line="240" w:lineRule="auto"/>
              <w:ind w:left="180" w:right="124" w:hanging="180"/>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Cash flows from investing activities</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5AE6E8FF"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6785779B"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r>
      <w:tr w:rsidR="002366D5" w:rsidRPr="002366D5" w14:paraId="42FE7956"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7029642B" w14:textId="77777777" w:rsidR="002366D5" w:rsidRPr="002366D5" w:rsidRDefault="002366D5" w:rsidP="002366D5">
            <w:pPr>
              <w:spacing w:after="0" w:line="240" w:lineRule="auto"/>
              <w:ind w:left="180" w:right="124" w:hanging="180"/>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Purchase of property, plant and equipment</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7EF4A72D"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0ABE5639"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w:t>
            </w:r>
          </w:p>
        </w:tc>
      </w:tr>
      <w:tr w:rsidR="002366D5" w:rsidRPr="002366D5" w14:paraId="3F8EA20C" w14:textId="77777777">
        <w:trPr>
          <w:trHeight w:val="268"/>
        </w:trPr>
        <w:tc>
          <w:tcPr>
            <w:tcW w:w="5690" w:type="dxa"/>
            <w:tcBorders>
              <w:top w:val="single" w:sz="2" w:space="0" w:color="E5E7EB"/>
              <w:left w:val="single" w:sz="2" w:space="0" w:color="E5E7EB"/>
              <w:bottom w:val="single" w:sz="2" w:space="0" w:color="E5E7EB"/>
              <w:right w:val="single" w:sz="2" w:space="0" w:color="E5E7EB"/>
            </w:tcBorders>
            <w:tcMar>
              <w:top w:w="0" w:type="dxa"/>
              <w:left w:w="57" w:type="dxa"/>
              <w:bottom w:w="0" w:type="dxa"/>
              <w:right w:w="56" w:type="dxa"/>
            </w:tcMar>
            <w:vAlign w:val="bottom"/>
            <w:hideMark/>
          </w:tcPr>
          <w:p w14:paraId="3781ADA9" w14:textId="77777777" w:rsidR="002366D5" w:rsidRPr="002366D5" w:rsidRDefault="002366D5" w:rsidP="002366D5">
            <w:pPr>
              <w:spacing w:after="0" w:line="240" w:lineRule="auto"/>
              <w:ind w:left="180" w:right="124" w:hanging="180"/>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lastRenderedPageBreak/>
              <w:t>Purchase of intangible asset</w:t>
            </w:r>
          </w:p>
        </w:tc>
        <w:tc>
          <w:tcPr>
            <w:tcW w:w="1806" w:type="dxa"/>
            <w:tcBorders>
              <w:top w:val="nil"/>
              <w:left w:val="nil"/>
              <w:bottom w:val="single" w:sz="8" w:space="0" w:color="auto"/>
              <w:right w:val="nil"/>
            </w:tcBorders>
            <w:tcMar>
              <w:top w:w="0" w:type="dxa"/>
              <w:left w:w="56" w:type="dxa"/>
              <w:bottom w:w="0" w:type="dxa"/>
              <w:right w:w="56" w:type="dxa"/>
            </w:tcMar>
            <w:vAlign w:val="center"/>
            <w:hideMark/>
          </w:tcPr>
          <w:p w14:paraId="04F008EF"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(10)</w:t>
            </w:r>
          </w:p>
        </w:tc>
        <w:tc>
          <w:tcPr>
            <w:tcW w:w="1806" w:type="dxa"/>
            <w:tcBorders>
              <w:top w:val="nil"/>
              <w:left w:val="nil"/>
              <w:bottom w:val="single" w:sz="8" w:space="0" w:color="auto"/>
              <w:right w:val="nil"/>
            </w:tcBorders>
            <w:tcMar>
              <w:top w:w="0" w:type="dxa"/>
              <w:left w:w="56" w:type="dxa"/>
              <w:bottom w:w="0" w:type="dxa"/>
              <w:right w:w="56" w:type="dxa"/>
            </w:tcMar>
            <w:vAlign w:val="center"/>
            <w:hideMark/>
          </w:tcPr>
          <w:p w14:paraId="079378D1"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r>
      <w:tr w:rsidR="002366D5" w:rsidRPr="002366D5" w14:paraId="086B69AB"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5DEB8212"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Net cash flow (used in)/generated from investing activities</w:t>
            </w:r>
          </w:p>
        </w:tc>
        <w:tc>
          <w:tcPr>
            <w:tcW w:w="1806" w:type="dxa"/>
            <w:tcBorders>
              <w:top w:val="nil"/>
              <w:left w:val="nil"/>
              <w:bottom w:val="single" w:sz="8" w:space="0" w:color="auto"/>
              <w:right w:val="nil"/>
            </w:tcBorders>
            <w:tcMar>
              <w:top w:w="0" w:type="dxa"/>
              <w:left w:w="56" w:type="dxa"/>
              <w:bottom w:w="0" w:type="dxa"/>
              <w:right w:w="56" w:type="dxa"/>
            </w:tcMar>
            <w:vAlign w:val="center"/>
            <w:hideMark/>
          </w:tcPr>
          <w:p w14:paraId="2EE9D2F8"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(10)</w:t>
            </w:r>
          </w:p>
        </w:tc>
        <w:tc>
          <w:tcPr>
            <w:tcW w:w="1806" w:type="dxa"/>
            <w:tcBorders>
              <w:top w:val="nil"/>
              <w:left w:val="nil"/>
              <w:bottom w:val="single" w:sz="8" w:space="0" w:color="auto"/>
              <w:right w:val="nil"/>
            </w:tcBorders>
            <w:tcMar>
              <w:top w:w="0" w:type="dxa"/>
              <w:left w:w="56" w:type="dxa"/>
              <w:bottom w:w="0" w:type="dxa"/>
              <w:right w:w="56" w:type="dxa"/>
            </w:tcMar>
            <w:vAlign w:val="center"/>
            <w:hideMark/>
          </w:tcPr>
          <w:p w14:paraId="5B4F332F"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(1)</w:t>
            </w:r>
          </w:p>
        </w:tc>
      </w:tr>
      <w:tr w:rsidR="002366D5" w:rsidRPr="002366D5" w14:paraId="53D951AB"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1BC18590"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1806" w:type="dxa"/>
            <w:tcBorders>
              <w:top w:val="nil"/>
              <w:left w:val="nil"/>
              <w:bottom w:val="nil"/>
              <w:right w:val="nil"/>
            </w:tcBorders>
            <w:tcMar>
              <w:top w:w="0" w:type="dxa"/>
              <w:left w:w="56" w:type="dxa"/>
              <w:bottom w:w="0" w:type="dxa"/>
              <w:right w:w="56" w:type="dxa"/>
            </w:tcMar>
            <w:vAlign w:val="center"/>
            <w:hideMark/>
          </w:tcPr>
          <w:p w14:paraId="6A2DA0E1"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806" w:type="dxa"/>
            <w:tcBorders>
              <w:top w:val="nil"/>
              <w:left w:val="nil"/>
              <w:bottom w:val="nil"/>
              <w:right w:val="nil"/>
            </w:tcBorders>
            <w:tcMar>
              <w:top w:w="0" w:type="dxa"/>
              <w:left w:w="56" w:type="dxa"/>
              <w:bottom w:w="0" w:type="dxa"/>
              <w:right w:w="56" w:type="dxa"/>
            </w:tcMar>
            <w:vAlign w:val="center"/>
            <w:hideMark/>
          </w:tcPr>
          <w:p w14:paraId="7381C116"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r>
      <w:tr w:rsidR="002366D5" w:rsidRPr="002366D5" w14:paraId="5F6A74DB"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531EDD85" w14:textId="77777777" w:rsidR="002366D5" w:rsidRPr="002366D5" w:rsidRDefault="002366D5" w:rsidP="002366D5">
            <w:pPr>
              <w:spacing w:after="0" w:line="240" w:lineRule="auto"/>
              <w:ind w:left="180" w:right="124" w:hanging="180"/>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Cash flow from financing activities</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62250D55"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427D63CD"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r>
      <w:tr w:rsidR="002366D5" w:rsidRPr="002366D5" w14:paraId="2407ED47"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1211D70B" w14:textId="77777777" w:rsidR="002366D5" w:rsidRPr="002366D5" w:rsidRDefault="002366D5" w:rsidP="002366D5">
            <w:pPr>
              <w:spacing w:after="0" w:line="240" w:lineRule="auto"/>
              <w:ind w:left="180" w:right="124" w:hanging="180"/>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Proceeds from issue of share capital</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51738089"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401</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5716E2CE"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r>
      <w:tr w:rsidR="002366D5" w:rsidRPr="002366D5" w14:paraId="45A590EE"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5F267A9B" w14:textId="77777777" w:rsidR="002366D5" w:rsidRPr="002366D5" w:rsidRDefault="002366D5" w:rsidP="002366D5">
            <w:pPr>
              <w:spacing w:after="0" w:line="240" w:lineRule="auto"/>
              <w:ind w:left="180" w:right="124" w:hanging="180"/>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Cost of share issue</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623A86E4"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(24)</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7A55B8F5"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r>
      <w:tr w:rsidR="002366D5" w:rsidRPr="002366D5" w14:paraId="2AAFE575"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7BB5D2F3" w14:textId="77777777" w:rsidR="002366D5" w:rsidRPr="002366D5" w:rsidRDefault="002366D5" w:rsidP="002366D5">
            <w:pPr>
              <w:spacing w:after="0" w:line="240" w:lineRule="auto"/>
              <w:ind w:left="180" w:right="124" w:hanging="180"/>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Directors' loans received</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096AA1FA"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15</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5AD4A44C"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r>
      <w:tr w:rsidR="002366D5" w:rsidRPr="002366D5" w14:paraId="50C4321B"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390277EC" w14:textId="77777777" w:rsidR="002366D5" w:rsidRPr="002366D5" w:rsidRDefault="002366D5" w:rsidP="002366D5">
            <w:pPr>
              <w:spacing w:after="0" w:line="240" w:lineRule="auto"/>
              <w:ind w:left="180" w:right="124" w:hanging="180"/>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Repayment of directors' loans</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2EBF57FA"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(34)</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7D9ED0FB"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r>
      <w:tr w:rsidR="002366D5" w:rsidRPr="002366D5" w14:paraId="463531C5"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11C3187E" w14:textId="77777777" w:rsidR="002366D5" w:rsidRPr="002366D5" w:rsidRDefault="002366D5" w:rsidP="002366D5">
            <w:pPr>
              <w:spacing w:after="0" w:line="240" w:lineRule="auto"/>
              <w:ind w:left="180" w:right="124" w:hanging="180"/>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Proceeds from borrowings</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048F55B8"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09D83350"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65</w:t>
            </w:r>
          </w:p>
        </w:tc>
      </w:tr>
      <w:tr w:rsidR="002366D5" w:rsidRPr="002366D5" w14:paraId="02FE7BF5"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01C324C4" w14:textId="77777777" w:rsidR="002366D5" w:rsidRPr="002366D5" w:rsidRDefault="002366D5" w:rsidP="002366D5">
            <w:pPr>
              <w:spacing w:after="0" w:line="240" w:lineRule="auto"/>
              <w:ind w:left="180" w:right="124" w:hanging="180"/>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Lease liability payments</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366630A5"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096501B0"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(17)</w:t>
            </w:r>
          </w:p>
        </w:tc>
      </w:tr>
      <w:tr w:rsidR="002366D5" w:rsidRPr="002366D5" w14:paraId="23BCC25C"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77E61043" w14:textId="77777777" w:rsidR="002366D5" w:rsidRPr="002366D5" w:rsidRDefault="002366D5" w:rsidP="002366D5">
            <w:pPr>
              <w:spacing w:after="0" w:line="240" w:lineRule="auto"/>
              <w:ind w:left="180" w:right="124" w:hanging="180"/>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Net cash generated from financing activities</w:t>
            </w:r>
          </w:p>
        </w:tc>
        <w:tc>
          <w:tcPr>
            <w:tcW w:w="1806" w:type="dxa"/>
            <w:tcBorders>
              <w:top w:val="single" w:sz="8" w:space="0" w:color="auto"/>
              <w:left w:val="nil"/>
              <w:bottom w:val="single" w:sz="8" w:space="0" w:color="auto"/>
              <w:right w:val="nil"/>
            </w:tcBorders>
            <w:tcMar>
              <w:top w:w="0" w:type="dxa"/>
              <w:left w:w="56" w:type="dxa"/>
              <w:bottom w:w="0" w:type="dxa"/>
              <w:right w:w="56" w:type="dxa"/>
            </w:tcMar>
            <w:hideMark/>
          </w:tcPr>
          <w:p w14:paraId="500AC544"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358</w:t>
            </w:r>
          </w:p>
        </w:tc>
        <w:tc>
          <w:tcPr>
            <w:tcW w:w="1806" w:type="dxa"/>
            <w:tcBorders>
              <w:top w:val="single" w:sz="8" w:space="0" w:color="auto"/>
              <w:left w:val="nil"/>
              <w:bottom w:val="single" w:sz="8" w:space="0" w:color="auto"/>
              <w:right w:val="nil"/>
            </w:tcBorders>
            <w:tcMar>
              <w:top w:w="0" w:type="dxa"/>
              <w:left w:w="56" w:type="dxa"/>
              <w:bottom w:w="0" w:type="dxa"/>
              <w:right w:w="56" w:type="dxa"/>
            </w:tcMar>
            <w:vAlign w:val="center"/>
            <w:hideMark/>
          </w:tcPr>
          <w:p w14:paraId="483E93E6"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48</w:t>
            </w:r>
          </w:p>
        </w:tc>
      </w:tr>
      <w:tr w:rsidR="002366D5" w:rsidRPr="002366D5" w14:paraId="6447603B"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1B791B2A"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br/>
            </w:r>
          </w:p>
        </w:tc>
        <w:tc>
          <w:tcPr>
            <w:tcW w:w="1806" w:type="dxa"/>
            <w:tcBorders>
              <w:top w:val="nil"/>
              <w:left w:val="nil"/>
              <w:bottom w:val="nil"/>
              <w:right w:val="nil"/>
            </w:tcBorders>
            <w:tcMar>
              <w:top w:w="0" w:type="dxa"/>
              <w:left w:w="56" w:type="dxa"/>
              <w:bottom w:w="0" w:type="dxa"/>
              <w:right w:w="56" w:type="dxa"/>
            </w:tcMar>
            <w:vAlign w:val="center"/>
            <w:hideMark/>
          </w:tcPr>
          <w:p w14:paraId="1013E8A3"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806" w:type="dxa"/>
            <w:tcBorders>
              <w:top w:val="nil"/>
              <w:left w:val="nil"/>
              <w:bottom w:val="nil"/>
              <w:right w:val="nil"/>
            </w:tcBorders>
            <w:tcMar>
              <w:top w:w="0" w:type="dxa"/>
              <w:left w:w="56" w:type="dxa"/>
              <w:bottom w:w="0" w:type="dxa"/>
              <w:right w:w="56" w:type="dxa"/>
            </w:tcMar>
            <w:vAlign w:val="center"/>
            <w:hideMark/>
          </w:tcPr>
          <w:p w14:paraId="66D0688A"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r>
      <w:tr w:rsidR="002366D5" w:rsidRPr="002366D5" w14:paraId="21B0570F"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21439911"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(Decrease)/increase in cash and cash equivalents</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3953EEA7"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(18)</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63F74F76"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(6)</w:t>
            </w:r>
          </w:p>
        </w:tc>
      </w:tr>
      <w:tr w:rsidR="002366D5" w:rsidRPr="002366D5" w14:paraId="45ADF227"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0508913A"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 </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34B80915"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13412826"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r>
      <w:tr w:rsidR="002366D5" w:rsidRPr="002366D5" w14:paraId="39A1AD77"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3D2F8C6C" w14:textId="77777777" w:rsidR="002366D5" w:rsidRPr="002366D5" w:rsidRDefault="002366D5" w:rsidP="002366D5">
            <w:pPr>
              <w:spacing w:after="0" w:line="240" w:lineRule="auto"/>
              <w:ind w:left="180" w:right="124" w:hanging="180"/>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Cash and cash equivalents at beginning of period</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hideMark/>
          </w:tcPr>
          <w:p w14:paraId="642AE54C"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24</w:t>
            </w:r>
          </w:p>
        </w:tc>
        <w:tc>
          <w:tcPr>
            <w:tcW w:w="180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5CAB7B2F"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13</w:t>
            </w:r>
          </w:p>
        </w:tc>
      </w:tr>
      <w:tr w:rsidR="002366D5" w:rsidRPr="002366D5" w14:paraId="66401790"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0A887D95" w14:textId="77777777" w:rsidR="002366D5" w:rsidRPr="002366D5" w:rsidRDefault="002366D5" w:rsidP="002366D5">
            <w:pPr>
              <w:spacing w:after="0" w:line="240" w:lineRule="auto"/>
              <w:ind w:left="180" w:right="124" w:hanging="180"/>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Effect of foreign exchange rate movements</w:t>
            </w:r>
          </w:p>
        </w:tc>
        <w:tc>
          <w:tcPr>
            <w:tcW w:w="1806" w:type="dxa"/>
            <w:tcBorders>
              <w:top w:val="nil"/>
              <w:left w:val="nil"/>
              <w:bottom w:val="single" w:sz="8" w:space="0" w:color="auto"/>
              <w:right w:val="nil"/>
            </w:tcBorders>
            <w:tcMar>
              <w:top w:w="0" w:type="dxa"/>
              <w:left w:w="56" w:type="dxa"/>
              <w:bottom w:w="0" w:type="dxa"/>
              <w:right w:w="56" w:type="dxa"/>
            </w:tcMar>
            <w:hideMark/>
          </w:tcPr>
          <w:p w14:paraId="31467E51"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c>
          <w:tcPr>
            <w:tcW w:w="1806" w:type="dxa"/>
            <w:tcBorders>
              <w:top w:val="nil"/>
              <w:left w:val="nil"/>
              <w:bottom w:val="single" w:sz="8" w:space="0" w:color="auto"/>
              <w:right w:val="nil"/>
            </w:tcBorders>
            <w:tcMar>
              <w:top w:w="0" w:type="dxa"/>
              <w:left w:w="56" w:type="dxa"/>
              <w:bottom w:w="0" w:type="dxa"/>
              <w:right w:w="56" w:type="dxa"/>
            </w:tcMar>
            <w:vAlign w:val="center"/>
            <w:hideMark/>
          </w:tcPr>
          <w:p w14:paraId="7868C450"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(2)</w:t>
            </w:r>
          </w:p>
        </w:tc>
      </w:tr>
      <w:tr w:rsidR="002366D5" w:rsidRPr="002366D5" w14:paraId="378E53A6" w14:textId="77777777">
        <w:trPr>
          <w:trHeight w:val="268"/>
        </w:trPr>
        <w:tc>
          <w:tcPr>
            <w:tcW w:w="569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43D4DBBC" w14:textId="77777777" w:rsidR="002366D5" w:rsidRPr="002366D5" w:rsidRDefault="002366D5" w:rsidP="002366D5">
            <w:pPr>
              <w:spacing w:after="0" w:line="240" w:lineRule="auto"/>
              <w:ind w:left="180" w:right="124" w:hanging="180"/>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Cash and cash equivalents at the end of the period</w:t>
            </w:r>
          </w:p>
        </w:tc>
        <w:tc>
          <w:tcPr>
            <w:tcW w:w="1806" w:type="dxa"/>
            <w:tcBorders>
              <w:top w:val="nil"/>
              <w:left w:val="nil"/>
              <w:bottom w:val="double" w:sz="6" w:space="0" w:color="auto"/>
              <w:right w:val="nil"/>
            </w:tcBorders>
            <w:tcMar>
              <w:top w:w="0" w:type="dxa"/>
              <w:left w:w="56" w:type="dxa"/>
              <w:bottom w:w="0" w:type="dxa"/>
              <w:right w:w="56" w:type="dxa"/>
            </w:tcMar>
            <w:hideMark/>
          </w:tcPr>
          <w:p w14:paraId="57FE8EC4"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6</w:t>
            </w:r>
          </w:p>
        </w:tc>
        <w:tc>
          <w:tcPr>
            <w:tcW w:w="1806" w:type="dxa"/>
            <w:tcBorders>
              <w:top w:val="nil"/>
              <w:left w:val="nil"/>
              <w:bottom w:val="double" w:sz="6" w:space="0" w:color="auto"/>
              <w:right w:val="nil"/>
            </w:tcBorders>
            <w:tcMar>
              <w:top w:w="0" w:type="dxa"/>
              <w:left w:w="56" w:type="dxa"/>
              <w:bottom w:w="0" w:type="dxa"/>
              <w:right w:w="56" w:type="dxa"/>
            </w:tcMar>
            <w:vAlign w:val="center"/>
            <w:hideMark/>
          </w:tcPr>
          <w:p w14:paraId="5BB7DC61"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5</w:t>
            </w:r>
          </w:p>
        </w:tc>
      </w:tr>
    </w:tbl>
    <w:p w14:paraId="6A2BDC0C"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for the interim period ended 31 January 2026</w:t>
      </w:r>
    </w:p>
    <w:p w14:paraId="2FA5A2E9"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w:t>
      </w:r>
    </w:p>
    <w:p w14:paraId="0067835D"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Non-cash transactions</w:t>
      </w:r>
    </w:p>
    <w:p w14:paraId="1E273B89" w14:textId="77777777" w:rsidR="002366D5" w:rsidRPr="002366D5" w:rsidRDefault="002366D5" w:rsidP="002366D5">
      <w:pPr>
        <w:shd w:val="clear" w:color="auto" w:fill="FFFFFF"/>
        <w:spacing w:after="200" w:line="23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During the period, Tim Blake waived remuneration relating to FY25 that had previously been accrued. This resulted in a non-cash reduction in accrued salary of £68k and associated employee tax liabilities of £71k. The total movement has been treated as a non-cash transaction and adjusted within operating cash flows.</w:t>
      </w:r>
    </w:p>
    <w:p w14:paraId="6223CBD0" w14:textId="77777777" w:rsidR="002366D5" w:rsidRPr="002366D5" w:rsidRDefault="002366D5" w:rsidP="002366D5">
      <w:pPr>
        <w:shd w:val="clear" w:color="auto" w:fill="FFFFFF"/>
        <w:spacing w:after="200" w:line="23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During the period, the Company settled £172k of creditor liabilities through the issuance of 15,723,790 ordinary shares.</w:t>
      </w:r>
    </w:p>
    <w:p w14:paraId="124ED903" w14:textId="77777777" w:rsidR="002366D5" w:rsidRPr="002366D5" w:rsidRDefault="002366D5" w:rsidP="002366D5">
      <w:pPr>
        <w:shd w:val="clear" w:color="auto" w:fill="FFFFFF"/>
        <w:spacing w:after="0" w:line="240" w:lineRule="auto"/>
        <w:rPr>
          <w:rFonts w:ascii="Arial" w:eastAsia="Times New Roman" w:hAnsi="Arial" w:cs="Arial"/>
          <w:color w:val="1F2937"/>
          <w:kern w:val="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br/>
      </w:r>
      <w:r w:rsidRPr="002366D5">
        <w:rPr>
          <w:rFonts w:ascii="Times New Roman" w:eastAsia="Times New Roman" w:hAnsi="Times New Roman" w:cs="Times New Roman"/>
          <w:color w:val="1F2937"/>
          <w:kern w:val="0"/>
          <w:sz w:val="20"/>
          <w:szCs w:val="20"/>
          <w:lang w:eastAsia="en-GB"/>
          <w14:ligatures w14:val="none"/>
        </w:rPr>
        <w:br/>
      </w:r>
    </w:p>
    <w:p w14:paraId="75E7F186"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w:t>
      </w:r>
    </w:p>
    <w:p w14:paraId="5E298CAD" w14:textId="77777777" w:rsidR="002366D5" w:rsidRPr="002366D5" w:rsidRDefault="002366D5" w:rsidP="002366D5">
      <w:pPr>
        <w:shd w:val="clear" w:color="auto" w:fill="FFFFFF"/>
        <w:spacing w:after="200" w:line="230" w:lineRule="atLeast"/>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Notes to the unaudited interim report for six months ended 31 January 2026</w:t>
      </w:r>
    </w:p>
    <w:p w14:paraId="7B06B15F" w14:textId="77777777" w:rsidR="002366D5" w:rsidRPr="002366D5" w:rsidRDefault="002366D5" w:rsidP="002366D5">
      <w:pPr>
        <w:shd w:val="clear" w:color="auto" w:fill="FFFFFF"/>
        <w:spacing w:after="0" w:line="240" w:lineRule="auto"/>
        <w:ind w:left="357" w:right="57" w:hanging="357"/>
        <w:rPr>
          <w:rFonts w:ascii="Univers 45 Light" w:eastAsia="Times New Roman" w:hAnsi="Univers 45 Light" w:cs="Arial"/>
          <w:color w:val="000000"/>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1.   General Information</w:t>
      </w:r>
    </w:p>
    <w:p w14:paraId="4ACF7243" w14:textId="77777777" w:rsidR="002366D5" w:rsidRPr="002366D5" w:rsidRDefault="002366D5" w:rsidP="002366D5">
      <w:pPr>
        <w:shd w:val="clear" w:color="auto" w:fill="FFFFFF"/>
        <w:spacing w:before="130"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Energy B Plc (formally Hydrogen Future Industries Plc) (the "Company") is a public limited company which is listed on the Aquis Stock Exchange ("AQSE") Growth Market and incorporated and domiciled in the UK. Its address of its registered office is 6 Heddon Street, London, W1B 4BT. The registered number of the Company is 13508782.</w:t>
      </w:r>
    </w:p>
    <w:p w14:paraId="135F4BA2"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 </w:t>
      </w:r>
    </w:p>
    <w:p w14:paraId="49E550C8" w14:textId="77777777" w:rsidR="002366D5" w:rsidRPr="002366D5" w:rsidRDefault="002366D5" w:rsidP="002366D5">
      <w:pPr>
        <w:shd w:val="clear" w:color="auto" w:fill="FFFFFF"/>
        <w:spacing w:after="200" w:line="240" w:lineRule="auto"/>
        <w:ind w:left="357" w:hanging="357"/>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2.   Basis of preparation</w:t>
      </w:r>
    </w:p>
    <w:p w14:paraId="7D58D4B4"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p w14:paraId="53E50B9B"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The condensed consolidated interim financial statements include the results of the Company and its subsidiaries ("the Group") for the six months ended 31 January 2026 and have not been audited. These condensed consolidated interim financial statements do not constitute statutory accounts within the meaning of section 434 of the Companies Act 2006.</w:t>
      </w:r>
    </w:p>
    <w:p w14:paraId="14FB09B6"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 </w:t>
      </w:r>
    </w:p>
    <w:p w14:paraId="7DB03AC5"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These condensed consolidated interim financial statements have been prepared in accordance with the AQSE rules and the recognition and measurement requirements of UK-adopted International Accounting Standards ("UK-</w:t>
      </w:r>
      <w:r w:rsidRPr="002366D5">
        <w:rPr>
          <w:rFonts w:ascii="Times New Roman" w:eastAsia="Times New Roman" w:hAnsi="Times New Roman" w:cs="Times New Roman"/>
          <w:kern w:val="0"/>
          <w:sz w:val="20"/>
          <w:szCs w:val="20"/>
          <w:lang w:eastAsia="en-GB"/>
          <w14:ligatures w14:val="none"/>
        </w:rPr>
        <w:lastRenderedPageBreak/>
        <w:t>IAS") using the accounting policies that will be applied in the preparation of the Group's annual financial statements for the year ending 31 July 2026, which are consistent with those disclosed in the Group's statutory annual financial statements for the year ended 31 July 2025.</w:t>
      </w:r>
    </w:p>
    <w:p w14:paraId="6CCB857C"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 </w:t>
      </w:r>
    </w:p>
    <w:p w14:paraId="56CCD1DE"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T</w:t>
      </w:r>
      <w:r w:rsidRPr="002366D5">
        <w:rPr>
          <w:rFonts w:ascii="Times New Roman" w:eastAsia="Times New Roman" w:hAnsi="Times New Roman" w:cs="Times New Roman"/>
          <w:color w:val="1F2937"/>
          <w:kern w:val="0"/>
          <w:sz w:val="20"/>
          <w:szCs w:val="20"/>
          <w:lang w:eastAsia="en-GB"/>
          <w14:ligatures w14:val="none"/>
        </w:rPr>
        <w:t>he condensed consolidated financial statements should be read in conjunction with the Group's statutory financial statements for the year ended 31 July 2025. The auditor's report on those financial statements was qualified. Further details of the basis for the qualification are set out in those financial statements.</w:t>
      </w:r>
    </w:p>
    <w:p w14:paraId="0A9C1A2D"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 </w:t>
      </w:r>
    </w:p>
    <w:p w14:paraId="21A4F2BC"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These condensed consolidated interim financial statements were approved by the Board of Directors on 29 April 2026.</w:t>
      </w:r>
    </w:p>
    <w:p w14:paraId="5000ED96"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 </w:t>
      </w:r>
    </w:p>
    <w:p w14:paraId="4EA784C8" w14:textId="77777777" w:rsidR="002366D5" w:rsidRPr="002366D5" w:rsidRDefault="002366D5" w:rsidP="002366D5">
      <w:pPr>
        <w:shd w:val="clear" w:color="auto" w:fill="FFFFFF"/>
        <w:spacing w:after="200" w:line="240" w:lineRule="auto"/>
        <w:ind w:left="357" w:hanging="357"/>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3.   Accounting policies</w:t>
      </w:r>
    </w:p>
    <w:p w14:paraId="0B9DDF13"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 </w:t>
      </w:r>
    </w:p>
    <w:p w14:paraId="42839D64"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b/>
          <w:bCs/>
          <w:color w:val="1F2937"/>
          <w:kern w:val="0"/>
          <w:sz w:val="20"/>
          <w:szCs w:val="20"/>
          <w:lang w:eastAsia="en-GB"/>
          <w14:ligatures w14:val="none"/>
        </w:rPr>
        <w:t>Going concern</w:t>
      </w:r>
    </w:p>
    <w:p w14:paraId="4E39D5BA"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 </w:t>
      </w:r>
    </w:p>
    <w:p w14:paraId="1BC91697"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The Group incurred a loss for the period of approximately £229,000 and net operating cash outflows of approximately £331,000. These conditions indicate the existence of a material uncertainty which may cast significant doubt on the Group's ability to continue as a going concern. Therefore, the Group may be unable to realise its assets and discharge its liabilities in the normal course of business.</w:t>
      </w:r>
    </w:p>
    <w:p w14:paraId="0C74666A"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 </w:t>
      </w:r>
    </w:p>
    <w:p w14:paraId="6889B5E4"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The Directors have prepared detailed forecasts and cash flow projections that reflect their best estimate of committed expenditure, expected working capital requirements and potential sources of funding. These forecasts include consideration of a range of strategic options available to the Group to strengthen its financial position, including potential corporate transactions and access to additional capital.</w:t>
      </w:r>
    </w:p>
    <w:p w14:paraId="0613CD50"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 </w:t>
      </w:r>
    </w:p>
    <w:p w14:paraId="40B8359A"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Based on these forecasts and the assumptions applied, the Directors have a reasonable expectation that the Group will have adequate resources to continue in operational existence for at least 12 months from the date of approval of these financial statements.</w:t>
      </w:r>
    </w:p>
    <w:p w14:paraId="75ED2FFB"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 </w:t>
      </w:r>
    </w:p>
    <w:p w14:paraId="2756A4A0"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Accordingly, the Directors continue to adopt the going concern basis of accounting in preparing these financial statements.</w:t>
      </w:r>
    </w:p>
    <w:p w14:paraId="41F64BF1"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 </w:t>
      </w:r>
    </w:p>
    <w:p w14:paraId="20CC30C6" w14:textId="77777777" w:rsidR="002366D5" w:rsidRPr="002366D5" w:rsidRDefault="002366D5" w:rsidP="002366D5">
      <w:pPr>
        <w:shd w:val="clear" w:color="auto" w:fill="FFFFFF"/>
        <w:spacing w:after="20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kern w:val="0"/>
          <w:sz w:val="20"/>
          <w:szCs w:val="20"/>
          <w:lang w:eastAsia="en-GB"/>
          <w14:ligatures w14:val="none"/>
        </w:rPr>
        <w:t>Should the Group be unable to continue as a going concern, adjustments would be required to the financial statements to adjust the carrying value of assets to their recoverable amounts, to provide for any additional liabilities that may arise, and to reclassify non-current assets and liabilities as current.</w:t>
      </w:r>
    </w:p>
    <w:p w14:paraId="5477D5B3" w14:textId="77777777" w:rsidR="002366D5" w:rsidRPr="002366D5" w:rsidRDefault="002366D5" w:rsidP="002366D5">
      <w:pPr>
        <w:shd w:val="clear" w:color="auto" w:fill="FFFFFF"/>
        <w:spacing w:after="0" w:line="240" w:lineRule="auto"/>
        <w:ind w:right="57"/>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w:t>
      </w:r>
    </w:p>
    <w:p w14:paraId="144E0F98" w14:textId="77777777" w:rsidR="002366D5" w:rsidRPr="002366D5" w:rsidRDefault="002366D5" w:rsidP="002366D5">
      <w:pPr>
        <w:pBdr>
          <w:top w:val="single" w:sz="2" w:space="0" w:color="E5E7EB"/>
          <w:left w:val="single" w:sz="2" w:space="0" w:color="E5E7EB"/>
          <w:bottom w:val="single" w:sz="2" w:space="0" w:color="E5E7EB"/>
          <w:right w:val="single" w:sz="2" w:space="0" w:color="E5E7EB"/>
        </w:pBdr>
        <w:shd w:val="clear" w:color="auto" w:fill="FFFFFF"/>
        <w:spacing w:after="130" w:line="240" w:lineRule="auto"/>
        <w:outlineLvl w:val="0"/>
        <w:rPr>
          <w:rFonts w:ascii="Font Awesome 6 Pro" w:eastAsia="Times New Roman" w:hAnsi="Font Awesome 6 Pro" w:cs="Arial"/>
          <w:b/>
          <w:bCs/>
          <w:color w:val="1F2937"/>
          <w:kern w:val="36"/>
          <w:sz w:val="20"/>
          <w:szCs w:val="20"/>
          <w:lang w:eastAsia="en-GB"/>
          <w14:ligatures w14:val="none"/>
        </w:rPr>
      </w:pPr>
      <w:r w:rsidRPr="002366D5">
        <w:rPr>
          <w:rFonts w:ascii="Font Awesome 6 Pro" w:eastAsia="Times New Roman" w:hAnsi="Font Awesome 6 Pro" w:cs="Arial"/>
          <w:b/>
          <w:bCs/>
          <w:color w:val="1F2937"/>
          <w:kern w:val="36"/>
          <w:sz w:val="20"/>
          <w:szCs w:val="20"/>
          <w:lang w:eastAsia="en-GB"/>
          <w14:ligatures w14:val="none"/>
        </w:rPr>
        <w:t>Summary of significant accounting policies</w:t>
      </w:r>
    </w:p>
    <w:p w14:paraId="11B8EC59"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color w:val="1F2937"/>
          <w:kern w:val="0"/>
          <w:sz w:val="20"/>
          <w:szCs w:val="20"/>
          <w:lang w:eastAsia="en-GB"/>
          <w14:ligatures w14:val="none"/>
        </w:rPr>
        <w:t>The condensed consolidated interim financial statements have been prepared using applicable accounting policies and practices consistent with those adopted in the statutory audited consolidated annual financial statements for the year ended 31 July 2025.</w:t>
      </w:r>
    </w:p>
    <w:p w14:paraId="7E4FD9A9"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color w:val="1F2937"/>
          <w:kern w:val="0"/>
          <w:sz w:val="20"/>
          <w:szCs w:val="20"/>
          <w:lang w:eastAsia="en-GB"/>
          <w14:ligatures w14:val="none"/>
        </w:rPr>
        <w:t> </w:t>
      </w:r>
    </w:p>
    <w:p w14:paraId="585E2599"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color w:val="1F2937"/>
          <w:kern w:val="0"/>
          <w:sz w:val="20"/>
          <w:szCs w:val="20"/>
          <w:lang w:eastAsia="en-GB"/>
          <w14:ligatures w14:val="none"/>
        </w:rPr>
        <w:t> </w:t>
      </w:r>
    </w:p>
    <w:p w14:paraId="2ED54C81"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47E4B63F" w14:textId="77777777" w:rsidR="002366D5" w:rsidRPr="002366D5" w:rsidRDefault="002366D5" w:rsidP="002366D5">
      <w:pPr>
        <w:shd w:val="clear" w:color="auto" w:fill="FFFFFF"/>
        <w:spacing w:after="0" w:line="240" w:lineRule="auto"/>
        <w:ind w:hanging="357"/>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lastRenderedPageBreak/>
        <w:t>4.     Critical accounting judgements and estimates</w:t>
      </w:r>
    </w:p>
    <w:p w14:paraId="2C30705F"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5953AC0D" w14:textId="77777777" w:rsidR="002366D5" w:rsidRPr="002366D5" w:rsidRDefault="002366D5" w:rsidP="002366D5">
      <w:pPr>
        <w:shd w:val="clear" w:color="auto" w:fill="FFFFFF"/>
        <w:spacing w:after="120" w:line="230" w:lineRule="atLeast"/>
        <w:ind w:right="6"/>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The preparation of the condensed consolidated interim financial statements requires Directors to make judgements, estimates and assumptions that affect the application of accounting policies and the reported amounts of assets and liabilities, income and expense. Actual results may differ from these judgements and estimates.</w:t>
      </w:r>
    </w:p>
    <w:p w14:paraId="79FC49C2" w14:textId="77777777" w:rsidR="002366D5" w:rsidRPr="002366D5" w:rsidRDefault="002366D5" w:rsidP="002366D5">
      <w:pPr>
        <w:shd w:val="clear" w:color="auto" w:fill="FFFFFF"/>
        <w:spacing w:before="120" w:after="120" w:line="230" w:lineRule="atLeast"/>
        <w:ind w:right="3"/>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In preparing these condensed consolidated interim financial statements, the significant judgements made by management in applying the Group's accounting policies and the key sources of estimation uncertainty were the same as those that applied to the statutory audited consolidated financial statements for the year ended 31 July 2025.</w:t>
      </w:r>
    </w:p>
    <w:p w14:paraId="5EA68BEA"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36527430"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144029A9" w14:textId="77777777" w:rsidR="002366D5" w:rsidRPr="002366D5" w:rsidRDefault="002366D5" w:rsidP="002366D5">
      <w:pPr>
        <w:shd w:val="clear" w:color="auto" w:fill="FFFFFF"/>
        <w:spacing w:after="0" w:line="240" w:lineRule="auto"/>
        <w:ind w:hanging="357"/>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5.     Intangible assets</w:t>
      </w:r>
    </w:p>
    <w:p w14:paraId="7C8AF229"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tbl>
      <w:tblPr>
        <w:tblW w:w="0" w:type="auto"/>
        <w:tblInd w:w="-56" w:type="dxa"/>
        <w:tblBorders>
          <w:top w:val="single" w:sz="2" w:space="0" w:color="808080"/>
          <w:left w:val="single" w:sz="2" w:space="0" w:color="808080"/>
          <w:bottom w:val="single" w:sz="2" w:space="0" w:color="808080"/>
          <w:right w:val="single" w:sz="2" w:space="0" w:color="808080"/>
        </w:tblBorders>
        <w:tblCellMar>
          <w:left w:w="0" w:type="dxa"/>
          <w:right w:w="0" w:type="dxa"/>
        </w:tblCellMar>
        <w:tblLook w:val="04A0" w:firstRow="1" w:lastRow="0" w:firstColumn="1" w:lastColumn="0" w:noHBand="0" w:noVBand="1"/>
      </w:tblPr>
      <w:tblGrid>
        <w:gridCol w:w="5793"/>
        <w:gridCol w:w="1741"/>
        <w:gridCol w:w="1486"/>
      </w:tblGrid>
      <w:tr w:rsidR="002366D5" w:rsidRPr="002366D5" w14:paraId="32CF23A0" w14:textId="77777777">
        <w:trPr>
          <w:trHeight w:val="293"/>
        </w:trPr>
        <w:tc>
          <w:tcPr>
            <w:tcW w:w="579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797910D1"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br/>
            </w:r>
          </w:p>
        </w:tc>
        <w:tc>
          <w:tcPr>
            <w:tcW w:w="174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348720C8" w14:textId="77777777" w:rsidR="002366D5" w:rsidRPr="002366D5" w:rsidRDefault="002366D5" w:rsidP="002366D5">
            <w:pPr>
              <w:spacing w:after="20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Patents</w:t>
            </w:r>
            <w:r w:rsidRPr="002366D5">
              <w:rPr>
                <w:rFonts w:ascii="Calibri" w:eastAsia="Times New Roman" w:hAnsi="Calibri" w:cs="Calibri"/>
                <w:kern w:val="0"/>
                <w:sz w:val="20"/>
                <w:szCs w:val="20"/>
                <w:lang w:eastAsia="en-GB"/>
                <w14:ligatures w14:val="none"/>
              </w:rPr>
              <w:br/>
            </w:r>
            <w:r w:rsidRPr="002366D5">
              <w:rPr>
                <w:rFonts w:ascii="Times New Roman" w:eastAsia="Times New Roman" w:hAnsi="Times New Roman" w:cs="Times New Roman"/>
                <w:b/>
                <w:bCs/>
                <w:kern w:val="0"/>
                <w:sz w:val="20"/>
                <w:szCs w:val="20"/>
                <w:lang w:eastAsia="en-GB"/>
                <w14:ligatures w14:val="none"/>
              </w:rPr>
              <w:t>£'000</w:t>
            </w:r>
          </w:p>
        </w:tc>
        <w:tc>
          <w:tcPr>
            <w:tcW w:w="148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3F016010" w14:textId="77777777" w:rsidR="002366D5" w:rsidRPr="002366D5" w:rsidRDefault="002366D5" w:rsidP="002366D5">
            <w:pPr>
              <w:spacing w:after="20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Total </w:t>
            </w:r>
            <w:r w:rsidRPr="002366D5">
              <w:rPr>
                <w:rFonts w:ascii="Times New Roman" w:eastAsia="Times New Roman" w:hAnsi="Times New Roman" w:cs="Times New Roman"/>
                <w:b/>
                <w:bCs/>
                <w:kern w:val="0"/>
                <w:sz w:val="20"/>
                <w:szCs w:val="20"/>
                <w:lang w:eastAsia="en-GB"/>
                <w14:ligatures w14:val="none"/>
              </w:rPr>
              <w:br/>
              <w:t>£'000</w:t>
            </w:r>
          </w:p>
        </w:tc>
      </w:tr>
      <w:tr w:rsidR="002366D5" w:rsidRPr="002366D5" w14:paraId="40D5ED98" w14:textId="77777777">
        <w:trPr>
          <w:trHeight w:val="272"/>
        </w:trPr>
        <w:tc>
          <w:tcPr>
            <w:tcW w:w="579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4F96747C"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Cost</w:t>
            </w:r>
          </w:p>
        </w:tc>
        <w:tc>
          <w:tcPr>
            <w:tcW w:w="1741" w:type="dxa"/>
            <w:tcBorders>
              <w:top w:val="single" w:sz="8" w:space="0" w:color="auto"/>
              <w:left w:val="nil"/>
              <w:bottom w:val="nil"/>
              <w:right w:val="nil"/>
            </w:tcBorders>
            <w:tcMar>
              <w:top w:w="0" w:type="dxa"/>
              <w:left w:w="56" w:type="dxa"/>
              <w:bottom w:w="0" w:type="dxa"/>
              <w:right w:w="56" w:type="dxa"/>
            </w:tcMar>
            <w:vAlign w:val="bottom"/>
            <w:hideMark/>
          </w:tcPr>
          <w:p w14:paraId="59FF9E33"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486" w:type="dxa"/>
            <w:tcBorders>
              <w:top w:val="single" w:sz="8" w:space="0" w:color="auto"/>
              <w:left w:val="nil"/>
              <w:bottom w:val="nil"/>
              <w:right w:val="nil"/>
            </w:tcBorders>
            <w:tcMar>
              <w:top w:w="0" w:type="dxa"/>
              <w:left w:w="56" w:type="dxa"/>
              <w:bottom w:w="0" w:type="dxa"/>
              <w:right w:w="56" w:type="dxa"/>
            </w:tcMar>
            <w:vAlign w:val="bottom"/>
            <w:hideMark/>
          </w:tcPr>
          <w:p w14:paraId="3E64EC9C"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r>
      <w:tr w:rsidR="002366D5" w:rsidRPr="002366D5" w14:paraId="6A4D27CF" w14:textId="77777777">
        <w:trPr>
          <w:trHeight w:val="272"/>
        </w:trPr>
        <w:tc>
          <w:tcPr>
            <w:tcW w:w="579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6A08C0A6"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proofErr w:type="gramStart"/>
            <w:r w:rsidRPr="002366D5">
              <w:rPr>
                <w:rFonts w:ascii="Times New Roman" w:eastAsia="Times New Roman" w:hAnsi="Times New Roman" w:cs="Times New Roman"/>
                <w:b/>
                <w:bCs/>
                <w:color w:val="000000"/>
                <w:kern w:val="0"/>
                <w:sz w:val="20"/>
                <w:szCs w:val="20"/>
                <w:lang w:eastAsia="en-GB"/>
                <w14:ligatures w14:val="none"/>
              </w:rPr>
              <w:t>At</w:t>
            </w:r>
            <w:proofErr w:type="gramEnd"/>
            <w:r w:rsidRPr="002366D5">
              <w:rPr>
                <w:rFonts w:ascii="Times New Roman" w:eastAsia="Times New Roman" w:hAnsi="Times New Roman" w:cs="Times New Roman"/>
                <w:b/>
                <w:bCs/>
                <w:color w:val="000000"/>
                <w:kern w:val="0"/>
                <w:sz w:val="20"/>
                <w:szCs w:val="20"/>
                <w:lang w:eastAsia="en-GB"/>
                <w14:ligatures w14:val="none"/>
              </w:rPr>
              <w:t xml:space="preserve"> 1 August 2025</w:t>
            </w:r>
          </w:p>
        </w:tc>
        <w:tc>
          <w:tcPr>
            <w:tcW w:w="174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6CD397BD"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682</w:t>
            </w:r>
          </w:p>
        </w:tc>
        <w:tc>
          <w:tcPr>
            <w:tcW w:w="148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0C711C08"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682</w:t>
            </w:r>
          </w:p>
        </w:tc>
      </w:tr>
      <w:tr w:rsidR="002366D5" w:rsidRPr="002366D5" w14:paraId="00965A3E" w14:textId="77777777">
        <w:trPr>
          <w:trHeight w:val="272"/>
        </w:trPr>
        <w:tc>
          <w:tcPr>
            <w:tcW w:w="579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2CFD264A"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Additions</w:t>
            </w:r>
          </w:p>
        </w:tc>
        <w:tc>
          <w:tcPr>
            <w:tcW w:w="1741" w:type="dxa"/>
            <w:tcBorders>
              <w:top w:val="nil"/>
              <w:left w:val="nil"/>
              <w:bottom w:val="single" w:sz="8" w:space="0" w:color="auto"/>
              <w:right w:val="nil"/>
            </w:tcBorders>
            <w:tcMar>
              <w:top w:w="0" w:type="dxa"/>
              <w:left w:w="56" w:type="dxa"/>
              <w:bottom w:w="0" w:type="dxa"/>
              <w:right w:w="56" w:type="dxa"/>
            </w:tcMar>
            <w:vAlign w:val="center"/>
            <w:hideMark/>
          </w:tcPr>
          <w:p w14:paraId="06B2A28D"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10</w:t>
            </w:r>
          </w:p>
        </w:tc>
        <w:tc>
          <w:tcPr>
            <w:tcW w:w="1486" w:type="dxa"/>
            <w:tcBorders>
              <w:top w:val="nil"/>
              <w:left w:val="nil"/>
              <w:bottom w:val="single" w:sz="8" w:space="0" w:color="auto"/>
              <w:right w:val="nil"/>
            </w:tcBorders>
            <w:tcMar>
              <w:top w:w="0" w:type="dxa"/>
              <w:left w:w="56" w:type="dxa"/>
              <w:bottom w:w="0" w:type="dxa"/>
              <w:right w:w="56" w:type="dxa"/>
            </w:tcMar>
            <w:vAlign w:val="center"/>
            <w:hideMark/>
          </w:tcPr>
          <w:p w14:paraId="0E12C182"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10</w:t>
            </w:r>
          </w:p>
        </w:tc>
      </w:tr>
      <w:tr w:rsidR="002366D5" w:rsidRPr="002366D5" w14:paraId="4B99FA6C" w14:textId="77777777">
        <w:trPr>
          <w:trHeight w:val="272"/>
        </w:trPr>
        <w:tc>
          <w:tcPr>
            <w:tcW w:w="579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2310B0FA"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proofErr w:type="gramStart"/>
            <w:r w:rsidRPr="002366D5">
              <w:rPr>
                <w:rFonts w:ascii="Times New Roman" w:eastAsia="Times New Roman" w:hAnsi="Times New Roman" w:cs="Times New Roman"/>
                <w:b/>
                <w:bCs/>
                <w:color w:val="000000"/>
                <w:kern w:val="0"/>
                <w:sz w:val="20"/>
                <w:szCs w:val="20"/>
                <w:lang w:eastAsia="en-GB"/>
                <w14:ligatures w14:val="none"/>
              </w:rPr>
              <w:t>At</w:t>
            </w:r>
            <w:proofErr w:type="gramEnd"/>
            <w:r w:rsidRPr="002366D5">
              <w:rPr>
                <w:rFonts w:ascii="Times New Roman" w:eastAsia="Times New Roman" w:hAnsi="Times New Roman" w:cs="Times New Roman"/>
                <w:b/>
                <w:bCs/>
                <w:color w:val="000000"/>
                <w:kern w:val="0"/>
                <w:sz w:val="20"/>
                <w:szCs w:val="20"/>
                <w:lang w:eastAsia="en-GB"/>
                <w14:ligatures w14:val="none"/>
              </w:rPr>
              <w:t xml:space="preserve"> 31 January 2026</w:t>
            </w:r>
          </w:p>
        </w:tc>
        <w:tc>
          <w:tcPr>
            <w:tcW w:w="1741" w:type="dxa"/>
            <w:tcBorders>
              <w:top w:val="nil"/>
              <w:left w:val="nil"/>
              <w:bottom w:val="single" w:sz="8" w:space="0" w:color="auto"/>
              <w:right w:val="nil"/>
            </w:tcBorders>
            <w:tcMar>
              <w:top w:w="0" w:type="dxa"/>
              <w:left w:w="56" w:type="dxa"/>
              <w:bottom w:w="0" w:type="dxa"/>
              <w:right w:w="56" w:type="dxa"/>
            </w:tcMar>
            <w:vAlign w:val="center"/>
            <w:hideMark/>
          </w:tcPr>
          <w:p w14:paraId="52621FFE"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692</w:t>
            </w:r>
          </w:p>
        </w:tc>
        <w:tc>
          <w:tcPr>
            <w:tcW w:w="1486" w:type="dxa"/>
            <w:tcBorders>
              <w:top w:val="nil"/>
              <w:left w:val="nil"/>
              <w:bottom w:val="single" w:sz="8" w:space="0" w:color="auto"/>
              <w:right w:val="nil"/>
            </w:tcBorders>
            <w:tcMar>
              <w:top w:w="0" w:type="dxa"/>
              <w:left w:w="56" w:type="dxa"/>
              <w:bottom w:w="0" w:type="dxa"/>
              <w:right w:w="56" w:type="dxa"/>
            </w:tcMar>
            <w:vAlign w:val="center"/>
            <w:hideMark/>
          </w:tcPr>
          <w:p w14:paraId="197228F5"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692</w:t>
            </w:r>
          </w:p>
        </w:tc>
      </w:tr>
      <w:tr w:rsidR="002366D5" w:rsidRPr="002366D5" w14:paraId="1D0ECF1A" w14:textId="77777777">
        <w:trPr>
          <w:trHeight w:val="272"/>
        </w:trPr>
        <w:tc>
          <w:tcPr>
            <w:tcW w:w="579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6D28DCA5"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br/>
            </w:r>
          </w:p>
        </w:tc>
        <w:tc>
          <w:tcPr>
            <w:tcW w:w="1741" w:type="dxa"/>
            <w:tcBorders>
              <w:top w:val="nil"/>
              <w:left w:val="nil"/>
              <w:bottom w:val="nil"/>
              <w:right w:val="nil"/>
            </w:tcBorders>
            <w:tcMar>
              <w:top w:w="0" w:type="dxa"/>
              <w:left w:w="56" w:type="dxa"/>
              <w:bottom w:w="0" w:type="dxa"/>
              <w:right w:w="56" w:type="dxa"/>
            </w:tcMar>
            <w:vAlign w:val="center"/>
            <w:hideMark/>
          </w:tcPr>
          <w:p w14:paraId="53A596DC"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486" w:type="dxa"/>
            <w:tcBorders>
              <w:top w:val="nil"/>
              <w:left w:val="nil"/>
              <w:bottom w:val="nil"/>
              <w:right w:val="nil"/>
            </w:tcBorders>
            <w:tcMar>
              <w:top w:w="0" w:type="dxa"/>
              <w:left w:w="56" w:type="dxa"/>
              <w:bottom w:w="0" w:type="dxa"/>
              <w:right w:w="56" w:type="dxa"/>
            </w:tcMar>
            <w:vAlign w:val="center"/>
            <w:hideMark/>
          </w:tcPr>
          <w:p w14:paraId="12994593"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r>
      <w:tr w:rsidR="002366D5" w:rsidRPr="002366D5" w14:paraId="6F147541" w14:textId="77777777">
        <w:trPr>
          <w:trHeight w:val="272"/>
        </w:trPr>
        <w:tc>
          <w:tcPr>
            <w:tcW w:w="579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5C2BE2D9"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Amortisation</w:t>
            </w:r>
          </w:p>
        </w:tc>
        <w:tc>
          <w:tcPr>
            <w:tcW w:w="174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1AAA86D6"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48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1B0377B7"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r>
      <w:tr w:rsidR="002366D5" w:rsidRPr="002366D5" w14:paraId="567BB812" w14:textId="77777777">
        <w:trPr>
          <w:trHeight w:val="272"/>
        </w:trPr>
        <w:tc>
          <w:tcPr>
            <w:tcW w:w="579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7EE32D47"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proofErr w:type="gramStart"/>
            <w:r w:rsidRPr="002366D5">
              <w:rPr>
                <w:rFonts w:ascii="Times New Roman" w:eastAsia="Times New Roman" w:hAnsi="Times New Roman" w:cs="Times New Roman"/>
                <w:b/>
                <w:bCs/>
                <w:color w:val="000000"/>
                <w:kern w:val="0"/>
                <w:sz w:val="20"/>
                <w:szCs w:val="20"/>
                <w:lang w:eastAsia="en-GB"/>
                <w14:ligatures w14:val="none"/>
              </w:rPr>
              <w:t>At</w:t>
            </w:r>
            <w:proofErr w:type="gramEnd"/>
            <w:r w:rsidRPr="002366D5">
              <w:rPr>
                <w:rFonts w:ascii="Times New Roman" w:eastAsia="Times New Roman" w:hAnsi="Times New Roman" w:cs="Times New Roman"/>
                <w:b/>
                <w:bCs/>
                <w:color w:val="000000"/>
                <w:kern w:val="0"/>
                <w:sz w:val="20"/>
                <w:szCs w:val="20"/>
                <w:lang w:eastAsia="en-GB"/>
                <w14:ligatures w14:val="none"/>
              </w:rPr>
              <w:t xml:space="preserve"> 1 August 2025</w:t>
            </w:r>
          </w:p>
        </w:tc>
        <w:tc>
          <w:tcPr>
            <w:tcW w:w="1741"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6C4D07EF"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55</w:t>
            </w:r>
          </w:p>
        </w:tc>
        <w:tc>
          <w:tcPr>
            <w:tcW w:w="1486"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center"/>
            <w:hideMark/>
          </w:tcPr>
          <w:p w14:paraId="62364180"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55</w:t>
            </w:r>
          </w:p>
        </w:tc>
      </w:tr>
      <w:tr w:rsidR="002366D5" w:rsidRPr="002366D5" w14:paraId="723E9DF9" w14:textId="77777777">
        <w:trPr>
          <w:trHeight w:val="272"/>
        </w:trPr>
        <w:tc>
          <w:tcPr>
            <w:tcW w:w="579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63516BF2"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Charge for the period</w:t>
            </w:r>
          </w:p>
        </w:tc>
        <w:tc>
          <w:tcPr>
            <w:tcW w:w="1741" w:type="dxa"/>
            <w:tcBorders>
              <w:top w:val="nil"/>
              <w:left w:val="nil"/>
              <w:bottom w:val="single" w:sz="8" w:space="0" w:color="auto"/>
              <w:right w:val="nil"/>
            </w:tcBorders>
            <w:tcMar>
              <w:top w:w="0" w:type="dxa"/>
              <w:left w:w="56" w:type="dxa"/>
              <w:bottom w:w="0" w:type="dxa"/>
              <w:right w:w="56" w:type="dxa"/>
            </w:tcMar>
            <w:vAlign w:val="center"/>
            <w:hideMark/>
          </w:tcPr>
          <w:p w14:paraId="45A701D9"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11</w:t>
            </w:r>
          </w:p>
        </w:tc>
        <w:tc>
          <w:tcPr>
            <w:tcW w:w="1486" w:type="dxa"/>
            <w:tcBorders>
              <w:top w:val="nil"/>
              <w:left w:val="nil"/>
              <w:bottom w:val="single" w:sz="8" w:space="0" w:color="auto"/>
              <w:right w:val="nil"/>
            </w:tcBorders>
            <w:tcMar>
              <w:top w:w="0" w:type="dxa"/>
              <w:left w:w="56" w:type="dxa"/>
              <w:bottom w:w="0" w:type="dxa"/>
              <w:right w:w="56" w:type="dxa"/>
            </w:tcMar>
            <w:vAlign w:val="center"/>
            <w:hideMark/>
          </w:tcPr>
          <w:p w14:paraId="32FEC0FE"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11</w:t>
            </w:r>
          </w:p>
        </w:tc>
      </w:tr>
      <w:tr w:rsidR="002366D5" w:rsidRPr="002366D5" w14:paraId="74469198" w14:textId="77777777">
        <w:trPr>
          <w:trHeight w:val="272"/>
        </w:trPr>
        <w:tc>
          <w:tcPr>
            <w:tcW w:w="579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673F4128"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proofErr w:type="gramStart"/>
            <w:r w:rsidRPr="002366D5">
              <w:rPr>
                <w:rFonts w:ascii="Times New Roman" w:eastAsia="Times New Roman" w:hAnsi="Times New Roman" w:cs="Times New Roman"/>
                <w:b/>
                <w:bCs/>
                <w:color w:val="000000"/>
                <w:kern w:val="0"/>
                <w:sz w:val="20"/>
                <w:szCs w:val="20"/>
                <w:lang w:eastAsia="en-GB"/>
                <w14:ligatures w14:val="none"/>
              </w:rPr>
              <w:t>At</w:t>
            </w:r>
            <w:proofErr w:type="gramEnd"/>
            <w:r w:rsidRPr="002366D5">
              <w:rPr>
                <w:rFonts w:ascii="Times New Roman" w:eastAsia="Times New Roman" w:hAnsi="Times New Roman" w:cs="Times New Roman"/>
                <w:b/>
                <w:bCs/>
                <w:color w:val="000000"/>
                <w:kern w:val="0"/>
                <w:sz w:val="20"/>
                <w:szCs w:val="20"/>
                <w:lang w:eastAsia="en-GB"/>
                <w14:ligatures w14:val="none"/>
              </w:rPr>
              <w:t xml:space="preserve"> 31 January 2026</w:t>
            </w:r>
          </w:p>
        </w:tc>
        <w:tc>
          <w:tcPr>
            <w:tcW w:w="1741" w:type="dxa"/>
            <w:tcBorders>
              <w:top w:val="nil"/>
              <w:left w:val="nil"/>
              <w:bottom w:val="single" w:sz="8" w:space="0" w:color="auto"/>
              <w:right w:val="nil"/>
            </w:tcBorders>
            <w:tcMar>
              <w:top w:w="0" w:type="dxa"/>
              <w:left w:w="56" w:type="dxa"/>
              <w:bottom w:w="0" w:type="dxa"/>
              <w:right w:w="56" w:type="dxa"/>
            </w:tcMar>
            <w:vAlign w:val="center"/>
            <w:hideMark/>
          </w:tcPr>
          <w:p w14:paraId="00B3845C"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66</w:t>
            </w:r>
          </w:p>
        </w:tc>
        <w:tc>
          <w:tcPr>
            <w:tcW w:w="1486" w:type="dxa"/>
            <w:tcBorders>
              <w:top w:val="nil"/>
              <w:left w:val="nil"/>
              <w:bottom w:val="single" w:sz="8" w:space="0" w:color="auto"/>
              <w:right w:val="nil"/>
            </w:tcBorders>
            <w:tcMar>
              <w:top w:w="0" w:type="dxa"/>
              <w:left w:w="56" w:type="dxa"/>
              <w:bottom w:w="0" w:type="dxa"/>
              <w:right w:w="56" w:type="dxa"/>
            </w:tcMar>
            <w:vAlign w:val="center"/>
            <w:hideMark/>
          </w:tcPr>
          <w:p w14:paraId="01E97553"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66</w:t>
            </w:r>
          </w:p>
        </w:tc>
      </w:tr>
      <w:tr w:rsidR="002366D5" w:rsidRPr="002366D5" w14:paraId="27F5B329" w14:textId="77777777">
        <w:trPr>
          <w:trHeight w:val="272"/>
        </w:trPr>
        <w:tc>
          <w:tcPr>
            <w:tcW w:w="579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524C7282"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br/>
            </w:r>
          </w:p>
        </w:tc>
        <w:tc>
          <w:tcPr>
            <w:tcW w:w="1741" w:type="dxa"/>
            <w:tcBorders>
              <w:top w:val="nil"/>
              <w:left w:val="nil"/>
              <w:bottom w:val="double" w:sz="6" w:space="0" w:color="auto"/>
              <w:right w:val="nil"/>
            </w:tcBorders>
            <w:tcMar>
              <w:top w:w="0" w:type="dxa"/>
              <w:left w:w="56" w:type="dxa"/>
              <w:bottom w:w="0" w:type="dxa"/>
              <w:right w:w="56" w:type="dxa"/>
            </w:tcMar>
            <w:vAlign w:val="center"/>
            <w:hideMark/>
          </w:tcPr>
          <w:p w14:paraId="59D1C12A"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486" w:type="dxa"/>
            <w:tcBorders>
              <w:top w:val="nil"/>
              <w:left w:val="nil"/>
              <w:bottom w:val="double" w:sz="6" w:space="0" w:color="auto"/>
              <w:right w:val="nil"/>
            </w:tcBorders>
            <w:tcMar>
              <w:top w:w="0" w:type="dxa"/>
              <w:left w:w="56" w:type="dxa"/>
              <w:bottom w:w="0" w:type="dxa"/>
              <w:right w:w="56" w:type="dxa"/>
            </w:tcMar>
            <w:vAlign w:val="center"/>
            <w:hideMark/>
          </w:tcPr>
          <w:p w14:paraId="5EEC3D3A"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r>
      <w:tr w:rsidR="002366D5" w:rsidRPr="002366D5" w14:paraId="22A6853C" w14:textId="77777777">
        <w:trPr>
          <w:trHeight w:val="272"/>
        </w:trPr>
        <w:tc>
          <w:tcPr>
            <w:tcW w:w="579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17E7049D"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Net book</w:t>
            </w:r>
          </w:p>
        </w:tc>
        <w:tc>
          <w:tcPr>
            <w:tcW w:w="1741" w:type="dxa"/>
            <w:tcBorders>
              <w:top w:val="nil"/>
              <w:left w:val="nil"/>
              <w:bottom w:val="single" w:sz="8" w:space="0" w:color="auto"/>
              <w:right w:val="nil"/>
            </w:tcBorders>
            <w:tcMar>
              <w:top w:w="0" w:type="dxa"/>
              <w:left w:w="56" w:type="dxa"/>
              <w:bottom w:w="0" w:type="dxa"/>
              <w:right w:w="56" w:type="dxa"/>
            </w:tcMar>
            <w:vAlign w:val="center"/>
            <w:hideMark/>
          </w:tcPr>
          <w:p w14:paraId="14A8B0E9"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486" w:type="dxa"/>
            <w:tcBorders>
              <w:top w:val="nil"/>
              <w:left w:val="nil"/>
              <w:bottom w:val="single" w:sz="8" w:space="0" w:color="auto"/>
              <w:right w:val="nil"/>
            </w:tcBorders>
            <w:tcMar>
              <w:top w:w="0" w:type="dxa"/>
              <w:left w:w="56" w:type="dxa"/>
              <w:bottom w:w="0" w:type="dxa"/>
              <w:right w:w="56" w:type="dxa"/>
            </w:tcMar>
            <w:vAlign w:val="center"/>
            <w:hideMark/>
          </w:tcPr>
          <w:p w14:paraId="2697A520"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r>
      <w:tr w:rsidR="002366D5" w:rsidRPr="002366D5" w14:paraId="2EBD87FC" w14:textId="77777777">
        <w:trPr>
          <w:trHeight w:val="272"/>
        </w:trPr>
        <w:tc>
          <w:tcPr>
            <w:tcW w:w="579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695202A5"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proofErr w:type="gramStart"/>
            <w:r w:rsidRPr="002366D5">
              <w:rPr>
                <w:rFonts w:ascii="Times New Roman" w:eastAsia="Times New Roman" w:hAnsi="Times New Roman" w:cs="Times New Roman"/>
                <w:b/>
                <w:bCs/>
                <w:color w:val="000000"/>
                <w:kern w:val="0"/>
                <w:sz w:val="20"/>
                <w:szCs w:val="20"/>
                <w:lang w:eastAsia="en-GB"/>
                <w14:ligatures w14:val="none"/>
              </w:rPr>
              <w:t>At</w:t>
            </w:r>
            <w:proofErr w:type="gramEnd"/>
            <w:r w:rsidRPr="002366D5">
              <w:rPr>
                <w:rFonts w:ascii="Times New Roman" w:eastAsia="Times New Roman" w:hAnsi="Times New Roman" w:cs="Times New Roman"/>
                <w:b/>
                <w:bCs/>
                <w:color w:val="000000"/>
                <w:kern w:val="0"/>
                <w:sz w:val="20"/>
                <w:szCs w:val="20"/>
                <w:lang w:eastAsia="en-GB"/>
                <w14:ligatures w14:val="none"/>
              </w:rPr>
              <w:t xml:space="preserve"> 31 January 2026 (Unaudited)</w:t>
            </w:r>
          </w:p>
        </w:tc>
        <w:tc>
          <w:tcPr>
            <w:tcW w:w="1741" w:type="dxa"/>
            <w:tcBorders>
              <w:top w:val="nil"/>
              <w:left w:val="nil"/>
              <w:bottom w:val="single" w:sz="8" w:space="0" w:color="auto"/>
              <w:right w:val="nil"/>
            </w:tcBorders>
            <w:tcMar>
              <w:top w:w="0" w:type="dxa"/>
              <w:left w:w="56" w:type="dxa"/>
              <w:bottom w:w="0" w:type="dxa"/>
              <w:right w:w="56" w:type="dxa"/>
            </w:tcMar>
            <w:vAlign w:val="center"/>
            <w:hideMark/>
          </w:tcPr>
          <w:p w14:paraId="0A3C6875"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626</w:t>
            </w:r>
          </w:p>
        </w:tc>
        <w:tc>
          <w:tcPr>
            <w:tcW w:w="1486" w:type="dxa"/>
            <w:tcBorders>
              <w:top w:val="nil"/>
              <w:left w:val="nil"/>
              <w:bottom w:val="single" w:sz="8" w:space="0" w:color="auto"/>
              <w:right w:val="nil"/>
            </w:tcBorders>
            <w:tcMar>
              <w:top w:w="0" w:type="dxa"/>
              <w:left w:w="56" w:type="dxa"/>
              <w:bottom w:w="0" w:type="dxa"/>
              <w:right w:w="56" w:type="dxa"/>
            </w:tcMar>
            <w:vAlign w:val="center"/>
            <w:hideMark/>
          </w:tcPr>
          <w:p w14:paraId="4A80154A"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626</w:t>
            </w:r>
          </w:p>
        </w:tc>
      </w:tr>
      <w:tr w:rsidR="002366D5" w:rsidRPr="002366D5" w14:paraId="1CAC57C4" w14:textId="77777777">
        <w:trPr>
          <w:trHeight w:val="272"/>
        </w:trPr>
        <w:tc>
          <w:tcPr>
            <w:tcW w:w="579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381688B1"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proofErr w:type="gramStart"/>
            <w:r w:rsidRPr="002366D5">
              <w:rPr>
                <w:rFonts w:ascii="Times New Roman" w:eastAsia="Times New Roman" w:hAnsi="Times New Roman" w:cs="Times New Roman"/>
                <w:color w:val="000000"/>
                <w:kern w:val="0"/>
                <w:sz w:val="20"/>
                <w:szCs w:val="20"/>
                <w:lang w:eastAsia="en-GB"/>
                <w14:ligatures w14:val="none"/>
              </w:rPr>
              <w:t>At</w:t>
            </w:r>
            <w:proofErr w:type="gramEnd"/>
            <w:r w:rsidRPr="002366D5">
              <w:rPr>
                <w:rFonts w:ascii="Times New Roman" w:eastAsia="Times New Roman" w:hAnsi="Times New Roman" w:cs="Times New Roman"/>
                <w:color w:val="000000"/>
                <w:kern w:val="0"/>
                <w:sz w:val="20"/>
                <w:szCs w:val="20"/>
                <w:lang w:eastAsia="en-GB"/>
                <w14:ligatures w14:val="none"/>
              </w:rPr>
              <w:t xml:space="preserve"> 31 August 2025 (Audited)</w:t>
            </w:r>
          </w:p>
        </w:tc>
        <w:tc>
          <w:tcPr>
            <w:tcW w:w="1741" w:type="dxa"/>
            <w:tcBorders>
              <w:top w:val="nil"/>
              <w:left w:val="nil"/>
              <w:bottom w:val="single" w:sz="8" w:space="0" w:color="auto"/>
              <w:right w:val="nil"/>
            </w:tcBorders>
            <w:tcMar>
              <w:top w:w="0" w:type="dxa"/>
              <w:left w:w="56" w:type="dxa"/>
              <w:bottom w:w="0" w:type="dxa"/>
              <w:right w:w="56" w:type="dxa"/>
            </w:tcMar>
            <w:vAlign w:val="center"/>
            <w:hideMark/>
          </w:tcPr>
          <w:p w14:paraId="5386C657"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627</w:t>
            </w:r>
          </w:p>
        </w:tc>
        <w:tc>
          <w:tcPr>
            <w:tcW w:w="1486" w:type="dxa"/>
            <w:tcBorders>
              <w:top w:val="nil"/>
              <w:left w:val="nil"/>
              <w:bottom w:val="single" w:sz="8" w:space="0" w:color="auto"/>
              <w:right w:val="nil"/>
            </w:tcBorders>
            <w:tcMar>
              <w:top w:w="0" w:type="dxa"/>
              <w:left w:w="56" w:type="dxa"/>
              <w:bottom w:w="0" w:type="dxa"/>
              <w:right w:w="56" w:type="dxa"/>
            </w:tcMar>
            <w:vAlign w:val="center"/>
            <w:hideMark/>
          </w:tcPr>
          <w:p w14:paraId="7473E1DA"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627</w:t>
            </w:r>
          </w:p>
        </w:tc>
      </w:tr>
    </w:tbl>
    <w:p w14:paraId="1AAFBF84"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6352DF1A"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7D45D277" w14:textId="77777777" w:rsidR="002366D5" w:rsidRPr="002366D5" w:rsidRDefault="002366D5" w:rsidP="002366D5">
      <w:pPr>
        <w:shd w:val="clear" w:color="auto" w:fill="FFFFFF"/>
        <w:spacing w:after="200" w:line="23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w:t>
      </w:r>
    </w:p>
    <w:p w14:paraId="7AA82041" w14:textId="77777777" w:rsidR="002366D5" w:rsidRPr="002366D5" w:rsidRDefault="002366D5" w:rsidP="002366D5">
      <w:pPr>
        <w:shd w:val="clear" w:color="auto" w:fill="FFFFFF"/>
        <w:spacing w:after="200" w:line="230" w:lineRule="atLeast"/>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During the period, the Group capitalised £10,469 of costs in relation to the maintenance and development of its intellectual property portfolio. These costs are associated with the Group's ongoing activities in the wind energy sector and may support the development of its green hydrogen production systems</w:t>
      </w:r>
    </w:p>
    <w:p w14:paraId="1EEA5593"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color w:val="1F2937"/>
          <w:kern w:val="0"/>
          <w:sz w:val="20"/>
          <w:szCs w:val="20"/>
          <w:lang w:eastAsia="en-GB"/>
          <w14:ligatures w14:val="none"/>
        </w:rPr>
        <w:t>The Directors have considered the requirements of IAS 36 and have assessed whether any indicators of impairment exist as at the reporting date. Based on this assessment, they have concluded that no such indicators are present, and no impairment review has been performed. The Directors are satisfied that the carrying value of the intangible assets is recoverable.</w:t>
      </w:r>
    </w:p>
    <w:p w14:paraId="1EE1BAE7"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54CBE2DE"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2CCB4C45"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0E39C2F1"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58F86327"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4C00B392"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51F5D12A"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5E660C07"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0BE8453C"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68B4B65B"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77C4BDA9"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51ACFF38"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74C7E6B9"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33EB502D" w14:textId="77777777" w:rsidR="002366D5" w:rsidRPr="002366D5" w:rsidRDefault="002366D5" w:rsidP="002366D5">
      <w:pPr>
        <w:shd w:val="clear" w:color="auto" w:fill="FFFFFF"/>
        <w:spacing w:after="0" w:line="240" w:lineRule="auto"/>
        <w:ind w:hanging="357"/>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6.     Share capital, share premium and deferred share capital</w:t>
      </w:r>
    </w:p>
    <w:p w14:paraId="656FA9AF"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07CD8887"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lastRenderedPageBreak/>
        <w:t> </w:t>
      </w:r>
    </w:p>
    <w:p w14:paraId="72FB505F"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tbl>
      <w:tblPr>
        <w:tblW w:w="0" w:type="auto"/>
        <w:tblInd w:w="-56" w:type="dxa"/>
        <w:tblBorders>
          <w:top w:val="single" w:sz="2" w:space="0" w:color="808080"/>
          <w:left w:val="single" w:sz="2" w:space="0" w:color="808080"/>
          <w:bottom w:val="single" w:sz="2" w:space="0" w:color="808080"/>
          <w:right w:val="single" w:sz="2" w:space="0" w:color="808080"/>
        </w:tblBorders>
        <w:tblCellMar>
          <w:left w:w="0" w:type="dxa"/>
          <w:right w:w="0" w:type="dxa"/>
        </w:tblCellMar>
        <w:tblLook w:val="04A0" w:firstRow="1" w:lastRow="0" w:firstColumn="1" w:lastColumn="0" w:noHBand="0" w:noVBand="1"/>
      </w:tblPr>
      <w:tblGrid>
        <w:gridCol w:w="4030"/>
        <w:gridCol w:w="1172"/>
        <w:gridCol w:w="1453"/>
        <w:gridCol w:w="1167"/>
        <w:gridCol w:w="1167"/>
      </w:tblGrid>
      <w:tr w:rsidR="002366D5" w:rsidRPr="002366D5" w14:paraId="50E6E400" w14:textId="77777777">
        <w:trPr>
          <w:trHeight w:val="550"/>
        </w:trPr>
        <w:tc>
          <w:tcPr>
            <w:tcW w:w="403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2E474898" w14:textId="77777777" w:rsidR="002366D5" w:rsidRPr="002366D5" w:rsidRDefault="002366D5" w:rsidP="002366D5">
            <w:pPr>
              <w:spacing w:after="0" w:line="240" w:lineRule="auto"/>
              <w:ind w:left="180" w:right="124" w:hanging="180"/>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172" w:type="dxa"/>
            <w:tcBorders>
              <w:top w:val="nil"/>
              <w:left w:val="nil"/>
              <w:bottom w:val="single" w:sz="8" w:space="0" w:color="auto"/>
              <w:right w:val="nil"/>
            </w:tcBorders>
            <w:tcMar>
              <w:top w:w="0" w:type="dxa"/>
              <w:left w:w="56" w:type="dxa"/>
              <w:bottom w:w="0" w:type="dxa"/>
              <w:right w:w="56" w:type="dxa"/>
            </w:tcMar>
            <w:vAlign w:val="bottom"/>
            <w:hideMark/>
          </w:tcPr>
          <w:p w14:paraId="7FB8C143"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Number</w:t>
            </w:r>
          </w:p>
        </w:tc>
        <w:tc>
          <w:tcPr>
            <w:tcW w:w="1453" w:type="dxa"/>
            <w:tcBorders>
              <w:top w:val="nil"/>
              <w:left w:val="nil"/>
              <w:bottom w:val="single" w:sz="8" w:space="0" w:color="auto"/>
              <w:right w:val="nil"/>
            </w:tcBorders>
            <w:tcMar>
              <w:top w:w="0" w:type="dxa"/>
              <w:left w:w="56" w:type="dxa"/>
              <w:bottom w:w="0" w:type="dxa"/>
              <w:right w:w="56" w:type="dxa"/>
            </w:tcMar>
            <w:vAlign w:val="bottom"/>
            <w:hideMark/>
          </w:tcPr>
          <w:p w14:paraId="6DDB2392"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Share capital</w:t>
            </w:r>
            <w:r w:rsidRPr="002366D5">
              <w:rPr>
                <w:rFonts w:ascii="Times New Roman" w:eastAsia="Times New Roman" w:hAnsi="Times New Roman" w:cs="Times New Roman"/>
                <w:b/>
                <w:bCs/>
                <w:kern w:val="0"/>
                <w:sz w:val="20"/>
                <w:szCs w:val="20"/>
                <w:lang w:eastAsia="en-GB"/>
                <w14:ligatures w14:val="none"/>
              </w:rPr>
              <w:br/>
              <w:t>£'000</w:t>
            </w:r>
          </w:p>
        </w:tc>
        <w:tc>
          <w:tcPr>
            <w:tcW w:w="1167" w:type="dxa"/>
            <w:tcBorders>
              <w:top w:val="nil"/>
              <w:left w:val="nil"/>
              <w:bottom w:val="single" w:sz="8" w:space="0" w:color="auto"/>
              <w:right w:val="nil"/>
            </w:tcBorders>
            <w:tcMar>
              <w:top w:w="0" w:type="dxa"/>
              <w:left w:w="56" w:type="dxa"/>
              <w:bottom w:w="0" w:type="dxa"/>
              <w:right w:w="56" w:type="dxa"/>
            </w:tcMar>
            <w:vAlign w:val="bottom"/>
            <w:hideMark/>
          </w:tcPr>
          <w:p w14:paraId="0AF07807"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p w14:paraId="46394BE1"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Share premium £'000</w:t>
            </w:r>
          </w:p>
        </w:tc>
        <w:tc>
          <w:tcPr>
            <w:tcW w:w="1167" w:type="dxa"/>
            <w:tcBorders>
              <w:top w:val="nil"/>
              <w:left w:val="nil"/>
              <w:bottom w:val="single" w:sz="8" w:space="0" w:color="auto"/>
              <w:right w:val="nil"/>
            </w:tcBorders>
            <w:tcMar>
              <w:top w:w="0" w:type="dxa"/>
              <w:left w:w="56" w:type="dxa"/>
              <w:bottom w:w="0" w:type="dxa"/>
              <w:right w:w="56" w:type="dxa"/>
            </w:tcMar>
            <w:hideMark/>
          </w:tcPr>
          <w:p w14:paraId="1F20DE71"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w:t>
            </w:r>
          </w:p>
          <w:p w14:paraId="4B025783"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Deferred share capital</w:t>
            </w:r>
          </w:p>
          <w:p w14:paraId="33E41ADA"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£'000</w:t>
            </w:r>
          </w:p>
        </w:tc>
      </w:tr>
      <w:tr w:rsidR="002366D5" w:rsidRPr="002366D5" w14:paraId="7CB0B86F" w14:textId="77777777">
        <w:trPr>
          <w:trHeight w:val="251"/>
        </w:trPr>
        <w:tc>
          <w:tcPr>
            <w:tcW w:w="403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44C5C6CA"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 xml:space="preserve">Total ordinary shares </w:t>
            </w:r>
            <w:proofErr w:type="gramStart"/>
            <w:r w:rsidRPr="002366D5">
              <w:rPr>
                <w:rFonts w:ascii="Times New Roman" w:eastAsia="Times New Roman" w:hAnsi="Times New Roman" w:cs="Times New Roman"/>
                <w:color w:val="000000"/>
                <w:kern w:val="0"/>
                <w:sz w:val="20"/>
                <w:szCs w:val="20"/>
                <w:lang w:eastAsia="en-GB"/>
                <w14:ligatures w14:val="none"/>
              </w:rPr>
              <w:t>at</w:t>
            </w:r>
            <w:proofErr w:type="gramEnd"/>
            <w:r w:rsidRPr="002366D5">
              <w:rPr>
                <w:rFonts w:ascii="Times New Roman" w:eastAsia="Times New Roman" w:hAnsi="Times New Roman" w:cs="Times New Roman"/>
                <w:color w:val="000000"/>
                <w:kern w:val="0"/>
                <w:sz w:val="20"/>
                <w:szCs w:val="20"/>
                <w:lang w:eastAsia="en-GB"/>
                <w14:ligatures w14:val="none"/>
              </w:rPr>
              <w:t xml:space="preserve"> 1 August 2025</w:t>
            </w:r>
          </w:p>
        </w:tc>
        <w:tc>
          <w:tcPr>
            <w:tcW w:w="1172" w:type="dxa"/>
            <w:tcBorders>
              <w:top w:val="nil"/>
              <w:left w:val="nil"/>
              <w:bottom w:val="single" w:sz="8" w:space="0" w:color="auto"/>
              <w:right w:val="nil"/>
            </w:tcBorders>
            <w:tcMar>
              <w:top w:w="0" w:type="dxa"/>
              <w:left w:w="56" w:type="dxa"/>
              <w:bottom w:w="0" w:type="dxa"/>
              <w:right w:w="56" w:type="dxa"/>
            </w:tcMar>
            <w:vAlign w:val="bottom"/>
            <w:hideMark/>
          </w:tcPr>
          <w:p w14:paraId="726817B6"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64,656,250</w:t>
            </w:r>
          </w:p>
        </w:tc>
        <w:tc>
          <w:tcPr>
            <w:tcW w:w="1453" w:type="dxa"/>
            <w:tcBorders>
              <w:top w:val="nil"/>
              <w:left w:val="nil"/>
              <w:bottom w:val="single" w:sz="8" w:space="0" w:color="auto"/>
              <w:right w:val="nil"/>
            </w:tcBorders>
            <w:tcMar>
              <w:top w:w="0" w:type="dxa"/>
              <w:left w:w="56" w:type="dxa"/>
              <w:bottom w:w="0" w:type="dxa"/>
              <w:right w:w="56" w:type="dxa"/>
            </w:tcMar>
            <w:vAlign w:val="bottom"/>
            <w:hideMark/>
          </w:tcPr>
          <w:p w14:paraId="1E628347"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647</w:t>
            </w:r>
          </w:p>
        </w:tc>
        <w:tc>
          <w:tcPr>
            <w:tcW w:w="1167" w:type="dxa"/>
            <w:tcBorders>
              <w:top w:val="nil"/>
              <w:left w:val="nil"/>
              <w:bottom w:val="single" w:sz="8" w:space="0" w:color="auto"/>
              <w:right w:val="nil"/>
            </w:tcBorders>
            <w:tcMar>
              <w:top w:w="0" w:type="dxa"/>
              <w:left w:w="56" w:type="dxa"/>
              <w:bottom w:w="0" w:type="dxa"/>
              <w:right w:w="56" w:type="dxa"/>
            </w:tcMar>
            <w:hideMark/>
          </w:tcPr>
          <w:p w14:paraId="4452EC52"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 </w:t>
            </w:r>
          </w:p>
          <w:p w14:paraId="3C40E21A"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4,093</w:t>
            </w:r>
          </w:p>
        </w:tc>
        <w:tc>
          <w:tcPr>
            <w:tcW w:w="1167" w:type="dxa"/>
            <w:tcBorders>
              <w:top w:val="nil"/>
              <w:left w:val="nil"/>
              <w:bottom w:val="single" w:sz="8" w:space="0" w:color="auto"/>
              <w:right w:val="nil"/>
            </w:tcBorders>
            <w:tcMar>
              <w:top w:w="0" w:type="dxa"/>
              <w:left w:w="56" w:type="dxa"/>
              <w:bottom w:w="0" w:type="dxa"/>
              <w:right w:w="56" w:type="dxa"/>
            </w:tcMar>
            <w:hideMark/>
          </w:tcPr>
          <w:p w14:paraId="202ED0E5"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 </w:t>
            </w:r>
          </w:p>
          <w:p w14:paraId="3F10A5AD"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r>
      <w:tr w:rsidR="002366D5" w:rsidRPr="002366D5" w14:paraId="6B9379FA" w14:textId="77777777">
        <w:trPr>
          <w:trHeight w:val="251"/>
        </w:trPr>
        <w:tc>
          <w:tcPr>
            <w:tcW w:w="403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22A06B51"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Issue of ordinary shares - cash</w:t>
            </w:r>
          </w:p>
        </w:tc>
        <w:tc>
          <w:tcPr>
            <w:tcW w:w="1172" w:type="dxa"/>
            <w:tcBorders>
              <w:top w:val="nil"/>
              <w:left w:val="nil"/>
              <w:bottom w:val="nil"/>
              <w:right w:val="nil"/>
            </w:tcBorders>
            <w:tcMar>
              <w:top w:w="0" w:type="dxa"/>
              <w:left w:w="56" w:type="dxa"/>
              <w:bottom w:w="0" w:type="dxa"/>
              <w:right w:w="56" w:type="dxa"/>
            </w:tcMar>
            <w:vAlign w:val="bottom"/>
            <w:hideMark/>
          </w:tcPr>
          <w:p w14:paraId="7F41D8F7"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40,100,000</w:t>
            </w:r>
          </w:p>
        </w:tc>
        <w:tc>
          <w:tcPr>
            <w:tcW w:w="1453" w:type="dxa"/>
            <w:tcBorders>
              <w:top w:val="nil"/>
              <w:left w:val="nil"/>
              <w:bottom w:val="nil"/>
              <w:right w:val="nil"/>
            </w:tcBorders>
            <w:tcMar>
              <w:top w:w="0" w:type="dxa"/>
              <w:left w:w="56" w:type="dxa"/>
              <w:bottom w:w="0" w:type="dxa"/>
              <w:right w:w="56" w:type="dxa"/>
            </w:tcMar>
            <w:vAlign w:val="bottom"/>
            <w:hideMark/>
          </w:tcPr>
          <w:p w14:paraId="1C2D7411"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401</w:t>
            </w:r>
          </w:p>
        </w:tc>
        <w:tc>
          <w:tcPr>
            <w:tcW w:w="1167" w:type="dxa"/>
            <w:tcBorders>
              <w:top w:val="nil"/>
              <w:left w:val="nil"/>
              <w:bottom w:val="nil"/>
              <w:right w:val="nil"/>
            </w:tcBorders>
            <w:tcMar>
              <w:top w:w="0" w:type="dxa"/>
              <w:left w:w="56" w:type="dxa"/>
              <w:bottom w:w="0" w:type="dxa"/>
              <w:right w:w="56" w:type="dxa"/>
            </w:tcMar>
            <w:hideMark/>
          </w:tcPr>
          <w:p w14:paraId="16CA7F14"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c>
          <w:tcPr>
            <w:tcW w:w="1167" w:type="dxa"/>
            <w:tcBorders>
              <w:top w:val="nil"/>
              <w:left w:val="nil"/>
              <w:bottom w:val="nil"/>
              <w:right w:val="nil"/>
            </w:tcBorders>
            <w:tcMar>
              <w:top w:w="0" w:type="dxa"/>
              <w:left w:w="56" w:type="dxa"/>
              <w:bottom w:w="0" w:type="dxa"/>
              <w:right w:w="56" w:type="dxa"/>
            </w:tcMar>
            <w:hideMark/>
          </w:tcPr>
          <w:p w14:paraId="7179E001"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r>
      <w:tr w:rsidR="002366D5" w:rsidRPr="002366D5" w14:paraId="094EFCBC" w14:textId="77777777">
        <w:trPr>
          <w:trHeight w:val="251"/>
        </w:trPr>
        <w:tc>
          <w:tcPr>
            <w:tcW w:w="403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13BB5027"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Issue of ordinary shares - settlement of creditors</w:t>
            </w:r>
          </w:p>
        </w:tc>
        <w:tc>
          <w:tcPr>
            <w:tcW w:w="1172" w:type="dxa"/>
            <w:tcBorders>
              <w:top w:val="single" w:sz="8" w:space="0" w:color="auto"/>
              <w:left w:val="nil"/>
              <w:bottom w:val="nil"/>
              <w:right w:val="nil"/>
            </w:tcBorders>
            <w:tcMar>
              <w:top w:w="0" w:type="dxa"/>
              <w:left w:w="56" w:type="dxa"/>
              <w:bottom w:w="0" w:type="dxa"/>
              <w:right w:w="56" w:type="dxa"/>
            </w:tcMar>
            <w:vAlign w:val="bottom"/>
            <w:hideMark/>
          </w:tcPr>
          <w:p w14:paraId="13FEA40A"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15,723,790</w:t>
            </w:r>
          </w:p>
        </w:tc>
        <w:tc>
          <w:tcPr>
            <w:tcW w:w="1453" w:type="dxa"/>
            <w:tcBorders>
              <w:top w:val="single" w:sz="8" w:space="0" w:color="auto"/>
              <w:left w:val="nil"/>
              <w:bottom w:val="nil"/>
              <w:right w:val="nil"/>
            </w:tcBorders>
            <w:tcMar>
              <w:top w:w="0" w:type="dxa"/>
              <w:left w:w="56" w:type="dxa"/>
              <w:bottom w:w="0" w:type="dxa"/>
              <w:right w:w="56" w:type="dxa"/>
            </w:tcMar>
            <w:vAlign w:val="bottom"/>
            <w:hideMark/>
          </w:tcPr>
          <w:p w14:paraId="2AE7CC21"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157</w:t>
            </w:r>
          </w:p>
        </w:tc>
        <w:tc>
          <w:tcPr>
            <w:tcW w:w="1167" w:type="dxa"/>
            <w:tcBorders>
              <w:top w:val="single" w:sz="8" w:space="0" w:color="auto"/>
              <w:left w:val="nil"/>
              <w:bottom w:val="nil"/>
              <w:right w:val="nil"/>
            </w:tcBorders>
            <w:tcMar>
              <w:top w:w="0" w:type="dxa"/>
              <w:left w:w="56" w:type="dxa"/>
              <w:bottom w:w="0" w:type="dxa"/>
              <w:right w:w="56" w:type="dxa"/>
            </w:tcMar>
            <w:hideMark/>
          </w:tcPr>
          <w:p w14:paraId="198EE62E"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c>
          <w:tcPr>
            <w:tcW w:w="1167" w:type="dxa"/>
            <w:tcBorders>
              <w:top w:val="single" w:sz="8" w:space="0" w:color="auto"/>
              <w:left w:val="nil"/>
              <w:bottom w:val="nil"/>
              <w:right w:val="nil"/>
            </w:tcBorders>
            <w:tcMar>
              <w:top w:w="0" w:type="dxa"/>
              <w:left w:w="56" w:type="dxa"/>
              <w:bottom w:w="0" w:type="dxa"/>
              <w:right w:w="56" w:type="dxa"/>
            </w:tcMar>
            <w:hideMark/>
          </w:tcPr>
          <w:p w14:paraId="1A214489"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r>
      <w:tr w:rsidR="002366D5" w:rsidRPr="002366D5" w14:paraId="413DB133" w14:textId="77777777">
        <w:trPr>
          <w:trHeight w:val="251"/>
        </w:trPr>
        <w:tc>
          <w:tcPr>
            <w:tcW w:w="403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36427E48"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Issue of shares prior to share consolidation</w:t>
            </w:r>
          </w:p>
        </w:tc>
        <w:tc>
          <w:tcPr>
            <w:tcW w:w="1172" w:type="dxa"/>
            <w:tcBorders>
              <w:top w:val="single" w:sz="8" w:space="0" w:color="auto"/>
              <w:left w:val="nil"/>
              <w:bottom w:val="nil"/>
              <w:right w:val="nil"/>
            </w:tcBorders>
            <w:tcMar>
              <w:top w:w="0" w:type="dxa"/>
              <w:left w:w="56" w:type="dxa"/>
              <w:bottom w:w="0" w:type="dxa"/>
              <w:right w:w="56" w:type="dxa"/>
            </w:tcMar>
            <w:vAlign w:val="bottom"/>
            <w:hideMark/>
          </w:tcPr>
          <w:p w14:paraId="2FF35CA9"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10</w:t>
            </w:r>
          </w:p>
        </w:tc>
        <w:tc>
          <w:tcPr>
            <w:tcW w:w="1453" w:type="dxa"/>
            <w:tcBorders>
              <w:top w:val="single" w:sz="8" w:space="0" w:color="auto"/>
              <w:left w:val="nil"/>
              <w:bottom w:val="nil"/>
              <w:right w:val="nil"/>
            </w:tcBorders>
            <w:tcMar>
              <w:top w:w="0" w:type="dxa"/>
              <w:left w:w="56" w:type="dxa"/>
              <w:bottom w:w="0" w:type="dxa"/>
              <w:right w:w="56" w:type="dxa"/>
            </w:tcMar>
            <w:vAlign w:val="bottom"/>
            <w:hideMark/>
          </w:tcPr>
          <w:p w14:paraId="26368455"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c>
          <w:tcPr>
            <w:tcW w:w="1167" w:type="dxa"/>
            <w:tcBorders>
              <w:top w:val="single" w:sz="8" w:space="0" w:color="auto"/>
              <w:left w:val="nil"/>
              <w:bottom w:val="nil"/>
              <w:right w:val="nil"/>
            </w:tcBorders>
            <w:tcMar>
              <w:top w:w="0" w:type="dxa"/>
              <w:left w:w="56" w:type="dxa"/>
              <w:bottom w:w="0" w:type="dxa"/>
              <w:right w:w="56" w:type="dxa"/>
            </w:tcMar>
            <w:hideMark/>
          </w:tcPr>
          <w:p w14:paraId="147F688E"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c>
          <w:tcPr>
            <w:tcW w:w="1167" w:type="dxa"/>
            <w:tcBorders>
              <w:top w:val="single" w:sz="8" w:space="0" w:color="auto"/>
              <w:left w:val="nil"/>
              <w:bottom w:val="nil"/>
              <w:right w:val="nil"/>
            </w:tcBorders>
            <w:tcMar>
              <w:top w:w="0" w:type="dxa"/>
              <w:left w:w="56" w:type="dxa"/>
              <w:bottom w:w="0" w:type="dxa"/>
              <w:right w:w="56" w:type="dxa"/>
            </w:tcMar>
            <w:hideMark/>
          </w:tcPr>
          <w:p w14:paraId="76DAC17C"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r>
      <w:tr w:rsidR="002366D5" w:rsidRPr="002366D5" w14:paraId="5431313D" w14:textId="77777777">
        <w:trPr>
          <w:trHeight w:val="251"/>
        </w:trPr>
        <w:tc>
          <w:tcPr>
            <w:tcW w:w="403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76C3D4CE"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Change in nominal value of ordinary shares</w:t>
            </w:r>
          </w:p>
        </w:tc>
        <w:tc>
          <w:tcPr>
            <w:tcW w:w="1172" w:type="dxa"/>
            <w:tcBorders>
              <w:top w:val="single" w:sz="8" w:space="0" w:color="auto"/>
              <w:left w:val="nil"/>
              <w:bottom w:val="nil"/>
              <w:right w:val="nil"/>
            </w:tcBorders>
            <w:tcMar>
              <w:top w:w="0" w:type="dxa"/>
              <w:left w:w="56" w:type="dxa"/>
              <w:bottom w:w="0" w:type="dxa"/>
              <w:right w:w="56" w:type="dxa"/>
            </w:tcMar>
            <w:vAlign w:val="bottom"/>
            <w:hideMark/>
          </w:tcPr>
          <w:p w14:paraId="51C7D686"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2,409,601</w:t>
            </w:r>
          </w:p>
        </w:tc>
        <w:tc>
          <w:tcPr>
            <w:tcW w:w="1453" w:type="dxa"/>
            <w:tcBorders>
              <w:top w:val="single" w:sz="8" w:space="0" w:color="auto"/>
              <w:left w:val="nil"/>
              <w:bottom w:val="nil"/>
              <w:right w:val="nil"/>
            </w:tcBorders>
            <w:tcMar>
              <w:top w:w="0" w:type="dxa"/>
              <w:left w:w="56" w:type="dxa"/>
              <w:bottom w:w="0" w:type="dxa"/>
              <w:right w:w="56" w:type="dxa"/>
            </w:tcMar>
            <w:vAlign w:val="bottom"/>
            <w:hideMark/>
          </w:tcPr>
          <w:p w14:paraId="7A7DBDE6"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(1,181)</w:t>
            </w:r>
          </w:p>
        </w:tc>
        <w:tc>
          <w:tcPr>
            <w:tcW w:w="1167" w:type="dxa"/>
            <w:tcBorders>
              <w:top w:val="single" w:sz="8" w:space="0" w:color="auto"/>
              <w:left w:val="nil"/>
              <w:bottom w:val="nil"/>
              <w:right w:val="nil"/>
            </w:tcBorders>
            <w:tcMar>
              <w:top w:w="0" w:type="dxa"/>
              <w:left w:w="56" w:type="dxa"/>
              <w:bottom w:w="0" w:type="dxa"/>
              <w:right w:w="56" w:type="dxa"/>
            </w:tcMar>
            <w:hideMark/>
          </w:tcPr>
          <w:p w14:paraId="44EB1DFC"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c>
          <w:tcPr>
            <w:tcW w:w="1167" w:type="dxa"/>
            <w:tcBorders>
              <w:top w:val="single" w:sz="8" w:space="0" w:color="auto"/>
              <w:left w:val="nil"/>
              <w:bottom w:val="nil"/>
              <w:right w:val="nil"/>
            </w:tcBorders>
            <w:tcMar>
              <w:top w:w="0" w:type="dxa"/>
              <w:left w:w="56" w:type="dxa"/>
              <w:bottom w:w="0" w:type="dxa"/>
              <w:right w:w="56" w:type="dxa"/>
            </w:tcMar>
            <w:hideMark/>
          </w:tcPr>
          <w:p w14:paraId="0AEA28F0"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1,181</w:t>
            </w:r>
          </w:p>
        </w:tc>
      </w:tr>
      <w:tr w:rsidR="002366D5" w:rsidRPr="002366D5" w14:paraId="0592D7EB" w14:textId="77777777">
        <w:trPr>
          <w:trHeight w:val="251"/>
        </w:trPr>
        <w:tc>
          <w:tcPr>
            <w:tcW w:w="403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7E3AD7E2"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Cost of share issue</w:t>
            </w:r>
          </w:p>
        </w:tc>
        <w:tc>
          <w:tcPr>
            <w:tcW w:w="1172" w:type="dxa"/>
            <w:tcBorders>
              <w:top w:val="single" w:sz="8" w:space="0" w:color="auto"/>
              <w:left w:val="nil"/>
              <w:bottom w:val="nil"/>
              <w:right w:val="nil"/>
            </w:tcBorders>
            <w:tcMar>
              <w:top w:w="0" w:type="dxa"/>
              <w:left w:w="56" w:type="dxa"/>
              <w:bottom w:w="0" w:type="dxa"/>
              <w:right w:w="56" w:type="dxa"/>
            </w:tcMar>
            <w:vAlign w:val="bottom"/>
            <w:hideMark/>
          </w:tcPr>
          <w:p w14:paraId="3278FA6E"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c>
          <w:tcPr>
            <w:tcW w:w="1453" w:type="dxa"/>
            <w:tcBorders>
              <w:top w:val="single" w:sz="8" w:space="0" w:color="auto"/>
              <w:left w:val="nil"/>
              <w:bottom w:val="nil"/>
              <w:right w:val="nil"/>
            </w:tcBorders>
            <w:tcMar>
              <w:top w:w="0" w:type="dxa"/>
              <w:left w:w="56" w:type="dxa"/>
              <w:bottom w:w="0" w:type="dxa"/>
              <w:right w:w="56" w:type="dxa"/>
            </w:tcMar>
            <w:vAlign w:val="bottom"/>
            <w:hideMark/>
          </w:tcPr>
          <w:p w14:paraId="662C1511"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c>
          <w:tcPr>
            <w:tcW w:w="1167" w:type="dxa"/>
            <w:tcBorders>
              <w:top w:val="single" w:sz="8" w:space="0" w:color="auto"/>
              <w:left w:val="nil"/>
              <w:bottom w:val="nil"/>
              <w:right w:val="nil"/>
            </w:tcBorders>
            <w:tcMar>
              <w:top w:w="0" w:type="dxa"/>
              <w:left w:w="56" w:type="dxa"/>
              <w:bottom w:w="0" w:type="dxa"/>
              <w:right w:w="56" w:type="dxa"/>
            </w:tcMar>
            <w:hideMark/>
          </w:tcPr>
          <w:p w14:paraId="4431157A"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(24)</w:t>
            </w:r>
          </w:p>
        </w:tc>
        <w:tc>
          <w:tcPr>
            <w:tcW w:w="1167" w:type="dxa"/>
            <w:tcBorders>
              <w:top w:val="single" w:sz="8" w:space="0" w:color="auto"/>
              <w:left w:val="nil"/>
              <w:bottom w:val="nil"/>
              <w:right w:val="nil"/>
            </w:tcBorders>
            <w:tcMar>
              <w:top w:w="0" w:type="dxa"/>
              <w:left w:w="56" w:type="dxa"/>
              <w:bottom w:w="0" w:type="dxa"/>
              <w:right w:w="56" w:type="dxa"/>
            </w:tcMar>
            <w:hideMark/>
          </w:tcPr>
          <w:p w14:paraId="2A11BD2B"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r>
      <w:tr w:rsidR="002366D5" w:rsidRPr="002366D5" w14:paraId="131A4963" w14:textId="77777777">
        <w:trPr>
          <w:trHeight w:val="251"/>
        </w:trPr>
        <w:tc>
          <w:tcPr>
            <w:tcW w:w="403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6D71F5CF"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 xml:space="preserve">Total ordinary shares </w:t>
            </w:r>
            <w:proofErr w:type="gramStart"/>
            <w:r w:rsidRPr="002366D5">
              <w:rPr>
                <w:rFonts w:ascii="Times New Roman" w:eastAsia="Times New Roman" w:hAnsi="Times New Roman" w:cs="Times New Roman"/>
                <w:color w:val="000000"/>
                <w:kern w:val="0"/>
                <w:sz w:val="20"/>
                <w:szCs w:val="20"/>
                <w:lang w:eastAsia="en-GB"/>
                <w14:ligatures w14:val="none"/>
              </w:rPr>
              <w:t>at</w:t>
            </w:r>
            <w:proofErr w:type="gramEnd"/>
            <w:r w:rsidRPr="002366D5">
              <w:rPr>
                <w:rFonts w:ascii="Times New Roman" w:eastAsia="Times New Roman" w:hAnsi="Times New Roman" w:cs="Times New Roman"/>
                <w:color w:val="000000"/>
                <w:kern w:val="0"/>
                <w:sz w:val="20"/>
                <w:szCs w:val="20"/>
                <w:lang w:eastAsia="en-GB"/>
                <w14:ligatures w14:val="none"/>
              </w:rPr>
              <w:t xml:space="preserve"> 31 January 2026</w:t>
            </w:r>
          </w:p>
        </w:tc>
        <w:tc>
          <w:tcPr>
            <w:tcW w:w="1172" w:type="dxa"/>
            <w:tcBorders>
              <w:top w:val="single" w:sz="8" w:space="0" w:color="auto"/>
              <w:left w:val="nil"/>
              <w:bottom w:val="single" w:sz="8" w:space="0" w:color="auto"/>
              <w:right w:val="nil"/>
            </w:tcBorders>
            <w:tcMar>
              <w:top w:w="0" w:type="dxa"/>
              <w:left w:w="56" w:type="dxa"/>
              <w:bottom w:w="0" w:type="dxa"/>
              <w:right w:w="56" w:type="dxa"/>
            </w:tcMar>
            <w:vAlign w:val="bottom"/>
            <w:hideMark/>
          </w:tcPr>
          <w:p w14:paraId="47F0032E"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2,409,601</w:t>
            </w:r>
          </w:p>
        </w:tc>
        <w:tc>
          <w:tcPr>
            <w:tcW w:w="1453" w:type="dxa"/>
            <w:tcBorders>
              <w:top w:val="single" w:sz="8" w:space="0" w:color="auto"/>
              <w:left w:val="nil"/>
              <w:bottom w:val="single" w:sz="8" w:space="0" w:color="auto"/>
              <w:right w:val="nil"/>
            </w:tcBorders>
            <w:tcMar>
              <w:top w:w="0" w:type="dxa"/>
              <w:left w:w="56" w:type="dxa"/>
              <w:bottom w:w="0" w:type="dxa"/>
              <w:right w:w="56" w:type="dxa"/>
            </w:tcMar>
            <w:vAlign w:val="bottom"/>
            <w:hideMark/>
          </w:tcPr>
          <w:p w14:paraId="5DB6D4A6"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24</w:t>
            </w:r>
          </w:p>
        </w:tc>
        <w:tc>
          <w:tcPr>
            <w:tcW w:w="1167" w:type="dxa"/>
            <w:tcBorders>
              <w:top w:val="single" w:sz="8" w:space="0" w:color="auto"/>
              <w:left w:val="nil"/>
              <w:bottom w:val="single" w:sz="8" w:space="0" w:color="auto"/>
              <w:right w:val="nil"/>
            </w:tcBorders>
            <w:tcMar>
              <w:top w:w="0" w:type="dxa"/>
              <w:left w:w="56" w:type="dxa"/>
              <w:bottom w:w="0" w:type="dxa"/>
              <w:right w:w="56" w:type="dxa"/>
            </w:tcMar>
            <w:vAlign w:val="bottom"/>
            <w:hideMark/>
          </w:tcPr>
          <w:p w14:paraId="4A08D572"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4,069</w:t>
            </w:r>
          </w:p>
        </w:tc>
        <w:tc>
          <w:tcPr>
            <w:tcW w:w="1167" w:type="dxa"/>
            <w:tcBorders>
              <w:top w:val="single" w:sz="8" w:space="0" w:color="auto"/>
              <w:left w:val="nil"/>
              <w:bottom w:val="single" w:sz="8" w:space="0" w:color="auto"/>
              <w:right w:val="nil"/>
            </w:tcBorders>
            <w:tcMar>
              <w:top w:w="0" w:type="dxa"/>
              <w:left w:w="56" w:type="dxa"/>
              <w:bottom w:w="0" w:type="dxa"/>
              <w:right w:w="56" w:type="dxa"/>
            </w:tcMar>
            <w:hideMark/>
          </w:tcPr>
          <w:p w14:paraId="4FF15AE4"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 </w:t>
            </w:r>
          </w:p>
          <w:p w14:paraId="7938CCEB"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1,181</w:t>
            </w:r>
          </w:p>
        </w:tc>
      </w:tr>
      <w:tr w:rsidR="002366D5" w:rsidRPr="002366D5" w14:paraId="620BCF80" w14:textId="77777777">
        <w:trPr>
          <w:trHeight w:val="251"/>
        </w:trPr>
        <w:tc>
          <w:tcPr>
            <w:tcW w:w="4030"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727E11BC"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br/>
            </w:r>
          </w:p>
        </w:tc>
        <w:tc>
          <w:tcPr>
            <w:tcW w:w="1172" w:type="dxa"/>
            <w:tcBorders>
              <w:top w:val="nil"/>
              <w:left w:val="nil"/>
              <w:bottom w:val="nil"/>
              <w:right w:val="nil"/>
            </w:tcBorders>
            <w:tcMar>
              <w:top w:w="0" w:type="dxa"/>
              <w:left w:w="56" w:type="dxa"/>
              <w:bottom w:w="0" w:type="dxa"/>
              <w:right w:w="56" w:type="dxa"/>
            </w:tcMar>
            <w:vAlign w:val="bottom"/>
            <w:hideMark/>
          </w:tcPr>
          <w:p w14:paraId="697B5108"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453" w:type="dxa"/>
            <w:tcBorders>
              <w:top w:val="nil"/>
              <w:left w:val="nil"/>
              <w:bottom w:val="nil"/>
              <w:right w:val="nil"/>
            </w:tcBorders>
            <w:tcMar>
              <w:top w:w="0" w:type="dxa"/>
              <w:left w:w="56" w:type="dxa"/>
              <w:bottom w:w="0" w:type="dxa"/>
              <w:right w:w="56" w:type="dxa"/>
            </w:tcMar>
            <w:vAlign w:val="bottom"/>
            <w:hideMark/>
          </w:tcPr>
          <w:p w14:paraId="3AE083C9"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167" w:type="dxa"/>
            <w:tcBorders>
              <w:top w:val="nil"/>
              <w:left w:val="nil"/>
              <w:bottom w:val="nil"/>
              <w:right w:val="nil"/>
            </w:tcBorders>
            <w:tcMar>
              <w:top w:w="0" w:type="dxa"/>
              <w:left w:w="56" w:type="dxa"/>
              <w:bottom w:w="0" w:type="dxa"/>
              <w:right w:w="56" w:type="dxa"/>
            </w:tcMar>
            <w:hideMark/>
          </w:tcPr>
          <w:p w14:paraId="522C94BA"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167" w:type="dxa"/>
            <w:tcBorders>
              <w:top w:val="nil"/>
              <w:left w:val="nil"/>
              <w:bottom w:val="nil"/>
              <w:right w:val="nil"/>
            </w:tcBorders>
            <w:tcMar>
              <w:top w:w="0" w:type="dxa"/>
              <w:left w:w="56" w:type="dxa"/>
              <w:bottom w:w="0" w:type="dxa"/>
              <w:right w:w="56" w:type="dxa"/>
            </w:tcMar>
            <w:hideMark/>
          </w:tcPr>
          <w:p w14:paraId="13529431"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r>
    </w:tbl>
    <w:p w14:paraId="7A244813"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5CEDF44A"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2FC1B099"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color w:val="1F2937"/>
          <w:kern w:val="0"/>
          <w:sz w:val="20"/>
          <w:szCs w:val="20"/>
          <w:lang w:eastAsia="en-GB"/>
          <w14:ligatures w14:val="none"/>
        </w:rPr>
        <w:t xml:space="preserve">On 6 October 2025 the Company issued 40,100,000 new ordinary shares at an issue price of 1 </w:t>
      </w:r>
      <w:proofErr w:type="gramStart"/>
      <w:r w:rsidRPr="002366D5">
        <w:rPr>
          <w:rFonts w:ascii="unset" w:eastAsia="Times New Roman" w:hAnsi="unset" w:cs="Times New Roman"/>
          <w:color w:val="1F2937"/>
          <w:kern w:val="0"/>
          <w:sz w:val="20"/>
          <w:szCs w:val="20"/>
          <w:lang w:eastAsia="en-GB"/>
          <w14:ligatures w14:val="none"/>
        </w:rPr>
        <w:t>pence</w:t>
      </w:r>
      <w:proofErr w:type="gramEnd"/>
      <w:r w:rsidRPr="002366D5">
        <w:rPr>
          <w:rFonts w:ascii="unset" w:eastAsia="Times New Roman" w:hAnsi="unset" w:cs="Times New Roman"/>
          <w:color w:val="1F2937"/>
          <w:kern w:val="0"/>
          <w:sz w:val="20"/>
          <w:szCs w:val="20"/>
          <w:lang w:eastAsia="en-GB"/>
          <w14:ligatures w14:val="none"/>
        </w:rPr>
        <w:t> per share, raising gross proceeds of £401k in cash. As part of the subscription, certain directors subscribed for, in aggregate, 2,500,000 new ordinary shares (see note 9 for details).</w:t>
      </w:r>
    </w:p>
    <w:p w14:paraId="34A09EC5" w14:textId="77777777" w:rsidR="002366D5" w:rsidRPr="002366D5" w:rsidRDefault="002366D5" w:rsidP="002366D5">
      <w:pPr>
        <w:shd w:val="clear" w:color="auto" w:fill="FFFFFF"/>
        <w:spacing w:before="100" w:beforeAutospacing="1" w:after="100" w:afterAutospacing="1" w:line="240" w:lineRule="auto"/>
        <w:jc w:val="both"/>
        <w:rPr>
          <w:rFonts w:ascii="Arial" w:eastAsia="Times New Roman" w:hAnsi="Arial" w:cs="Arial"/>
          <w:color w:val="1F2937"/>
          <w:kern w:val="0"/>
          <w:sz w:val="20"/>
          <w:szCs w:val="20"/>
          <w:lang w:eastAsia="en-GB"/>
          <w14:ligatures w14:val="none"/>
        </w:rPr>
      </w:pPr>
      <w:r w:rsidRPr="002366D5">
        <w:rPr>
          <w:rFonts w:ascii="unset" w:eastAsia="Times New Roman" w:hAnsi="unset" w:cs="Arial"/>
          <w:color w:val="1F2937"/>
          <w:kern w:val="0"/>
          <w:sz w:val="20"/>
          <w:szCs w:val="20"/>
          <w:lang w:eastAsia="en-GB"/>
          <w14:ligatures w14:val="none"/>
        </w:rPr>
        <w:t xml:space="preserve">In addition, the Company issued 15,723,790 ordinary shares at the issue price of 1 </w:t>
      </w:r>
      <w:proofErr w:type="gramStart"/>
      <w:r w:rsidRPr="002366D5">
        <w:rPr>
          <w:rFonts w:ascii="unset" w:eastAsia="Times New Roman" w:hAnsi="unset" w:cs="Arial"/>
          <w:color w:val="1F2937"/>
          <w:kern w:val="0"/>
          <w:sz w:val="20"/>
          <w:szCs w:val="20"/>
          <w:lang w:eastAsia="en-GB"/>
          <w14:ligatures w14:val="none"/>
        </w:rPr>
        <w:t>pence</w:t>
      </w:r>
      <w:proofErr w:type="gramEnd"/>
      <w:r w:rsidRPr="002366D5">
        <w:rPr>
          <w:rFonts w:ascii="unset" w:eastAsia="Times New Roman" w:hAnsi="unset" w:cs="Arial"/>
          <w:color w:val="1F2937"/>
          <w:kern w:val="0"/>
          <w:sz w:val="20"/>
          <w:szCs w:val="20"/>
          <w:lang w:eastAsia="en-GB"/>
          <w14:ligatures w14:val="none"/>
        </w:rPr>
        <w:t> per share to settle creditor liabilities totalling £157k. Of these, 9,280,000 ordinary shares were issued in settlement of amounts due to directors (see note 9 for details). </w:t>
      </w:r>
    </w:p>
    <w:p w14:paraId="10F7C675"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color w:val="1F2937"/>
          <w:kern w:val="0"/>
          <w:sz w:val="20"/>
          <w:szCs w:val="20"/>
          <w:lang w:eastAsia="en-GB"/>
          <w14:ligatures w14:val="none"/>
        </w:rPr>
        <w:t>The Group undertook a share capital reorganisation exercise during the period ended 31 January 2026. This involved the consolidation of every 50 existing ordinary shares into one consolidated share, followed by a subdivision of each consolidated share into one new ordinary share of £0.01 and one deferred share of £0.49.  </w:t>
      </w:r>
    </w:p>
    <w:p w14:paraId="0C8536A5"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color w:val="1F2937"/>
          <w:kern w:val="0"/>
          <w:sz w:val="20"/>
          <w:szCs w:val="20"/>
          <w:lang w:eastAsia="en-GB"/>
          <w14:ligatures w14:val="none"/>
        </w:rPr>
        <w:t> </w:t>
      </w:r>
    </w:p>
    <w:p w14:paraId="6D8E1DFF"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color w:val="1F2937"/>
          <w:kern w:val="0"/>
          <w:sz w:val="20"/>
          <w:szCs w:val="20"/>
          <w:lang w:eastAsia="en-GB"/>
          <w14:ligatures w14:val="none"/>
        </w:rPr>
        <w:t>The new deferred shares have no significant rights attached to them and carry no right to vote or participate in distribution of surplus assets and have not been admitted to trading on the Aquis Stock exchange and are not expected to be admitted in the future. The reorganisation resulted in a reclassification within equity with no impact on the Group's total equity. Accordingly, the deferred shares are excluded from the calculation of earnings per share in note 7.</w:t>
      </w:r>
    </w:p>
    <w:p w14:paraId="0021B979"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color w:val="1F2937"/>
          <w:kern w:val="0"/>
          <w:sz w:val="20"/>
          <w:szCs w:val="20"/>
          <w:lang w:eastAsia="en-GB"/>
          <w14:ligatures w14:val="none"/>
        </w:rPr>
        <w:t> </w:t>
      </w:r>
    </w:p>
    <w:p w14:paraId="28D517C6"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color w:val="1F2937"/>
          <w:kern w:val="0"/>
          <w:sz w:val="20"/>
          <w:szCs w:val="20"/>
          <w:lang w:eastAsia="en-GB"/>
          <w14:ligatures w14:val="none"/>
        </w:rPr>
        <w:t> </w:t>
      </w:r>
    </w:p>
    <w:tbl>
      <w:tblPr>
        <w:tblW w:w="0" w:type="auto"/>
        <w:tblInd w:w="-108" w:type="dxa"/>
        <w:tblBorders>
          <w:top w:val="single" w:sz="2" w:space="0" w:color="808080"/>
          <w:left w:val="single" w:sz="2" w:space="0" w:color="808080"/>
          <w:bottom w:val="single" w:sz="2" w:space="0" w:color="808080"/>
          <w:right w:val="single" w:sz="2" w:space="0" w:color="808080"/>
        </w:tblBorders>
        <w:tblCellMar>
          <w:left w:w="0" w:type="dxa"/>
          <w:right w:w="0" w:type="dxa"/>
        </w:tblCellMar>
        <w:tblLook w:val="04A0" w:firstRow="1" w:lastRow="0" w:firstColumn="1" w:lastColumn="0" w:noHBand="0" w:noVBand="1"/>
      </w:tblPr>
      <w:tblGrid>
        <w:gridCol w:w="5449"/>
        <w:gridCol w:w="3135"/>
      </w:tblGrid>
      <w:tr w:rsidR="002366D5" w:rsidRPr="002366D5" w14:paraId="2D31D308" w14:textId="77777777">
        <w:tc>
          <w:tcPr>
            <w:tcW w:w="5449" w:type="dxa"/>
            <w:tcBorders>
              <w:top w:val="nil"/>
              <w:left w:val="nil"/>
              <w:bottom w:val="single" w:sz="8" w:space="0" w:color="auto"/>
              <w:right w:val="nil"/>
            </w:tcBorders>
            <w:tcMar>
              <w:top w:w="0" w:type="dxa"/>
              <w:left w:w="108" w:type="dxa"/>
              <w:bottom w:w="0" w:type="dxa"/>
              <w:right w:w="108" w:type="dxa"/>
            </w:tcMar>
            <w:hideMark/>
          </w:tcPr>
          <w:p w14:paraId="11FDBEFB" w14:textId="77777777" w:rsidR="002366D5" w:rsidRPr="002366D5" w:rsidRDefault="002366D5" w:rsidP="002366D5">
            <w:pPr>
              <w:spacing w:after="0" w:line="240" w:lineRule="auto"/>
              <w:jc w:val="both"/>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br/>
            </w:r>
          </w:p>
        </w:tc>
        <w:tc>
          <w:tcPr>
            <w:tcW w:w="3135" w:type="dxa"/>
            <w:tcBorders>
              <w:top w:val="nil"/>
              <w:left w:val="nil"/>
              <w:bottom w:val="single" w:sz="8" w:space="0" w:color="auto"/>
              <w:right w:val="nil"/>
            </w:tcBorders>
            <w:tcMar>
              <w:top w:w="0" w:type="dxa"/>
              <w:left w:w="108" w:type="dxa"/>
              <w:bottom w:w="0" w:type="dxa"/>
              <w:right w:w="108" w:type="dxa"/>
            </w:tcMar>
            <w:hideMark/>
          </w:tcPr>
          <w:p w14:paraId="4E945FF3"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Number</w:t>
            </w:r>
          </w:p>
        </w:tc>
      </w:tr>
      <w:tr w:rsidR="002366D5" w:rsidRPr="002366D5" w14:paraId="2DD55F6D" w14:textId="77777777">
        <w:tc>
          <w:tcPr>
            <w:tcW w:w="5449" w:type="dxa"/>
            <w:tcBorders>
              <w:top w:val="nil"/>
              <w:left w:val="nil"/>
              <w:bottom w:val="nil"/>
              <w:right w:val="nil"/>
            </w:tcBorders>
            <w:tcMar>
              <w:top w:w="0" w:type="dxa"/>
              <w:left w:w="108" w:type="dxa"/>
              <w:bottom w:w="0" w:type="dxa"/>
              <w:right w:w="108" w:type="dxa"/>
            </w:tcMar>
            <w:hideMark/>
          </w:tcPr>
          <w:p w14:paraId="6B79A701" w14:textId="77777777" w:rsidR="002366D5" w:rsidRPr="002366D5" w:rsidRDefault="002366D5" w:rsidP="002366D5">
            <w:pPr>
              <w:spacing w:after="0" w:line="240" w:lineRule="auto"/>
              <w:jc w:val="both"/>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 xml:space="preserve">Total deferred shares of £0.49 each as </w:t>
            </w:r>
            <w:proofErr w:type="gramStart"/>
            <w:r w:rsidRPr="002366D5">
              <w:rPr>
                <w:rFonts w:ascii="Times New Roman" w:eastAsia="Times New Roman" w:hAnsi="Times New Roman" w:cs="Times New Roman"/>
                <w:color w:val="000000"/>
                <w:kern w:val="0"/>
                <w:sz w:val="20"/>
                <w:szCs w:val="20"/>
                <w:lang w:eastAsia="en-GB"/>
                <w14:ligatures w14:val="none"/>
              </w:rPr>
              <w:t>at</w:t>
            </w:r>
            <w:proofErr w:type="gramEnd"/>
            <w:r w:rsidRPr="002366D5">
              <w:rPr>
                <w:rFonts w:ascii="Times New Roman" w:eastAsia="Times New Roman" w:hAnsi="Times New Roman" w:cs="Times New Roman"/>
                <w:color w:val="000000"/>
                <w:kern w:val="0"/>
                <w:sz w:val="20"/>
                <w:szCs w:val="20"/>
                <w:lang w:eastAsia="en-GB"/>
                <w14:ligatures w14:val="none"/>
              </w:rPr>
              <w:t xml:space="preserve"> 1 August 2025</w:t>
            </w:r>
          </w:p>
        </w:tc>
        <w:tc>
          <w:tcPr>
            <w:tcW w:w="3135" w:type="dxa"/>
            <w:tcBorders>
              <w:top w:val="nil"/>
              <w:left w:val="nil"/>
              <w:bottom w:val="nil"/>
              <w:right w:val="nil"/>
            </w:tcBorders>
            <w:tcMar>
              <w:top w:w="0" w:type="dxa"/>
              <w:left w:w="108" w:type="dxa"/>
              <w:bottom w:w="0" w:type="dxa"/>
              <w:right w:w="108" w:type="dxa"/>
            </w:tcMar>
            <w:hideMark/>
          </w:tcPr>
          <w:p w14:paraId="3508CE0C"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w:t>
            </w:r>
          </w:p>
        </w:tc>
      </w:tr>
      <w:tr w:rsidR="002366D5" w:rsidRPr="002366D5" w14:paraId="53F132CF" w14:textId="77777777">
        <w:tc>
          <w:tcPr>
            <w:tcW w:w="5449" w:type="dxa"/>
            <w:tcBorders>
              <w:top w:val="nil"/>
              <w:left w:val="nil"/>
              <w:bottom w:val="single" w:sz="8" w:space="0" w:color="auto"/>
              <w:right w:val="nil"/>
            </w:tcBorders>
            <w:tcMar>
              <w:top w:w="0" w:type="dxa"/>
              <w:left w:w="108" w:type="dxa"/>
              <w:bottom w:w="0" w:type="dxa"/>
              <w:right w:w="108" w:type="dxa"/>
            </w:tcMar>
            <w:hideMark/>
          </w:tcPr>
          <w:p w14:paraId="6DBAB3DC" w14:textId="77777777" w:rsidR="002366D5" w:rsidRPr="002366D5" w:rsidRDefault="002366D5" w:rsidP="002366D5">
            <w:pPr>
              <w:spacing w:after="0" w:line="240" w:lineRule="auto"/>
              <w:jc w:val="both"/>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Issue of deferred shares as part of share capital reorganisation</w:t>
            </w:r>
          </w:p>
        </w:tc>
        <w:tc>
          <w:tcPr>
            <w:tcW w:w="3135" w:type="dxa"/>
            <w:tcBorders>
              <w:top w:val="nil"/>
              <w:left w:val="nil"/>
              <w:bottom w:val="single" w:sz="8" w:space="0" w:color="auto"/>
              <w:right w:val="nil"/>
            </w:tcBorders>
            <w:tcMar>
              <w:top w:w="0" w:type="dxa"/>
              <w:left w:w="108" w:type="dxa"/>
              <w:bottom w:w="0" w:type="dxa"/>
              <w:right w:w="108" w:type="dxa"/>
            </w:tcMar>
            <w:hideMark/>
          </w:tcPr>
          <w:p w14:paraId="2E92E1E7"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2,409,601</w:t>
            </w:r>
          </w:p>
        </w:tc>
      </w:tr>
      <w:tr w:rsidR="002366D5" w:rsidRPr="002366D5" w14:paraId="2940AE1E" w14:textId="77777777">
        <w:tc>
          <w:tcPr>
            <w:tcW w:w="5449" w:type="dxa"/>
            <w:tcBorders>
              <w:top w:val="nil"/>
              <w:left w:val="nil"/>
              <w:bottom w:val="nil"/>
              <w:right w:val="nil"/>
            </w:tcBorders>
            <w:tcMar>
              <w:top w:w="0" w:type="dxa"/>
              <w:left w:w="108" w:type="dxa"/>
              <w:bottom w:w="0" w:type="dxa"/>
              <w:right w:w="108" w:type="dxa"/>
            </w:tcMar>
            <w:hideMark/>
          </w:tcPr>
          <w:p w14:paraId="67370B82" w14:textId="77777777" w:rsidR="002366D5" w:rsidRPr="002366D5" w:rsidRDefault="002366D5" w:rsidP="002366D5">
            <w:pPr>
              <w:spacing w:after="0" w:line="240" w:lineRule="auto"/>
              <w:jc w:val="both"/>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b/>
                <w:bCs/>
                <w:color w:val="000000"/>
                <w:kern w:val="0"/>
                <w:sz w:val="20"/>
                <w:szCs w:val="20"/>
                <w:lang w:eastAsia="en-GB"/>
                <w14:ligatures w14:val="none"/>
              </w:rPr>
              <w:t xml:space="preserve">Total deferred shares of £0.49 each as </w:t>
            </w:r>
            <w:proofErr w:type="gramStart"/>
            <w:r w:rsidRPr="002366D5">
              <w:rPr>
                <w:rFonts w:ascii="Times New Roman" w:eastAsia="Times New Roman" w:hAnsi="Times New Roman" w:cs="Times New Roman"/>
                <w:b/>
                <w:bCs/>
                <w:color w:val="000000"/>
                <w:kern w:val="0"/>
                <w:sz w:val="20"/>
                <w:szCs w:val="20"/>
                <w:lang w:eastAsia="en-GB"/>
                <w14:ligatures w14:val="none"/>
              </w:rPr>
              <w:t>at</w:t>
            </w:r>
            <w:proofErr w:type="gramEnd"/>
            <w:r w:rsidRPr="002366D5">
              <w:rPr>
                <w:rFonts w:ascii="Times New Roman" w:eastAsia="Times New Roman" w:hAnsi="Times New Roman" w:cs="Times New Roman"/>
                <w:b/>
                <w:bCs/>
                <w:color w:val="000000"/>
                <w:kern w:val="0"/>
                <w:sz w:val="20"/>
                <w:szCs w:val="20"/>
                <w:lang w:eastAsia="en-GB"/>
                <w14:ligatures w14:val="none"/>
              </w:rPr>
              <w:t xml:space="preserve"> 31 January 2026</w:t>
            </w:r>
          </w:p>
        </w:tc>
        <w:tc>
          <w:tcPr>
            <w:tcW w:w="3135" w:type="dxa"/>
            <w:tcBorders>
              <w:top w:val="nil"/>
              <w:left w:val="nil"/>
              <w:bottom w:val="nil"/>
              <w:right w:val="nil"/>
            </w:tcBorders>
            <w:tcMar>
              <w:top w:w="0" w:type="dxa"/>
              <w:left w:w="108" w:type="dxa"/>
              <w:bottom w:w="0" w:type="dxa"/>
              <w:right w:w="108" w:type="dxa"/>
            </w:tcMar>
            <w:hideMark/>
          </w:tcPr>
          <w:p w14:paraId="45C17209"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b/>
                <w:bCs/>
                <w:kern w:val="0"/>
                <w:sz w:val="20"/>
                <w:szCs w:val="20"/>
                <w:lang w:eastAsia="en-GB"/>
                <w14:ligatures w14:val="none"/>
              </w:rPr>
              <w:t>2,409,601</w:t>
            </w:r>
          </w:p>
        </w:tc>
      </w:tr>
      <w:tr w:rsidR="002366D5" w:rsidRPr="002366D5" w14:paraId="59ED4B2C" w14:textId="77777777">
        <w:tc>
          <w:tcPr>
            <w:tcW w:w="5449"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hideMark/>
          </w:tcPr>
          <w:p w14:paraId="31648F7D" w14:textId="77777777" w:rsidR="002366D5" w:rsidRPr="002366D5" w:rsidRDefault="002366D5" w:rsidP="002366D5">
            <w:pPr>
              <w:spacing w:after="0" w:line="240" w:lineRule="auto"/>
              <w:jc w:val="both"/>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3135" w:type="dxa"/>
            <w:tcBorders>
              <w:top w:val="single" w:sz="2" w:space="0" w:color="E5E7EB"/>
              <w:left w:val="single" w:sz="2" w:space="0" w:color="E5E7EB"/>
              <w:bottom w:val="single" w:sz="2" w:space="0" w:color="E5E7EB"/>
              <w:right w:val="single" w:sz="2" w:space="0" w:color="E5E7EB"/>
            </w:tcBorders>
            <w:tcMar>
              <w:top w:w="0" w:type="dxa"/>
              <w:left w:w="108" w:type="dxa"/>
              <w:bottom w:w="0" w:type="dxa"/>
              <w:right w:w="108" w:type="dxa"/>
            </w:tcMar>
            <w:hideMark/>
          </w:tcPr>
          <w:p w14:paraId="79E17909" w14:textId="77777777" w:rsidR="002366D5" w:rsidRPr="002366D5" w:rsidRDefault="002366D5" w:rsidP="002366D5">
            <w:pPr>
              <w:spacing w:after="0" w:line="240" w:lineRule="auto"/>
              <w:jc w:val="both"/>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r>
    </w:tbl>
    <w:p w14:paraId="7F69CF64"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color w:val="1F2937"/>
          <w:kern w:val="0"/>
          <w:sz w:val="20"/>
          <w:szCs w:val="20"/>
          <w:lang w:eastAsia="en-GB"/>
          <w14:ligatures w14:val="none"/>
        </w:rPr>
        <w:t> </w:t>
      </w:r>
    </w:p>
    <w:p w14:paraId="19462B90"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color w:val="1F2937"/>
          <w:kern w:val="0"/>
          <w:sz w:val="20"/>
          <w:szCs w:val="20"/>
          <w:lang w:eastAsia="en-GB"/>
          <w14:ligatures w14:val="none"/>
        </w:rPr>
        <w:t>The Group's share capital reserve represents the nominal value of the ordinary shares in issue. The Groups' share premium reserve represents the premium the Group received on issue of its shares. The Group's deferred share capital reserve represents the nominal value of the deferred shares in issue.</w:t>
      </w:r>
    </w:p>
    <w:p w14:paraId="3401ECEF"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48EB5A73"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07F9CE83"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15743E2D"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2781FBDF"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40A86457"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171E3EA4"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7E55D5AB"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3DF2F4E3"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lastRenderedPageBreak/>
        <w:t> </w:t>
      </w:r>
    </w:p>
    <w:p w14:paraId="2CA9745E"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7BE2140F" w14:textId="77777777" w:rsidR="002366D5" w:rsidRPr="002366D5" w:rsidRDefault="002366D5" w:rsidP="002366D5">
      <w:pPr>
        <w:shd w:val="clear" w:color="auto" w:fill="FFFFFF"/>
        <w:spacing w:after="0" w:line="240" w:lineRule="auto"/>
        <w:ind w:hanging="357"/>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7.     Loss per share</w:t>
      </w:r>
    </w:p>
    <w:p w14:paraId="2B288274"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4C21717C" w14:textId="77777777" w:rsidR="002366D5" w:rsidRPr="002366D5" w:rsidRDefault="002366D5" w:rsidP="002366D5">
      <w:pPr>
        <w:shd w:val="clear" w:color="auto" w:fill="FFFFFF"/>
        <w:spacing w:after="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The calculation of basic and diluted loss per share is based upon the loss of attributable to equity holders divided by the weighted average number of shares in issue during the period.</w:t>
      </w:r>
    </w:p>
    <w:p w14:paraId="3A0B779E" w14:textId="77777777" w:rsidR="002366D5" w:rsidRPr="002366D5" w:rsidRDefault="002366D5" w:rsidP="002366D5">
      <w:pPr>
        <w:shd w:val="clear" w:color="auto" w:fill="FFFFFF"/>
        <w:spacing w:after="0" w:line="240" w:lineRule="auto"/>
        <w:jc w:val="both"/>
        <w:rPr>
          <w:rFonts w:ascii="Calibri" w:eastAsia="Times New Roman" w:hAnsi="Calibri" w:cs="Calibri"/>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w:t>
      </w:r>
    </w:p>
    <w:p w14:paraId="64F8AC82"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The loss incurred by the Group means that the effect of any outstanding options would be anti-dilutive and is ignored for the purposes of the diluted loss per share calculation.</w:t>
      </w:r>
    </w:p>
    <w:tbl>
      <w:tblPr>
        <w:tblW w:w="0" w:type="auto"/>
        <w:tblInd w:w="-56" w:type="dxa"/>
        <w:tblBorders>
          <w:top w:val="single" w:sz="2" w:space="0" w:color="808080"/>
          <w:left w:val="single" w:sz="2" w:space="0" w:color="808080"/>
          <w:bottom w:val="single" w:sz="2" w:space="0" w:color="808080"/>
          <w:right w:val="single" w:sz="2" w:space="0" w:color="808080"/>
        </w:tblBorders>
        <w:tblCellMar>
          <w:left w:w="0" w:type="dxa"/>
          <w:right w:w="0" w:type="dxa"/>
        </w:tblCellMar>
        <w:tblLook w:val="04A0" w:firstRow="1" w:lastRow="0" w:firstColumn="1" w:lastColumn="0" w:noHBand="0" w:noVBand="1"/>
      </w:tblPr>
      <w:tblGrid>
        <w:gridCol w:w="5353"/>
        <w:gridCol w:w="1583"/>
        <w:gridCol w:w="1953"/>
      </w:tblGrid>
      <w:tr w:rsidR="002366D5" w:rsidRPr="002366D5" w14:paraId="42070BB6" w14:textId="77777777">
        <w:trPr>
          <w:trHeight w:val="566"/>
        </w:trPr>
        <w:tc>
          <w:tcPr>
            <w:tcW w:w="535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32FED556" w14:textId="77777777" w:rsidR="002366D5" w:rsidRPr="002366D5" w:rsidRDefault="002366D5" w:rsidP="002366D5">
            <w:pPr>
              <w:spacing w:after="0" w:line="240" w:lineRule="auto"/>
              <w:ind w:left="180" w:right="124" w:hanging="180"/>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583" w:type="dxa"/>
            <w:tcBorders>
              <w:top w:val="nil"/>
              <w:left w:val="nil"/>
              <w:bottom w:val="single" w:sz="8" w:space="0" w:color="auto"/>
              <w:right w:val="nil"/>
            </w:tcBorders>
            <w:tcMar>
              <w:top w:w="0" w:type="dxa"/>
              <w:left w:w="56" w:type="dxa"/>
              <w:bottom w:w="0" w:type="dxa"/>
              <w:right w:w="56" w:type="dxa"/>
            </w:tcMar>
            <w:vAlign w:val="bottom"/>
            <w:hideMark/>
          </w:tcPr>
          <w:p w14:paraId="754B2379"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Six months to</w:t>
            </w:r>
          </w:p>
          <w:p w14:paraId="5E9CD3FD"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31 Jan 2026</w:t>
            </w:r>
            <w:r w:rsidRPr="002366D5">
              <w:rPr>
                <w:rFonts w:ascii="Times New Roman" w:eastAsia="Times New Roman" w:hAnsi="Times New Roman" w:cs="Times New Roman"/>
                <w:b/>
                <w:bCs/>
                <w:kern w:val="0"/>
                <w:sz w:val="20"/>
                <w:szCs w:val="20"/>
                <w:lang w:eastAsia="en-GB"/>
                <w14:ligatures w14:val="none"/>
              </w:rPr>
              <w:br/>
              <w:t>(Unaudited)</w:t>
            </w:r>
          </w:p>
          <w:p w14:paraId="417D747D" w14:textId="77777777" w:rsidR="002366D5" w:rsidRPr="002366D5" w:rsidRDefault="002366D5" w:rsidP="002366D5">
            <w:pPr>
              <w:spacing w:after="20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w:t>
            </w:r>
          </w:p>
        </w:tc>
        <w:tc>
          <w:tcPr>
            <w:tcW w:w="1953" w:type="dxa"/>
            <w:tcBorders>
              <w:top w:val="nil"/>
              <w:left w:val="nil"/>
              <w:bottom w:val="single" w:sz="8" w:space="0" w:color="auto"/>
              <w:right w:val="nil"/>
            </w:tcBorders>
            <w:tcMar>
              <w:top w:w="0" w:type="dxa"/>
              <w:left w:w="56" w:type="dxa"/>
              <w:bottom w:w="0" w:type="dxa"/>
              <w:right w:w="56" w:type="dxa"/>
            </w:tcMar>
            <w:vAlign w:val="bottom"/>
            <w:hideMark/>
          </w:tcPr>
          <w:p w14:paraId="04EAC89D"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Six months to</w:t>
            </w:r>
            <w:r w:rsidRPr="002366D5">
              <w:rPr>
                <w:rFonts w:ascii="Times New Roman" w:eastAsia="Times New Roman" w:hAnsi="Times New Roman" w:cs="Times New Roman"/>
                <w:b/>
                <w:bCs/>
                <w:kern w:val="0"/>
                <w:sz w:val="20"/>
                <w:szCs w:val="20"/>
                <w:lang w:eastAsia="en-GB"/>
                <w14:ligatures w14:val="none"/>
              </w:rPr>
              <w:br/>
              <w:t>31 Jan 2025</w:t>
            </w:r>
          </w:p>
          <w:p w14:paraId="3E1EE369" w14:textId="77777777" w:rsidR="002366D5" w:rsidRPr="002366D5" w:rsidRDefault="002366D5" w:rsidP="002366D5">
            <w:pPr>
              <w:spacing w:after="20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(Unaudited)</w:t>
            </w:r>
            <w:r w:rsidRPr="002366D5">
              <w:rPr>
                <w:rFonts w:ascii="Times New Roman" w:eastAsia="Times New Roman" w:hAnsi="Times New Roman" w:cs="Times New Roman"/>
                <w:b/>
                <w:bCs/>
                <w:kern w:val="0"/>
                <w:sz w:val="20"/>
                <w:szCs w:val="20"/>
                <w:lang w:eastAsia="en-GB"/>
                <w14:ligatures w14:val="none"/>
              </w:rPr>
              <w:br/>
              <w:t>€</w:t>
            </w:r>
          </w:p>
        </w:tc>
      </w:tr>
      <w:tr w:rsidR="002366D5" w:rsidRPr="002366D5" w14:paraId="2B20FF29" w14:textId="77777777">
        <w:trPr>
          <w:trHeight w:val="258"/>
        </w:trPr>
        <w:tc>
          <w:tcPr>
            <w:tcW w:w="535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2359136B"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Loss for the period from continuing activities</w:t>
            </w:r>
          </w:p>
        </w:tc>
        <w:tc>
          <w:tcPr>
            <w:tcW w:w="1583" w:type="dxa"/>
            <w:tcBorders>
              <w:top w:val="nil"/>
              <w:left w:val="nil"/>
              <w:bottom w:val="single" w:sz="8" w:space="0" w:color="auto"/>
              <w:right w:val="nil"/>
            </w:tcBorders>
            <w:tcMar>
              <w:top w:w="0" w:type="dxa"/>
              <w:left w:w="56" w:type="dxa"/>
              <w:bottom w:w="0" w:type="dxa"/>
              <w:right w:w="56" w:type="dxa"/>
            </w:tcMar>
            <w:vAlign w:val="bottom"/>
            <w:hideMark/>
          </w:tcPr>
          <w:p w14:paraId="2B4AC298"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(228,887)</w:t>
            </w:r>
          </w:p>
        </w:tc>
        <w:tc>
          <w:tcPr>
            <w:tcW w:w="1953" w:type="dxa"/>
            <w:tcBorders>
              <w:top w:val="nil"/>
              <w:left w:val="nil"/>
              <w:bottom w:val="single" w:sz="8" w:space="0" w:color="auto"/>
              <w:right w:val="nil"/>
            </w:tcBorders>
            <w:tcMar>
              <w:top w:w="0" w:type="dxa"/>
              <w:left w:w="56" w:type="dxa"/>
              <w:bottom w:w="0" w:type="dxa"/>
              <w:right w:w="56" w:type="dxa"/>
            </w:tcMar>
            <w:vAlign w:val="bottom"/>
            <w:hideMark/>
          </w:tcPr>
          <w:p w14:paraId="6E180913"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(198,000)</w:t>
            </w:r>
          </w:p>
        </w:tc>
      </w:tr>
      <w:tr w:rsidR="002366D5" w:rsidRPr="002366D5" w14:paraId="50DF4C58" w14:textId="77777777">
        <w:trPr>
          <w:trHeight w:val="258"/>
        </w:trPr>
        <w:tc>
          <w:tcPr>
            <w:tcW w:w="535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2BE998E5"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br/>
            </w:r>
          </w:p>
        </w:tc>
        <w:tc>
          <w:tcPr>
            <w:tcW w:w="1583" w:type="dxa"/>
            <w:tcBorders>
              <w:top w:val="nil"/>
              <w:left w:val="nil"/>
              <w:bottom w:val="nil"/>
              <w:right w:val="nil"/>
            </w:tcBorders>
            <w:tcMar>
              <w:top w:w="0" w:type="dxa"/>
              <w:left w:w="56" w:type="dxa"/>
              <w:bottom w:w="0" w:type="dxa"/>
              <w:right w:w="56" w:type="dxa"/>
            </w:tcMar>
            <w:vAlign w:val="bottom"/>
            <w:hideMark/>
          </w:tcPr>
          <w:p w14:paraId="3B9B4A3B"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953" w:type="dxa"/>
            <w:tcBorders>
              <w:top w:val="nil"/>
              <w:left w:val="nil"/>
              <w:bottom w:val="nil"/>
              <w:right w:val="nil"/>
            </w:tcBorders>
            <w:tcMar>
              <w:top w:w="0" w:type="dxa"/>
              <w:left w:w="56" w:type="dxa"/>
              <w:bottom w:w="0" w:type="dxa"/>
              <w:right w:w="56" w:type="dxa"/>
            </w:tcMar>
            <w:vAlign w:val="bottom"/>
            <w:hideMark/>
          </w:tcPr>
          <w:p w14:paraId="4F7B8662"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r>
      <w:tr w:rsidR="002366D5" w:rsidRPr="002366D5" w14:paraId="7DF3EE2A" w14:textId="77777777">
        <w:trPr>
          <w:trHeight w:val="732"/>
        </w:trPr>
        <w:tc>
          <w:tcPr>
            <w:tcW w:w="535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2180B7A5"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br/>
            </w:r>
          </w:p>
        </w:tc>
        <w:tc>
          <w:tcPr>
            <w:tcW w:w="1583" w:type="dxa"/>
            <w:tcBorders>
              <w:top w:val="nil"/>
              <w:left w:val="nil"/>
              <w:bottom w:val="single" w:sz="8" w:space="0" w:color="auto"/>
              <w:right w:val="nil"/>
            </w:tcBorders>
            <w:tcMar>
              <w:top w:w="0" w:type="dxa"/>
              <w:left w:w="56" w:type="dxa"/>
              <w:bottom w:w="0" w:type="dxa"/>
              <w:right w:w="56" w:type="dxa"/>
            </w:tcMar>
            <w:vAlign w:val="bottom"/>
            <w:hideMark/>
          </w:tcPr>
          <w:p w14:paraId="6211E917"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xml:space="preserve">Six months </w:t>
            </w:r>
            <w:proofErr w:type="gramStart"/>
            <w:r w:rsidRPr="002366D5">
              <w:rPr>
                <w:rFonts w:ascii="Times New Roman" w:eastAsia="Times New Roman" w:hAnsi="Times New Roman" w:cs="Times New Roman"/>
                <w:b/>
                <w:bCs/>
                <w:kern w:val="0"/>
                <w:sz w:val="20"/>
                <w:szCs w:val="20"/>
                <w:lang w:eastAsia="en-GB"/>
                <w14:ligatures w14:val="none"/>
              </w:rPr>
              <w:t>to  31</w:t>
            </w:r>
            <w:proofErr w:type="gramEnd"/>
            <w:r w:rsidRPr="002366D5">
              <w:rPr>
                <w:rFonts w:ascii="Times New Roman" w:eastAsia="Times New Roman" w:hAnsi="Times New Roman" w:cs="Times New Roman"/>
                <w:b/>
                <w:bCs/>
                <w:kern w:val="0"/>
                <w:sz w:val="20"/>
                <w:szCs w:val="20"/>
                <w:lang w:eastAsia="en-GB"/>
                <w14:ligatures w14:val="none"/>
              </w:rPr>
              <w:t xml:space="preserve"> Jan 2026</w:t>
            </w:r>
            <w:r w:rsidRPr="002366D5">
              <w:rPr>
                <w:rFonts w:ascii="Times New Roman" w:eastAsia="Times New Roman" w:hAnsi="Times New Roman" w:cs="Times New Roman"/>
                <w:b/>
                <w:bCs/>
                <w:kern w:val="0"/>
                <w:sz w:val="20"/>
                <w:szCs w:val="20"/>
                <w:lang w:eastAsia="en-GB"/>
                <w14:ligatures w14:val="none"/>
              </w:rPr>
              <w:br/>
              <w:t>(Unaudited)</w:t>
            </w:r>
          </w:p>
          <w:p w14:paraId="64280161" w14:textId="77777777" w:rsidR="002366D5" w:rsidRPr="002366D5" w:rsidRDefault="002366D5" w:rsidP="002366D5">
            <w:pPr>
              <w:spacing w:after="20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No</w:t>
            </w:r>
          </w:p>
        </w:tc>
        <w:tc>
          <w:tcPr>
            <w:tcW w:w="1953" w:type="dxa"/>
            <w:tcBorders>
              <w:top w:val="nil"/>
              <w:left w:val="nil"/>
              <w:bottom w:val="single" w:sz="8" w:space="0" w:color="auto"/>
              <w:right w:val="nil"/>
            </w:tcBorders>
            <w:tcMar>
              <w:top w:w="0" w:type="dxa"/>
              <w:left w:w="56" w:type="dxa"/>
              <w:bottom w:w="0" w:type="dxa"/>
              <w:right w:w="56" w:type="dxa"/>
            </w:tcMar>
            <w:vAlign w:val="bottom"/>
            <w:hideMark/>
          </w:tcPr>
          <w:p w14:paraId="6DC9C0E6"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Six months to</w:t>
            </w:r>
          </w:p>
          <w:p w14:paraId="6FFA2F83"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30 Jun 2025</w:t>
            </w:r>
          </w:p>
          <w:p w14:paraId="6BFDAD72" w14:textId="77777777" w:rsidR="002366D5" w:rsidRPr="002366D5" w:rsidRDefault="002366D5" w:rsidP="002366D5">
            <w:pPr>
              <w:spacing w:after="20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(Unaudited)</w:t>
            </w:r>
            <w:r w:rsidRPr="002366D5">
              <w:rPr>
                <w:rFonts w:ascii="Times New Roman" w:eastAsia="Times New Roman" w:hAnsi="Times New Roman" w:cs="Times New Roman"/>
                <w:b/>
                <w:bCs/>
                <w:kern w:val="0"/>
                <w:sz w:val="20"/>
                <w:szCs w:val="20"/>
                <w:lang w:eastAsia="en-GB"/>
                <w14:ligatures w14:val="none"/>
              </w:rPr>
              <w:br/>
              <w:t>No</w:t>
            </w:r>
          </w:p>
        </w:tc>
      </w:tr>
      <w:tr w:rsidR="002366D5" w:rsidRPr="002366D5" w14:paraId="56095D92" w14:textId="77777777">
        <w:trPr>
          <w:trHeight w:val="258"/>
        </w:trPr>
        <w:tc>
          <w:tcPr>
            <w:tcW w:w="535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1204B5ED"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Weighted average number of ordinary shares</w:t>
            </w:r>
          </w:p>
        </w:tc>
        <w:tc>
          <w:tcPr>
            <w:tcW w:w="1583" w:type="dxa"/>
            <w:tcBorders>
              <w:top w:val="nil"/>
              <w:left w:val="nil"/>
              <w:bottom w:val="single" w:sz="8" w:space="0" w:color="auto"/>
              <w:right w:val="nil"/>
            </w:tcBorders>
            <w:tcMar>
              <w:top w:w="0" w:type="dxa"/>
              <w:left w:w="56" w:type="dxa"/>
              <w:bottom w:w="0" w:type="dxa"/>
              <w:right w:w="56" w:type="dxa"/>
            </w:tcMar>
            <w:vAlign w:val="bottom"/>
            <w:hideMark/>
          </w:tcPr>
          <w:p w14:paraId="59C3F187"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2,009,126</w:t>
            </w:r>
          </w:p>
        </w:tc>
        <w:tc>
          <w:tcPr>
            <w:tcW w:w="1953" w:type="dxa"/>
            <w:tcBorders>
              <w:top w:val="nil"/>
              <w:left w:val="nil"/>
              <w:bottom w:val="single" w:sz="8" w:space="0" w:color="auto"/>
              <w:right w:val="nil"/>
            </w:tcBorders>
            <w:tcMar>
              <w:top w:w="0" w:type="dxa"/>
              <w:left w:w="56" w:type="dxa"/>
              <w:bottom w:w="0" w:type="dxa"/>
              <w:right w:w="56" w:type="dxa"/>
            </w:tcMar>
            <w:vAlign w:val="bottom"/>
            <w:hideMark/>
          </w:tcPr>
          <w:p w14:paraId="4D15BD3B"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1,236,579</w:t>
            </w:r>
          </w:p>
        </w:tc>
      </w:tr>
      <w:tr w:rsidR="002366D5" w:rsidRPr="002366D5" w14:paraId="40AE3015" w14:textId="77777777">
        <w:trPr>
          <w:trHeight w:val="258"/>
        </w:trPr>
        <w:tc>
          <w:tcPr>
            <w:tcW w:w="535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40577B69"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br/>
            </w:r>
          </w:p>
        </w:tc>
        <w:tc>
          <w:tcPr>
            <w:tcW w:w="1583" w:type="dxa"/>
            <w:tcBorders>
              <w:top w:val="nil"/>
              <w:left w:val="nil"/>
              <w:bottom w:val="nil"/>
              <w:right w:val="nil"/>
            </w:tcBorders>
            <w:tcMar>
              <w:top w:w="0" w:type="dxa"/>
              <w:left w:w="56" w:type="dxa"/>
              <w:bottom w:w="0" w:type="dxa"/>
              <w:right w:w="56" w:type="dxa"/>
            </w:tcMar>
            <w:vAlign w:val="bottom"/>
            <w:hideMark/>
          </w:tcPr>
          <w:p w14:paraId="77264F05"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c>
          <w:tcPr>
            <w:tcW w:w="1953" w:type="dxa"/>
            <w:tcBorders>
              <w:top w:val="nil"/>
              <w:left w:val="nil"/>
              <w:bottom w:val="nil"/>
              <w:right w:val="nil"/>
            </w:tcBorders>
            <w:tcMar>
              <w:top w:w="0" w:type="dxa"/>
              <w:left w:w="56" w:type="dxa"/>
              <w:bottom w:w="0" w:type="dxa"/>
              <w:right w:w="56" w:type="dxa"/>
            </w:tcMar>
            <w:vAlign w:val="bottom"/>
            <w:hideMark/>
          </w:tcPr>
          <w:p w14:paraId="13B277E4"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br/>
            </w:r>
          </w:p>
        </w:tc>
      </w:tr>
      <w:tr w:rsidR="002366D5" w:rsidRPr="002366D5" w14:paraId="7077F75E" w14:textId="77777777">
        <w:trPr>
          <w:trHeight w:val="258"/>
        </w:trPr>
        <w:tc>
          <w:tcPr>
            <w:tcW w:w="535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75776FB1"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br/>
            </w:r>
          </w:p>
        </w:tc>
        <w:tc>
          <w:tcPr>
            <w:tcW w:w="1583" w:type="dxa"/>
            <w:tcBorders>
              <w:top w:val="nil"/>
              <w:left w:val="nil"/>
              <w:bottom w:val="single" w:sz="8" w:space="0" w:color="auto"/>
              <w:right w:val="nil"/>
            </w:tcBorders>
            <w:tcMar>
              <w:top w:w="0" w:type="dxa"/>
              <w:left w:w="56" w:type="dxa"/>
              <w:bottom w:w="0" w:type="dxa"/>
              <w:right w:w="56" w:type="dxa"/>
            </w:tcMar>
            <w:vAlign w:val="bottom"/>
            <w:hideMark/>
          </w:tcPr>
          <w:p w14:paraId="0204BFE2"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Six months to</w:t>
            </w:r>
          </w:p>
          <w:p w14:paraId="0B41E7D8"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31 Jan 2026</w:t>
            </w:r>
          </w:p>
          <w:p w14:paraId="7A67F96C" w14:textId="77777777" w:rsidR="002366D5" w:rsidRPr="002366D5" w:rsidRDefault="002366D5" w:rsidP="002366D5">
            <w:pPr>
              <w:spacing w:after="20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(Unaudited)</w:t>
            </w:r>
            <w:r w:rsidRPr="002366D5">
              <w:rPr>
                <w:rFonts w:ascii="Times New Roman" w:eastAsia="Times New Roman" w:hAnsi="Times New Roman" w:cs="Times New Roman"/>
                <w:b/>
                <w:bCs/>
                <w:kern w:val="0"/>
                <w:sz w:val="20"/>
                <w:szCs w:val="20"/>
                <w:lang w:eastAsia="en-GB"/>
                <w14:ligatures w14:val="none"/>
              </w:rPr>
              <w:br/>
            </w:r>
            <w:r w:rsidRPr="002366D5">
              <w:rPr>
                <w:rFonts w:ascii="Times New Roman" w:eastAsia="Times New Roman" w:hAnsi="Times New Roman" w:cs="Times New Roman"/>
                <w:b/>
                <w:bCs/>
                <w:kern w:val="0"/>
                <w:sz w:val="20"/>
                <w:szCs w:val="20"/>
                <w:lang w:eastAsia="en-GB"/>
                <w14:ligatures w14:val="none"/>
              </w:rPr>
              <w:br/>
            </w:r>
          </w:p>
        </w:tc>
        <w:tc>
          <w:tcPr>
            <w:tcW w:w="1953" w:type="dxa"/>
            <w:tcBorders>
              <w:top w:val="nil"/>
              <w:left w:val="nil"/>
              <w:bottom w:val="single" w:sz="8" w:space="0" w:color="auto"/>
              <w:right w:val="nil"/>
            </w:tcBorders>
            <w:tcMar>
              <w:top w:w="0" w:type="dxa"/>
              <w:left w:w="56" w:type="dxa"/>
              <w:bottom w:w="0" w:type="dxa"/>
              <w:right w:w="56" w:type="dxa"/>
            </w:tcMar>
            <w:vAlign w:val="bottom"/>
            <w:hideMark/>
          </w:tcPr>
          <w:p w14:paraId="01D89EA9"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Six months to</w:t>
            </w:r>
          </w:p>
          <w:p w14:paraId="6E4B7C4E" w14:textId="77777777" w:rsidR="002366D5" w:rsidRPr="002366D5" w:rsidRDefault="002366D5" w:rsidP="002366D5">
            <w:pPr>
              <w:spacing w:after="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 30 Jun 2025</w:t>
            </w:r>
          </w:p>
          <w:p w14:paraId="60EC9E0B" w14:textId="77777777" w:rsidR="002366D5" w:rsidRPr="002366D5" w:rsidRDefault="002366D5" w:rsidP="002366D5">
            <w:pPr>
              <w:spacing w:after="200" w:line="230" w:lineRule="atLeast"/>
              <w:jc w:val="right"/>
              <w:rPr>
                <w:rFonts w:ascii="Calibri" w:eastAsia="Times New Roman" w:hAnsi="Calibri" w:cs="Calibri"/>
                <w:kern w:val="0"/>
                <w:sz w:val="20"/>
                <w:szCs w:val="20"/>
                <w:lang w:eastAsia="en-GB"/>
                <w14:ligatures w14:val="none"/>
              </w:rPr>
            </w:pPr>
            <w:r w:rsidRPr="002366D5">
              <w:rPr>
                <w:rFonts w:ascii="Times New Roman" w:eastAsia="Times New Roman" w:hAnsi="Times New Roman" w:cs="Times New Roman"/>
                <w:b/>
                <w:bCs/>
                <w:kern w:val="0"/>
                <w:sz w:val="20"/>
                <w:szCs w:val="20"/>
                <w:lang w:eastAsia="en-GB"/>
                <w14:ligatures w14:val="none"/>
              </w:rPr>
              <w:t>(Unaudited)</w:t>
            </w:r>
            <w:r w:rsidRPr="002366D5">
              <w:rPr>
                <w:rFonts w:ascii="Times New Roman" w:eastAsia="Times New Roman" w:hAnsi="Times New Roman" w:cs="Times New Roman"/>
                <w:b/>
                <w:bCs/>
                <w:kern w:val="0"/>
                <w:sz w:val="20"/>
                <w:szCs w:val="20"/>
                <w:lang w:eastAsia="en-GB"/>
                <w14:ligatures w14:val="none"/>
              </w:rPr>
              <w:br/>
            </w:r>
            <w:r w:rsidRPr="002366D5">
              <w:rPr>
                <w:rFonts w:ascii="Times New Roman" w:eastAsia="Times New Roman" w:hAnsi="Times New Roman" w:cs="Times New Roman"/>
                <w:b/>
                <w:bCs/>
                <w:kern w:val="0"/>
                <w:sz w:val="20"/>
                <w:szCs w:val="20"/>
                <w:lang w:eastAsia="en-GB"/>
                <w14:ligatures w14:val="none"/>
              </w:rPr>
              <w:br/>
            </w:r>
          </w:p>
        </w:tc>
      </w:tr>
      <w:tr w:rsidR="002366D5" w:rsidRPr="002366D5" w14:paraId="7474E8C0" w14:textId="77777777">
        <w:trPr>
          <w:trHeight w:val="258"/>
        </w:trPr>
        <w:tc>
          <w:tcPr>
            <w:tcW w:w="5353" w:type="dxa"/>
            <w:tcBorders>
              <w:top w:val="single" w:sz="2" w:space="0" w:color="E5E7EB"/>
              <w:left w:val="single" w:sz="2" w:space="0" w:color="E5E7EB"/>
              <w:bottom w:val="single" w:sz="2" w:space="0" w:color="E5E7EB"/>
              <w:right w:val="single" w:sz="2" w:space="0" w:color="E5E7EB"/>
            </w:tcBorders>
            <w:tcMar>
              <w:top w:w="0" w:type="dxa"/>
              <w:left w:w="56" w:type="dxa"/>
              <w:bottom w:w="0" w:type="dxa"/>
              <w:right w:w="56" w:type="dxa"/>
            </w:tcMar>
            <w:vAlign w:val="bottom"/>
            <w:hideMark/>
          </w:tcPr>
          <w:p w14:paraId="4559B627" w14:textId="77777777" w:rsidR="002366D5" w:rsidRPr="002366D5" w:rsidRDefault="002366D5" w:rsidP="002366D5">
            <w:pPr>
              <w:spacing w:after="0" w:line="240" w:lineRule="auto"/>
              <w:ind w:right="124"/>
              <w:rPr>
                <w:rFonts w:ascii="Times New Roman" w:eastAsia="Times New Roman" w:hAnsi="Times New Roman" w:cs="Times New Roman"/>
                <w:kern w:val="0"/>
                <w:sz w:val="20"/>
                <w:szCs w:val="20"/>
                <w:lang w:eastAsia="en-GB"/>
                <w14:ligatures w14:val="none"/>
              </w:rPr>
            </w:pPr>
            <w:r w:rsidRPr="002366D5">
              <w:rPr>
                <w:rFonts w:ascii="Times New Roman" w:eastAsia="Times New Roman" w:hAnsi="Times New Roman" w:cs="Times New Roman"/>
                <w:color w:val="000000"/>
                <w:kern w:val="0"/>
                <w:sz w:val="20"/>
                <w:szCs w:val="20"/>
                <w:lang w:eastAsia="en-GB"/>
                <w14:ligatures w14:val="none"/>
              </w:rPr>
              <w:t>Basic and diluted loss per share (pence)</w:t>
            </w:r>
          </w:p>
        </w:tc>
        <w:tc>
          <w:tcPr>
            <w:tcW w:w="1583" w:type="dxa"/>
            <w:tcBorders>
              <w:top w:val="nil"/>
              <w:left w:val="nil"/>
              <w:bottom w:val="double" w:sz="6" w:space="0" w:color="auto"/>
              <w:right w:val="nil"/>
            </w:tcBorders>
            <w:tcMar>
              <w:top w:w="0" w:type="dxa"/>
              <w:left w:w="56" w:type="dxa"/>
              <w:bottom w:w="0" w:type="dxa"/>
              <w:right w:w="56" w:type="dxa"/>
            </w:tcMar>
            <w:vAlign w:val="bottom"/>
            <w:hideMark/>
          </w:tcPr>
          <w:p w14:paraId="1DADCA51"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(11.39)</w:t>
            </w:r>
          </w:p>
        </w:tc>
        <w:tc>
          <w:tcPr>
            <w:tcW w:w="1953" w:type="dxa"/>
            <w:tcBorders>
              <w:top w:val="nil"/>
              <w:left w:val="nil"/>
              <w:bottom w:val="double" w:sz="6" w:space="0" w:color="auto"/>
              <w:right w:val="nil"/>
            </w:tcBorders>
            <w:tcMar>
              <w:top w:w="0" w:type="dxa"/>
              <w:left w:w="56" w:type="dxa"/>
              <w:bottom w:w="0" w:type="dxa"/>
              <w:right w:w="56" w:type="dxa"/>
            </w:tcMar>
            <w:vAlign w:val="bottom"/>
            <w:hideMark/>
          </w:tcPr>
          <w:p w14:paraId="2F37383B" w14:textId="77777777" w:rsidR="002366D5" w:rsidRPr="002366D5" w:rsidRDefault="002366D5" w:rsidP="002366D5">
            <w:pPr>
              <w:spacing w:after="0" w:line="240" w:lineRule="auto"/>
              <w:jc w:val="right"/>
              <w:rPr>
                <w:rFonts w:ascii="Times New Roman" w:eastAsia="Times New Roman" w:hAnsi="Times New Roman" w:cs="Times New Roman"/>
                <w:kern w:val="0"/>
                <w:sz w:val="20"/>
                <w:szCs w:val="20"/>
                <w:lang w:eastAsia="en-GB"/>
                <w14:ligatures w14:val="none"/>
              </w:rPr>
            </w:pPr>
            <w:r w:rsidRPr="002366D5">
              <w:rPr>
                <w:rFonts w:ascii="unset" w:eastAsia="Times New Roman" w:hAnsi="unset" w:cs="Times New Roman"/>
                <w:kern w:val="0"/>
                <w:sz w:val="20"/>
                <w:szCs w:val="20"/>
                <w:lang w:eastAsia="en-GB"/>
                <w14:ligatures w14:val="none"/>
              </w:rPr>
              <w:t>(16.01)</w:t>
            </w:r>
          </w:p>
        </w:tc>
      </w:tr>
    </w:tbl>
    <w:p w14:paraId="44120C3B"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Times New Roman" w:eastAsia="Times New Roman" w:hAnsi="Times New Roman" w:cs="Times New Roman"/>
          <w:color w:val="1F2937"/>
          <w:kern w:val="0"/>
          <w:sz w:val="20"/>
          <w:szCs w:val="20"/>
          <w:lang w:eastAsia="en-GB"/>
          <w14:ligatures w14:val="none"/>
        </w:rPr>
        <w:t> </w:t>
      </w:r>
    </w:p>
    <w:p w14:paraId="036BFE4A"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610721F7"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69AEECB3"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76BB8569"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12FA0D0D" w14:textId="77777777" w:rsidR="002366D5" w:rsidRPr="002366D5" w:rsidRDefault="002366D5" w:rsidP="002366D5">
      <w:pPr>
        <w:shd w:val="clear" w:color="auto" w:fill="FFFFFF"/>
        <w:spacing w:after="0" w:line="240" w:lineRule="auto"/>
        <w:ind w:hanging="357"/>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8.     Related party transactions</w:t>
      </w:r>
    </w:p>
    <w:p w14:paraId="1DD36199"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5153F50F"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color w:val="1F2937"/>
          <w:kern w:val="0"/>
          <w:sz w:val="20"/>
          <w:szCs w:val="20"/>
          <w:lang w:eastAsia="en-GB"/>
          <w14:ligatures w14:val="none"/>
        </w:rPr>
        <w:t xml:space="preserve">As part of the share issue for cash of 40,100,000 new ordinary shares on 6 October 2025, Sarah Gow, a former director, subscribed for 1,000,000 ordinary shares at 1 </w:t>
      </w:r>
      <w:proofErr w:type="gramStart"/>
      <w:r w:rsidRPr="002366D5">
        <w:rPr>
          <w:rFonts w:ascii="unset" w:eastAsia="Times New Roman" w:hAnsi="unset" w:cs="Times New Roman"/>
          <w:color w:val="1F2937"/>
          <w:kern w:val="0"/>
          <w:sz w:val="20"/>
          <w:szCs w:val="20"/>
          <w:lang w:eastAsia="en-GB"/>
          <w14:ligatures w14:val="none"/>
        </w:rPr>
        <w:t>pence</w:t>
      </w:r>
      <w:proofErr w:type="gramEnd"/>
      <w:r w:rsidRPr="002366D5">
        <w:rPr>
          <w:rFonts w:ascii="unset" w:eastAsia="Times New Roman" w:hAnsi="unset" w:cs="Times New Roman"/>
          <w:color w:val="1F2937"/>
          <w:kern w:val="0"/>
          <w:sz w:val="20"/>
          <w:szCs w:val="20"/>
          <w:lang w:eastAsia="en-GB"/>
          <w14:ligatures w14:val="none"/>
        </w:rPr>
        <w:t> per share for a total consideration of £10,000.</w:t>
      </w:r>
    </w:p>
    <w:p w14:paraId="1CED2F6C"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color w:val="1F2937"/>
          <w:kern w:val="0"/>
          <w:sz w:val="20"/>
          <w:szCs w:val="20"/>
          <w:lang w:eastAsia="en-GB"/>
          <w14:ligatures w14:val="none"/>
        </w:rPr>
        <w:t> </w:t>
      </w:r>
    </w:p>
    <w:p w14:paraId="5240F615"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color w:val="1F2937"/>
          <w:kern w:val="0"/>
          <w:sz w:val="20"/>
          <w:szCs w:val="20"/>
          <w:lang w:eastAsia="en-GB"/>
          <w14:ligatures w14:val="none"/>
        </w:rPr>
        <w:t xml:space="preserve">As part of the same issue, Pierre Villeneuve, a former director, subscribed for 1,500,000 ordinary shares at 1 </w:t>
      </w:r>
      <w:proofErr w:type="gramStart"/>
      <w:r w:rsidRPr="002366D5">
        <w:rPr>
          <w:rFonts w:ascii="unset" w:eastAsia="Times New Roman" w:hAnsi="unset" w:cs="Times New Roman"/>
          <w:color w:val="1F2937"/>
          <w:kern w:val="0"/>
          <w:sz w:val="20"/>
          <w:szCs w:val="20"/>
          <w:lang w:eastAsia="en-GB"/>
          <w14:ligatures w14:val="none"/>
        </w:rPr>
        <w:t>pence</w:t>
      </w:r>
      <w:proofErr w:type="gramEnd"/>
      <w:r w:rsidRPr="002366D5">
        <w:rPr>
          <w:rFonts w:ascii="unset" w:eastAsia="Times New Roman" w:hAnsi="unset" w:cs="Times New Roman"/>
          <w:color w:val="1F2937"/>
          <w:kern w:val="0"/>
          <w:sz w:val="20"/>
          <w:szCs w:val="20"/>
          <w:lang w:eastAsia="en-GB"/>
          <w14:ligatures w14:val="none"/>
        </w:rPr>
        <w:t> per share for a total consideration of £15,000.</w:t>
      </w:r>
    </w:p>
    <w:p w14:paraId="212D7825" w14:textId="77777777" w:rsidR="002366D5" w:rsidRPr="002366D5" w:rsidRDefault="002366D5" w:rsidP="002366D5">
      <w:pPr>
        <w:shd w:val="clear" w:color="auto" w:fill="FFFFFF"/>
        <w:spacing w:before="100" w:beforeAutospacing="1" w:after="100" w:afterAutospacing="1" w:line="240" w:lineRule="auto"/>
        <w:jc w:val="both"/>
        <w:rPr>
          <w:rFonts w:ascii="Arial" w:eastAsia="Times New Roman" w:hAnsi="Arial" w:cs="Arial"/>
          <w:color w:val="1F2937"/>
          <w:kern w:val="0"/>
          <w:sz w:val="20"/>
          <w:szCs w:val="20"/>
          <w:lang w:eastAsia="en-GB"/>
          <w14:ligatures w14:val="none"/>
        </w:rPr>
      </w:pPr>
      <w:r w:rsidRPr="002366D5">
        <w:rPr>
          <w:rFonts w:ascii="unset" w:eastAsia="Times New Roman" w:hAnsi="unset" w:cs="Arial"/>
          <w:color w:val="1F2937"/>
          <w:kern w:val="0"/>
          <w:sz w:val="20"/>
          <w:szCs w:val="20"/>
          <w:lang w:eastAsia="en-GB"/>
          <w14:ligatures w14:val="none"/>
        </w:rPr>
        <w:t>As part of the issue of 15,723,790 new ordinary shares to settle creditor liabilities on 6 October 2025, 3,540,000 ordinary shares (representing £35,400) were issued to Neil Ritson, Non-Executive Chairman, in settlement of outstanding remuneration.</w:t>
      </w:r>
    </w:p>
    <w:p w14:paraId="6866E839" w14:textId="77777777" w:rsidR="002366D5" w:rsidRPr="002366D5" w:rsidRDefault="002366D5" w:rsidP="002366D5">
      <w:pPr>
        <w:shd w:val="clear" w:color="auto" w:fill="FFFFFF"/>
        <w:spacing w:before="100" w:beforeAutospacing="1" w:after="100" w:afterAutospacing="1" w:line="240" w:lineRule="auto"/>
        <w:jc w:val="both"/>
        <w:rPr>
          <w:rFonts w:ascii="Arial" w:eastAsia="Times New Roman" w:hAnsi="Arial" w:cs="Arial"/>
          <w:color w:val="1F2937"/>
          <w:kern w:val="0"/>
          <w:sz w:val="20"/>
          <w:szCs w:val="20"/>
          <w:lang w:eastAsia="en-GB"/>
          <w14:ligatures w14:val="none"/>
        </w:rPr>
      </w:pPr>
      <w:r w:rsidRPr="002366D5">
        <w:rPr>
          <w:rFonts w:ascii="unset" w:eastAsia="Times New Roman" w:hAnsi="unset" w:cs="Arial"/>
          <w:color w:val="1F2937"/>
          <w:kern w:val="0"/>
          <w:sz w:val="20"/>
          <w:szCs w:val="20"/>
          <w:lang w:eastAsia="en-GB"/>
          <w14:ligatures w14:val="none"/>
        </w:rPr>
        <w:t>As part of the same issue, 3,900,000 ordinary shares (representing £39,000) were issued to Daniel Maling, a former director, in settlement of outstanding remuneration.</w:t>
      </w:r>
    </w:p>
    <w:p w14:paraId="4EE7C92B" w14:textId="77777777" w:rsidR="002366D5" w:rsidRPr="002366D5" w:rsidRDefault="002366D5" w:rsidP="002366D5">
      <w:pPr>
        <w:shd w:val="clear" w:color="auto" w:fill="FFFFFF"/>
        <w:spacing w:before="100" w:beforeAutospacing="1" w:after="100" w:afterAutospacing="1" w:line="240" w:lineRule="auto"/>
        <w:jc w:val="both"/>
        <w:rPr>
          <w:rFonts w:ascii="Arial" w:eastAsia="Times New Roman" w:hAnsi="Arial" w:cs="Arial"/>
          <w:color w:val="1F2937"/>
          <w:kern w:val="0"/>
          <w:sz w:val="20"/>
          <w:szCs w:val="20"/>
          <w:lang w:eastAsia="en-GB"/>
          <w14:ligatures w14:val="none"/>
        </w:rPr>
      </w:pPr>
      <w:r w:rsidRPr="002366D5">
        <w:rPr>
          <w:rFonts w:ascii="unset" w:eastAsia="Times New Roman" w:hAnsi="unset" w:cs="Arial"/>
          <w:color w:val="1F2937"/>
          <w:kern w:val="0"/>
          <w:sz w:val="20"/>
          <w:szCs w:val="20"/>
          <w:lang w:eastAsia="en-GB"/>
          <w14:ligatures w14:val="none"/>
        </w:rPr>
        <w:t>As part of the same issue, 1,840,000 ordinary shares (representing £18,400) were issued to Jonathan Conville, a director, in settlement of £8,400 of outstanding remuneration and repayment of a £10,000 director loan.  </w:t>
      </w:r>
    </w:p>
    <w:p w14:paraId="2D1D5721" w14:textId="77777777" w:rsidR="002366D5" w:rsidRPr="002366D5" w:rsidRDefault="002366D5" w:rsidP="002366D5">
      <w:pPr>
        <w:shd w:val="clear" w:color="auto" w:fill="FFFFFF"/>
        <w:spacing w:before="100" w:beforeAutospacing="1" w:after="100" w:afterAutospacing="1" w:line="240" w:lineRule="auto"/>
        <w:rPr>
          <w:rFonts w:ascii="Arial" w:eastAsia="Times New Roman" w:hAnsi="Arial" w:cs="Arial"/>
          <w:color w:val="1F2937"/>
          <w:kern w:val="0"/>
          <w:sz w:val="20"/>
          <w:szCs w:val="20"/>
          <w:lang w:eastAsia="en-GB"/>
          <w14:ligatures w14:val="none"/>
        </w:rPr>
      </w:pPr>
      <w:r w:rsidRPr="002366D5">
        <w:rPr>
          <w:rFonts w:ascii="unset" w:eastAsia="Times New Roman" w:hAnsi="unset" w:cs="Arial"/>
          <w:color w:val="1F2937"/>
          <w:kern w:val="0"/>
          <w:sz w:val="20"/>
          <w:szCs w:val="20"/>
          <w:lang w:eastAsia="en-GB"/>
          <w14:ligatures w14:val="none"/>
        </w:rPr>
        <w:t> </w:t>
      </w:r>
    </w:p>
    <w:p w14:paraId="59A46507" w14:textId="77777777" w:rsidR="002366D5" w:rsidRPr="002366D5" w:rsidRDefault="002366D5" w:rsidP="002366D5">
      <w:pPr>
        <w:shd w:val="clear" w:color="auto" w:fill="FFFFFF"/>
        <w:spacing w:before="100" w:beforeAutospacing="1" w:after="100" w:afterAutospacing="1" w:line="240" w:lineRule="auto"/>
        <w:rPr>
          <w:rFonts w:ascii="Arial" w:eastAsia="Times New Roman" w:hAnsi="Arial" w:cs="Arial"/>
          <w:color w:val="1F2937"/>
          <w:kern w:val="0"/>
          <w:sz w:val="20"/>
          <w:szCs w:val="20"/>
          <w:lang w:eastAsia="en-GB"/>
          <w14:ligatures w14:val="none"/>
        </w:rPr>
      </w:pPr>
      <w:r w:rsidRPr="002366D5">
        <w:rPr>
          <w:rFonts w:ascii="unset" w:eastAsia="Times New Roman" w:hAnsi="unset" w:cs="Arial"/>
          <w:color w:val="1F2937"/>
          <w:kern w:val="0"/>
          <w:sz w:val="20"/>
          <w:szCs w:val="20"/>
          <w:lang w:eastAsia="en-GB"/>
          <w14:ligatures w14:val="none"/>
        </w:rPr>
        <w:t> </w:t>
      </w:r>
    </w:p>
    <w:p w14:paraId="12C4A7CB" w14:textId="77777777" w:rsidR="002366D5" w:rsidRPr="002366D5" w:rsidRDefault="002366D5" w:rsidP="002366D5">
      <w:pPr>
        <w:shd w:val="clear" w:color="auto" w:fill="FFFFFF"/>
        <w:spacing w:before="100" w:beforeAutospacing="1" w:after="100" w:afterAutospacing="1" w:line="240" w:lineRule="auto"/>
        <w:rPr>
          <w:rFonts w:ascii="Arial" w:eastAsia="Times New Roman" w:hAnsi="Arial" w:cs="Arial"/>
          <w:color w:val="1F2937"/>
          <w:kern w:val="0"/>
          <w:sz w:val="20"/>
          <w:szCs w:val="20"/>
          <w:lang w:eastAsia="en-GB"/>
          <w14:ligatures w14:val="none"/>
        </w:rPr>
      </w:pPr>
      <w:r w:rsidRPr="002366D5">
        <w:rPr>
          <w:rFonts w:ascii="unset" w:eastAsia="Times New Roman" w:hAnsi="unset" w:cs="Arial"/>
          <w:color w:val="1F2937"/>
          <w:kern w:val="0"/>
          <w:sz w:val="20"/>
          <w:szCs w:val="20"/>
          <w:lang w:eastAsia="en-GB"/>
          <w14:ligatures w14:val="none"/>
        </w:rPr>
        <w:lastRenderedPageBreak/>
        <w:t> </w:t>
      </w:r>
    </w:p>
    <w:p w14:paraId="1D65DFF4" w14:textId="77777777" w:rsidR="002366D5" w:rsidRPr="002366D5" w:rsidRDefault="002366D5" w:rsidP="002366D5">
      <w:pPr>
        <w:shd w:val="clear" w:color="auto" w:fill="FFFFFF"/>
        <w:spacing w:after="0" w:line="240" w:lineRule="auto"/>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684D58DF" w14:textId="77777777" w:rsidR="002366D5" w:rsidRPr="002366D5" w:rsidRDefault="002366D5" w:rsidP="002366D5">
      <w:pPr>
        <w:shd w:val="clear" w:color="auto" w:fill="FFFFFF"/>
        <w:spacing w:after="0" w:line="240" w:lineRule="auto"/>
        <w:ind w:hanging="357"/>
        <w:jc w:val="both"/>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9.     Significant events after the reporting date</w:t>
      </w:r>
    </w:p>
    <w:p w14:paraId="7A575CEB" w14:textId="77777777" w:rsidR="002366D5" w:rsidRPr="002366D5" w:rsidRDefault="002366D5" w:rsidP="002366D5">
      <w:pPr>
        <w:shd w:val="clear" w:color="auto" w:fill="FFFFFF"/>
        <w:spacing w:after="0" w:line="240" w:lineRule="auto"/>
        <w:ind w:left="720"/>
        <w:rPr>
          <w:rFonts w:ascii="Times New Roman" w:eastAsia="Times New Roman" w:hAnsi="Times New Roman" w:cs="Times New Roman"/>
          <w:color w:val="1F2937"/>
          <w:kern w:val="0"/>
          <w:sz w:val="20"/>
          <w:szCs w:val="20"/>
          <w:lang w:eastAsia="en-GB"/>
          <w14:ligatures w14:val="none"/>
        </w:rPr>
      </w:pPr>
      <w:r w:rsidRPr="002366D5">
        <w:rPr>
          <w:rFonts w:ascii="unset" w:eastAsia="Times New Roman" w:hAnsi="unset" w:cs="Times New Roman"/>
          <w:b/>
          <w:bCs/>
          <w:color w:val="1F2937"/>
          <w:kern w:val="0"/>
          <w:sz w:val="20"/>
          <w:szCs w:val="20"/>
          <w:lang w:eastAsia="en-GB"/>
          <w14:ligatures w14:val="none"/>
        </w:rPr>
        <w:t> </w:t>
      </w:r>
    </w:p>
    <w:p w14:paraId="04949185" w14:textId="77777777" w:rsidR="002366D5" w:rsidRPr="002366D5" w:rsidRDefault="002366D5" w:rsidP="002366D5">
      <w:pPr>
        <w:shd w:val="clear" w:color="auto" w:fill="FFFFFF"/>
        <w:spacing w:after="240" w:line="230" w:lineRule="atLeast"/>
        <w:jc w:val="both"/>
        <w:rPr>
          <w:rFonts w:ascii="Calibri" w:eastAsia="Times New Roman" w:hAnsi="Calibri" w:cs="Calibri"/>
          <w:color w:val="1F2937"/>
          <w:kern w:val="0"/>
          <w:sz w:val="20"/>
          <w:szCs w:val="20"/>
          <w:lang w:eastAsia="en-GB"/>
          <w14:ligatures w14:val="none"/>
        </w:rPr>
      </w:pPr>
      <w:proofErr w:type="gramStart"/>
      <w:r w:rsidRPr="002366D5">
        <w:rPr>
          <w:rFonts w:ascii="Times New Roman" w:eastAsia="Times New Roman" w:hAnsi="Times New Roman" w:cs="Times New Roman"/>
          <w:color w:val="000000"/>
          <w:kern w:val="0"/>
          <w:sz w:val="20"/>
          <w:szCs w:val="20"/>
          <w:lang w:eastAsia="en-GB"/>
          <w14:ligatures w14:val="none"/>
        </w:rPr>
        <w:t>Subsequent to</w:t>
      </w:r>
      <w:proofErr w:type="gramEnd"/>
      <w:r w:rsidRPr="002366D5">
        <w:rPr>
          <w:rFonts w:ascii="Times New Roman" w:eastAsia="Times New Roman" w:hAnsi="Times New Roman" w:cs="Times New Roman"/>
          <w:color w:val="000000"/>
          <w:kern w:val="0"/>
          <w:sz w:val="20"/>
          <w:szCs w:val="20"/>
          <w:lang w:eastAsia="en-GB"/>
          <w14:ligatures w14:val="none"/>
        </w:rPr>
        <w:t xml:space="preserve"> the reporting period, the Company </w:t>
      </w:r>
      <w:proofErr w:type="gramStart"/>
      <w:r w:rsidRPr="002366D5">
        <w:rPr>
          <w:rFonts w:ascii="Times New Roman" w:eastAsia="Times New Roman" w:hAnsi="Times New Roman" w:cs="Times New Roman"/>
          <w:color w:val="000000"/>
          <w:kern w:val="0"/>
          <w:sz w:val="20"/>
          <w:szCs w:val="20"/>
          <w:lang w:eastAsia="en-GB"/>
          <w14:ligatures w14:val="none"/>
        </w:rPr>
        <w:t>entered into</w:t>
      </w:r>
      <w:proofErr w:type="gramEnd"/>
      <w:r w:rsidRPr="002366D5">
        <w:rPr>
          <w:rFonts w:ascii="Times New Roman" w:eastAsia="Times New Roman" w:hAnsi="Times New Roman" w:cs="Times New Roman"/>
          <w:color w:val="000000"/>
          <w:kern w:val="0"/>
          <w:sz w:val="20"/>
          <w:szCs w:val="20"/>
          <w:lang w:eastAsia="en-GB"/>
          <w14:ligatures w14:val="none"/>
        </w:rPr>
        <w:t xml:space="preserve"> a £50k interest-free director loan facility with Neil Ritson, Non-Executive Chairman. As announced on 20 February 2026, an initial drawdown of £10,000 was made by the Company. A further £20,000 was drawn down from the director loan facility on 29 April 2026, with the remaining £20,000 available to be drawn down. Repayment is due by 30 June 2026, after which it is at the lender's discretion, subject to the Company maintaining its minimum working capital requirements.</w:t>
      </w:r>
    </w:p>
    <w:p w14:paraId="3F4358DE" w14:textId="77777777" w:rsidR="00511C66" w:rsidRDefault="00511C66"/>
    <w:sectPr w:rsidR="00511C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unset">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Univers 45 Light">
    <w:altName w:val="Cambria"/>
    <w:panose1 w:val="020B0604020202020204"/>
    <w:charset w:val="00"/>
    <w:family w:val="roman"/>
    <w:notTrueType/>
    <w:pitch w:val="default"/>
  </w:font>
  <w:font w:name="Font Awesome 6 Pro">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D5"/>
    <w:rsid w:val="002366D5"/>
    <w:rsid w:val="00266EF5"/>
    <w:rsid w:val="00286CBF"/>
    <w:rsid w:val="003649D6"/>
    <w:rsid w:val="003A2D79"/>
    <w:rsid w:val="00511C66"/>
    <w:rsid w:val="00672CEE"/>
    <w:rsid w:val="007E606B"/>
    <w:rsid w:val="008470A4"/>
    <w:rsid w:val="00863B99"/>
    <w:rsid w:val="00C95FD0"/>
    <w:rsid w:val="00E15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C199C3"/>
  <w15:chartTrackingRefBased/>
  <w15:docId w15:val="{01D75562-9B11-6F48-AC7A-2A28993B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6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6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6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6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6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6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6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6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6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6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6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6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6D5"/>
    <w:rPr>
      <w:rFonts w:eastAsiaTheme="majorEastAsia" w:cstheme="majorBidi"/>
      <w:color w:val="272727" w:themeColor="text1" w:themeTint="D8"/>
    </w:rPr>
  </w:style>
  <w:style w:type="paragraph" w:styleId="Title">
    <w:name w:val="Title"/>
    <w:basedOn w:val="Normal"/>
    <w:next w:val="Normal"/>
    <w:link w:val="TitleChar"/>
    <w:uiPriority w:val="10"/>
    <w:qFormat/>
    <w:rsid w:val="00236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6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6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6D5"/>
    <w:pPr>
      <w:spacing w:before="160"/>
      <w:jc w:val="center"/>
    </w:pPr>
    <w:rPr>
      <w:i/>
      <w:iCs/>
      <w:color w:val="404040" w:themeColor="text1" w:themeTint="BF"/>
    </w:rPr>
  </w:style>
  <w:style w:type="character" w:customStyle="1" w:styleId="QuoteChar">
    <w:name w:val="Quote Char"/>
    <w:basedOn w:val="DefaultParagraphFont"/>
    <w:link w:val="Quote"/>
    <w:uiPriority w:val="29"/>
    <w:rsid w:val="002366D5"/>
    <w:rPr>
      <w:i/>
      <w:iCs/>
      <w:color w:val="404040" w:themeColor="text1" w:themeTint="BF"/>
    </w:rPr>
  </w:style>
  <w:style w:type="paragraph" w:styleId="ListParagraph">
    <w:name w:val="List Paragraph"/>
    <w:basedOn w:val="Normal"/>
    <w:uiPriority w:val="34"/>
    <w:qFormat/>
    <w:rsid w:val="002366D5"/>
    <w:pPr>
      <w:ind w:left="720"/>
      <w:contextualSpacing/>
    </w:pPr>
  </w:style>
  <w:style w:type="character" w:styleId="IntenseEmphasis">
    <w:name w:val="Intense Emphasis"/>
    <w:basedOn w:val="DefaultParagraphFont"/>
    <w:uiPriority w:val="21"/>
    <w:qFormat/>
    <w:rsid w:val="002366D5"/>
    <w:rPr>
      <w:i/>
      <w:iCs/>
      <w:color w:val="0F4761" w:themeColor="accent1" w:themeShade="BF"/>
    </w:rPr>
  </w:style>
  <w:style w:type="paragraph" w:styleId="IntenseQuote">
    <w:name w:val="Intense Quote"/>
    <w:basedOn w:val="Normal"/>
    <w:next w:val="Normal"/>
    <w:link w:val="IntenseQuoteChar"/>
    <w:uiPriority w:val="30"/>
    <w:qFormat/>
    <w:rsid w:val="00236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6D5"/>
    <w:rPr>
      <w:i/>
      <w:iCs/>
      <w:color w:val="0F4761" w:themeColor="accent1" w:themeShade="BF"/>
    </w:rPr>
  </w:style>
  <w:style w:type="character" w:styleId="IntenseReference">
    <w:name w:val="Intense Reference"/>
    <w:basedOn w:val="DefaultParagraphFont"/>
    <w:uiPriority w:val="32"/>
    <w:qFormat/>
    <w:rsid w:val="002366D5"/>
    <w:rPr>
      <w:b/>
      <w:bCs/>
      <w:smallCaps/>
      <w:color w:val="0F4761" w:themeColor="accent1" w:themeShade="BF"/>
      <w:spacing w:val="5"/>
    </w:rPr>
  </w:style>
  <w:style w:type="paragraph" w:customStyle="1" w:styleId="msonormal0">
    <w:name w:val="msonormal"/>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
    <w:name w:val="x"/>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n">
    <w:name w:val="nn"/>
    <w:basedOn w:val="DefaultParagraphFont"/>
    <w:rsid w:val="002366D5"/>
  </w:style>
  <w:style w:type="paragraph" w:customStyle="1" w:styleId="a">
    <w:name w:val="a"/>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m">
    <w:name w:val="nm"/>
    <w:basedOn w:val="DefaultParagraphFont"/>
    <w:rsid w:val="002366D5"/>
  </w:style>
  <w:style w:type="paragraph" w:customStyle="1" w:styleId="np">
    <w:name w:val="np"/>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l">
    <w:name w:val="nl"/>
    <w:basedOn w:val="DefaultParagraphFont"/>
    <w:rsid w:val="002366D5"/>
  </w:style>
  <w:style w:type="paragraph" w:customStyle="1" w:styleId="nq">
    <w:name w:val="nq"/>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i">
    <w:name w:val="ni"/>
    <w:basedOn w:val="DefaultParagraphFont"/>
    <w:rsid w:val="002366D5"/>
  </w:style>
  <w:style w:type="paragraph" w:customStyle="1" w:styleId="nr">
    <w:name w:val="nr"/>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h">
    <w:name w:val="nh"/>
    <w:basedOn w:val="DefaultParagraphFont"/>
    <w:rsid w:val="002366D5"/>
  </w:style>
  <w:style w:type="character" w:customStyle="1" w:styleId="ng">
    <w:name w:val="ng"/>
    <w:basedOn w:val="DefaultParagraphFont"/>
    <w:rsid w:val="002366D5"/>
  </w:style>
  <w:style w:type="paragraph" w:customStyle="1" w:styleId="ns">
    <w:name w:val="ns"/>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e">
    <w:name w:val="ne"/>
    <w:basedOn w:val="DefaultParagraphFont"/>
    <w:rsid w:val="002366D5"/>
  </w:style>
  <w:style w:type="character" w:customStyle="1" w:styleId="nd">
    <w:name w:val="nd"/>
    <w:basedOn w:val="DefaultParagraphFont"/>
    <w:rsid w:val="002366D5"/>
  </w:style>
  <w:style w:type="paragraph" w:customStyle="1" w:styleId="nt">
    <w:name w:val="nt"/>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nu">
    <w:name w:val="nu"/>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nv">
    <w:name w:val="nv"/>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a">
    <w:name w:val="na"/>
    <w:basedOn w:val="DefaultParagraphFont"/>
    <w:rsid w:val="002366D5"/>
  </w:style>
  <w:style w:type="character" w:customStyle="1" w:styleId="my">
    <w:name w:val="my"/>
    <w:basedOn w:val="DefaultParagraphFont"/>
    <w:rsid w:val="002366D5"/>
  </w:style>
  <w:style w:type="paragraph" w:customStyle="1" w:styleId="nw">
    <w:name w:val="nw"/>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x">
    <w:name w:val="mx"/>
    <w:basedOn w:val="DefaultParagraphFont"/>
    <w:rsid w:val="002366D5"/>
  </w:style>
  <w:style w:type="paragraph" w:customStyle="1" w:styleId="nx">
    <w:name w:val="nx"/>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ny">
    <w:name w:val="ny"/>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z">
    <w:name w:val="nz"/>
    <w:basedOn w:val="DefaultParagraphFont"/>
    <w:rsid w:val="002366D5"/>
  </w:style>
  <w:style w:type="character" w:customStyle="1" w:styleId="mt">
    <w:name w:val="mt"/>
    <w:basedOn w:val="DefaultParagraphFont"/>
    <w:rsid w:val="002366D5"/>
  </w:style>
  <w:style w:type="character" w:customStyle="1" w:styleId="oa">
    <w:name w:val="oa"/>
    <w:basedOn w:val="DefaultParagraphFont"/>
    <w:rsid w:val="002366D5"/>
  </w:style>
  <w:style w:type="character" w:customStyle="1" w:styleId="ob">
    <w:name w:val="ob"/>
    <w:basedOn w:val="DefaultParagraphFont"/>
    <w:rsid w:val="002366D5"/>
  </w:style>
  <w:style w:type="paragraph" w:customStyle="1" w:styleId="oc">
    <w:name w:val="oc"/>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od">
    <w:name w:val="od"/>
    <w:basedOn w:val="DefaultParagraphFont"/>
    <w:rsid w:val="002366D5"/>
  </w:style>
  <w:style w:type="character" w:customStyle="1" w:styleId="oe">
    <w:name w:val="oe"/>
    <w:basedOn w:val="DefaultParagraphFont"/>
    <w:rsid w:val="002366D5"/>
  </w:style>
  <w:style w:type="character" w:styleId="Hyperlink">
    <w:name w:val="Hyperlink"/>
    <w:basedOn w:val="DefaultParagraphFont"/>
    <w:uiPriority w:val="99"/>
    <w:semiHidden/>
    <w:unhideWhenUsed/>
    <w:rsid w:val="002366D5"/>
    <w:rPr>
      <w:color w:val="0000FF"/>
      <w:u w:val="single"/>
    </w:rPr>
  </w:style>
  <w:style w:type="character" w:styleId="FollowedHyperlink">
    <w:name w:val="FollowedHyperlink"/>
    <w:basedOn w:val="DefaultParagraphFont"/>
    <w:uiPriority w:val="99"/>
    <w:semiHidden/>
    <w:unhideWhenUsed/>
    <w:rsid w:val="002366D5"/>
    <w:rPr>
      <w:color w:val="800080"/>
      <w:u w:val="single"/>
    </w:rPr>
  </w:style>
  <w:style w:type="paragraph" w:customStyle="1" w:styleId="of">
    <w:name w:val="of"/>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og">
    <w:name w:val="og"/>
    <w:basedOn w:val="DefaultParagraphFont"/>
    <w:rsid w:val="002366D5"/>
  </w:style>
  <w:style w:type="character" w:customStyle="1" w:styleId="oh">
    <w:name w:val="oh"/>
    <w:basedOn w:val="DefaultParagraphFont"/>
    <w:rsid w:val="002366D5"/>
  </w:style>
  <w:style w:type="paragraph" w:customStyle="1" w:styleId="oi">
    <w:name w:val="oi"/>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k">
    <w:name w:val="mk"/>
    <w:basedOn w:val="DefaultParagraphFont"/>
    <w:rsid w:val="002366D5"/>
  </w:style>
  <w:style w:type="paragraph" w:customStyle="1" w:styleId="oj">
    <w:name w:val="oj"/>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j">
    <w:name w:val="mj"/>
    <w:basedOn w:val="DefaultParagraphFont"/>
    <w:rsid w:val="002366D5"/>
  </w:style>
  <w:style w:type="paragraph" w:customStyle="1" w:styleId="ok">
    <w:name w:val="ok"/>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h">
    <w:name w:val="mh"/>
    <w:basedOn w:val="DefaultParagraphFont"/>
    <w:rsid w:val="002366D5"/>
  </w:style>
  <w:style w:type="character" w:customStyle="1" w:styleId="mf">
    <w:name w:val="mf"/>
    <w:basedOn w:val="DefaultParagraphFont"/>
    <w:rsid w:val="002366D5"/>
  </w:style>
  <w:style w:type="paragraph" w:customStyle="1" w:styleId="ol">
    <w:name w:val="ol"/>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e">
    <w:name w:val="me"/>
    <w:basedOn w:val="DefaultParagraphFont"/>
    <w:rsid w:val="002366D5"/>
  </w:style>
  <w:style w:type="paragraph" w:customStyle="1" w:styleId="om">
    <w:name w:val="om"/>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c">
    <w:name w:val="mc"/>
    <w:basedOn w:val="DefaultParagraphFont"/>
    <w:rsid w:val="002366D5"/>
  </w:style>
  <w:style w:type="paragraph" w:customStyle="1" w:styleId="on">
    <w:name w:val="on"/>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oo">
    <w:name w:val="oo"/>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op">
    <w:name w:val="op"/>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y">
    <w:name w:val="ly"/>
    <w:basedOn w:val="DefaultParagraphFont"/>
    <w:rsid w:val="002366D5"/>
  </w:style>
  <w:style w:type="paragraph" w:customStyle="1" w:styleId="oq">
    <w:name w:val="oq"/>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or">
    <w:name w:val="or"/>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v">
    <w:name w:val="lv"/>
    <w:basedOn w:val="DefaultParagraphFont"/>
    <w:rsid w:val="002366D5"/>
  </w:style>
  <w:style w:type="paragraph" w:customStyle="1" w:styleId="ai">
    <w:name w:val="ai"/>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ot">
    <w:name w:val="ot"/>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u">
    <w:name w:val="lu"/>
    <w:basedOn w:val="DefaultParagraphFont"/>
    <w:rsid w:val="002366D5"/>
  </w:style>
  <w:style w:type="paragraph" w:customStyle="1" w:styleId="ou">
    <w:name w:val="ou"/>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r">
    <w:name w:val="lr"/>
    <w:basedOn w:val="DefaultParagraphFont"/>
    <w:rsid w:val="002366D5"/>
  </w:style>
  <w:style w:type="paragraph" w:customStyle="1" w:styleId="ov">
    <w:name w:val="ov"/>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j">
    <w:name w:val="lj"/>
    <w:basedOn w:val="DefaultParagraphFont"/>
    <w:rsid w:val="002366D5"/>
  </w:style>
  <w:style w:type="paragraph" w:customStyle="1" w:styleId="ow">
    <w:name w:val="ow"/>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kl">
    <w:name w:val="kl"/>
    <w:basedOn w:val="DefaultParagraphFont"/>
    <w:rsid w:val="002366D5"/>
  </w:style>
  <w:style w:type="paragraph" w:customStyle="1" w:styleId="oy">
    <w:name w:val="oy"/>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oz">
    <w:name w:val="oz"/>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
    <w:name w:val="pa"/>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b">
    <w:name w:val="pb"/>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jk">
    <w:name w:val="jk"/>
    <w:basedOn w:val="DefaultParagraphFont"/>
    <w:rsid w:val="002366D5"/>
  </w:style>
  <w:style w:type="paragraph" w:customStyle="1" w:styleId="pc">
    <w:name w:val="pc"/>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d">
    <w:name w:val="pd"/>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e">
    <w:name w:val="pe"/>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is">
    <w:name w:val="is"/>
    <w:basedOn w:val="DefaultParagraphFont"/>
    <w:rsid w:val="002366D5"/>
  </w:style>
  <w:style w:type="character" w:customStyle="1" w:styleId="io">
    <w:name w:val="io"/>
    <w:basedOn w:val="DefaultParagraphFont"/>
    <w:rsid w:val="002366D5"/>
  </w:style>
  <w:style w:type="paragraph" w:customStyle="1" w:styleId="pf">
    <w:name w:val="pf"/>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g">
    <w:name w:val="pg"/>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i">
    <w:name w:val="pi"/>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pj">
    <w:name w:val="pj"/>
    <w:basedOn w:val="DefaultParagraphFont"/>
    <w:rsid w:val="002366D5"/>
  </w:style>
  <w:style w:type="paragraph" w:customStyle="1" w:styleId="pk">
    <w:name w:val="pk"/>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pl">
    <w:name w:val="pl"/>
    <w:basedOn w:val="DefaultParagraphFont"/>
    <w:rsid w:val="002366D5"/>
  </w:style>
  <w:style w:type="paragraph" w:customStyle="1" w:styleId="pm">
    <w:name w:val="pm"/>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pn">
    <w:name w:val="pn"/>
    <w:basedOn w:val="DefaultParagraphFont"/>
    <w:rsid w:val="002366D5"/>
  </w:style>
  <w:style w:type="paragraph" w:customStyle="1" w:styleId="po">
    <w:name w:val="po"/>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k">
    <w:name w:val="fk"/>
    <w:basedOn w:val="DefaultParagraphFont"/>
    <w:rsid w:val="002366D5"/>
  </w:style>
  <w:style w:type="character" w:customStyle="1" w:styleId="bx">
    <w:name w:val="bx"/>
    <w:basedOn w:val="DefaultParagraphFont"/>
    <w:rsid w:val="002366D5"/>
  </w:style>
  <w:style w:type="character" w:customStyle="1" w:styleId="cc">
    <w:name w:val="cc"/>
    <w:basedOn w:val="DefaultParagraphFont"/>
    <w:rsid w:val="002366D5"/>
  </w:style>
  <w:style w:type="paragraph" w:customStyle="1" w:styleId="pp">
    <w:name w:val="pp"/>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j">
    <w:name w:val="fj"/>
    <w:basedOn w:val="DefaultParagraphFont"/>
    <w:rsid w:val="002366D5"/>
  </w:style>
  <w:style w:type="paragraph" w:customStyle="1" w:styleId="af">
    <w:name w:val="af"/>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q">
    <w:name w:val="pq"/>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r">
    <w:name w:val="pr"/>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g">
    <w:name w:val="fg"/>
    <w:basedOn w:val="DefaultParagraphFont"/>
    <w:rsid w:val="002366D5"/>
  </w:style>
  <w:style w:type="paragraph" w:customStyle="1" w:styleId="ps">
    <w:name w:val="ps"/>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e">
    <w:name w:val="fe"/>
    <w:basedOn w:val="DefaultParagraphFont"/>
    <w:rsid w:val="002366D5"/>
  </w:style>
  <w:style w:type="character" w:customStyle="1" w:styleId="pt">
    <w:name w:val="pt"/>
    <w:basedOn w:val="DefaultParagraphFont"/>
    <w:rsid w:val="002366D5"/>
  </w:style>
  <w:style w:type="character" w:customStyle="1" w:styleId="fc">
    <w:name w:val="fc"/>
    <w:basedOn w:val="DefaultParagraphFont"/>
    <w:rsid w:val="002366D5"/>
  </w:style>
  <w:style w:type="paragraph" w:customStyle="1" w:styleId="pu">
    <w:name w:val="pu"/>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v">
    <w:name w:val="pv"/>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w">
    <w:name w:val="pw"/>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x">
    <w:name w:val="px"/>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y">
    <w:name w:val="py"/>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z">
    <w:name w:val="pz"/>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qa">
    <w:name w:val="qa"/>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qb">
    <w:name w:val="qb"/>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qc">
    <w:name w:val="qc"/>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nj">
    <w:name w:val="nj"/>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qe">
    <w:name w:val="qe"/>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qf">
    <w:name w:val="qf"/>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qg">
    <w:name w:val="qg"/>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w">
    <w:name w:val="w"/>
    <w:basedOn w:val="Normal"/>
    <w:rsid w:val="002366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ydrogenfutureindust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5421</Words>
  <Characters>28248</Characters>
  <Application>Microsoft Office Word</Application>
  <DocSecurity>0</DocSecurity>
  <Lines>642</Lines>
  <Paragraphs>258</Paragraphs>
  <ScaleCrop>false</ScaleCrop>
  <Company/>
  <LinksUpToDate>false</LinksUpToDate>
  <CharactersWithSpaces>33411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Iqbal</dc:creator>
  <cp:keywords/>
  <dc:description/>
  <cp:lastModifiedBy>Ahmed Iqbal</cp:lastModifiedBy>
  <cp:revision>1</cp:revision>
  <dcterms:created xsi:type="dcterms:W3CDTF">2026-05-26T09:43:00Z</dcterms:created>
  <dcterms:modified xsi:type="dcterms:W3CDTF">2026-05-26T09:44:00Z</dcterms:modified>
</cp:coreProperties>
</file>