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after="160" w:line="259" w:lineRule="auto"/>
        <w:rPr>
          <w:rFonts w:ascii="Aptos" w:cs="Aptos" w:hAnsi="Aptos" w:eastAsia="Aptos"/>
          <w:sz w:val="22"/>
          <w:szCs w:val="22"/>
        </w:rPr>
      </w:pPr>
      <w:r>
        <w:rPr>
          <w:rFonts w:ascii="Aptos" w:cs="Aptos" w:hAnsi="Aptos" w:eastAsia="Aptos"/>
          <w:sz w:val="22"/>
          <w:szCs w:val="22"/>
          <w:rtl w:val="0"/>
          <w:lang w:val="nl-NL"/>
        </w:rPr>
        <w:t>Beste mensen,</w:t>
      </w:r>
    </w:p>
    <w:p>
      <w:pPr>
        <w:pStyle w:val="Normal.0"/>
        <w:spacing w:after="160" w:line="259" w:lineRule="auto"/>
        <w:rPr>
          <w:rFonts w:ascii="Aptos" w:cs="Aptos" w:hAnsi="Aptos" w:eastAsia="Aptos"/>
          <w:sz w:val="22"/>
          <w:szCs w:val="22"/>
        </w:rPr>
      </w:pPr>
    </w:p>
    <w:p>
      <w:pPr>
        <w:pStyle w:val="Normal.0"/>
        <w:spacing w:after="160" w:line="259" w:lineRule="auto"/>
        <w:rPr>
          <w:rFonts w:ascii="Aptos" w:cs="Aptos" w:hAnsi="Aptos" w:eastAsia="Aptos"/>
          <w:sz w:val="22"/>
          <w:szCs w:val="22"/>
        </w:rPr>
      </w:pPr>
      <w:r>
        <w:rPr>
          <w:rFonts w:ascii="Aptos" w:cs="Aptos" w:hAnsi="Aptos" w:eastAsia="Aptos"/>
          <w:sz w:val="22"/>
          <w:szCs w:val="22"/>
          <w:rtl w:val="0"/>
          <w:lang w:val="nl-NL"/>
        </w:rPr>
        <w:t xml:space="preserve">Bijgaand de juridisch zakelijke brief die je aan de zorgverzekeraar en je ketenzorgorganisatie kan sturen. </w:t>
      </w:r>
    </w:p>
    <w:p>
      <w:pPr>
        <w:pStyle w:val="Normal.0"/>
        <w:spacing w:after="160" w:line="259" w:lineRule="auto"/>
        <w:rPr>
          <w:rFonts w:ascii="Aptos" w:cs="Aptos" w:hAnsi="Aptos" w:eastAsia="Aptos"/>
          <w:sz w:val="22"/>
          <w:szCs w:val="22"/>
        </w:rPr>
      </w:pPr>
      <w:r>
        <w:rPr>
          <w:rFonts w:ascii="Aptos" w:cs="Aptos" w:hAnsi="Aptos" w:eastAsia="Aptos"/>
          <w:sz w:val="22"/>
          <w:szCs w:val="22"/>
          <w:rtl w:val="0"/>
          <w:lang w:val="nl-NL"/>
        </w:rPr>
        <w:t>De NZa heeft in haar besluit opgenomen dat de huisartsen zelf bij de regio-organisaties en de zorgverzekeraars het resterende deel moeten zien op te halen. Ik citeer hier uit de beslissing :</w:t>
      </w:r>
    </w:p>
    <w:p>
      <w:pPr>
        <w:pStyle w:val="Normal.0"/>
        <w:spacing w:after="160" w:line="259" w:lineRule="auto"/>
        <w:rPr>
          <w:rFonts w:ascii="Aptos" w:cs="Aptos" w:hAnsi="Aptos" w:eastAsia="Aptos"/>
          <w:sz w:val="22"/>
          <w:szCs w:val="22"/>
        </w:rPr>
      </w:pPr>
      <w:r>
        <w:rPr>
          <w:rFonts w:ascii="Aptos" w:cs="Aptos" w:hAnsi="Aptos" w:eastAsia="Aptos"/>
          <w:sz w:val="22"/>
          <w:szCs w:val="22"/>
          <w:rtl w:val="0"/>
          <w:lang w:val="nl-NL"/>
        </w:rPr>
        <w:t>Randnummer 485:</w:t>
      </w:r>
    </w:p>
    <w:p>
      <w:pPr>
        <w:pStyle w:val="Normal.0"/>
        <w:spacing w:after="160" w:line="259" w:lineRule="auto"/>
        <w:rPr>
          <w:rFonts w:ascii="Aptos" w:cs="Aptos" w:hAnsi="Aptos" w:eastAsia="Aptos"/>
          <w:i w:val="1"/>
          <w:iCs w:val="1"/>
          <w:sz w:val="22"/>
          <w:szCs w:val="22"/>
        </w:rPr>
      </w:pPr>
      <w:r>
        <w:rPr>
          <w:rFonts w:ascii="Aptos" w:cs="Aptos" w:hAnsi="Aptos" w:eastAsia="Aptos"/>
          <w:i w:val="1"/>
          <w:iCs w:val="1"/>
          <w:sz w:val="22"/>
          <w:szCs w:val="22"/>
          <w:rtl w:val="0"/>
          <w:lang w:val="nl-NL"/>
        </w:rPr>
        <w:t>“</w:t>
      </w:r>
      <w:r>
        <w:rPr>
          <w:rFonts w:ascii="Aptos" w:cs="Aptos" w:hAnsi="Aptos" w:eastAsia="Aptos"/>
          <w:i w:val="1"/>
          <w:iCs w:val="1"/>
          <w:sz w:val="22"/>
          <w:szCs w:val="22"/>
          <w:rtl w:val="0"/>
          <w:lang w:val="nl-NL"/>
        </w:rPr>
        <w:t>De bekostiging van de huisartsenzorg bestaat uit zowel tariefgereguleerde prestaties als prestaties met vrije tarieven. Op basis van de tariefbeschikkingen is duidelijk wel zorg onder de tariefgereguleerde prestaties (segment 1) valt, welke prestaties huisartsen daarvoor in rekening kunnen brengen en tegen welk tarief. Voor de prestaties met vrije tarieven is het aan de zorgaanbieders en zorgverzekeraars kostendekkende tarieven af te spreken. Franke zal vermeend tekortschietende tarieven aan de orde moeten stellen in de verhouding met de zorgverzekeraars. De NZa stelt geen tarieven vast voor de prestaties in segment 2 en segment 3.</w:t>
      </w:r>
      <w:r>
        <w:rPr>
          <w:rFonts w:ascii="Aptos" w:cs="Aptos" w:hAnsi="Aptos" w:eastAsia="Aptos"/>
          <w:i w:val="1"/>
          <w:iCs w:val="1"/>
          <w:sz w:val="22"/>
          <w:szCs w:val="22"/>
          <w:rtl w:val="0"/>
          <w:lang w:val="nl-NL"/>
        </w:rPr>
        <w:t>”</w:t>
      </w:r>
    </w:p>
    <w:p>
      <w:pPr>
        <w:pStyle w:val="Normal.0"/>
        <w:spacing w:after="160" w:line="259" w:lineRule="auto"/>
        <w:rPr>
          <w:rFonts w:ascii="Aptos" w:cs="Aptos" w:hAnsi="Aptos" w:eastAsia="Aptos"/>
          <w:sz w:val="20"/>
          <w:szCs w:val="20"/>
        </w:rPr>
      </w:pPr>
      <w:r>
        <w:rPr>
          <w:rFonts w:ascii="Aptos" w:cs="Aptos" w:hAnsi="Aptos" w:eastAsia="Aptos"/>
          <w:sz w:val="20"/>
          <w:szCs w:val="20"/>
          <w:rtl w:val="0"/>
          <w:lang w:val="nl-NL"/>
        </w:rPr>
        <w:t xml:space="preserve">Noot: Franke is een huisarts uit </w:t>
      </w:r>
      <w:r>
        <w:rPr>
          <w:rFonts w:ascii="Aptos" w:cs="Aptos" w:hAnsi="Aptos" w:eastAsia="Aptos"/>
          <w:sz w:val="20"/>
          <w:szCs w:val="20"/>
          <w:rtl w:val="0"/>
          <w:lang w:val="nl-NL"/>
        </w:rPr>
        <w:t xml:space="preserve">Nieuwegein </w:t>
      </w:r>
      <w:r>
        <w:rPr>
          <w:rFonts w:ascii="Aptos" w:cs="Aptos" w:hAnsi="Aptos" w:eastAsia="Aptos"/>
          <w:sz w:val="20"/>
          <w:szCs w:val="20"/>
          <w:rtl w:val="0"/>
          <w:lang w:val="nl-NL"/>
        </w:rPr>
        <w:t xml:space="preserve">die zelfstandig </w:t>
      </w:r>
      <w:r>
        <w:rPr>
          <w:rFonts w:ascii="Aptos" w:cs="Aptos" w:hAnsi="Aptos" w:eastAsia="Aptos"/>
          <w:sz w:val="20"/>
          <w:szCs w:val="20"/>
          <w:rtl w:val="0"/>
          <w:lang w:val="nl-NL"/>
        </w:rPr>
        <w:t>óó</w:t>
      </w:r>
      <w:r>
        <w:rPr>
          <w:rFonts w:ascii="Aptos" w:cs="Aptos" w:hAnsi="Aptos" w:eastAsia="Aptos"/>
          <w:sz w:val="20"/>
          <w:szCs w:val="20"/>
          <w:rtl w:val="0"/>
          <w:lang w:val="nl-NL"/>
        </w:rPr>
        <w:t xml:space="preserve">k bezwaar maakte </w:t>
      </w:r>
    </w:p>
    <w:p>
      <w:pPr>
        <w:pStyle w:val="Normal.0"/>
        <w:spacing w:after="160" w:line="259" w:lineRule="auto"/>
        <w:rPr>
          <w:rFonts w:ascii="Aptos" w:cs="Aptos" w:hAnsi="Aptos" w:eastAsia="Aptos"/>
          <w:sz w:val="22"/>
          <w:szCs w:val="22"/>
        </w:rPr>
      </w:pPr>
      <w:r>
        <w:rPr>
          <w:rFonts w:ascii="Aptos" w:cs="Aptos" w:hAnsi="Aptos" w:eastAsia="Aptos"/>
          <w:sz w:val="22"/>
          <w:szCs w:val="22"/>
          <w:rtl w:val="0"/>
          <w:lang w:val="nl-NL"/>
        </w:rPr>
        <w:t xml:space="preserve">Van de </w:t>
      </w:r>
      <w:r>
        <w:rPr>
          <w:rFonts w:ascii="Aptos" w:cs="Aptos" w:hAnsi="Aptos" w:eastAsia="Aptos"/>
          <w:sz w:val="22"/>
          <w:szCs w:val="22"/>
          <w:rtl w:val="0"/>
          <w:lang w:val="nl-NL"/>
        </w:rPr>
        <w:t xml:space="preserve">€ </w:t>
      </w:r>
      <w:r>
        <w:rPr>
          <w:rFonts w:ascii="Aptos" w:cs="Aptos" w:hAnsi="Aptos" w:eastAsia="Aptos"/>
          <w:sz w:val="22"/>
          <w:szCs w:val="22"/>
          <w:rtl w:val="0"/>
          <w:lang w:val="nl-NL"/>
        </w:rPr>
        <w:t>17.700 euro die we aan huisvestingskosten erbij moeten krijgen (per 3.672 pati</w:t>
      </w:r>
      <w:r>
        <w:rPr>
          <w:rFonts w:ascii="Aptos" w:cs="Aptos" w:hAnsi="Aptos" w:eastAsia="Aptos"/>
          <w:sz w:val="22"/>
          <w:szCs w:val="22"/>
          <w:rtl w:val="0"/>
          <w:lang w:val="nl-NL"/>
        </w:rPr>
        <w:t>ë</w:t>
      </w:r>
      <w:r>
        <w:rPr>
          <w:rFonts w:ascii="Aptos" w:cs="Aptos" w:hAnsi="Aptos" w:eastAsia="Aptos"/>
          <w:sz w:val="22"/>
          <w:szCs w:val="22"/>
          <w:rtl w:val="0"/>
          <w:lang w:val="nl-NL"/>
        </w:rPr>
        <w:t xml:space="preserve">nten, = </w:t>
      </w:r>
      <w:r>
        <w:rPr>
          <w:rFonts w:ascii="Aptos" w:cs="Aptos" w:hAnsi="Aptos" w:eastAsia="Aptos"/>
          <w:sz w:val="22"/>
          <w:szCs w:val="22"/>
          <w:rtl w:val="0"/>
          <w:lang w:val="nl-NL"/>
        </w:rPr>
        <w:t xml:space="preserve">€ </w:t>
      </w:r>
      <w:r>
        <w:rPr>
          <w:rFonts w:ascii="Aptos" w:cs="Aptos" w:hAnsi="Aptos" w:eastAsia="Aptos"/>
          <w:sz w:val="22"/>
          <w:szCs w:val="22"/>
          <w:rtl w:val="0"/>
          <w:lang w:val="nl-NL"/>
        </w:rPr>
        <w:t xml:space="preserve">4,82 per ION), veronderstelt de NZa dat we 39% van o.a. de ketenzorg en de prestaties in S3 krijgen. Dan blijft er 61% over voor de tarieven. Dat is de </w:t>
      </w:r>
      <w:r>
        <w:rPr>
          <w:rFonts w:ascii="Aptos" w:cs="Aptos" w:hAnsi="Aptos" w:eastAsia="Aptos"/>
          <w:sz w:val="22"/>
          <w:szCs w:val="22"/>
          <w:rtl w:val="0"/>
          <w:lang w:val="nl-NL"/>
        </w:rPr>
        <w:t xml:space="preserve">€ </w:t>
      </w:r>
      <w:r>
        <w:rPr>
          <w:rFonts w:ascii="Aptos" w:cs="Aptos" w:hAnsi="Aptos" w:eastAsia="Aptos"/>
          <w:sz w:val="22"/>
          <w:szCs w:val="22"/>
          <w:rtl w:val="0"/>
          <w:lang w:val="nl-NL"/>
        </w:rPr>
        <w:t>10.790,- die de NZa opvoert per praktijk (</w:t>
      </w:r>
      <w:r>
        <w:rPr>
          <w:rFonts w:ascii="Aptos" w:cs="Aptos" w:hAnsi="Aptos" w:eastAsia="Aptos"/>
          <w:sz w:val="22"/>
          <w:szCs w:val="22"/>
          <w:rtl w:val="0"/>
          <w:lang w:val="nl-NL"/>
        </w:rPr>
        <w:t xml:space="preserve">€ </w:t>
      </w:r>
      <w:r>
        <w:rPr>
          <w:rFonts w:ascii="Aptos" w:cs="Aptos" w:hAnsi="Aptos" w:eastAsia="Aptos"/>
          <w:sz w:val="22"/>
          <w:szCs w:val="22"/>
          <w:rtl w:val="0"/>
          <w:lang w:val="nl-NL"/>
        </w:rPr>
        <w:t xml:space="preserve">2,94 per ION). </w:t>
      </w:r>
    </w:p>
    <w:p>
      <w:pPr>
        <w:pStyle w:val="Normal.0"/>
        <w:spacing w:after="160" w:line="259" w:lineRule="auto"/>
        <w:rPr>
          <w:rFonts w:ascii="Aptos" w:cs="Aptos" w:hAnsi="Aptos" w:eastAsia="Aptos"/>
          <w:sz w:val="22"/>
          <w:szCs w:val="22"/>
        </w:rPr>
      </w:pPr>
      <w:r>
        <w:rPr>
          <w:rFonts w:ascii="Aptos" w:cs="Aptos" w:hAnsi="Aptos" w:eastAsia="Aptos"/>
          <w:sz w:val="22"/>
          <w:szCs w:val="22"/>
          <w:rtl w:val="0"/>
          <w:lang w:val="nl-NL"/>
        </w:rPr>
        <w:t xml:space="preserve">We begrijpen dat het ongemakkelijk kan voelen om je ketenzorgorganisatie een dergelijke brief te sturen, maar dit ongemak ontstaat door de houding van de NZa. De manier om aanspraak te maken op uitstaande gelden is de manier zoals beschreven in de brief; het gaat om een zakelijke afwikkeling en zo doe je dat op een redelijke manier (het kan </w:t>
      </w:r>
      <w:r>
        <w:rPr>
          <w:rFonts w:ascii="Aptos" w:cs="Aptos" w:hAnsi="Aptos" w:eastAsia="Aptos"/>
          <w:sz w:val="22"/>
          <w:szCs w:val="22"/>
          <w:rtl w:val="0"/>
          <w:lang w:val="nl-NL"/>
        </w:rPr>
        <w:t xml:space="preserve">– </w:t>
      </w:r>
      <w:r>
        <w:rPr>
          <w:rFonts w:ascii="Aptos" w:cs="Aptos" w:hAnsi="Aptos" w:eastAsia="Aptos"/>
          <w:sz w:val="22"/>
          <w:szCs w:val="22"/>
          <w:rtl w:val="0"/>
          <w:lang w:val="nl-NL"/>
        </w:rPr>
        <w:t>blijkt - overigens nog veel zakelijker/veel steviger). De brief is dus niet een persoonlijke maar zakelijke. Het is belangrijk om je te beseffen dat we alle aspecten van deze brief (dus niet alleen het financi</w:t>
      </w:r>
      <w:r>
        <w:rPr>
          <w:rFonts w:ascii="Aptos" w:cs="Aptos" w:hAnsi="Aptos" w:eastAsia="Aptos"/>
          <w:sz w:val="22"/>
          <w:szCs w:val="22"/>
          <w:rtl w:val="0"/>
          <w:lang w:val="nl-NL"/>
        </w:rPr>
        <w:t>ë</w:t>
      </w:r>
      <w:r>
        <w:rPr>
          <w:rFonts w:ascii="Aptos" w:cs="Aptos" w:hAnsi="Aptos" w:eastAsia="Aptos"/>
          <w:sz w:val="22"/>
          <w:szCs w:val="22"/>
          <w:rtl w:val="0"/>
          <w:lang w:val="nl-NL"/>
        </w:rPr>
        <w:t xml:space="preserve">le maar ook het punt dat er geen duidelijkheid is over welk deel van S2 of S3 is </w:t>
      </w:r>
      <w:r>
        <w:rPr>
          <w:rFonts w:ascii="Aptos" w:cs="Aptos" w:hAnsi="Aptos" w:eastAsia="Aptos"/>
          <w:sz w:val="22"/>
          <w:szCs w:val="22"/>
          <w:rtl w:val="0"/>
          <w:lang w:val="nl-NL"/>
        </w:rPr>
        <w:t>‘</w:t>
      </w:r>
      <w:r>
        <w:rPr>
          <w:rFonts w:ascii="Aptos" w:cs="Aptos" w:hAnsi="Aptos" w:eastAsia="Aptos"/>
          <w:sz w:val="22"/>
          <w:szCs w:val="22"/>
          <w:rtl w:val="0"/>
          <w:lang w:val="nl-NL"/>
        </w:rPr>
        <w:t>bedoeld</w:t>
      </w:r>
      <w:r>
        <w:rPr>
          <w:rFonts w:ascii="Aptos" w:cs="Aptos" w:hAnsi="Aptos" w:eastAsia="Aptos"/>
          <w:sz w:val="22"/>
          <w:szCs w:val="22"/>
          <w:rtl w:val="0"/>
          <w:lang w:val="nl-NL"/>
        </w:rPr>
        <w:t xml:space="preserve">’ </w:t>
      </w:r>
      <w:r>
        <w:rPr>
          <w:rFonts w:ascii="Aptos" w:cs="Aptos" w:hAnsi="Aptos" w:eastAsia="Aptos"/>
          <w:sz w:val="22"/>
          <w:szCs w:val="22"/>
          <w:rtl w:val="0"/>
          <w:lang w:val="nl-NL"/>
        </w:rPr>
        <w:t xml:space="preserve">voor huisvesting en het feit dat huisartsen daar nooit iets over is verteld) al in de overleggen met InEen en de ziektekostenverzekeraars in de afgelopen maanden aan de orde hebben gesteld. </w:t>
      </w:r>
    </w:p>
    <w:p>
      <w:pPr>
        <w:pStyle w:val="Normal.0"/>
        <w:spacing w:after="160" w:line="259" w:lineRule="auto"/>
        <w:rPr>
          <w:rFonts w:ascii="Aptos" w:cs="Aptos" w:hAnsi="Aptos" w:eastAsia="Aptos"/>
          <w:sz w:val="22"/>
          <w:szCs w:val="22"/>
        </w:rPr>
      </w:pPr>
      <w:r>
        <w:rPr>
          <w:rFonts w:ascii="Aptos" w:cs="Aptos" w:hAnsi="Aptos" w:eastAsia="Aptos"/>
          <w:sz w:val="22"/>
          <w:szCs w:val="22"/>
          <w:rtl w:val="0"/>
          <w:lang w:val="nl-NL"/>
        </w:rPr>
        <w:t xml:space="preserve">Juist omdat de tarieven voor de modules van de zorgverzekeraars en de tarieven die door de ketenzorg- en regio-organisaties worden afgesproken met de zorgverzekeraars niet transparant zijn </w:t>
      </w:r>
      <w:r>
        <w:rPr>
          <w:rFonts w:ascii="Aptos" w:cs="Aptos" w:hAnsi="Aptos" w:eastAsia="Aptos"/>
          <w:sz w:val="22"/>
          <w:szCs w:val="22"/>
          <w:rtl w:val="0"/>
          <w:lang w:val="nl-NL"/>
        </w:rPr>
        <w:t xml:space="preserve">– </w:t>
      </w:r>
      <w:r>
        <w:rPr>
          <w:rFonts w:ascii="Aptos" w:cs="Aptos" w:hAnsi="Aptos" w:eastAsia="Aptos"/>
          <w:sz w:val="22"/>
          <w:szCs w:val="22"/>
          <w:rtl w:val="0"/>
          <w:lang w:val="nl-NL"/>
        </w:rPr>
        <w:t xml:space="preserve">en dus niet duidelijk is wat er door de vergoeding precies gedekt wordt- werpt de NZa ons tegen dat hun tarieven steeds zo moeten zijn ingericht dat </w:t>
      </w:r>
      <w:r>
        <w:rPr>
          <w:rFonts w:ascii="Aptos" w:cs="Aptos" w:hAnsi="Aptos" w:eastAsia="Aptos"/>
          <w:sz w:val="22"/>
          <w:szCs w:val="22"/>
          <w:rtl w:val="0"/>
          <w:lang w:val="nl-NL"/>
        </w:rPr>
        <w:t>‘</w:t>
      </w:r>
      <w:r>
        <w:rPr>
          <w:rFonts w:ascii="Aptos" w:cs="Aptos" w:hAnsi="Aptos" w:eastAsia="Aptos"/>
          <w:sz w:val="22"/>
          <w:szCs w:val="22"/>
          <w:rtl w:val="0"/>
          <w:lang w:val="nl-NL"/>
        </w:rPr>
        <w:t>er niet te veel betaald wordt</w:t>
      </w:r>
      <w:r>
        <w:rPr>
          <w:rFonts w:ascii="Aptos" w:cs="Aptos" w:hAnsi="Aptos" w:eastAsia="Aptos"/>
          <w:sz w:val="22"/>
          <w:szCs w:val="22"/>
          <w:rtl w:val="0"/>
          <w:lang w:val="nl-NL"/>
        </w:rPr>
        <w:t>’</w:t>
      </w:r>
      <w:r>
        <w:rPr>
          <w:rFonts w:ascii="Aptos" w:cs="Aptos" w:hAnsi="Aptos" w:eastAsia="Aptos"/>
          <w:sz w:val="22"/>
          <w:szCs w:val="22"/>
          <w:rtl w:val="0"/>
          <w:lang w:val="nl-NL"/>
        </w:rPr>
        <w:t xml:space="preserve">. Dat is een belangrijk argument van de NZa om de kosten te verdelen over alle inkomsten, en dus het basistarief te </w:t>
      </w:r>
      <w:r>
        <w:rPr>
          <w:rFonts w:ascii="Aptos" w:cs="Aptos" w:hAnsi="Aptos" w:eastAsia="Aptos"/>
          <w:sz w:val="22"/>
          <w:szCs w:val="22"/>
          <w:rtl w:val="0"/>
          <w:lang w:val="nl-NL"/>
        </w:rPr>
        <w:t>‘</w:t>
      </w:r>
      <w:r>
        <w:rPr>
          <w:rFonts w:ascii="Aptos" w:cs="Aptos" w:hAnsi="Aptos" w:eastAsia="Aptos"/>
          <w:sz w:val="22"/>
          <w:szCs w:val="22"/>
          <w:rtl w:val="0"/>
          <w:lang w:val="nl-NL"/>
        </w:rPr>
        <w:t>korten</w:t>
      </w:r>
      <w:r>
        <w:rPr>
          <w:rFonts w:ascii="Aptos" w:cs="Aptos" w:hAnsi="Aptos" w:eastAsia="Aptos"/>
          <w:sz w:val="22"/>
          <w:szCs w:val="22"/>
          <w:rtl w:val="0"/>
          <w:lang w:val="nl-NL"/>
        </w:rPr>
        <w:t>’</w:t>
      </w:r>
      <w:r>
        <w:rPr>
          <w:rFonts w:ascii="Aptos" w:cs="Aptos" w:hAnsi="Aptos" w:eastAsia="Aptos"/>
          <w:sz w:val="22"/>
          <w:szCs w:val="22"/>
          <w:rtl w:val="0"/>
          <w:lang w:val="nl-NL"/>
        </w:rPr>
        <w:t>. Vandaar dat de brief oproept om die transparantie w</w:t>
      </w:r>
      <w:r>
        <w:rPr>
          <w:rFonts w:ascii="Aptos" w:cs="Aptos" w:hAnsi="Aptos" w:eastAsia="Aptos"/>
          <w:sz w:val="22"/>
          <w:szCs w:val="22"/>
          <w:rtl w:val="0"/>
          <w:lang w:val="nl-NL"/>
        </w:rPr>
        <w:t>é</w:t>
      </w:r>
      <w:r>
        <w:rPr>
          <w:rFonts w:ascii="Aptos" w:cs="Aptos" w:hAnsi="Aptos" w:eastAsia="Aptos"/>
          <w:sz w:val="22"/>
          <w:szCs w:val="22"/>
          <w:rtl w:val="0"/>
          <w:lang w:val="nl-NL"/>
        </w:rPr>
        <w:t>l te geven.</w:t>
      </w:r>
    </w:p>
    <w:p>
      <w:pPr>
        <w:pStyle w:val="Normal.0"/>
        <w:spacing w:after="160" w:line="259" w:lineRule="auto"/>
        <w:rPr>
          <w:rFonts w:ascii="Aptos" w:cs="Aptos" w:hAnsi="Aptos" w:eastAsia="Aptos"/>
          <w:sz w:val="22"/>
          <w:szCs w:val="22"/>
        </w:rPr>
      </w:pPr>
      <w:r>
        <w:rPr>
          <w:rFonts w:ascii="Aptos" w:cs="Aptos" w:hAnsi="Aptos" w:eastAsia="Aptos"/>
          <w:sz w:val="22"/>
          <w:szCs w:val="22"/>
          <w:rtl w:val="0"/>
          <w:lang w:val="nl-NL"/>
        </w:rPr>
        <w:t xml:space="preserve">Ineen en ZN hebben beide aangegeven dat zij grote uitvoeringsproblemen zien bij deze stelling van de NZa, die echter wel het gevolg is van jarenlang afspraken maken zonder zich af te vragen wat de consequenties daarvan zijn voor de basistarieven. InEen noch de zietktekostenverzekeraars hebben echter willen zeggen dat alle huisvestingskosten </w:t>
      </w:r>
      <w:r>
        <w:rPr>
          <w:rFonts w:ascii="Aptos" w:cs="Aptos" w:hAnsi="Aptos" w:eastAsia="Aptos"/>
          <w:sz w:val="22"/>
          <w:szCs w:val="22"/>
          <w:u w:val="single"/>
          <w:rtl w:val="0"/>
          <w:lang w:val="nl-NL"/>
        </w:rPr>
        <w:t>principieel in S1</w:t>
      </w:r>
      <w:r>
        <w:rPr>
          <w:rFonts w:ascii="Aptos" w:cs="Aptos" w:hAnsi="Aptos" w:eastAsia="Aptos"/>
          <w:sz w:val="22"/>
          <w:szCs w:val="22"/>
          <w:rtl w:val="0"/>
          <w:lang w:val="nl-NL"/>
        </w:rPr>
        <w:t xml:space="preserve"> thuishoren en dat dit expliciet verwerkt moet worden in de regels en tarieven; als zij dit soort brieven niet willen ontvangen, dan moeten zij andere keuzes maken in de discussie met NZa.</w:t>
      </w:r>
    </w:p>
    <w:p>
      <w:pPr>
        <w:pStyle w:val="Normal.0"/>
        <w:spacing w:after="160" w:line="259" w:lineRule="auto"/>
        <w:rPr>
          <w:rFonts w:ascii="Aptos" w:cs="Aptos" w:hAnsi="Aptos" w:eastAsia="Aptos"/>
          <w:sz w:val="22"/>
          <w:szCs w:val="22"/>
        </w:rPr>
      </w:pPr>
      <w:r>
        <w:rPr>
          <w:rFonts w:ascii="Aptos" w:cs="Aptos" w:hAnsi="Aptos" w:eastAsia="Aptos"/>
          <w:sz w:val="22"/>
          <w:szCs w:val="22"/>
          <w:rtl w:val="0"/>
          <w:lang w:val="nl-NL"/>
        </w:rPr>
        <w:t>Kortom, we begrijpen dat een brief als deze geen gebruikelijke is voor een huisarts maar de RHO</w:t>
      </w:r>
      <w:r>
        <w:rPr>
          <w:rFonts w:ascii="Aptos" w:cs="Aptos" w:hAnsi="Aptos" w:eastAsia="Aptos"/>
          <w:sz w:val="22"/>
          <w:szCs w:val="22"/>
          <w:rtl w:val="0"/>
          <w:lang w:val="nl-NL"/>
        </w:rPr>
        <w:t>’</w:t>
      </w:r>
      <w:r>
        <w:rPr>
          <w:rFonts w:ascii="Aptos" w:cs="Aptos" w:hAnsi="Aptos" w:eastAsia="Aptos"/>
          <w:sz w:val="22"/>
          <w:szCs w:val="22"/>
          <w:rtl w:val="0"/>
          <w:lang w:val="nl-NL"/>
        </w:rPr>
        <w:t xml:space="preserve">s en ziektekostenverzekeraars weten van de hoed en de rand, ook dat deze brief heft gevolg is van keuzes die zijn gemaakt waartegen de huisarsten uitgebreid en herhaald tegen hebben gewaarschuwd. </w:t>
      </w:r>
    </w:p>
    <w:p>
      <w:pPr>
        <w:pStyle w:val="Normal.0"/>
        <w:spacing w:after="160" w:line="259" w:lineRule="auto"/>
        <w:rPr>
          <w:rFonts w:ascii="Aptos" w:cs="Aptos" w:hAnsi="Aptos" w:eastAsia="Aptos"/>
          <w:sz w:val="22"/>
          <w:szCs w:val="22"/>
        </w:rPr>
      </w:pPr>
    </w:p>
    <w:p>
      <w:pPr>
        <w:pStyle w:val="Normal.0"/>
        <w:spacing w:after="160" w:line="259" w:lineRule="auto"/>
        <w:rPr>
          <w:rFonts w:ascii="Aptos" w:cs="Aptos" w:hAnsi="Aptos" w:eastAsia="Aptos"/>
          <w:sz w:val="22"/>
          <w:szCs w:val="22"/>
        </w:rPr>
      </w:pPr>
      <w:r>
        <w:rPr>
          <w:rFonts w:ascii="Aptos" w:cs="Aptos" w:hAnsi="Aptos" w:eastAsia="Aptos"/>
          <w:sz w:val="22"/>
          <w:szCs w:val="22"/>
          <w:rtl w:val="0"/>
          <w:lang w:val="nl-NL"/>
        </w:rPr>
        <w:t>Met hartelijke groet,</w:t>
      </w:r>
    </w:p>
    <w:p>
      <w:pPr>
        <w:pStyle w:val="Normal.0"/>
        <w:spacing w:after="160" w:line="259" w:lineRule="auto"/>
      </w:pPr>
      <w:r>
        <w:rPr>
          <w:rFonts w:ascii="Aptos" w:cs="Aptos" w:hAnsi="Aptos" w:eastAsia="Aptos"/>
          <w:sz w:val="22"/>
          <w:szCs w:val="22"/>
          <w:rtl w:val="0"/>
          <w:lang w:val="nl-NL"/>
        </w:rPr>
        <w:t>DBH</w:t>
      </w:r>
      <w:r>
        <w:rPr>
          <w:rFonts w:ascii="Aptos" w:cs="Aptos" w:hAnsi="Aptos" w:eastAsia="Aptos"/>
          <w:sz w:val="22"/>
          <w:szCs w:val="22"/>
        </w:rPr>
        <w:br w:type="page"/>
      </w:r>
    </w:p>
    <w:p>
      <w:pPr>
        <w:pStyle w:val="p2"/>
      </w:pPr>
      <w:r>
        <w:rPr>
          <w:rtl w:val="0"/>
          <w:lang w:val="nl-NL"/>
        </w:rPr>
        <w:t>Aan: [Zorgverzekeraar en Regionale Huisartsenorganisatie]</w:t>
      </w:r>
    </w:p>
    <w:p>
      <w:pPr>
        <w:pStyle w:val="p2"/>
      </w:pPr>
    </w:p>
    <w:p>
      <w:pPr>
        <w:pStyle w:val="p2"/>
      </w:pPr>
    </w:p>
    <w:p>
      <w:pPr>
        <w:pStyle w:val="p2"/>
      </w:pPr>
    </w:p>
    <w:p>
      <w:pPr>
        <w:pStyle w:val="p2"/>
      </w:pPr>
      <w:r>
        <w:rPr>
          <w:rtl w:val="0"/>
          <w:lang w:val="nl-NL"/>
        </w:rPr>
        <w:t>Verzonden per email en gewone post</w:t>
      </w:r>
    </w:p>
    <w:p>
      <w:pPr>
        <w:pStyle w:val="p2"/>
      </w:pPr>
    </w:p>
    <w:p>
      <w:pPr>
        <w:pStyle w:val="p2"/>
      </w:pPr>
      <w:r>
        <w:rPr>
          <w:rtl w:val="0"/>
          <w:lang w:val="nl-NL"/>
        </w:rPr>
        <w:t>Plaats:</w:t>
      </w:r>
    </w:p>
    <w:p>
      <w:pPr>
        <w:pStyle w:val="p2"/>
      </w:pPr>
      <w:r>
        <w:rPr>
          <w:rtl w:val="0"/>
          <w:lang w:val="nl-NL"/>
        </w:rPr>
        <w:t>Datum:</w:t>
      </w:r>
    </w:p>
    <w:p>
      <w:pPr>
        <w:pStyle w:val="p2"/>
      </w:pPr>
    </w:p>
    <w:p>
      <w:pPr>
        <w:pStyle w:val="p2"/>
      </w:pPr>
      <w:r>
        <w:rPr>
          <w:rtl w:val="0"/>
          <w:lang w:val="nl-NL"/>
        </w:rPr>
        <w:t>Geachte mevrouw, geachte heer,</w:t>
      </w:r>
    </w:p>
    <w:p>
      <w:pPr>
        <w:pStyle w:val="p2"/>
      </w:pPr>
    </w:p>
    <w:p>
      <w:pPr>
        <w:pStyle w:val="p2"/>
        <w:rPr>
          <w:u w:val="single"/>
        </w:rPr>
      </w:pPr>
      <w:r>
        <w:rPr>
          <w:u w:val="single"/>
          <w:rtl w:val="0"/>
          <w:lang w:val="nl-NL"/>
        </w:rPr>
        <w:t>Betreft: verzoek tot betaling op grond van de herziene NZa-tarieven d.d. 30 juni 2026</w:t>
      </w:r>
    </w:p>
    <w:p>
      <w:pPr>
        <w:pStyle w:val="p2"/>
      </w:pPr>
    </w:p>
    <w:p>
      <w:pPr>
        <w:pStyle w:val="p2"/>
      </w:pPr>
    </w:p>
    <w:p>
      <w:pPr>
        <w:pStyle w:val="p2"/>
      </w:pPr>
      <w:r>
        <w:rPr>
          <w:rtl w:val="0"/>
          <w:lang w:val="nl-NL"/>
        </w:rPr>
        <w:t>Stichting De Bevlogen Huisartsen heeft mij geattendeerd op de tarieven die de NZa op 30 juni 2026 heeft aangepast. Daarmee corrigeert de NZa, met terugwerkende kracht, de dekking van de huisvestingskosten van de praktijkhouder over de kalenderjaren 2025 en 2026. Deze correctie is in de tarieven echter maar ten dele verwerkt. Voor het restant moet ik mij</w:t>
      </w:r>
      <w:r>
        <w:rPr>
          <w:rtl w:val="0"/>
          <w:lang w:val="nl-NL"/>
        </w:rPr>
        <w:t xml:space="preserve">– </w:t>
      </w:r>
      <w:r>
        <w:rPr>
          <w:rtl w:val="0"/>
          <w:lang w:val="nl-NL"/>
        </w:rPr>
        <w:t xml:space="preserve">mede namens mijn/onze praktijk </w:t>
      </w:r>
      <w:r>
        <w:rPr>
          <w:rtl w:val="0"/>
          <w:lang w:val="nl-NL"/>
        </w:rPr>
        <w:t xml:space="preserve">– </w:t>
      </w:r>
      <w:r>
        <w:rPr>
          <w:rtl w:val="0"/>
          <w:lang w:val="nl-NL"/>
        </w:rPr>
        <w:t>volgens de NZa (zie randnummer 485 van haar herziene beslissing van 30 juni 2026) tot u richten. Uw organisaties zijn met de materie bekend, omdat InEen en ZN door de NZa bij deze tariefherziening zijn betrokken. Mijn standpunt is dat huisvestingskosten volledig in S1 thuishoren, maar voor nu leg ik mij neer bij de huidige situatie.</w:t>
      </w:r>
    </w:p>
    <w:p>
      <w:pPr>
        <w:pStyle w:val="p2"/>
      </w:pPr>
    </w:p>
    <w:p>
      <w:pPr>
        <w:pStyle w:val="p2"/>
      </w:pPr>
      <w:r>
        <w:rPr>
          <w:rtl w:val="0"/>
          <w:lang w:val="nl-NL"/>
        </w:rPr>
        <w:t xml:space="preserve">Ik verzoek u het restant binnen 30 dagen na dagtekening van deze brief over te maken op het bij u bekende rekeningnummer van mijn praktijk. Voor de periode tot en met mei 2026 is de betalingstermijn al verstreken; in zoverre gaat het om een opeisbare verplichting, waaraan u geen administratieve of andere formele voorwaarden mag verbinden voor volledige betaling. Dat sluit ook aan bij de afspraak die u in het IZA van september 2022 heeft gemaakt om dit soort zaken voortaan </w:t>
      </w:r>
      <w:r>
        <w:rPr>
          <w:rtl w:val="0"/>
          <w:lang w:val="nl-NL"/>
        </w:rPr>
        <w:t>“</w:t>
      </w:r>
      <w:r>
        <w:rPr>
          <w:rtl w:val="0"/>
          <w:lang w:val="nl-NL"/>
        </w:rPr>
        <w:t>radicaal en simpel</w:t>
      </w:r>
      <w:r>
        <w:rPr>
          <w:rtl w:val="0"/>
          <w:lang w:val="nl-NL"/>
        </w:rPr>
        <w:t xml:space="preserve">” </w:t>
      </w:r>
      <w:r>
        <w:rPr>
          <w:rtl w:val="0"/>
          <w:lang w:val="nl-NL"/>
        </w:rPr>
        <w:t>af te handelen; ik verzoek u dan ook niet naar een andere organisatie te verwijzen of mijn redelijke vragen onbeantwoord te laten, want dat levert mij alleen extra werk op. Graag hoor ik ook hoe u het restant over de periode juni tot en met december 2026 gaat voldoen, ik sta natuurlijk open voor een praktische aanpak.</w:t>
      </w:r>
    </w:p>
    <w:p>
      <w:pPr>
        <w:pStyle w:val="p2"/>
      </w:pPr>
    </w:p>
    <w:p>
      <w:pPr>
        <w:pStyle w:val="p2"/>
      </w:pPr>
      <w:r>
        <w:rPr>
          <w:rtl w:val="0"/>
          <w:lang w:val="nl-NL"/>
        </w:rPr>
        <w:t>Voor zover ik weet, heeft u mij nooit laten weten welk deel van het tarief in S2 en S3 bedoeld is ter dekking van de huisvestingskosten van mijn praktijk. Ik verzoek u mij dat, binnen dezelfde termijn van 30 dagen, toe te lichten met een onderbouwing die voor de gemiddelde huisarts te volgen is. Graag verneem ik ook hoe u tot die berekening bent gekomen en waarom u mij daar niet eerder over heeft ge</w:t>
      </w:r>
      <w:r>
        <w:rPr>
          <w:rtl w:val="0"/>
          <w:lang w:val="nl-NL"/>
        </w:rPr>
        <w:t>ï</w:t>
      </w:r>
      <w:r>
        <w:rPr>
          <w:rtl w:val="0"/>
          <w:lang w:val="nl-NL"/>
        </w:rPr>
        <w:t xml:space="preserve">nformeerd. Tarieven die uit publieke middelen worden betaald, zouden naar mijn mening transparant moeten zijn; ik hecht er dan ook aan dat ik op dit punt een duidelijk antwoord krijg. </w:t>
      </w:r>
    </w:p>
    <w:p>
      <w:pPr>
        <w:pStyle w:val="p2"/>
      </w:pPr>
    </w:p>
    <w:p>
      <w:pPr>
        <w:pStyle w:val="p2"/>
      </w:pPr>
      <w:r>
        <w:rPr>
          <w:rtl w:val="0"/>
          <w:lang w:val="nl-NL"/>
        </w:rPr>
        <w:t>Voor de volledigheid: Stichting De Bevlogen Huisartsen heeft in 2023 alle Nederlandse zorgverzekeraars per aangetekende brief gewezen op de mogelijkheid dat haar bezwaar en beroep tegen de betreffende NZa-tariefbeschikkingen zou leiden tot (na)betalingen aan praktijkhouders, en op de noodzaak om hun systemen daar op in te richten. Stichting De Bevlogen Huisartsen tekent ook beroep aan tegen de beslissingen van de NZa van 30 juni 2026. Het is re</w:t>
      </w:r>
      <w:r>
        <w:rPr>
          <w:rtl w:val="0"/>
          <w:lang w:val="nl-NL"/>
        </w:rPr>
        <w:t>ë</w:t>
      </w:r>
      <w:r>
        <w:rPr>
          <w:rtl w:val="0"/>
          <w:lang w:val="nl-NL"/>
        </w:rPr>
        <w:t>el mogelijk dat dit beroep ertoe leidt dat er voor u nog andere (betalings)verplichtingen blijken te bestaan.</w:t>
      </w:r>
    </w:p>
    <w:p>
      <w:pPr>
        <w:pStyle w:val="p2"/>
      </w:pPr>
    </w:p>
    <w:p>
      <w:pPr>
        <w:pStyle w:val="p2"/>
      </w:pPr>
      <w:r>
        <w:rPr>
          <w:rtl w:val="0"/>
          <w:lang w:val="nl-NL"/>
        </w:rPr>
        <w:t>Omdat het voor de gemiddelde praktijkhouder vooralsnog niet doenlijk is om te bepalen hoe de vork in de steel zit als het gaat om de opbouw/samenstelling van de tarieven in S2 en S3 is het niet gegeven dat met het verstrekken van uw opgaaf en betaling van het restant, de financi</w:t>
      </w:r>
      <w:r>
        <w:rPr>
          <w:rtl w:val="0"/>
          <w:lang w:val="nl-NL"/>
        </w:rPr>
        <w:t>ë</w:t>
      </w:r>
      <w:r>
        <w:rPr>
          <w:rtl w:val="0"/>
          <w:lang w:val="nl-NL"/>
        </w:rPr>
        <w:t>le en juridische kous af is. Voordat de afhandeling van een en ander definitief is moet ik niet alleen in de gelegenheid zijn geweest om de samenstelling van de tarieven te begrijpen maar zal ik ook de gevolgen van de uitspraak naar aanleiding van het beroep van stichting De Bevlogen Huisartsen, willen kunnen overzien. Ik zal daar dan zonodig nog op terugkomen.</w:t>
      </w:r>
    </w:p>
    <w:p>
      <w:pPr>
        <w:pStyle w:val="p2"/>
      </w:pPr>
    </w:p>
    <w:p>
      <w:pPr>
        <w:pStyle w:val="p2"/>
      </w:pPr>
      <w:r>
        <w:rPr>
          <w:rtl w:val="0"/>
          <w:lang w:val="nl-NL"/>
        </w:rPr>
        <w:t>Voor de door u aan deze brief bestede aandacht dank ik u bij voorbaat.</w:t>
      </w:r>
    </w:p>
    <w:p>
      <w:pPr>
        <w:pStyle w:val="p2"/>
      </w:pPr>
    </w:p>
    <w:p>
      <w:pPr>
        <w:pStyle w:val="p2"/>
      </w:pPr>
      <w:r>
        <w:rPr>
          <w:rtl w:val="0"/>
          <w:lang w:val="nl-NL"/>
        </w:rPr>
        <w:t>Namens [naam praktijk] en alle daaraan verbonden praktijkhouders,</w:t>
      </w:r>
    </w:p>
    <w:p>
      <w:pPr>
        <w:pStyle w:val="p2"/>
      </w:pPr>
    </w:p>
    <w:p>
      <w:pPr>
        <w:pStyle w:val="p2"/>
      </w:pPr>
    </w:p>
    <w:p>
      <w:pPr>
        <w:pStyle w:val="p2"/>
      </w:pPr>
      <w:r>
        <w:rPr>
          <w:rtl w:val="0"/>
          <w:lang w:val="nl-NL"/>
        </w:rPr>
        <w:t>Hoogachtend,</w:t>
      </w:r>
    </w:p>
    <w:p>
      <w:pPr>
        <w:pStyle w:val="p2"/>
      </w:pPr>
      <w:r>
        <w:rPr>
          <w:rtl w:val="0"/>
          <w:lang w:val="nl-NL"/>
        </w:rPr>
        <w:t>[ Naam + Handtekening]</w:t>
      </w:r>
      <w:r/>
    </w:p>
    <w:sectPr>
      <w:headerReference w:type="default" r:id="rId4"/>
      <w:footerReference w:type="default" r:id="rId5"/>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Apto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nl-NL"/>
      <w14:textOutline>
        <w14:noFill/>
      </w14:textOutline>
      <w14:textFill>
        <w14:solidFill>
          <w14:srgbClr w14:val="000000"/>
        </w14:solidFill>
      </w14:textFill>
    </w:rPr>
  </w:style>
  <w:style w:type="paragraph" w:styleId="p2">
    <w:name w:val="p2"/>
    <w:next w:val="p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17"/>
      <w:szCs w:val="17"/>
      <w:u w:val="none" w:color="000000"/>
      <w:shd w:val="nil" w:color="auto" w:fill="auto"/>
      <w:vertAlign w:val="baseline"/>
      <w:lang w:val="nl-NL"/>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