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eta"/>
      </w:pPr>
      <w:r>
        <w:t>M1 INSIGHT ARTICLE   |   EDITORIAL DRAFT   |   20 OCTOBER 2026</w:t>
      </w:r>
    </w:p>
    <w:p>
      <w:pPr>
        <w:pStyle w:val="Title"/>
      </w:pPr>
      <w:r>
        <w:t>What Work Should HR Stop Doing</w:t>
      </w:r>
    </w:p>
    <w:p>
      <w:pPr>
        <w:pStyle w:val="SubtitleCustom"/>
      </w:pPr>
      <w:r>
        <w:t>A practical decision framework for retiring low-value activity, automating repeatable work, and concentrating HR capacity where human judgment matters most</w:t>
      </w:r>
    </w:p>
    <w:p>
      <w:pPr>
        <w:pStyle w:val="Heading1"/>
      </w:pPr>
      <w:r>
        <w:t>Selected topic</w:t>
      </w:r>
    </w:p>
    <w:p>
      <w:pPr>
        <w:keepLines w:val="0"/>
      </w:pPr>
      <w:r>
        <w:t>The strongest supported angle is a shift from tool introduction to work redesign. Recent M1 discussions contain concrete examples of leaders discontinuing time-heavy routines, moving repeatable administration into technology, and protecting the work that depends on context, trust, and accountable judgment.</w:t>
      </w:r>
    </w:p>
    <w:p>
      <w:pPr>
        <w:pStyle w:val="Heading1"/>
      </w:pPr>
      <w:r>
        <w:t>Why this angle now</w:t>
      </w:r>
    </w:p>
    <w:p>
      <w:pPr>
        <w:keepLines w:val="0"/>
      </w:pPr>
      <w:r>
        <w:t>Across seven meetings reviewed from August 19 through October 7, members repeatedly returned to the same constraint: adding an AI tool does not remove a process, change a workflow, or create usable capacity by itself. The contribution of this article is the stop-doing decision. It turns the broader operating-model conversation into a practical portfolio review for HR executives.</w:t>
      </w:r>
    </w:p>
    <w:p>
      <w:pPr>
        <w:keepLines w:val="0"/>
      </w:pPr>
      <w:r>
        <w:t>The evidence supports a framework rather than a claim that one future HR model has emerged. Members described different levels of maturity, uneven adoption, and important limits. The draft therefore recommends a disciplined review of work while leaving workforce outcomes, technology choices, and the pace of change contingent on each organization.</w:t>
      </w:r>
    </w:p>
    <w:p>
      <w:r>
        <w:br w:type="page"/>
      </w:r>
    </w:p>
    <w:p>
      <w:pPr>
        <w:pStyle w:val="Meta"/>
      </w:pPr>
      <w:r>
        <w:t>PUBLICATION DRAFT</w:t>
      </w:r>
    </w:p>
    <w:p>
      <w:pPr>
        <w:pStyle w:val="Title"/>
      </w:pPr>
      <w:r>
        <w:t>What Work Should HR Stop Doing</w:t>
      </w:r>
    </w:p>
    <w:p>
      <w:pPr>
        <w:pStyle w:val="Deck"/>
      </w:pPr>
      <w:r>
        <w:t>The next stage of AI in HR begins with a harder question than which tool to buy</w:t>
      </w:r>
    </w:p>
    <w:p>
      <w:pPr>
        <w:pStyle w:val="Standfirst"/>
      </w:pPr>
      <w:r>
        <w:t>HR will not create meaningful capacity if it keeps every existing process and layers technology on top. Recent M1 member conversations point to a more useful discipline: retire work that no longer changes a decision, automate work with stable rules and repeatable inputs, and reserve people for the moments where context and accountability carry the value.</w:t>
      </w:r>
    </w:p>
    <w:p>
      <w:pPr>
        <w:keepLines w:val="0"/>
      </w:pPr>
      <w:r>
        <w:t>HR has accumulated processes for understandable reasons. Each planning cycle, form, review, approval, and meeting once answered a need. Over time, some became rituals. Others splintered across systems and teams. AI exposes those handoffs, but it can also make the problem worse. A faster version of low-value work is still low-value work.</w:t>
      </w:r>
    </w:p>
    <w:p>
      <w:pPr>
        <w:keepLines w:val="0"/>
      </w:pPr>
      <w:r>
        <w:t>A focused stop doing review gives the leadership team a practical place to begin. It puts decisions ahead of tools and forces clarity about which work to retire, which work to automate, and where human contribution should become more valuable.</w:t>
      </w:r>
    </w:p>
    <w:p>
      <w:pPr>
        <w:pStyle w:val="Heading1"/>
      </w:pPr>
      <w:r>
        <w:t>A 30 day stop doing review</w:t>
      </w:r>
    </w:p>
    <w:p>
      <w:pPr>
        <w:keepLines w:val="0"/>
      </w:pPr>
      <w:r>
        <w:t>A CHRO does not need a complete target operating model to begin. One focused review can establish the discipline.</w:t>
      </w:r>
    </w:p>
    <w:p>
      <w:pPr>
        <w:pStyle w:val="ListNumber"/>
        <w:keepLines/>
      </w:pPr>
      <w:r>
        <w:rPr>
          <w:b/>
        </w:rPr>
        <w:t xml:space="preserve">Choose the work  </w:t>
      </w:r>
      <w:r>
        <w:t>Identify the recurring HR activities with the greatest time, cost, delay, or user friction. Use process data where available and practitioner evidence where it is not.</w:t>
      </w:r>
    </w:p>
    <w:p>
      <w:pPr>
        <w:pStyle w:val="ListNumber"/>
        <w:keepLines/>
      </w:pPr>
      <w:r>
        <w:rPr>
          <w:b/>
        </w:rPr>
        <w:t xml:space="preserve">Classify it  </w:t>
      </w:r>
      <w:r>
        <w:t>Place each activity in one of three groups: retire, automate, or elevate. Split mixed activities into tasks rather than forcing a whole role into one category.</w:t>
      </w:r>
    </w:p>
    <w:p>
      <w:pPr>
        <w:pStyle w:val="ListNumber"/>
        <w:keepLines/>
      </w:pPr>
      <w:r>
        <w:rPr>
          <w:b/>
        </w:rPr>
        <w:t xml:space="preserve">Name the decision owner  </w:t>
      </w:r>
      <w:r>
        <w:t>Assign one leader who can remove steps across HR boundaries and work with finance, technology, legal, and the business.</w:t>
      </w:r>
    </w:p>
    <w:p>
      <w:pPr>
        <w:pStyle w:val="ListNumber"/>
        <w:keepLines/>
      </w:pPr>
      <w:r>
        <w:rPr>
          <w:b/>
        </w:rPr>
        <w:t xml:space="preserve">Set a capacity destination  </w:t>
      </w:r>
      <w:r>
        <w:t>Decide where released time will go before implementation. Examples might include manager advice, workforce redesign, employee relations, or higher-quality talent decisions.</w:t>
      </w:r>
    </w:p>
    <w:p>
      <w:pPr>
        <w:pStyle w:val="ListNumber"/>
        <w:keepLines/>
      </w:pPr>
      <w:r>
        <w:rPr>
          <w:b/>
        </w:rPr>
        <w:t xml:space="preserve">Measure the new work  </w:t>
      </w:r>
      <w:r>
        <w:t>Track cycle time and cost, then add quality, exception rates, employee effort, and evidence that capacity moved to the intended work.</w:t>
      </w:r>
    </w:p>
    <w:p>
      <w:pPr>
        <w:pStyle w:val="Heading1"/>
      </w:pPr>
      <w:r>
        <w:t>Start with the work</w:t>
      </w:r>
    </w:p>
    <w:p>
      <w:pPr>
        <w:keepLines w:val="0"/>
      </w:pPr>
      <w:r>
        <w:t>Starting with the work is familiar territory for HR. It remains the necessary foundation for this review. Before leaders decide what to retire, automate, or elevate, they need a clear view of the tasks, decisions, handoffs, and capabilities that make up the work.</w:t>
      </w:r>
    </w:p>
    <w:p>
      <w:pPr>
        <w:keepLines w:val="0"/>
      </w:pPr>
      <w:r>
        <w:t>At the Boston meeting, members described separating roles into tasks and capabilities, then testing where technology could assist, automate, or leave the work substantially human. That level of analysis matters because AI often changes portions of work across many jobs while creating new coordination and judgment demands.</w:t>
      </w:r>
    </w:p>
    <w:p>
      <w:pPr>
        <w:keepLines w:val="0"/>
      </w:pPr>
      <w:r>
        <w:t>The task-level view also improves the conversation with business leaders. It replaces abstract debate about skills or headcount with concrete questions: What work is being done? Which decisions does it support? What happens when the task is delayed, duplicated, or removed? Where do errors become material?</w:t>
      </w:r>
    </w:p>
    <w:p>
      <w:pPr>
        <w:pStyle w:val="Heading1"/>
      </w:pPr>
      <w:r>
        <w:t>Retire work that no longer changes a decision</w:t>
      </w:r>
    </w:p>
    <w:p>
      <w:pPr>
        <w:keepLines w:val="0"/>
      </w:pPr>
      <w:r>
        <w:t>At the Boston meeting, one member described an organization discontinuing a global strategic workforce planning exercise after concluding that it absorbed thousands of hours without sufficient value. The organization later returned to a more local, adaptive approach built with finance and tied to actual workforce redesign. At the Dallas meeting, another member described reducing the reach of traditional succession planning after a process had grown to roughly 175 meetings a year. The organization kept attention on critical roles and senior succession while removing the universal requirement below that level.</w:t>
      </w:r>
    </w:p>
    <w:p>
      <w:pPr>
        <w:keepLines w:val="0"/>
      </w:pPr>
      <w:r>
        <w:t>These are not universal prescriptions. They show the standard HR should apply. A recurring activity earns its place by improving a decision, reducing a material risk, or producing an outcome someone uses. Historical importance and broad participation are not enough.</w:t>
      </w:r>
    </w:p>
    <w:p>
      <w:pPr>
        <w:keepLines/>
      </w:pPr>
      <w:r>
        <w:t>For every major HR process, ask:</w:t>
      </w:r>
    </w:p>
    <w:p>
      <w:pPr>
        <w:pStyle w:val="ListBullet"/>
        <w:keepLines/>
      </w:pPr>
      <w:r>
        <w:t>Which decision becomes better because this work exists?</w:t>
      </w:r>
    </w:p>
    <w:p>
      <w:pPr>
        <w:pStyle w:val="ListBullet"/>
        <w:keepLines/>
      </w:pPr>
      <w:r>
        <w:t>Who uses the output, and what do they do differently?</w:t>
      </w:r>
    </w:p>
    <w:p>
      <w:pPr>
        <w:pStyle w:val="ListBullet"/>
        <w:keepLines/>
      </w:pPr>
      <w:r>
        <w:t>What would we lose if we paused the activity for one cycle?</w:t>
      </w:r>
    </w:p>
    <w:p>
      <w:pPr>
        <w:pStyle w:val="ListBullet"/>
        <w:keepLines/>
      </w:pPr>
      <w:r>
        <w:t>Could a narrower version protect the value at a fraction of the effort?</w:t>
      </w:r>
    </w:p>
    <w:p>
      <w:pPr>
        <w:pStyle w:val="Heading1"/>
      </w:pPr>
      <w:r>
        <w:t>Automate stable work and redesign the whole workflow</w:t>
      </w:r>
    </w:p>
    <w:p>
      <w:pPr>
        <w:keepLines w:val="0"/>
      </w:pPr>
      <w:r>
        <w:t>The most credible automation opportunities raised in the meetings were specific: scheduling, meeting preparation and summaries, document translation, information retrieval, routine case handling, benefits data management, renewal tracking, and other structured administration. These activities consume attention while following repeatable patterns.</w:t>
      </w:r>
    </w:p>
    <w:p>
      <w:pPr>
        <w:keepLines w:val="0"/>
      </w:pPr>
      <w:r>
        <w:t>At the Boston meeting, members noted that teams may generate meeting summaries without reading or acting on them. A member in the virtual CHRO meeting described strong individual experimentation but much less progress on team workflows. At the London Total Rewards meeting, a benefits example required sustained work to create validated, structured data before automation could improve visibility, simplify providers, or support decisions. Tool access alone did not produce the benefit.</w:t>
      </w:r>
    </w:p>
    <w:p>
      <w:pPr>
        <w:keepLines w:val="0"/>
      </w:pPr>
      <w:r>
        <w:t>The unit of change is the end-to-end workflow. HR needs to remove duplicate steps, clarify the source of truth, define the exceptions, and specify when a person must intervene. Adoption matters, but the real test is whether the work gets done faster, with less effort, and with better decisions.</w:t>
      </w:r>
    </w:p>
    <w:p>
      <w:pPr>
        <w:pStyle w:val="Heading1"/>
      </w:pPr>
      <w:r>
        <w:t>Elevate the work where people carry the value</w:t>
      </w:r>
    </w:p>
    <w:p>
      <w:pPr>
        <w:keepLines w:val="0"/>
      </w:pPr>
      <w:r>
        <w:t>As repeatable work moves to systems, the remaining human work becomes more demanding. At the Boston meeting, members emphasized systems thinking, commercial understanding, curiosity, and the ability to judge where technology belongs. They also protected the relational work that earns trust: helping a leader interpret an ambiguous situation, navigating an exception, hearing what an employee has not yet said clearly, and taking responsibility for a consequential decision.</w:t>
      </w:r>
    </w:p>
    <w:p>
      <w:pPr>
        <w:keepLines w:val="0"/>
      </w:pPr>
      <w:r>
        <w:t>Managers deserve particular attention. In the virtual CHRO meeting, one member challenged the impulse to keep cutting management layers when managers may be the closest remaining source of trust during rapid change. At the Munich meeting, a member described markedly different results from the same AI tools among experienced and less experienced engineers. The example cautions against assuming that access creates capability. Expertise, context, and supervision still shape the result.</w:t>
      </w:r>
    </w:p>
    <w:p>
      <w:pPr>
        <w:keepLines w:val="0"/>
      </w:pPr>
      <w:r>
        <w:t>HR should name this elevated work before it claims an efficiency gain. Otherwise, saved hours remain invisible, fill with new administration, or become a headcount target without a clear view of what capability the business still needs.</w:t>
      </w:r>
    </w:p>
    <w:p>
      <w:pPr>
        <w:pStyle w:val="Heading1"/>
      </w:pPr>
      <w:r>
        <w:t>The decision to stop is part of the design</w:t>
      </w:r>
    </w:p>
    <w:p>
      <w:pPr>
        <w:keepLines w:val="0"/>
      </w:pPr>
      <w:r>
        <w:t>Meaningful HR transformation should leave the function focused on fewer, higher-value activities. Technology can carry clear, repeatable work, while HR strengthens the judgment and capabilities required when context, trust, and accountability shape the outcome.</w:t>
      </w:r>
    </w:p>
    <w:p>
      <w:pPr>
        <w:keepLines w:val="0"/>
      </w:pPr>
      <w:r>
        <w:t>The decision to stop belongs in the design process itself. Before approving a new tool or adding another step, ask: If we were designing this work today, would we create it this way? If the answer is no, put that work at the top of the redesign list.</w:t>
      </w:r>
    </w:p>
    <w:p>
      <w:r>
        <w:br w:type="page"/>
      </w:r>
    </w:p>
    <w:p>
      <w:pPr>
        <w:pStyle w:val="Meta"/>
      </w:pPr>
      <w:r>
        <w:t>EDITORIAL REVIEW</w:t>
      </w:r>
    </w:p>
    <w:p>
      <w:pPr>
        <w:pStyle w:val="Title"/>
      </w:pPr>
      <w:r>
        <w:t>Evidence and publication notes</w:t>
      </w:r>
    </w:p>
    <w:p>
      <w:pPr>
        <w:pStyle w:val="Heading1"/>
      </w:pPr>
      <w:r>
        <w:t>Source set reviewed</w:t>
      </w:r>
    </w:p>
    <w:p>
      <w:pPr>
        <w:keepLines w:val="0"/>
      </w:pPr>
      <w:r>
        <w:t>Seven anonymized or member-meeting transcripts from the configured 2026 SharePoint recording collection were accessed and inspected. Three prior M1 articles were reviewed for coverage context only; they were not treated as additional meeting evidence.</w:t>
      </w:r>
    </w:p>
    <w:p>
      <w:pPr>
        <w:pStyle w:val="Small"/>
        <w:keepLines w:val="0"/>
      </w:pPr>
      <w:r>
        <w:t>Claim locators refer to the paragraph sequence in the text extracted by the connected SharePoint reader.</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57"/>
        <w:gridCol w:w="2333"/>
        <w:gridCol w:w="5832"/>
      </w:tblGrid>
      <w:tr>
        <w:trPr>
          <w:tblHeader w:val="true"/>
        </w:trPr>
        <w:tc>
          <w:tcPr>
            <w:tcW w:type="dxa" w:w="3273"/>
            <w:shd w:fill="D9EAEA"/>
            <w:tcMar>
              <w:top w:w="100" w:type="dxa"/>
              <w:start w:w="120" w:type="dxa"/>
              <w:bottom w:w="100" w:type="dxa"/>
              <w:end w:w="120" w:type="dxa"/>
            </w:tcMar>
          </w:tcPr>
          <w:p>
            <w:pPr>
              <w:jc w:val="left"/>
            </w:pPr>
            <w:r>
              <w:rPr>
                <w:rFonts w:ascii="Aptos" w:hAnsi="Aptos"/>
                <w:b/>
                <w:color w:val="000000"/>
                <w:sz w:val="17"/>
              </w:rPr>
              <w:t>Meeting date</w:t>
            </w:r>
          </w:p>
        </w:tc>
        <w:tc>
          <w:tcPr>
            <w:tcW w:type="dxa" w:w="3273"/>
            <w:shd w:fill="D9EAEA"/>
            <w:tcMar>
              <w:top w:w="100" w:type="dxa"/>
              <w:start w:w="120" w:type="dxa"/>
              <w:bottom w:w="100" w:type="dxa"/>
              <w:end w:w="120" w:type="dxa"/>
            </w:tcMar>
          </w:tcPr>
          <w:p>
            <w:pPr>
              <w:jc w:val="left"/>
            </w:pPr>
            <w:r>
              <w:rPr>
                <w:rFonts w:ascii="Aptos" w:hAnsi="Aptos"/>
                <w:b/>
                <w:color w:val="000000"/>
                <w:sz w:val="17"/>
              </w:rPr>
              <w:t>Source</w:t>
            </w:r>
          </w:p>
        </w:tc>
        <w:tc>
          <w:tcPr>
            <w:tcW w:type="dxa" w:w="3273"/>
            <w:shd w:fill="D9EAEA"/>
            <w:tcMar>
              <w:top w:w="100" w:type="dxa"/>
              <w:start w:w="120" w:type="dxa"/>
              <w:bottom w:w="100" w:type="dxa"/>
              <w:end w:w="120" w:type="dxa"/>
            </w:tcMar>
          </w:tcPr>
          <w:p>
            <w:pPr>
              <w:jc w:val="left"/>
            </w:pPr>
            <w:r>
              <w:rPr>
                <w:rFonts w:ascii="Aptos" w:hAnsi="Aptos"/>
                <w:b/>
                <w:color w:val="000000"/>
                <w:sz w:val="17"/>
              </w:rPr>
              <w:t>Relevant evidence</w:t>
            </w:r>
          </w:p>
        </w:tc>
      </w:tr>
      <w:tr>
        <w:tc>
          <w:tcPr>
            <w:tcW w:type="dxa" w:w="1757"/>
            <w:tcMar>
              <w:top w:w="100" w:type="dxa"/>
              <w:start w:w="120" w:type="dxa"/>
              <w:bottom w:w="100" w:type="dxa"/>
              <w:end w:w="120" w:type="dxa"/>
            </w:tcMar>
          </w:tcPr>
          <w:p>
            <w:r>
              <w:rPr>
                <w:rFonts w:ascii="Aptos" w:hAnsi="Aptos"/>
                <w:color w:val="000000"/>
                <w:sz w:val="16"/>
              </w:rPr>
              <w:t>October 7 2026</w:t>
            </w:r>
          </w:p>
        </w:tc>
        <w:tc>
          <w:tcPr>
            <w:tcW w:type="dxa" w:w="2333"/>
            <w:tcMar>
              <w:top w:w="100" w:type="dxa"/>
              <w:start w:w="120" w:type="dxa"/>
              <w:bottom w:w="100" w:type="dxa"/>
              <w:end w:w="120" w:type="dxa"/>
            </w:tcMar>
          </w:tcPr>
          <w:p>
            <w:r>
              <w:rPr>
                <w:rFonts w:ascii="Aptos" w:hAnsi="Aptos"/>
                <w:color w:val="000000"/>
                <w:sz w:val="16"/>
              </w:rPr>
              <w:t>M1 Talent Boston</w:t>
            </w:r>
          </w:p>
        </w:tc>
        <w:tc>
          <w:tcPr>
            <w:tcW w:type="dxa" w:w="5832"/>
            <w:tcMar>
              <w:top w:w="100" w:type="dxa"/>
              <w:start w:w="120" w:type="dxa"/>
              <w:bottom w:w="100" w:type="dxa"/>
              <w:end w:w="120" w:type="dxa"/>
            </w:tcMar>
          </w:tcPr>
          <w:p>
            <w:r>
              <w:rPr>
                <w:rFonts w:ascii="Aptos" w:hAnsi="Aptos"/>
                <w:color w:val="000000"/>
                <w:sz w:val="16"/>
              </w:rPr>
              <w:t>Task-level analysis; systems thinking; inconsistent adoption; retirement of global planning; local finance partnership; headcount controls.</w:t>
            </w:r>
          </w:p>
        </w:tc>
      </w:tr>
      <w:tr>
        <w:tc>
          <w:tcPr>
            <w:tcW w:type="dxa" w:w="1757"/>
            <w:shd w:fill="F4F8F8"/>
            <w:tcMar>
              <w:top w:w="100" w:type="dxa"/>
              <w:start w:w="120" w:type="dxa"/>
              <w:bottom w:w="100" w:type="dxa"/>
              <w:end w:w="120" w:type="dxa"/>
            </w:tcMar>
          </w:tcPr>
          <w:p>
            <w:r>
              <w:rPr>
                <w:rFonts w:ascii="Aptos" w:hAnsi="Aptos"/>
                <w:color w:val="000000"/>
                <w:sz w:val="16"/>
              </w:rPr>
              <w:t>October 1 2026</w:t>
            </w:r>
          </w:p>
        </w:tc>
        <w:tc>
          <w:tcPr>
            <w:tcW w:type="dxa" w:w="2333"/>
            <w:shd w:fill="F4F8F8"/>
            <w:tcMar>
              <w:top w:w="100" w:type="dxa"/>
              <w:start w:w="120" w:type="dxa"/>
              <w:bottom w:w="100" w:type="dxa"/>
              <w:end w:w="120" w:type="dxa"/>
            </w:tcMar>
          </w:tcPr>
          <w:p>
            <w:r>
              <w:rPr>
                <w:rFonts w:ascii="Aptos" w:hAnsi="Aptos"/>
                <w:color w:val="000000"/>
                <w:sz w:val="16"/>
              </w:rPr>
              <w:t>M1 Total Rewards London</w:t>
            </w:r>
          </w:p>
        </w:tc>
        <w:tc>
          <w:tcPr>
            <w:tcW w:type="dxa" w:w="5832"/>
            <w:shd w:fill="F4F8F8"/>
            <w:tcMar>
              <w:top w:w="100" w:type="dxa"/>
              <w:start w:w="120" w:type="dxa"/>
              <w:bottom w:w="100" w:type="dxa"/>
              <w:end w:w="120" w:type="dxa"/>
            </w:tcMar>
          </w:tcPr>
          <w:p>
            <w:r>
              <w:rPr>
                <w:rFonts w:ascii="Aptos" w:hAnsi="Aptos"/>
                <w:color w:val="000000"/>
                <w:sz w:val="16"/>
              </w:rPr>
              <w:t>Structured benefits data; translation; renewals workflow; provider visibility and simplification; emerging view of future HR work.</w:t>
            </w:r>
          </w:p>
        </w:tc>
      </w:tr>
      <w:tr>
        <w:tc>
          <w:tcPr>
            <w:tcW w:type="dxa" w:w="1757"/>
            <w:tcMar>
              <w:top w:w="100" w:type="dxa"/>
              <w:start w:w="120" w:type="dxa"/>
              <w:bottom w:w="100" w:type="dxa"/>
              <w:end w:w="120" w:type="dxa"/>
            </w:tcMar>
          </w:tcPr>
          <w:p>
            <w:r>
              <w:rPr>
                <w:rFonts w:ascii="Aptos" w:hAnsi="Aptos"/>
                <w:color w:val="000000"/>
                <w:sz w:val="16"/>
              </w:rPr>
              <w:t>September 29 2026</w:t>
            </w:r>
          </w:p>
        </w:tc>
        <w:tc>
          <w:tcPr>
            <w:tcW w:type="dxa" w:w="2333"/>
            <w:tcMar>
              <w:top w:w="100" w:type="dxa"/>
              <w:start w:w="120" w:type="dxa"/>
              <w:bottom w:w="100" w:type="dxa"/>
              <w:end w:w="120" w:type="dxa"/>
            </w:tcMar>
          </w:tcPr>
          <w:p>
            <w:r>
              <w:rPr>
                <w:rFonts w:ascii="Aptos" w:hAnsi="Aptos"/>
                <w:color w:val="000000"/>
                <w:sz w:val="16"/>
              </w:rPr>
              <w:t>M1 CHRO London</w:t>
            </w:r>
          </w:p>
        </w:tc>
        <w:tc>
          <w:tcPr>
            <w:tcW w:type="dxa" w:w="5832"/>
            <w:tcMar>
              <w:top w:w="100" w:type="dxa"/>
              <w:start w:w="120" w:type="dxa"/>
              <w:bottom w:w="100" w:type="dxa"/>
              <w:end w:w="120" w:type="dxa"/>
            </w:tcMar>
          </w:tcPr>
          <w:p>
            <w:r>
              <w:rPr>
                <w:rFonts w:ascii="Aptos" w:hAnsi="Aptos"/>
                <w:color w:val="000000"/>
                <w:sz w:val="16"/>
              </w:rPr>
              <w:t>Workflow design; HR technology economics; operating-model implications; capability and curiosity requirements.</w:t>
            </w:r>
          </w:p>
        </w:tc>
      </w:tr>
      <w:tr>
        <w:tc>
          <w:tcPr>
            <w:tcW w:type="dxa" w:w="1757"/>
            <w:shd w:fill="F4F8F8"/>
            <w:tcMar>
              <w:top w:w="100" w:type="dxa"/>
              <w:start w:w="120" w:type="dxa"/>
              <w:bottom w:w="100" w:type="dxa"/>
              <w:end w:w="120" w:type="dxa"/>
            </w:tcMar>
          </w:tcPr>
          <w:p>
            <w:r>
              <w:rPr>
                <w:rFonts w:ascii="Aptos" w:hAnsi="Aptos"/>
                <w:color w:val="000000"/>
                <w:sz w:val="16"/>
              </w:rPr>
              <w:t>September 24 2026</w:t>
            </w:r>
          </w:p>
        </w:tc>
        <w:tc>
          <w:tcPr>
            <w:tcW w:type="dxa" w:w="2333"/>
            <w:shd w:fill="F4F8F8"/>
            <w:tcMar>
              <w:top w:w="100" w:type="dxa"/>
              <w:start w:w="120" w:type="dxa"/>
              <w:bottom w:w="100" w:type="dxa"/>
              <w:end w:w="120" w:type="dxa"/>
            </w:tcMar>
          </w:tcPr>
          <w:p>
            <w:r>
              <w:rPr>
                <w:rFonts w:ascii="Aptos" w:hAnsi="Aptos"/>
                <w:color w:val="000000"/>
                <w:sz w:val="16"/>
              </w:rPr>
              <w:t>M1 CHRO Munich</w:t>
            </w:r>
          </w:p>
        </w:tc>
        <w:tc>
          <w:tcPr>
            <w:tcW w:type="dxa" w:w="5832"/>
            <w:shd w:fill="F4F8F8"/>
            <w:tcMar>
              <w:top w:w="100" w:type="dxa"/>
              <w:start w:w="120" w:type="dxa"/>
              <w:bottom w:w="100" w:type="dxa"/>
              <w:end w:w="120" w:type="dxa"/>
            </w:tcMar>
          </w:tcPr>
          <w:p>
            <w:r>
              <w:rPr>
                <w:rFonts w:ascii="Aptos" w:hAnsi="Aptos"/>
                <w:color w:val="000000"/>
                <w:sz w:val="16"/>
              </w:rPr>
              <w:t>Agent proliferation; orchestration and retirement questions; uneven results by experience; hybrid workforce redesign; back-office convergence.</w:t>
            </w:r>
          </w:p>
        </w:tc>
      </w:tr>
      <w:tr>
        <w:tc>
          <w:tcPr>
            <w:tcW w:type="dxa" w:w="1757"/>
            <w:tcMar>
              <w:top w:w="100" w:type="dxa"/>
              <w:start w:w="120" w:type="dxa"/>
              <w:bottom w:w="100" w:type="dxa"/>
              <w:end w:w="120" w:type="dxa"/>
            </w:tcMar>
          </w:tcPr>
          <w:p>
            <w:r>
              <w:rPr>
                <w:rFonts w:ascii="Aptos" w:hAnsi="Aptos"/>
                <w:color w:val="000000"/>
                <w:sz w:val="16"/>
              </w:rPr>
              <w:t>September 23 2026</w:t>
            </w:r>
          </w:p>
        </w:tc>
        <w:tc>
          <w:tcPr>
            <w:tcW w:type="dxa" w:w="2333"/>
            <w:tcMar>
              <w:top w:w="100" w:type="dxa"/>
              <w:start w:w="120" w:type="dxa"/>
              <w:bottom w:w="100" w:type="dxa"/>
              <w:end w:w="120" w:type="dxa"/>
            </w:tcMar>
          </w:tcPr>
          <w:p>
            <w:r>
              <w:rPr>
                <w:rFonts w:ascii="Aptos" w:hAnsi="Aptos"/>
                <w:color w:val="000000"/>
                <w:sz w:val="16"/>
              </w:rPr>
              <w:t>M1 CHRO Virtual</w:t>
            </w:r>
          </w:p>
        </w:tc>
        <w:tc>
          <w:tcPr>
            <w:tcW w:type="dxa" w:w="5832"/>
            <w:tcMar>
              <w:top w:w="100" w:type="dxa"/>
              <w:start w:w="120" w:type="dxa"/>
              <w:bottom w:w="100" w:type="dxa"/>
              <w:end w:w="120" w:type="dxa"/>
            </w:tcMar>
          </w:tcPr>
          <w:p>
            <w:r>
              <w:rPr>
                <w:rFonts w:ascii="Aptos" w:hAnsi="Aptos"/>
                <w:color w:val="000000"/>
                <w:sz w:val="16"/>
              </w:rPr>
              <w:t>Shift from individual use to team workflow; manager trust; administrative work; transparent workforce communication.</w:t>
            </w:r>
          </w:p>
        </w:tc>
      </w:tr>
      <w:tr>
        <w:tc>
          <w:tcPr>
            <w:tcW w:type="dxa" w:w="1757"/>
            <w:shd w:fill="F4F8F8"/>
            <w:tcMar>
              <w:top w:w="100" w:type="dxa"/>
              <w:start w:w="120" w:type="dxa"/>
              <w:bottom w:w="100" w:type="dxa"/>
              <w:end w:w="120" w:type="dxa"/>
            </w:tcMar>
          </w:tcPr>
          <w:p>
            <w:r>
              <w:rPr>
                <w:rFonts w:ascii="Aptos" w:hAnsi="Aptos"/>
                <w:color w:val="000000"/>
                <w:sz w:val="16"/>
              </w:rPr>
              <w:t>September 22 2026</w:t>
            </w:r>
          </w:p>
        </w:tc>
        <w:tc>
          <w:tcPr>
            <w:tcW w:type="dxa" w:w="2333"/>
            <w:shd w:fill="F4F8F8"/>
            <w:tcMar>
              <w:top w:w="100" w:type="dxa"/>
              <w:start w:w="120" w:type="dxa"/>
              <w:bottom w:w="100" w:type="dxa"/>
              <w:end w:w="120" w:type="dxa"/>
            </w:tcMar>
          </w:tcPr>
          <w:p>
            <w:r>
              <w:rPr>
                <w:rFonts w:ascii="Aptos" w:hAnsi="Aptos"/>
                <w:color w:val="000000"/>
                <w:sz w:val="16"/>
              </w:rPr>
              <w:t>M1 Talent Paris</w:t>
            </w:r>
          </w:p>
        </w:tc>
        <w:tc>
          <w:tcPr>
            <w:tcW w:type="dxa" w:w="5832"/>
            <w:shd w:fill="F4F8F8"/>
            <w:tcMar>
              <w:top w:w="100" w:type="dxa"/>
              <w:start w:w="120" w:type="dxa"/>
              <w:bottom w:w="100" w:type="dxa"/>
              <w:end w:w="120" w:type="dxa"/>
            </w:tcMar>
          </w:tcPr>
          <w:p>
            <w:r>
              <w:rPr>
                <w:rFonts w:ascii="Aptos" w:hAnsi="Aptos"/>
                <w:color w:val="000000"/>
                <w:sz w:val="16"/>
              </w:rPr>
              <w:t>HR front door and operations redesign; structured data and adoption; human-in-the-loop questions; varied organizational trajectories.</w:t>
            </w:r>
          </w:p>
        </w:tc>
      </w:tr>
      <w:tr>
        <w:tc>
          <w:tcPr>
            <w:tcW w:type="dxa" w:w="1757"/>
            <w:tcMar>
              <w:top w:w="100" w:type="dxa"/>
              <w:start w:w="120" w:type="dxa"/>
              <w:bottom w:w="100" w:type="dxa"/>
              <w:end w:w="120" w:type="dxa"/>
            </w:tcMar>
          </w:tcPr>
          <w:p>
            <w:r>
              <w:rPr>
                <w:rFonts w:ascii="Aptos" w:hAnsi="Aptos"/>
                <w:color w:val="000000"/>
                <w:sz w:val="16"/>
              </w:rPr>
              <w:t>August 19 2026</w:t>
            </w:r>
          </w:p>
        </w:tc>
        <w:tc>
          <w:tcPr>
            <w:tcW w:type="dxa" w:w="2333"/>
            <w:tcMar>
              <w:top w:w="100" w:type="dxa"/>
              <w:start w:w="120" w:type="dxa"/>
              <w:bottom w:w="100" w:type="dxa"/>
              <w:end w:w="120" w:type="dxa"/>
            </w:tcMar>
          </w:tcPr>
          <w:p>
            <w:r>
              <w:rPr>
                <w:rFonts w:ascii="Aptos" w:hAnsi="Aptos"/>
                <w:color w:val="000000"/>
                <w:sz w:val="16"/>
              </w:rPr>
              <w:t>M1 CHRO Dallas</w:t>
            </w:r>
          </w:p>
        </w:tc>
        <w:tc>
          <w:tcPr>
            <w:tcW w:type="dxa" w:w="5832"/>
            <w:tcMar>
              <w:top w:w="100" w:type="dxa"/>
              <w:start w:w="120" w:type="dxa"/>
              <w:bottom w:w="100" w:type="dxa"/>
              <w:end w:w="120" w:type="dxa"/>
            </w:tcMar>
          </w:tcPr>
          <w:p>
            <w:r>
              <w:rPr>
                <w:rFonts w:ascii="Aptos" w:hAnsi="Aptos"/>
                <w:color w:val="000000"/>
                <w:sz w:val="16"/>
              </w:rPr>
              <w:t>Time-heavy talent processes stopped or narrowed; task influence; systems thinking; human judgment and relationship examples.</w:t>
            </w:r>
          </w:p>
        </w:tc>
      </w:tr>
    </w:tbl>
    <w:p>
      <w:pPr>
        <w:pStyle w:val="Heading1"/>
      </w:pPr>
      <w:r>
        <w:t>Prior coverage checked</w:t>
      </w:r>
    </w:p>
    <w:p>
      <w:pPr>
        <w:pStyle w:val="Small"/>
        <w:keepLines w:val="0"/>
      </w:pPr>
      <w:r>
        <w:t>The following published articles were inspected to avoid repeating their primary frame: 7 Steps to Begin Using the Product Model in HR, The Imagination Gap in AI Leadership, and Leadership Talent and the Agent Integrated Enterprise. Those pieces already establish product ownership, leadership imagination, and the structural implications of agents. This draft narrows the contribution to a stop-doing portfolio decision and a thirty-day executive review.</w:t>
      </w:r>
    </w:p>
    <w:p>
      <w:pPr>
        <w:pStyle w:val="Heading1"/>
      </w:pPr>
      <w:r>
        <w:t>Claim references</w:t>
      </w:r>
    </w:p>
    <w:p>
      <w:pPr>
        <w:pStyle w:val="EditorialBullet"/>
        <w:keepLines/>
      </w:pPr>
      <w:r>
        <w:t>Retiring or narrowing time-heavy planning: Boston paragraphs 44 to 48 and 61 to 65; Dallas paragraphs 74 and 82.</w:t>
      </w:r>
    </w:p>
    <w:p>
      <w:pPr>
        <w:pStyle w:val="EditorialBullet"/>
        <w:keepLines/>
      </w:pPr>
      <w:r>
        <w:t>Task-level redesign and the distinction between tasks and whole jobs: Boston paragraphs 16 to 20, 29 to 35, and 42.</w:t>
      </w:r>
    </w:p>
    <w:p>
      <w:pPr>
        <w:pStyle w:val="EditorialBullet"/>
        <w:keepLines/>
      </w:pPr>
      <w:r>
        <w:t>Team workflow versus individual adoption: Virtual CHRO paragraphs 282 to 300; Boston paragraphs 29 to 35.</w:t>
      </w:r>
    </w:p>
    <w:p>
      <w:pPr>
        <w:pStyle w:val="EditorialBullet"/>
        <w:keepLines/>
      </w:pPr>
      <w:r>
        <w:t>Validated structured data as a condition for automation: London Total Rewards paragraphs 240 to 263; Paris paragraph 393.</w:t>
      </w:r>
    </w:p>
    <w:p>
      <w:pPr>
        <w:pStyle w:val="EditorialBullet"/>
        <w:keepLines/>
      </w:pPr>
      <w:r>
        <w:t>Human judgment, systems thinking, and trust: Boston paragraphs 3 to 4 and 42; Dallas paragraphs 85 and 142 to 155; Virtual CHRO paragraphs 260 to 264.</w:t>
      </w:r>
    </w:p>
    <w:p>
      <w:pPr>
        <w:pStyle w:val="EditorialBullet"/>
        <w:keepLines/>
      </w:pPr>
      <w:r>
        <w:t>Uneven outcomes and the need to match tools to expertise: Munich paragraphs 34 to 39.</w:t>
      </w:r>
    </w:p>
    <w:p>
      <w:pPr>
        <w:pStyle w:val="EditorialBullet"/>
        <w:keepLines/>
      </w:pPr>
      <w:r>
        <w:t>Workforce redesign and cross-functional orchestration: Munich paragraphs 148, 157, and 177; Paris paragraphs 333 to 389; London CHRO paragraphs 140 to 144.</w:t>
      </w:r>
    </w:p>
    <w:p>
      <w:pPr>
        <w:pStyle w:val="Heading1"/>
      </w:pPr>
      <w:r>
        <w:t>Quotations</w:t>
      </w:r>
    </w:p>
    <w:p>
      <w:pPr>
        <w:pStyle w:val="Small"/>
        <w:keepLines w:val="0"/>
      </w:pPr>
      <w:r>
        <w:t>The publication draft uses no direct quotations. Member examples and reported observations are attributed to the meeting location where the reviewed transcript establishes it. Transcript passages were paraphrased because speaker labels and automated transcription are not consistently reliable enough for publication-quality quotation without a recording check.</w:t>
      </w:r>
    </w:p>
    <w:p>
      <w:pPr>
        <w:pStyle w:val="Heading1"/>
      </w:pPr>
      <w:r>
        <w:t>Contradictions and limits</w:t>
      </w:r>
    </w:p>
    <w:p>
      <w:pPr>
        <w:pStyle w:val="EditorialBullet"/>
        <w:keepLines/>
      </w:pPr>
      <w:r>
        <w:t>The meetings do not establish one target HR structure. Members described materially different operating models, technology maturity, labor contexts, and data readiness.</w:t>
      </w:r>
    </w:p>
    <w:p>
      <w:pPr>
        <w:pStyle w:val="EditorialBullet"/>
        <w:keepLines/>
      </w:pPr>
      <w:r>
        <w:t>Tool adoption and reported efficiency were uneven. One Munich example described better outcomes for experienced engineers and worse outcomes for less experienced engineers using the same class of tools.</w:t>
      </w:r>
    </w:p>
    <w:p>
      <w:pPr>
        <w:pStyle w:val="EditorialBullet"/>
        <w:keepLines/>
      </w:pPr>
      <w:r>
        <w:t>Examples of cost, time, headcount, or productivity are participant or supplier reports unless otherwise stated. The publication draft avoids relying on those figures as independently verified outcomes.</w:t>
      </w:r>
    </w:p>
    <w:p>
      <w:pPr>
        <w:pStyle w:val="EditorialBullet"/>
        <w:keepLines/>
      </w:pPr>
      <w:r>
        <w:t>Stopping a process in one organization does not establish that the process lacks value elsewhere. The recommendation is to test whether the work changes a decision and to retain a narrower form where it does.</w:t>
      </w:r>
    </w:p>
    <w:p>
      <w:pPr>
        <w:pStyle w:val="EditorialBullet"/>
        <w:keepLines/>
      </w:pPr>
      <w:r>
        <w:t>The meetings did not consistently establish what happened to every hour or role affected by automation. The draft therefore recommends naming the destination of released capacity rather than claiming redeployment occurred broadly.</w:t>
      </w:r>
    </w:p>
    <w:p>
      <w:pPr>
        <w:pStyle w:val="Heading1"/>
      </w:pPr>
      <w:r>
        <w:t>Publication questions</w:t>
      </w:r>
    </w:p>
    <w:p>
      <w:pPr>
        <w:pStyle w:val="EditorialBullet"/>
        <w:keepLines/>
      </w:pPr>
      <w:r>
        <w:t>Confirm that anonymized case descriptions may be published in this level of operational detail, especially the references to roughly 175 succession meetings and discontinued global workforce planning.</w:t>
      </w:r>
    </w:p>
    <w:p>
      <w:pPr>
        <w:pStyle w:val="EditorialBullet"/>
        <w:keepLines/>
      </w:pPr>
      <w:r>
        <w:t>Decide whether the publication should name any vendors or member companies. This draft does neither.</w:t>
      </w:r>
    </w:p>
    <w:p>
      <w:pPr>
        <w:pStyle w:val="EditorialBullet"/>
        <w:keepLines/>
      </w:pPr>
      <w:r>
        <w:t>Confirm the preferred M1 category and byline before layout for publication.</w:t>
      </w:r>
    </w:p>
    <w:sectPr w:rsidR="00FC693F" w:rsidRPr="0006063C" w:rsidSect="00034616">
      <w:headerReference w:type="default" r:id="rId9"/>
      <w:footerReference w:type="default" r:id="rId10"/>
      <w:pgSz w:w="12240" w:h="15840"/>
      <w:pgMar w:top="1037" w:right="1210" w:bottom="979" w:left="12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88086"/>
        <w:sz w:val="16"/>
      </w:rPr>
      <w:t xml:space="preserve">M1 Insight Article Draft   |   </w:t>
    </w:r>
    <w:r>
      <w:rPr>
        <w:rFonts w:ascii="Aptos" w:hAnsi="Aptos"/>
        <w:color w:val="78808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Display" w:hAnsi="Aptos Display"/>
        <w:b/>
        <w:color w:val="007878"/>
        <w:sz w:val="18"/>
      </w:rPr>
      <w:t>M1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Display" w:hAnsi="Aptos Display"/>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64" w:lineRule="auto"/>
      <w:ind w:left="346" w:hanging="230"/>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64" w:lineRule="auto"/>
      <w:ind w:left="346" w:hanging="230"/>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Custom">
    <w:name w:val="Subtitle Custom"/>
    <w:pPr>
      <w:spacing w:after="320" w:line="274" w:lineRule="auto"/>
    </w:pPr>
    <w:rPr>
      <w:rFonts w:ascii="Aptos" w:hAnsi="Aptos"/>
      <w:color w:val="4D555B"/>
      <w:sz w:val="28"/>
    </w:rPr>
  </w:style>
  <w:style w:type="paragraph" w:customStyle="1" w:styleId="Meta">
    <w:name w:val="Meta"/>
    <w:pPr>
      <w:spacing w:after="340"/>
    </w:pPr>
    <w:rPr>
      <w:rFonts w:ascii="Aptos" w:hAnsi="Aptos"/>
      <w:b/>
      <w:color w:val="007878"/>
      <w:sz w:val="17"/>
    </w:rPr>
  </w:style>
  <w:style w:type="paragraph" w:customStyle="1" w:styleId="Deck">
    <w:name w:val="Deck"/>
    <w:pPr>
      <w:spacing w:after="260" w:line="259" w:lineRule="auto"/>
    </w:pPr>
    <w:rPr>
      <w:rFonts w:ascii="Aptos Display" w:hAnsi="Aptos Display"/>
      <w:b/>
      <w:color w:val="000000"/>
      <w:sz w:val="31"/>
    </w:rPr>
  </w:style>
  <w:style w:type="paragraph" w:customStyle="1" w:styleId="Standfirst">
    <w:name w:val="Standfirst"/>
    <w:pPr>
      <w:spacing w:after="300" w:line="283" w:lineRule="auto"/>
    </w:pPr>
    <w:rPr>
      <w:rFonts w:ascii="Aptos" w:hAnsi="Aptos"/>
      <w:color w:val="4D555B"/>
      <w:sz w:val="24"/>
    </w:rPr>
  </w:style>
  <w:style w:type="paragraph" w:customStyle="1" w:styleId="Small">
    <w:name w:val="Small"/>
    <w:pPr>
      <w:spacing w:after="80" w:line="259" w:lineRule="auto"/>
    </w:pPr>
    <w:rPr>
      <w:rFonts w:ascii="Aptos" w:hAnsi="Aptos"/>
      <w:color w:val="4D555B"/>
      <w:sz w:val="18"/>
    </w:rPr>
  </w:style>
  <w:style w:type="paragraph" w:customStyle="1" w:styleId="SourceNote">
    <w:name w:val="Source Note"/>
    <w:pPr>
      <w:spacing w:after="90" w:line="254" w:lineRule="auto"/>
    </w:pPr>
    <w:rPr>
      <w:rFonts w:ascii="Aptos" w:hAnsi="Aptos"/>
      <w:color w:val="4D555B"/>
      <w:sz w:val="17"/>
    </w:rPr>
  </w:style>
  <w:style w:type="paragraph" w:customStyle="1" w:styleId="EditorialBullet">
    <w:name w:val="Editorial Bullet"/>
    <w:basedOn w:val="ListBullet"/>
    <w:pPr>
      <w:spacing w:after="60" w:line="250" w:lineRule="auto"/>
      <w:ind w:left="317" w:hanging="216"/>
    </w:pPr>
    <w:rPr>
      <w:rFonts w:ascii="Aptos" w:hAnsi="Aptos"/>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Work Should HR Stop Doing</dc:title>
  <dc:subject>M1 insight article draft for CHROs and Talent leaders</dc:subject>
  <dc:creator>M1</dc:creator>
  <cp:keywords>HR work redesign, AI, automation, human judgment, CHRO</cp:keywords>
  <dc:description>generated by python-docx</dc:description>
  <cp:lastModifiedBy/>
  <cp:revision>1</cp:revision>
  <dcterms:created xsi:type="dcterms:W3CDTF">2013-12-23T23:15:00Z</dcterms:created>
  <dcterms:modified xsi:type="dcterms:W3CDTF">2013-12-23T23:15:00Z</dcterms:modified>
  <cp:category/>
</cp:coreProperties>
</file>