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836CD" w14:textId="77777777" w:rsidR="008708EC" w:rsidRDefault="00000000">
      <w:pPr>
        <w:spacing w:after="160"/>
      </w:pPr>
      <w:r>
        <w:rPr>
          <w:rFonts w:ascii="Calibri" w:eastAsia="Calibri" w:hAnsi="Calibri" w:cs="Calibri"/>
          <w:b/>
          <w:bCs/>
          <w:color w:val="1A1A2E"/>
          <w:sz w:val="34"/>
          <w:szCs w:val="34"/>
        </w:rPr>
        <w:t>C-Suite Red Team Engagement Checklist: A Full Kill-Chain Methodology</w:t>
      </w:r>
    </w:p>
    <w:p w14:paraId="394EFA3A" w14:textId="22C744E3" w:rsidR="008708EC" w:rsidRDefault="008D1D54">
      <w:pPr>
        <w:pBdr>
          <w:bottom w:val="single" w:sz="18" w:space="1" w:color="E8501E"/>
        </w:pBdr>
        <w:spacing w:after="220"/>
        <w:rPr>
          <w:rFonts w:ascii="Calibri" w:eastAsia="Calibri" w:hAnsi="Calibri" w:cs="Calibri"/>
          <w:i/>
          <w:iCs/>
          <w:color w:val="2B2B33"/>
          <w:sz w:val="24"/>
          <w:szCs w:val="24"/>
        </w:rPr>
      </w:pPr>
      <w:r w:rsidRPr="008D1D54">
        <w:rPr>
          <w:rFonts w:ascii="Calibri" w:eastAsia="Calibri" w:hAnsi="Calibri" w:cs="Calibri"/>
          <w:i/>
          <w:iCs/>
          <w:color w:val="2B2B33"/>
          <w:sz w:val="24"/>
          <w:szCs w:val="24"/>
        </w:rPr>
        <w:t>More than 330 red team tasks across 13 stages, from signed Rules of Engagement to post-report quality assurance, so a security leader knows exactly what an adversary simulation involves.</w:t>
      </w:r>
    </w:p>
    <w:p w14:paraId="643B830E" w14:textId="77777777" w:rsidR="008D1D54" w:rsidRDefault="008D1D54">
      <w:pPr>
        <w:pBdr>
          <w:bottom w:val="single" w:sz="18" w:space="1" w:color="E8501E"/>
        </w:pBdr>
        <w:spacing w:after="220"/>
      </w:pPr>
    </w:p>
    <w:p w14:paraId="374E65A5" w14:textId="77777777" w:rsidR="00346D22" w:rsidRPr="00346D22" w:rsidRDefault="00346D22" w:rsidP="00346D22">
      <w:pPr>
        <w:spacing w:before="220" w:after="120"/>
        <w:rPr>
          <w:rFonts w:ascii="Calibri" w:eastAsia="Calibri" w:hAnsi="Calibri" w:cs="Calibri"/>
          <w:color w:val="2B2B33"/>
          <w:sz w:val="22"/>
          <w:szCs w:val="22"/>
        </w:rPr>
      </w:pPr>
      <w:r w:rsidRPr="00346D22">
        <w:rPr>
          <w:rFonts w:ascii="Calibri" w:eastAsia="Calibri" w:hAnsi="Calibri" w:cs="Calibri"/>
          <w:color w:val="2B2B33"/>
          <w:sz w:val="22"/>
          <w:szCs w:val="22"/>
        </w:rPr>
        <w:t>A red team engagement is not a penetration test with a scarier name. It is a goal-driven adversary simulation across the full kill chain, from reconnaissance to exfiltration, cleanup, and reporting. This checklist lays out that methodology as a task list a C-suite sponsor can read and a red team can execute against.</w:t>
      </w:r>
    </w:p>
    <w:p w14:paraId="559E3199" w14:textId="77777777" w:rsidR="00346D22" w:rsidRPr="00346D22" w:rsidRDefault="00346D22" w:rsidP="00346D22">
      <w:pPr>
        <w:spacing w:before="220" w:after="120"/>
        <w:rPr>
          <w:rFonts w:ascii="Calibri" w:eastAsia="Calibri" w:hAnsi="Calibri" w:cs="Calibri"/>
          <w:color w:val="2B2B33"/>
          <w:sz w:val="22"/>
          <w:szCs w:val="22"/>
        </w:rPr>
      </w:pPr>
      <w:r w:rsidRPr="00346D22">
        <w:rPr>
          <w:rFonts w:ascii="Calibri" w:eastAsia="Calibri" w:hAnsi="Calibri" w:cs="Calibri"/>
          <w:color w:val="2B2B33"/>
          <w:sz w:val="22"/>
          <w:szCs w:val="22"/>
        </w:rPr>
        <w:t>Every row is one task, grouped by phase, with its specific subtasks and techniques. It starts before any packet is sent, with scope authorization and infrastructure setup, and ends after the report, with cleanup, MITRE ATT&amp;CK mapping, and quality assurance.</w:t>
      </w:r>
    </w:p>
    <w:p w14:paraId="41D3F246" w14:textId="38C9D586" w:rsidR="008708EC" w:rsidRDefault="00000000">
      <w:pPr>
        <w:spacing w:before="220" w:after="120"/>
      </w:pPr>
      <w:r>
        <w:rPr>
          <w:rFonts w:ascii="Calibri" w:eastAsia="Calibri" w:hAnsi="Calibri" w:cs="Calibri"/>
          <w:b/>
          <w:bCs/>
          <w:color w:val="E8501E"/>
          <w:sz w:val="26"/>
          <w:szCs w:val="26"/>
        </w:rPr>
        <w:t xml:space="preserve">Key </w:t>
      </w:r>
      <w:r w:rsidR="00E56F8E">
        <w:rPr>
          <w:rFonts w:ascii="Calibri" w:eastAsia="Calibri" w:hAnsi="Calibri" w:cs="Calibri"/>
          <w:b/>
          <w:bCs/>
          <w:color w:val="E8501E"/>
          <w:sz w:val="26"/>
          <w:szCs w:val="26"/>
        </w:rPr>
        <w:t>Takeaways</w:t>
      </w:r>
    </w:p>
    <w:p w14:paraId="7B02362D" w14:textId="77777777" w:rsidR="008708EC" w:rsidRDefault="00000000">
      <w:pPr>
        <w:pStyle w:val="ListParagraph"/>
        <w:numPr>
          <w:ilvl w:val="0"/>
          <w:numId w:val="2"/>
        </w:numPr>
        <w:spacing w:after="80"/>
      </w:pPr>
      <w:r>
        <w:rPr>
          <w:rFonts w:ascii="Calibri" w:eastAsia="Calibri" w:hAnsi="Calibri" w:cs="Calibri"/>
          <w:color w:val="2B2B33"/>
          <w:sz w:val="22"/>
          <w:szCs w:val="22"/>
        </w:rPr>
        <w:t>The engagement is authorized before it begins: Pre-Engagement covers Rules of Engagement, scope boundaries, off-limits systems, testing windows, and 24/7 escalation contacts.</w:t>
      </w:r>
    </w:p>
    <w:p w14:paraId="1EE558E1" w14:textId="77777777" w:rsidR="008708EC" w:rsidRDefault="00000000">
      <w:pPr>
        <w:pStyle w:val="ListParagraph"/>
        <w:numPr>
          <w:ilvl w:val="0"/>
          <w:numId w:val="2"/>
        </w:numPr>
        <w:spacing w:after="80"/>
      </w:pPr>
      <w:r>
        <w:rPr>
          <w:rFonts w:ascii="Calibri" w:eastAsia="Calibri" w:hAnsi="Calibri" w:cs="Calibri"/>
          <w:color w:val="2B2B33"/>
          <w:sz w:val="22"/>
          <w:szCs w:val="22"/>
        </w:rPr>
        <w:t>Reconnaissance and Intelligence Gathering is the largest phase at 73 tasks, spanning OSINT, technical recon, web application assessment, cloud, and wireless.</w:t>
      </w:r>
    </w:p>
    <w:p w14:paraId="5F8F8561" w14:textId="77777777" w:rsidR="008708EC" w:rsidRDefault="00000000">
      <w:pPr>
        <w:pStyle w:val="ListParagraph"/>
        <w:numPr>
          <w:ilvl w:val="0"/>
          <w:numId w:val="2"/>
        </w:numPr>
        <w:spacing w:after="80"/>
      </w:pPr>
      <w:r>
        <w:rPr>
          <w:rFonts w:ascii="Calibri" w:eastAsia="Calibri" w:hAnsi="Calibri" w:cs="Calibri"/>
          <w:color w:val="2B2B33"/>
          <w:sz w:val="22"/>
          <w:szCs w:val="22"/>
        </w:rPr>
        <w:t>Initial access is tested across every realistic vector: phishing, vishing, smishing, and 30 physical and perimeter tasks including badge cloning, tailgating, lock bypass, and CCTV blind spots.</w:t>
      </w:r>
    </w:p>
    <w:p w14:paraId="1FFCCBAF" w14:textId="77777777" w:rsidR="008708EC" w:rsidRDefault="00000000">
      <w:pPr>
        <w:pStyle w:val="ListParagraph"/>
        <w:numPr>
          <w:ilvl w:val="0"/>
          <w:numId w:val="2"/>
        </w:numPr>
        <w:spacing w:after="80"/>
      </w:pPr>
      <w:r>
        <w:rPr>
          <w:rFonts w:ascii="Calibri" w:eastAsia="Calibri" w:hAnsi="Calibri" w:cs="Calibri"/>
          <w:color w:val="2B2B33"/>
          <w:sz w:val="22"/>
          <w:szCs w:val="22"/>
        </w:rPr>
        <w:t>The methodology does not stop at exploitation. It includes evasion and anti-forensics, cleanup and system restoration, MITRE ATT&amp;CK mapping, and a quality assurance phase that validates findings before the report ships.</w:t>
      </w:r>
    </w:p>
    <w:p w14:paraId="401EAC33" w14:textId="77777777" w:rsidR="008708EC" w:rsidRDefault="00000000">
      <w:pPr>
        <w:spacing w:before="220" w:after="120"/>
      </w:pPr>
      <w:r>
        <w:rPr>
          <w:rFonts w:ascii="Calibri" w:eastAsia="Calibri" w:hAnsi="Calibri" w:cs="Calibri"/>
          <w:b/>
          <w:bCs/>
          <w:color w:val="E8501E"/>
          <w:sz w:val="26"/>
          <w:szCs w:val="26"/>
        </w:rPr>
        <w:t>What's Inside</w:t>
      </w:r>
    </w:p>
    <w:p w14:paraId="73C10022" w14:textId="77777777" w:rsidR="008708EC" w:rsidRDefault="00000000">
      <w:pPr>
        <w:spacing w:after="100"/>
      </w:pPr>
      <w:r>
        <w:rPr>
          <w:rFonts w:ascii="Calibri" w:eastAsia="Calibri" w:hAnsi="Calibri" w:cs="Calibri"/>
          <w:color w:val="2B2B33"/>
          <w:sz w:val="22"/>
          <w:szCs w:val="22"/>
        </w:rPr>
        <w:t>Every row is one task, grouped into the 13 phases of a red team engagement.</w:t>
      </w:r>
    </w:p>
    <w:p w14:paraId="4E2F0FDD" w14:textId="77777777" w:rsidR="008708EC" w:rsidRDefault="00000000">
      <w:pPr>
        <w:pStyle w:val="ListParagraph"/>
        <w:numPr>
          <w:ilvl w:val="0"/>
          <w:numId w:val="2"/>
        </w:numPr>
        <w:spacing w:after="80"/>
      </w:pPr>
      <w:r>
        <w:rPr>
          <w:rFonts w:ascii="Calibri" w:eastAsia="Calibri" w:hAnsi="Calibri" w:cs="Calibri"/>
          <w:color w:val="2B2B33"/>
          <w:sz w:val="22"/>
          <w:szCs w:val="22"/>
        </w:rPr>
        <w:t>Pre-Engagement and Planning: scope authorization, team structure, attack infrastructure.</w:t>
      </w:r>
    </w:p>
    <w:p w14:paraId="7E806055" w14:textId="77777777" w:rsidR="008708EC" w:rsidRDefault="00000000">
      <w:pPr>
        <w:pStyle w:val="ListParagraph"/>
        <w:numPr>
          <w:ilvl w:val="0"/>
          <w:numId w:val="2"/>
        </w:numPr>
        <w:spacing w:after="80"/>
      </w:pPr>
      <w:r>
        <w:rPr>
          <w:rFonts w:ascii="Calibri" w:eastAsia="Calibri" w:hAnsi="Calibri" w:cs="Calibri"/>
          <w:color w:val="2B2B33"/>
          <w:sz w:val="22"/>
          <w:szCs w:val="22"/>
        </w:rPr>
        <w:t>Reconnaissance and Intelligence Gathering: OSINT, technical recon, web, cloud, and wireless.</w:t>
      </w:r>
    </w:p>
    <w:p w14:paraId="1DFC8EEC" w14:textId="77777777" w:rsidR="008708EC" w:rsidRDefault="00000000">
      <w:pPr>
        <w:pStyle w:val="ListParagraph"/>
        <w:numPr>
          <w:ilvl w:val="0"/>
          <w:numId w:val="2"/>
        </w:numPr>
        <w:spacing w:after="80"/>
      </w:pPr>
      <w:r>
        <w:rPr>
          <w:rFonts w:ascii="Calibri" w:eastAsia="Calibri" w:hAnsi="Calibri" w:cs="Calibri"/>
          <w:color w:val="2B2B33"/>
          <w:sz w:val="22"/>
          <w:szCs w:val="22"/>
        </w:rPr>
        <w:t>Initial Access and Weaponization: phishing, vishing, smishing, physical and perimeter.</w:t>
      </w:r>
    </w:p>
    <w:p w14:paraId="7D03B8E4" w14:textId="77777777" w:rsidR="008708EC" w:rsidRDefault="00000000">
      <w:pPr>
        <w:pStyle w:val="ListParagraph"/>
        <w:numPr>
          <w:ilvl w:val="0"/>
          <w:numId w:val="2"/>
        </w:numPr>
        <w:spacing w:after="80"/>
      </w:pPr>
      <w:r>
        <w:rPr>
          <w:rFonts w:ascii="Calibri" w:eastAsia="Calibri" w:hAnsi="Calibri" w:cs="Calibri"/>
          <w:color w:val="2B2B33"/>
          <w:sz w:val="22"/>
          <w:szCs w:val="22"/>
        </w:rPr>
        <w:t>Initial Access in the Network: NAC bypass, MitM bridging, host discovery, foothold recon.</w:t>
      </w:r>
    </w:p>
    <w:p w14:paraId="12D8F5C5" w14:textId="77777777" w:rsidR="008708EC" w:rsidRDefault="00000000">
      <w:pPr>
        <w:pStyle w:val="ListParagraph"/>
        <w:numPr>
          <w:ilvl w:val="0"/>
          <w:numId w:val="2"/>
        </w:numPr>
        <w:spacing w:after="80"/>
      </w:pPr>
      <w:r>
        <w:rPr>
          <w:rFonts w:ascii="Calibri" w:eastAsia="Calibri" w:hAnsi="Calibri" w:cs="Calibri"/>
          <w:color w:val="2B2B33"/>
          <w:sz w:val="22"/>
          <w:szCs w:val="22"/>
        </w:rPr>
        <w:t>Active Directory Kill Chain Execution: Kerberos attacks, NTLM relay, privilege escalation, lateral movement, persistence, credential access.</w:t>
      </w:r>
    </w:p>
    <w:p w14:paraId="2859529F" w14:textId="77777777" w:rsidR="008708EC" w:rsidRDefault="00000000">
      <w:pPr>
        <w:pStyle w:val="ListParagraph"/>
        <w:numPr>
          <w:ilvl w:val="0"/>
          <w:numId w:val="2"/>
        </w:numPr>
        <w:spacing w:after="80"/>
      </w:pPr>
      <w:r>
        <w:rPr>
          <w:rFonts w:ascii="Calibri" w:eastAsia="Calibri" w:hAnsi="Calibri" w:cs="Calibri"/>
          <w:color w:val="2B2B33"/>
          <w:sz w:val="22"/>
          <w:szCs w:val="22"/>
        </w:rPr>
        <w:t>Post-Exploitation and Data Exfiltration, Command and Control, Evasion and Anti-Forensics.</w:t>
      </w:r>
    </w:p>
    <w:p w14:paraId="05C35F41" w14:textId="77777777" w:rsidR="008708EC" w:rsidRDefault="00000000">
      <w:pPr>
        <w:pStyle w:val="ListParagraph"/>
        <w:numPr>
          <w:ilvl w:val="0"/>
          <w:numId w:val="2"/>
        </w:numPr>
        <w:spacing w:after="80"/>
      </w:pPr>
      <w:r>
        <w:rPr>
          <w:rFonts w:ascii="Calibri" w:eastAsia="Calibri" w:hAnsi="Calibri" w:cs="Calibri"/>
          <w:color w:val="2B2B33"/>
          <w:sz w:val="22"/>
          <w:szCs w:val="22"/>
        </w:rPr>
        <w:t>Documentation and Evidence Collection, Cleanup and Remediation, Reporting and Analysis.</w:t>
      </w:r>
    </w:p>
    <w:p w14:paraId="3329EAA6" w14:textId="77777777" w:rsidR="008708EC" w:rsidRDefault="00000000">
      <w:pPr>
        <w:pStyle w:val="ListParagraph"/>
        <w:numPr>
          <w:ilvl w:val="0"/>
          <w:numId w:val="2"/>
        </w:numPr>
        <w:spacing w:after="80"/>
      </w:pPr>
      <w:r>
        <w:rPr>
          <w:rFonts w:ascii="Calibri" w:eastAsia="Calibri" w:hAnsi="Calibri" w:cs="Calibri"/>
          <w:color w:val="2B2B33"/>
          <w:sz w:val="22"/>
          <w:szCs w:val="22"/>
        </w:rPr>
        <w:t>MITRE ATT&amp;CK Mapping and Quality Assurance and Validation.</w:t>
      </w:r>
    </w:p>
    <w:p w14:paraId="6A1BB852" w14:textId="77777777" w:rsidR="008708EC" w:rsidRDefault="00000000">
      <w:pPr>
        <w:spacing w:before="100" w:after="60"/>
      </w:pPr>
      <w:r>
        <w:rPr>
          <w:rFonts w:ascii="Calibri" w:eastAsia="Calibri" w:hAnsi="Calibri" w:cs="Calibri"/>
          <w:i/>
          <w:iCs/>
          <w:color w:val="2B2B33"/>
          <w:sz w:val="22"/>
          <w:szCs w:val="22"/>
        </w:rPr>
        <w:t>Each task carries the specific subtasks, techniques, or tooling that define it.</w:t>
      </w:r>
    </w:p>
    <w:p w14:paraId="447B0FB5" w14:textId="77777777" w:rsidR="008708EC" w:rsidRDefault="00000000">
      <w:pPr>
        <w:spacing w:before="220" w:after="120"/>
      </w:pPr>
      <w:r>
        <w:rPr>
          <w:rFonts w:ascii="Calibri" w:eastAsia="Calibri" w:hAnsi="Calibri" w:cs="Calibri"/>
          <w:b/>
          <w:bCs/>
          <w:color w:val="E8501E"/>
          <w:sz w:val="26"/>
          <w:szCs w:val="26"/>
        </w:rPr>
        <w:t>How to use it</w:t>
      </w:r>
    </w:p>
    <w:tbl>
      <w:tblPr>
        <w:tblW w:w="5000" w:type="pct"/>
        <w:tblCellMar>
          <w:left w:w="10" w:type="dxa"/>
          <w:right w:w="10" w:type="dxa"/>
        </w:tblCellMar>
        <w:tblLook w:val="0000" w:firstRow="0" w:lastRow="0" w:firstColumn="0" w:lastColumn="0" w:noHBand="0" w:noVBand="0"/>
      </w:tblPr>
      <w:tblGrid>
        <w:gridCol w:w="946"/>
        <w:gridCol w:w="8894"/>
      </w:tblGrid>
      <w:tr w:rsidR="008708EC" w14:paraId="26C0E417" w14:textId="77777777">
        <w:tblPrEx>
          <w:tblCellMar>
            <w:top w:w="0" w:type="dxa"/>
            <w:bottom w:w="0" w:type="dxa"/>
          </w:tblCellMar>
        </w:tblPrEx>
        <w:tc>
          <w:tcPr>
            <w:tcW w:w="900" w:type="dxa"/>
            <w:shd w:val="clear" w:color="auto" w:fill="E8501E"/>
            <w:tcMar>
              <w:top w:w="60" w:type="dxa"/>
              <w:left w:w="80" w:type="dxa"/>
              <w:bottom w:w="60" w:type="dxa"/>
              <w:right w:w="80" w:type="dxa"/>
            </w:tcMar>
            <w:vAlign w:val="center"/>
          </w:tcPr>
          <w:p w14:paraId="40167E80" w14:textId="77777777" w:rsidR="008708EC" w:rsidRDefault="00000000">
            <w:pPr>
              <w:jc w:val="center"/>
            </w:pPr>
            <w:r>
              <w:rPr>
                <w:rFonts w:ascii="Calibri" w:eastAsia="Calibri" w:hAnsi="Calibri" w:cs="Calibri"/>
                <w:b/>
                <w:bCs/>
                <w:color w:val="FFFFFF"/>
                <w:sz w:val="24"/>
                <w:szCs w:val="24"/>
              </w:rPr>
              <w:t>01</w:t>
            </w:r>
          </w:p>
        </w:tc>
        <w:tc>
          <w:tcPr>
            <w:tcW w:w="8460" w:type="dxa"/>
            <w:tcMar>
              <w:top w:w="60" w:type="dxa"/>
              <w:left w:w="160" w:type="dxa"/>
              <w:bottom w:w="60" w:type="dxa"/>
              <w:right w:w="80" w:type="dxa"/>
            </w:tcMar>
            <w:vAlign w:val="center"/>
          </w:tcPr>
          <w:p w14:paraId="39FFD5FB" w14:textId="77777777" w:rsidR="008708EC" w:rsidRDefault="00000000">
            <w:r>
              <w:rPr>
                <w:rFonts w:ascii="Calibri" w:eastAsia="Calibri" w:hAnsi="Calibri" w:cs="Calibri"/>
                <w:color w:val="2B2B33"/>
                <w:sz w:val="22"/>
                <w:szCs w:val="22"/>
              </w:rPr>
              <w:t xml:space="preserve">Pick your phase. Filter to the phase you are planning or </w:t>
            </w:r>
            <w:proofErr w:type="gramStart"/>
            <w:r>
              <w:rPr>
                <w:rFonts w:ascii="Calibri" w:eastAsia="Calibri" w:hAnsi="Calibri" w:cs="Calibri"/>
                <w:color w:val="2B2B33"/>
                <w:sz w:val="22"/>
                <w:szCs w:val="22"/>
              </w:rPr>
              <w:t>reviewing, or</w:t>
            </w:r>
            <w:proofErr w:type="gramEnd"/>
            <w:r>
              <w:rPr>
                <w:rFonts w:ascii="Calibri" w:eastAsia="Calibri" w:hAnsi="Calibri" w:cs="Calibri"/>
                <w:color w:val="2B2B33"/>
                <w:sz w:val="22"/>
                <w:szCs w:val="22"/>
              </w:rPr>
              <w:t xml:space="preserve"> read all 13 for the complete methodology.</w:t>
            </w:r>
          </w:p>
        </w:tc>
      </w:tr>
    </w:tbl>
    <w:p w14:paraId="50FAFB08" w14:textId="77777777" w:rsidR="008708EC" w:rsidRDefault="008708EC">
      <w:pPr>
        <w:spacing w:after="80"/>
      </w:pPr>
    </w:p>
    <w:tbl>
      <w:tblPr>
        <w:tblW w:w="5000" w:type="pct"/>
        <w:tblCellMar>
          <w:left w:w="10" w:type="dxa"/>
          <w:right w:w="10" w:type="dxa"/>
        </w:tblCellMar>
        <w:tblLook w:val="0000" w:firstRow="0" w:lastRow="0" w:firstColumn="0" w:lastColumn="0" w:noHBand="0" w:noVBand="0"/>
      </w:tblPr>
      <w:tblGrid>
        <w:gridCol w:w="946"/>
        <w:gridCol w:w="8894"/>
      </w:tblGrid>
      <w:tr w:rsidR="008708EC" w14:paraId="19968802" w14:textId="77777777">
        <w:tblPrEx>
          <w:tblCellMar>
            <w:top w:w="0" w:type="dxa"/>
            <w:bottom w:w="0" w:type="dxa"/>
          </w:tblCellMar>
        </w:tblPrEx>
        <w:tc>
          <w:tcPr>
            <w:tcW w:w="900" w:type="dxa"/>
            <w:shd w:val="clear" w:color="auto" w:fill="E8501E"/>
            <w:tcMar>
              <w:top w:w="60" w:type="dxa"/>
              <w:left w:w="80" w:type="dxa"/>
              <w:bottom w:w="60" w:type="dxa"/>
              <w:right w:w="80" w:type="dxa"/>
            </w:tcMar>
            <w:vAlign w:val="center"/>
          </w:tcPr>
          <w:p w14:paraId="477D2FFB" w14:textId="77777777" w:rsidR="008708EC" w:rsidRDefault="00000000">
            <w:pPr>
              <w:jc w:val="center"/>
            </w:pPr>
            <w:r>
              <w:rPr>
                <w:rFonts w:ascii="Calibri" w:eastAsia="Calibri" w:hAnsi="Calibri" w:cs="Calibri"/>
                <w:b/>
                <w:bCs/>
                <w:color w:val="FFFFFF"/>
                <w:sz w:val="24"/>
                <w:szCs w:val="24"/>
              </w:rPr>
              <w:lastRenderedPageBreak/>
              <w:t>02</w:t>
            </w:r>
          </w:p>
        </w:tc>
        <w:tc>
          <w:tcPr>
            <w:tcW w:w="8460" w:type="dxa"/>
            <w:tcMar>
              <w:top w:w="60" w:type="dxa"/>
              <w:left w:w="160" w:type="dxa"/>
              <w:bottom w:w="60" w:type="dxa"/>
              <w:right w:w="80" w:type="dxa"/>
            </w:tcMar>
            <w:vAlign w:val="center"/>
          </w:tcPr>
          <w:p w14:paraId="28A6945D" w14:textId="77777777" w:rsidR="008708EC" w:rsidRDefault="00000000">
            <w:r>
              <w:rPr>
                <w:rFonts w:ascii="Calibri" w:eastAsia="Calibri" w:hAnsi="Calibri" w:cs="Calibri"/>
                <w:color w:val="2B2B33"/>
                <w:sz w:val="22"/>
                <w:szCs w:val="22"/>
              </w:rPr>
              <w:t>Read the task and its subtasks. Each row names the task and the specific techniques or details it covers.</w:t>
            </w:r>
          </w:p>
        </w:tc>
      </w:tr>
    </w:tbl>
    <w:p w14:paraId="3EEC6E7F" w14:textId="77777777" w:rsidR="008708EC" w:rsidRDefault="008708EC">
      <w:pPr>
        <w:spacing w:after="80"/>
      </w:pPr>
    </w:p>
    <w:tbl>
      <w:tblPr>
        <w:tblW w:w="5000" w:type="pct"/>
        <w:tblCellMar>
          <w:left w:w="10" w:type="dxa"/>
          <w:right w:w="10" w:type="dxa"/>
        </w:tblCellMar>
        <w:tblLook w:val="0000" w:firstRow="0" w:lastRow="0" w:firstColumn="0" w:lastColumn="0" w:noHBand="0" w:noVBand="0"/>
      </w:tblPr>
      <w:tblGrid>
        <w:gridCol w:w="946"/>
        <w:gridCol w:w="8894"/>
      </w:tblGrid>
      <w:tr w:rsidR="008708EC" w14:paraId="2A1A35A6" w14:textId="77777777">
        <w:tblPrEx>
          <w:tblCellMar>
            <w:top w:w="0" w:type="dxa"/>
            <w:bottom w:w="0" w:type="dxa"/>
          </w:tblCellMar>
        </w:tblPrEx>
        <w:tc>
          <w:tcPr>
            <w:tcW w:w="900" w:type="dxa"/>
            <w:shd w:val="clear" w:color="auto" w:fill="E8501E"/>
            <w:tcMar>
              <w:top w:w="60" w:type="dxa"/>
              <w:left w:w="80" w:type="dxa"/>
              <w:bottom w:w="60" w:type="dxa"/>
              <w:right w:w="80" w:type="dxa"/>
            </w:tcMar>
            <w:vAlign w:val="center"/>
          </w:tcPr>
          <w:p w14:paraId="0F57D9B4" w14:textId="77777777" w:rsidR="008708EC" w:rsidRDefault="00000000">
            <w:pPr>
              <w:jc w:val="center"/>
            </w:pPr>
            <w:r>
              <w:rPr>
                <w:rFonts w:ascii="Calibri" w:eastAsia="Calibri" w:hAnsi="Calibri" w:cs="Calibri"/>
                <w:b/>
                <w:bCs/>
                <w:color w:val="FFFFFF"/>
                <w:sz w:val="24"/>
                <w:szCs w:val="24"/>
              </w:rPr>
              <w:t>03</w:t>
            </w:r>
          </w:p>
        </w:tc>
        <w:tc>
          <w:tcPr>
            <w:tcW w:w="8460" w:type="dxa"/>
            <w:tcMar>
              <w:top w:w="60" w:type="dxa"/>
              <w:left w:w="160" w:type="dxa"/>
              <w:bottom w:w="60" w:type="dxa"/>
              <w:right w:w="80" w:type="dxa"/>
            </w:tcMar>
            <w:vAlign w:val="center"/>
          </w:tcPr>
          <w:p w14:paraId="38478085" w14:textId="77777777" w:rsidR="008708EC" w:rsidRDefault="00000000">
            <w:r>
              <w:rPr>
                <w:rFonts w:ascii="Calibri" w:eastAsia="Calibri" w:hAnsi="Calibri" w:cs="Calibri"/>
                <w:color w:val="2B2B33"/>
                <w:sz w:val="22"/>
                <w:szCs w:val="22"/>
              </w:rPr>
              <w:t>Use it to scope and govern. As a sponsor, use the phases to define what is in and out of scope; as a red team, use it as the running checklist for the engagement.</w:t>
            </w:r>
          </w:p>
        </w:tc>
      </w:tr>
    </w:tbl>
    <w:p w14:paraId="4A88F825" w14:textId="77777777" w:rsidR="008708EC" w:rsidRDefault="008708EC">
      <w:pPr>
        <w:spacing w:after="80"/>
      </w:pPr>
    </w:p>
    <w:tbl>
      <w:tblPr>
        <w:tblW w:w="5000" w:type="pct"/>
        <w:tblCellMar>
          <w:left w:w="10" w:type="dxa"/>
          <w:right w:w="10" w:type="dxa"/>
        </w:tblCellMar>
        <w:tblLook w:val="0000" w:firstRow="0" w:lastRow="0" w:firstColumn="0" w:lastColumn="0" w:noHBand="0" w:noVBand="0"/>
      </w:tblPr>
      <w:tblGrid>
        <w:gridCol w:w="946"/>
        <w:gridCol w:w="8894"/>
      </w:tblGrid>
      <w:tr w:rsidR="008708EC" w14:paraId="06A18337" w14:textId="77777777">
        <w:tblPrEx>
          <w:tblCellMar>
            <w:top w:w="0" w:type="dxa"/>
            <w:bottom w:w="0" w:type="dxa"/>
          </w:tblCellMar>
        </w:tblPrEx>
        <w:tc>
          <w:tcPr>
            <w:tcW w:w="900" w:type="dxa"/>
            <w:shd w:val="clear" w:color="auto" w:fill="E8501E"/>
            <w:tcMar>
              <w:top w:w="60" w:type="dxa"/>
              <w:left w:w="80" w:type="dxa"/>
              <w:bottom w:w="60" w:type="dxa"/>
              <w:right w:w="80" w:type="dxa"/>
            </w:tcMar>
            <w:vAlign w:val="center"/>
          </w:tcPr>
          <w:p w14:paraId="03A4914A" w14:textId="77777777" w:rsidR="008708EC" w:rsidRDefault="00000000">
            <w:pPr>
              <w:jc w:val="center"/>
            </w:pPr>
            <w:r>
              <w:rPr>
                <w:rFonts w:ascii="Calibri" w:eastAsia="Calibri" w:hAnsi="Calibri" w:cs="Calibri"/>
                <w:b/>
                <w:bCs/>
                <w:color w:val="FFFFFF"/>
                <w:sz w:val="24"/>
                <w:szCs w:val="24"/>
              </w:rPr>
              <w:t>04</w:t>
            </w:r>
          </w:p>
        </w:tc>
        <w:tc>
          <w:tcPr>
            <w:tcW w:w="8460" w:type="dxa"/>
            <w:tcMar>
              <w:top w:w="60" w:type="dxa"/>
              <w:left w:w="160" w:type="dxa"/>
              <w:bottom w:w="60" w:type="dxa"/>
              <w:right w:w="80" w:type="dxa"/>
            </w:tcMar>
            <w:vAlign w:val="center"/>
          </w:tcPr>
          <w:p w14:paraId="5B66824C" w14:textId="77777777" w:rsidR="008708EC" w:rsidRDefault="00000000">
            <w:r>
              <w:rPr>
                <w:rFonts w:ascii="Calibri" w:eastAsia="Calibri" w:hAnsi="Calibri" w:cs="Calibri"/>
                <w:color w:val="2B2B33"/>
                <w:sz w:val="22"/>
                <w:szCs w:val="22"/>
              </w:rPr>
              <w:t xml:space="preserve">Planning an adversary simulation? </w:t>
            </w:r>
            <w:proofErr w:type="spellStart"/>
            <w:r>
              <w:rPr>
                <w:rFonts w:ascii="Calibri" w:eastAsia="Calibri" w:hAnsi="Calibri" w:cs="Calibri"/>
                <w:color w:val="2B2B33"/>
                <w:sz w:val="22"/>
                <w:szCs w:val="22"/>
              </w:rPr>
              <w:t>Payatu's</w:t>
            </w:r>
            <w:proofErr w:type="spellEnd"/>
            <w:r>
              <w:rPr>
                <w:rFonts w:ascii="Calibri" w:eastAsia="Calibri" w:hAnsi="Calibri" w:cs="Calibri"/>
                <w:color w:val="2B2B33"/>
                <w:sz w:val="22"/>
                <w:szCs w:val="22"/>
              </w:rPr>
              <w:t xml:space="preserve"> red team runs this methodology as a scoped engagement mapped to your crown-jewel assets. Talk to a Payatu red team lead about scope.</w:t>
            </w:r>
          </w:p>
        </w:tc>
      </w:tr>
    </w:tbl>
    <w:p w14:paraId="7D339424" w14:textId="77777777" w:rsidR="008708EC" w:rsidRDefault="008708EC">
      <w:pPr>
        <w:spacing w:after="80"/>
      </w:pPr>
    </w:p>
    <w:sectPr w:rsidR="008708EC">
      <w:pgSz w:w="12240" w:h="15840"/>
      <w:pgMar w:top="1080" w:right="1200" w:bottom="1080" w:left="12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DD656E"/>
    <w:multiLevelType w:val="hybridMultilevel"/>
    <w:tmpl w:val="E34EE076"/>
    <w:lvl w:ilvl="0" w:tplc="BC48904C">
      <w:start w:val="1"/>
      <w:numFmt w:val="bullet"/>
      <w:lvlText w:val="●"/>
      <w:lvlJc w:val="left"/>
      <w:pPr>
        <w:ind w:left="720" w:hanging="360"/>
      </w:pPr>
    </w:lvl>
    <w:lvl w:ilvl="1" w:tplc="446429EA">
      <w:start w:val="1"/>
      <w:numFmt w:val="bullet"/>
      <w:lvlText w:val="○"/>
      <w:lvlJc w:val="left"/>
      <w:pPr>
        <w:ind w:left="1440" w:hanging="360"/>
      </w:pPr>
    </w:lvl>
    <w:lvl w:ilvl="2" w:tplc="7FE29D4A">
      <w:start w:val="1"/>
      <w:numFmt w:val="bullet"/>
      <w:lvlText w:val="■"/>
      <w:lvlJc w:val="left"/>
      <w:pPr>
        <w:ind w:left="2160" w:hanging="360"/>
      </w:pPr>
    </w:lvl>
    <w:lvl w:ilvl="3" w:tplc="96B2B354">
      <w:start w:val="1"/>
      <w:numFmt w:val="bullet"/>
      <w:lvlText w:val="●"/>
      <w:lvlJc w:val="left"/>
      <w:pPr>
        <w:ind w:left="2880" w:hanging="360"/>
      </w:pPr>
    </w:lvl>
    <w:lvl w:ilvl="4" w:tplc="43B86E62">
      <w:start w:val="1"/>
      <w:numFmt w:val="bullet"/>
      <w:lvlText w:val="○"/>
      <w:lvlJc w:val="left"/>
      <w:pPr>
        <w:ind w:left="3600" w:hanging="360"/>
      </w:pPr>
    </w:lvl>
    <w:lvl w:ilvl="5" w:tplc="485ECE6A">
      <w:start w:val="1"/>
      <w:numFmt w:val="bullet"/>
      <w:lvlText w:val="■"/>
      <w:lvlJc w:val="left"/>
      <w:pPr>
        <w:ind w:left="4320" w:hanging="360"/>
      </w:pPr>
    </w:lvl>
    <w:lvl w:ilvl="6" w:tplc="5576DFD4">
      <w:start w:val="1"/>
      <w:numFmt w:val="bullet"/>
      <w:lvlText w:val="●"/>
      <w:lvlJc w:val="left"/>
      <w:pPr>
        <w:ind w:left="5040" w:hanging="360"/>
      </w:pPr>
    </w:lvl>
    <w:lvl w:ilvl="7" w:tplc="7ED2CE60">
      <w:start w:val="1"/>
      <w:numFmt w:val="bullet"/>
      <w:lvlText w:val="●"/>
      <w:lvlJc w:val="left"/>
      <w:pPr>
        <w:ind w:left="5760" w:hanging="360"/>
      </w:pPr>
    </w:lvl>
    <w:lvl w:ilvl="8" w:tplc="EEE0C18C">
      <w:start w:val="1"/>
      <w:numFmt w:val="bullet"/>
      <w:lvlText w:val="●"/>
      <w:lvlJc w:val="left"/>
      <w:pPr>
        <w:ind w:left="6480" w:hanging="360"/>
      </w:pPr>
    </w:lvl>
  </w:abstractNum>
  <w:abstractNum w:abstractNumId="1" w15:restartNumberingAfterBreak="0">
    <w:nsid w:val="7DE9241D"/>
    <w:multiLevelType w:val="hybridMultilevel"/>
    <w:tmpl w:val="6EAC3DAE"/>
    <w:lvl w:ilvl="0" w:tplc="8DAEEA44">
      <w:start w:val="1"/>
      <w:numFmt w:val="bullet"/>
      <w:lvlText w:val="•"/>
      <w:lvlJc w:val="left"/>
      <w:pPr>
        <w:ind w:left="360" w:hanging="220"/>
      </w:pPr>
      <w:rPr>
        <w:color w:val="E8501E"/>
      </w:rPr>
    </w:lvl>
    <w:lvl w:ilvl="1" w:tplc="F7B21EA0">
      <w:start w:val="1"/>
      <w:numFmt w:val="bullet"/>
      <w:lvlText w:val="◦"/>
      <w:lvlJc w:val="left"/>
      <w:pPr>
        <w:ind w:left="780" w:hanging="220"/>
      </w:pPr>
    </w:lvl>
    <w:lvl w:ilvl="2" w:tplc="5088DFDE">
      <w:numFmt w:val="decimal"/>
      <w:lvlText w:val=""/>
      <w:lvlJc w:val="left"/>
    </w:lvl>
    <w:lvl w:ilvl="3" w:tplc="03621B80">
      <w:numFmt w:val="decimal"/>
      <w:lvlText w:val=""/>
      <w:lvlJc w:val="left"/>
    </w:lvl>
    <w:lvl w:ilvl="4" w:tplc="81E22914">
      <w:numFmt w:val="decimal"/>
      <w:lvlText w:val=""/>
      <w:lvlJc w:val="left"/>
    </w:lvl>
    <w:lvl w:ilvl="5" w:tplc="350A3596">
      <w:numFmt w:val="decimal"/>
      <w:lvlText w:val=""/>
      <w:lvlJc w:val="left"/>
    </w:lvl>
    <w:lvl w:ilvl="6" w:tplc="36B6314A">
      <w:numFmt w:val="decimal"/>
      <w:lvlText w:val=""/>
      <w:lvlJc w:val="left"/>
    </w:lvl>
    <w:lvl w:ilvl="7" w:tplc="2A58F536">
      <w:numFmt w:val="decimal"/>
      <w:lvlText w:val=""/>
      <w:lvlJc w:val="left"/>
    </w:lvl>
    <w:lvl w:ilvl="8" w:tplc="B99AD3DE">
      <w:numFmt w:val="decimal"/>
      <w:lvlText w:val=""/>
      <w:lvlJc w:val="left"/>
    </w:lvl>
  </w:abstractNum>
  <w:num w:numId="1" w16cid:durableId="314263549">
    <w:abstractNumId w:val="0"/>
    <w:lvlOverride w:ilvl="0">
      <w:startOverride w:val="1"/>
    </w:lvlOverride>
  </w:num>
  <w:num w:numId="2" w16cid:durableId="92114010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08EC"/>
    <w:rsid w:val="002317A9"/>
    <w:rsid w:val="00346D22"/>
    <w:rsid w:val="006A5721"/>
    <w:rsid w:val="008708EC"/>
    <w:rsid w:val="008D1D54"/>
    <w:rsid w:val="00E56F8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71D4A"/>
  <w15:docId w15:val="{B641CBB5-98CE-4CFD-BEA6-A538E3A77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54</TotalTime>
  <Pages>2</Pages>
  <Words>461</Words>
  <Characters>2631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C-Suite Red Team Engagement Checklist: A Full Kill-Chain Methodology</vt:lpstr>
    </vt:vector>
  </TitlesOfParts>
  <Company/>
  <LinksUpToDate>false</LinksUpToDate>
  <CharactersWithSpaces>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C-Suite Red Team Engagement Checklist: A Full Kill-Chain Methodology</dc:title>
  <dc:creator>Payatu</dc:creator>
  <cp:lastModifiedBy>Aparna Halder</cp:lastModifiedBy>
  <cp:revision>2</cp:revision>
  <dcterms:created xsi:type="dcterms:W3CDTF">2026-08-24T10:50:00Z</dcterms:created>
  <dcterms:modified xsi:type="dcterms:W3CDTF">2026-08-24T12:16:00Z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8736b331-05fa-4963-8824-2966cece7cc7</vt:lpwstr>
  </property>
</Properties>
</file>