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29896" w14:textId="77777777" w:rsidR="003C6584" w:rsidRDefault="00000000">
      <w:pPr>
        <w:spacing w:after="160"/>
      </w:pPr>
      <w:r>
        <w:rPr>
          <w:rFonts w:ascii="Calibri" w:eastAsia="Calibri" w:hAnsi="Calibri" w:cs="Calibri"/>
          <w:b/>
          <w:bCs/>
          <w:color w:val="1A1A2E"/>
          <w:sz w:val="34"/>
          <w:szCs w:val="34"/>
        </w:rPr>
        <w:t>Web Application and API Security Self-Assessment Checklist: OWASP-Mapped Test Cases</w:t>
      </w:r>
    </w:p>
    <w:p w14:paraId="1C64B749" w14:textId="4538AA31" w:rsidR="003C6584" w:rsidRDefault="005231CD">
      <w:pPr>
        <w:pBdr>
          <w:bottom w:val="single" w:sz="18" w:space="1" w:color="E8501E"/>
        </w:pBdr>
        <w:spacing w:after="220"/>
      </w:pPr>
      <w:r w:rsidRPr="005231CD">
        <w:rPr>
          <w:rFonts w:ascii="Calibri" w:eastAsia="Calibri" w:hAnsi="Calibri" w:cs="Calibri"/>
          <w:i/>
          <w:iCs/>
          <w:color w:val="2B2B33"/>
          <w:sz w:val="24"/>
          <w:szCs w:val="24"/>
        </w:rPr>
        <w:t>Over 200 web test cases mapped to the OWASP Top 10 2021, plus API checklists for the 2019 and 2023 OWASP API Security Top 10, so you test against a standard, not an ad-hoc list.</w:t>
      </w:r>
    </w:p>
    <w:p w14:paraId="57F6DEF5" w14:textId="77777777" w:rsidR="005231CD" w:rsidRPr="005231CD" w:rsidRDefault="005231CD" w:rsidP="005231CD">
      <w:pPr>
        <w:spacing w:before="220" w:after="120"/>
        <w:rPr>
          <w:rFonts w:ascii="Calibri" w:eastAsia="Calibri" w:hAnsi="Calibri" w:cs="Calibri"/>
          <w:color w:val="2B2B33"/>
          <w:sz w:val="22"/>
          <w:szCs w:val="22"/>
        </w:rPr>
      </w:pPr>
      <w:r w:rsidRPr="005231CD">
        <w:rPr>
          <w:rFonts w:ascii="Calibri" w:eastAsia="Calibri" w:hAnsi="Calibri" w:cs="Calibri"/>
          <w:color w:val="2B2B33"/>
          <w:sz w:val="22"/>
          <w:szCs w:val="22"/>
        </w:rPr>
        <w:t>A web application review is only as good as its coverage, and testing whatever comes to mind misses the categories an attacker won't. This checklist anchors every test case to a published standard, the OWASP Top 10 for web and the OWASP API Security Top 10 for APIs, so nothing is there by accident and nothing important is left off.</w:t>
      </w:r>
    </w:p>
    <w:p w14:paraId="34D45125" w14:textId="120E7A58" w:rsidR="005231CD" w:rsidRPr="005231CD" w:rsidRDefault="005231CD" w:rsidP="005231CD">
      <w:pPr>
        <w:spacing w:before="220" w:after="120"/>
        <w:rPr>
          <w:rFonts w:ascii="Calibri" w:eastAsia="Calibri" w:hAnsi="Calibri" w:cs="Calibri"/>
          <w:color w:val="2B2B33"/>
          <w:sz w:val="22"/>
          <w:szCs w:val="22"/>
        </w:rPr>
      </w:pPr>
      <w:r w:rsidRPr="005231CD">
        <w:rPr>
          <w:rFonts w:ascii="Calibri" w:eastAsia="Calibri" w:hAnsi="Calibri" w:cs="Calibri"/>
          <w:color w:val="2B2B33"/>
          <w:sz w:val="22"/>
          <w:szCs w:val="22"/>
        </w:rPr>
        <w:t>Each row is one test case with a Payatu identifier, grouped by OWASP category, with columns for your observation and a pass, fail, or NA status. The workbook separates web from API and keeps both the 2019 and 2023 API Top 10 editions, so you can test against whichever your program references.</w:t>
      </w:r>
    </w:p>
    <w:p w14:paraId="172E6D13" w14:textId="77777777" w:rsidR="003C6584" w:rsidRDefault="00000000">
      <w:pPr>
        <w:spacing w:before="220" w:after="120"/>
      </w:pPr>
      <w:r>
        <w:rPr>
          <w:rFonts w:ascii="Calibri" w:eastAsia="Calibri" w:hAnsi="Calibri" w:cs="Calibri"/>
          <w:b/>
          <w:bCs/>
          <w:color w:val="E8501E"/>
          <w:sz w:val="26"/>
          <w:szCs w:val="26"/>
        </w:rPr>
        <w:t>Key Take Aways</w:t>
      </w:r>
    </w:p>
    <w:p w14:paraId="6B1B3CC1" w14:textId="1F968EEB" w:rsidR="003C6584" w:rsidRDefault="00000000">
      <w:pPr>
        <w:pStyle w:val="ListParagraph"/>
        <w:numPr>
          <w:ilvl w:val="0"/>
          <w:numId w:val="2"/>
        </w:numPr>
        <w:spacing w:after="80"/>
      </w:pPr>
      <w:r>
        <w:rPr>
          <w:rFonts w:ascii="Calibri" w:eastAsia="Calibri" w:hAnsi="Calibri" w:cs="Calibri"/>
          <w:color w:val="2B2B33"/>
          <w:sz w:val="22"/>
          <w:szCs w:val="22"/>
        </w:rPr>
        <w:t>The web checklist maps over 200 test cases to the OWASP Top 10 2021, with the heaviest coverage on Injection, Authentication, Session and MFA Failures, Insecure Design, and Broken Access Control.</w:t>
      </w:r>
    </w:p>
    <w:p w14:paraId="0EF6A390" w14:textId="77777777" w:rsidR="003C6584" w:rsidRDefault="00000000">
      <w:pPr>
        <w:pStyle w:val="ListParagraph"/>
        <w:numPr>
          <w:ilvl w:val="0"/>
          <w:numId w:val="2"/>
        </w:numPr>
        <w:spacing w:after="80"/>
      </w:pPr>
      <w:r>
        <w:rPr>
          <w:rFonts w:ascii="Calibri" w:eastAsia="Calibri" w:hAnsi="Calibri" w:cs="Calibri"/>
          <w:color w:val="2B2B33"/>
          <w:sz w:val="22"/>
          <w:szCs w:val="22"/>
        </w:rPr>
        <w:t>Two separate API checklists: one mapped to the OWASP API Security Top 10 2019, one to the 2023 edition, so you can align to either version.</w:t>
      </w:r>
    </w:p>
    <w:p w14:paraId="26ED9113" w14:textId="77777777" w:rsidR="003C6584" w:rsidRDefault="00000000">
      <w:pPr>
        <w:pStyle w:val="ListParagraph"/>
        <w:numPr>
          <w:ilvl w:val="0"/>
          <w:numId w:val="2"/>
        </w:numPr>
        <w:spacing w:after="80"/>
      </w:pPr>
      <w:r>
        <w:rPr>
          <w:rFonts w:ascii="Calibri" w:eastAsia="Calibri" w:hAnsi="Calibri" w:cs="Calibri"/>
          <w:color w:val="2B2B33"/>
          <w:sz w:val="22"/>
          <w:szCs w:val="22"/>
        </w:rPr>
        <w:t>The 2023 API sheet ties test cases to CWE identifiers, connecting each check to the underlying weakness.</w:t>
      </w:r>
    </w:p>
    <w:p w14:paraId="02E33D81" w14:textId="77777777" w:rsidR="003C6584" w:rsidRDefault="00000000">
      <w:pPr>
        <w:pStyle w:val="ListParagraph"/>
        <w:numPr>
          <w:ilvl w:val="0"/>
          <w:numId w:val="2"/>
        </w:numPr>
        <w:spacing w:after="80"/>
      </w:pPr>
      <w:r>
        <w:rPr>
          <w:rFonts w:ascii="Calibri" w:eastAsia="Calibri" w:hAnsi="Calibri" w:cs="Calibri"/>
          <w:color w:val="2B2B33"/>
          <w:sz w:val="22"/>
          <w:szCs w:val="22"/>
        </w:rPr>
        <w:t>Every test case carries a Payatu identifier and a Pass, Fail, or NA status column, so the filled workbook is a repeatable assessment record, not a one-time list.</w:t>
      </w:r>
    </w:p>
    <w:p w14:paraId="62BB28CC" w14:textId="77777777" w:rsidR="003C6584" w:rsidRDefault="00000000">
      <w:pPr>
        <w:pStyle w:val="ListParagraph"/>
        <w:numPr>
          <w:ilvl w:val="0"/>
          <w:numId w:val="2"/>
        </w:numPr>
        <w:spacing w:after="80"/>
      </w:pPr>
      <w:r>
        <w:rPr>
          <w:rFonts w:ascii="Calibri" w:eastAsia="Calibri" w:hAnsi="Calibri" w:cs="Calibri"/>
          <w:color w:val="2B2B33"/>
          <w:sz w:val="22"/>
          <w:szCs w:val="22"/>
        </w:rPr>
        <w:t>Built on OWASP's Web Security Testing Guide methodology, referenced in the workbook.</w:t>
      </w:r>
    </w:p>
    <w:p w14:paraId="4118F706" w14:textId="77777777" w:rsidR="003C6584" w:rsidRDefault="00000000">
      <w:pPr>
        <w:spacing w:before="220" w:after="120"/>
      </w:pPr>
      <w:r>
        <w:rPr>
          <w:rFonts w:ascii="Calibri" w:eastAsia="Calibri" w:hAnsi="Calibri" w:cs="Calibri"/>
          <w:b/>
          <w:bCs/>
          <w:color w:val="E8501E"/>
          <w:sz w:val="26"/>
          <w:szCs w:val="26"/>
        </w:rPr>
        <w:t>What's Inside</w:t>
      </w:r>
    </w:p>
    <w:p w14:paraId="75C974A6" w14:textId="77777777" w:rsidR="003C6584" w:rsidRDefault="00000000">
      <w:pPr>
        <w:spacing w:after="100"/>
      </w:pPr>
      <w:r>
        <w:rPr>
          <w:rFonts w:ascii="Calibri" w:eastAsia="Calibri" w:hAnsi="Calibri" w:cs="Calibri"/>
          <w:color w:val="2B2B33"/>
          <w:sz w:val="22"/>
          <w:szCs w:val="22"/>
        </w:rPr>
        <w:t>Separate sheets for the application and the APIs behind it.</w:t>
      </w:r>
    </w:p>
    <w:p w14:paraId="4C8CEB7B" w14:textId="77777777" w:rsidR="003C6584" w:rsidRDefault="00000000">
      <w:pPr>
        <w:pStyle w:val="ListParagraph"/>
        <w:numPr>
          <w:ilvl w:val="0"/>
          <w:numId w:val="2"/>
        </w:numPr>
        <w:spacing w:after="80"/>
      </w:pPr>
      <w:r>
        <w:rPr>
          <w:rFonts w:ascii="Calibri" w:eastAsia="Calibri" w:hAnsi="Calibri" w:cs="Calibri"/>
          <w:color w:val="2B2B33"/>
          <w:sz w:val="22"/>
          <w:szCs w:val="22"/>
        </w:rPr>
        <w:t>A web checklist, every row one test case with a PY-Web identifier, grouped by OWASP Top 10 2021 category: Reconnaissance, Injection, Broken Access Control, Cryptographic Failures, Security Misconfiguration, Insecure Design, Vulnerable and Outdated Components, Authentication/Session/MFA Failures, Software and Data Integrity Failures, Security Logging and Monitoring Failures, SSRF, and a Miscellaneous section for app-specific cases.</w:t>
      </w:r>
    </w:p>
    <w:p w14:paraId="5532AC2B" w14:textId="77777777" w:rsidR="003C6584" w:rsidRDefault="00000000">
      <w:pPr>
        <w:pStyle w:val="ListParagraph"/>
        <w:numPr>
          <w:ilvl w:val="0"/>
          <w:numId w:val="2"/>
        </w:numPr>
        <w:spacing w:after="80"/>
      </w:pPr>
      <w:r>
        <w:rPr>
          <w:rFonts w:ascii="Calibri" w:eastAsia="Calibri" w:hAnsi="Calibri" w:cs="Calibri"/>
          <w:color w:val="2B2B33"/>
          <w:sz w:val="22"/>
          <w:szCs w:val="22"/>
        </w:rPr>
        <w:t>An API checklist mapped to the OWASP API Security Top 10 2019: broken access control, authentication, rate limiting, injection, and more.</w:t>
      </w:r>
    </w:p>
    <w:p w14:paraId="1403C956" w14:textId="77777777" w:rsidR="003C6584" w:rsidRDefault="00000000">
      <w:pPr>
        <w:pStyle w:val="ListParagraph"/>
        <w:numPr>
          <w:ilvl w:val="0"/>
          <w:numId w:val="2"/>
        </w:numPr>
        <w:spacing w:after="80"/>
      </w:pPr>
      <w:r>
        <w:rPr>
          <w:rFonts w:ascii="Calibri" w:eastAsia="Calibri" w:hAnsi="Calibri" w:cs="Calibri"/>
          <w:color w:val="2B2B33"/>
          <w:sz w:val="22"/>
          <w:szCs w:val="22"/>
        </w:rPr>
        <w:t>A second API checklist mapped to the OWASP API Security Top 10 2023, with CWE references: BOLA, broken authentication, SSRF, unsafe consumption of APIs, and the rest of the 2023 list.</w:t>
      </w:r>
    </w:p>
    <w:p w14:paraId="704FA84E" w14:textId="77777777" w:rsidR="003C6584" w:rsidRDefault="00000000">
      <w:pPr>
        <w:pStyle w:val="ListParagraph"/>
        <w:numPr>
          <w:ilvl w:val="0"/>
          <w:numId w:val="2"/>
        </w:numPr>
        <w:spacing w:after="80"/>
      </w:pPr>
      <w:r>
        <w:rPr>
          <w:rFonts w:ascii="Calibri" w:eastAsia="Calibri" w:hAnsi="Calibri" w:cs="Calibri"/>
          <w:color w:val="2B2B33"/>
          <w:sz w:val="22"/>
          <w:szCs w:val="22"/>
        </w:rPr>
        <w:t>Observation and Pass/Fail/NA columns on every row.</w:t>
      </w:r>
    </w:p>
    <w:p w14:paraId="3AF89DCA" w14:textId="77777777" w:rsidR="003C6584" w:rsidRDefault="00000000">
      <w:pPr>
        <w:spacing w:before="220" w:after="120"/>
      </w:pPr>
      <w:r>
        <w:rPr>
          <w:rFonts w:ascii="Calibri" w:eastAsia="Calibri" w:hAnsi="Calibri" w:cs="Calibri"/>
          <w:b/>
          <w:bCs/>
          <w:color w:val="E8501E"/>
          <w:sz w:val="26"/>
          <w:szCs w:val="26"/>
        </w:rPr>
        <w:t>How to use it</w:t>
      </w:r>
    </w:p>
    <w:tbl>
      <w:tblPr>
        <w:tblW w:w="5000" w:type="pct"/>
        <w:tblCellMar>
          <w:left w:w="10" w:type="dxa"/>
          <w:right w:w="10" w:type="dxa"/>
        </w:tblCellMar>
        <w:tblLook w:val="0000" w:firstRow="0" w:lastRow="0" w:firstColumn="0" w:lastColumn="0" w:noHBand="0" w:noVBand="0"/>
      </w:tblPr>
      <w:tblGrid>
        <w:gridCol w:w="946"/>
        <w:gridCol w:w="8894"/>
      </w:tblGrid>
      <w:tr w:rsidR="003C6584" w14:paraId="2213A1D7" w14:textId="77777777">
        <w:tc>
          <w:tcPr>
            <w:tcW w:w="900" w:type="dxa"/>
            <w:shd w:val="clear" w:color="auto" w:fill="E8501E"/>
            <w:tcMar>
              <w:top w:w="60" w:type="dxa"/>
              <w:left w:w="80" w:type="dxa"/>
              <w:bottom w:w="60" w:type="dxa"/>
              <w:right w:w="80" w:type="dxa"/>
            </w:tcMar>
            <w:vAlign w:val="center"/>
          </w:tcPr>
          <w:p w14:paraId="6ECA261F" w14:textId="77777777" w:rsidR="003C6584" w:rsidRDefault="00000000">
            <w:pPr>
              <w:jc w:val="center"/>
            </w:pPr>
            <w:r>
              <w:rPr>
                <w:rFonts w:ascii="Calibri" w:eastAsia="Calibri" w:hAnsi="Calibri" w:cs="Calibri"/>
                <w:b/>
                <w:bCs/>
                <w:color w:val="FFFFFF"/>
                <w:sz w:val="24"/>
                <w:szCs w:val="24"/>
              </w:rPr>
              <w:t>01</w:t>
            </w:r>
          </w:p>
        </w:tc>
        <w:tc>
          <w:tcPr>
            <w:tcW w:w="8460" w:type="dxa"/>
            <w:tcMar>
              <w:top w:w="60" w:type="dxa"/>
              <w:left w:w="160" w:type="dxa"/>
              <w:bottom w:w="60" w:type="dxa"/>
              <w:right w:w="80" w:type="dxa"/>
            </w:tcMar>
            <w:vAlign w:val="center"/>
          </w:tcPr>
          <w:p w14:paraId="5C256800" w14:textId="77777777" w:rsidR="003C6584" w:rsidRDefault="00000000">
            <w:r>
              <w:rPr>
                <w:rFonts w:ascii="Calibri" w:eastAsia="Calibri" w:hAnsi="Calibri" w:cs="Calibri"/>
                <w:color w:val="2B2B33"/>
                <w:sz w:val="22"/>
                <w:szCs w:val="22"/>
              </w:rPr>
              <w:t>Pick the sheet. The web checklist for the application, API 2019 or 2023 for the APIs behind it.</w:t>
            </w:r>
          </w:p>
        </w:tc>
      </w:tr>
    </w:tbl>
    <w:p w14:paraId="663486C6" w14:textId="77777777" w:rsidR="003C6584" w:rsidRDefault="003C6584">
      <w:pPr>
        <w:spacing w:after="80"/>
      </w:pPr>
    </w:p>
    <w:tbl>
      <w:tblPr>
        <w:tblW w:w="5000" w:type="pct"/>
        <w:tblCellMar>
          <w:left w:w="10" w:type="dxa"/>
          <w:right w:w="10" w:type="dxa"/>
        </w:tblCellMar>
        <w:tblLook w:val="0000" w:firstRow="0" w:lastRow="0" w:firstColumn="0" w:lastColumn="0" w:noHBand="0" w:noVBand="0"/>
      </w:tblPr>
      <w:tblGrid>
        <w:gridCol w:w="946"/>
        <w:gridCol w:w="8894"/>
      </w:tblGrid>
      <w:tr w:rsidR="003C6584" w14:paraId="26D8F03A" w14:textId="77777777">
        <w:tc>
          <w:tcPr>
            <w:tcW w:w="900" w:type="dxa"/>
            <w:shd w:val="clear" w:color="auto" w:fill="E8501E"/>
            <w:tcMar>
              <w:top w:w="60" w:type="dxa"/>
              <w:left w:w="80" w:type="dxa"/>
              <w:bottom w:w="60" w:type="dxa"/>
              <w:right w:w="80" w:type="dxa"/>
            </w:tcMar>
            <w:vAlign w:val="center"/>
          </w:tcPr>
          <w:p w14:paraId="082359B0" w14:textId="77777777" w:rsidR="003C6584" w:rsidRDefault="00000000">
            <w:pPr>
              <w:jc w:val="center"/>
            </w:pPr>
            <w:r>
              <w:rPr>
                <w:rFonts w:ascii="Calibri" w:eastAsia="Calibri" w:hAnsi="Calibri" w:cs="Calibri"/>
                <w:b/>
                <w:bCs/>
                <w:color w:val="FFFFFF"/>
                <w:sz w:val="24"/>
                <w:szCs w:val="24"/>
              </w:rPr>
              <w:t>02</w:t>
            </w:r>
          </w:p>
        </w:tc>
        <w:tc>
          <w:tcPr>
            <w:tcW w:w="8460" w:type="dxa"/>
            <w:tcMar>
              <w:top w:w="60" w:type="dxa"/>
              <w:left w:w="160" w:type="dxa"/>
              <w:bottom w:w="60" w:type="dxa"/>
              <w:right w:w="80" w:type="dxa"/>
            </w:tcMar>
            <w:vAlign w:val="center"/>
          </w:tcPr>
          <w:p w14:paraId="4F345CCC" w14:textId="77777777" w:rsidR="003C6584" w:rsidRDefault="00000000">
            <w:r>
              <w:rPr>
                <w:rFonts w:ascii="Calibri" w:eastAsia="Calibri" w:hAnsi="Calibri" w:cs="Calibri"/>
                <w:color w:val="2B2B33"/>
                <w:sz w:val="22"/>
                <w:szCs w:val="22"/>
              </w:rPr>
              <w:t>Read across the row. The Payatu identifier and OWASP category, the test case, and, on the 2023 API sheet, the CWE it maps to.</w:t>
            </w:r>
          </w:p>
        </w:tc>
      </w:tr>
    </w:tbl>
    <w:p w14:paraId="6B84AD0C" w14:textId="77777777" w:rsidR="003C6584" w:rsidRDefault="003C6584">
      <w:pPr>
        <w:spacing w:after="80"/>
      </w:pPr>
    </w:p>
    <w:tbl>
      <w:tblPr>
        <w:tblW w:w="5000" w:type="pct"/>
        <w:tblCellMar>
          <w:left w:w="10" w:type="dxa"/>
          <w:right w:w="10" w:type="dxa"/>
        </w:tblCellMar>
        <w:tblLook w:val="0000" w:firstRow="0" w:lastRow="0" w:firstColumn="0" w:lastColumn="0" w:noHBand="0" w:noVBand="0"/>
      </w:tblPr>
      <w:tblGrid>
        <w:gridCol w:w="946"/>
        <w:gridCol w:w="8894"/>
      </w:tblGrid>
      <w:tr w:rsidR="003C6584" w14:paraId="39B2D483" w14:textId="77777777">
        <w:tc>
          <w:tcPr>
            <w:tcW w:w="900" w:type="dxa"/>
            <w:shd w:val="clear" w:color="auto" w:fill="E8501E"/>
            <w:tcMar>
              <w:top w:w="60" w:type="dxa"/>
              <w:left w:w="80" w:type="dxa"/>
              <w:bottom w:w="60" w:type="dxa"/>
              <w:right w:w="80" w:type="dxa"/>
            </w:tcMar>
            <w:vAlign w:val="center"/>
          </w:tcPr>
          <w:p w14:paraId="5BEF863E" w14:textId="77777777" w:rsidR="003C6584" w:rsidRDefault="00000000">
            <w:pPr>
              <w:jc w:val="center"/>
            </w:pPr>
            <w:r>
              <w:rPr>
                <w:rFonts w:ascii="Calibri" w:eastAsia="Calibri" w:hAnsi="Calibri" w:cs="Calibri"/>
                <w:b/>
                <w:bCs/>
                <w:color w:val="FFFFFF"/>
                <w:sz w:val="24"/>
                <w:szCs w:val="24"/>
              </w:rPr>
              <w:lastRenderedPageBreak/>
              <w:t>03</w:t>
            </w:r>
          </w:p>
        </w:tc>
        <w:tc>
          <w:tcPr>
            <w:tcW w:w="8460" w:type="dxa"/>
            <w:tcMar>
              <w:top w:w="60" w:type="dxa"/>
              <w:left w:w="160" w:type="dxa"/>
              <w:bottom w:w="60" w:type="dxa"/>
              <w:right w:w="80" w:type="dxa"/>
            </w:tcMar>
            <w:vAlign w:val="center"/>
          </w:tcPr>
          <w:p w14:paraId="0EFDCD1F" w14:textId="77777777" w:rsidR="003C6584" w:rsidRDefault="00000000">
            <w:r>
              <w:rPr>
                <w:rFonts w:ascii="Calibri" w:eastAsia="Calibri" w:hAnsi="Calibri" w:cs="Calibri"/>
                <w:color w:val="2B2B33"/>
                <w:sz w:val="22"/>
                <w:szCs w:val="22"/>
              </w:rPr>
              <w:t>Record your result. Note the observation and set Pass, Fail, or NA on each row so the workbook becomes your assessment evidence.</w:t>
            </w:r>
          </w:p>
        </w:tc>
      </w:tr>
    </w:tbl>
    <w:p w14:paraId="1C8F6C8D" w14:textId="77777777" w:rsidR="003C6584" w:rsidRDefault="003C6584">
      <w:pPr>
        <w:spacing w:after="80"/>
      </w:pPr>
    </w:p>
    <w:tbl>
      <w:tblPr>
        <w:tblW w:w="5000" w:type="pct"/>
        <w:tblCellMar>
          <w:left w:w="10" w:type="dxa"/>
          <w:right w:w="10" w:type="dxa"/>
        </w:tblCellMar>
        <w:tblLook w:val="0000" w:firstRow="0" w:lastRow="0" w:firstColumn="0" w:lastColumn="0" w:noHBand="0" w:noVBand="0"/>
      </w:tblPr>
      <w:tblGrid>
        <w:gridCol w:w="946"/>
        <w:gridCol w:w="8894"/>
      </w:tblGrid>
      <w:tr w:rsidR="003C6584" w14:paraId="7113B5A6" w14:textId="77777777">
        <w:tc>
          <w:tcPr>
            <w:tcW w:w="900" w:type="dxa"/>
            <w:shd w:val="clear" w:color="auto" w:fill="E8501E"/>
            <w:tcMar>
              <w:top w:w="60" w:type="dxa"/>
              <w:left w:w="80" w:type="dxa"/>
              <w:bottom w:w="60" w:type="dxa"/>
              <w:right w:w="80" w:type="dxa"/>
            </w:tcMar>
            <w:vAlign w:val="center"/>
          </w:tcPr>
          <w:p w14:paraId="45441139" w14:textId="77777777" w:rsidR="003C6584" w:rsidRDefault="00000000">
            <w:pPr>
              <w:jc w:val="center"/>
            </w:pPr>
            <w:r>
              <w:rPr>
                <w:rFonts w:ascii="Calibri" w:eastAsia="Calibri" w:hAnsi="Calibri" w:cs="Calibri"/>
                <w:b/>
                <w:bCs/>
                <w:color w:val="FFFFFF"/>
                <w:sz w:val="24"/>
                <w:szCs w:val="24"/>
              </w:rPr>
              <w:t>04</w:t>
            </w:r>
          </w:p>
        </w:tc>
        <w:tc>
          <w:tcPr>
            <w:tcW w:w="8460" w:type="dxa"/>
            <w:tcMar>
              <w:top w:w="60" w:type="dxa"/>
              <w:left w:w="160" w:type="dxa"/>
              <w:bottom w:w="60" w:type="dxa"/>
              <w:right w:w="80" w:type="dxa"/>
            </w:tcMar>
            <w:vAlign w:val="center"/>
          </w:tcPr>
          <w:p w14:paraId="5F5593CB" w14:textId="77777777" w:rsidR="003C6584" w:rsidRDefault="00000000">
            <w:r>
              <w:rPr>
                <w:rFonts w:ascii="Calibri" w:eastAsia="Calibri" w:hAnsi="Calibri" w:cs="Calibri"/>
                <w:color w:val="2B2B33"/>
                <w:sz w:val="22"/>
                <w:szCs w:val="22"/>
              </w:rPr>
              <w:t>Want the findings validated by hand? Payatu's application security team runs these test cases manually, past the scanner's reach, in a scoped web or API assessment. Get a scoped assessment.</w:t>
            </w:r>
          </w:p>
        </w:tc>
      </w:tr>
    </w:tbl>
    <w:p w14:paraId="1C2C9885" w14:textId="77777777" w:rsidR="003C6584" w:rsidRDefault="003C6584">
      <w:pPr>
        <w:spacing w:after="80"/>
      </w:pPr>
    </w:p>
    <w:sectPr w:rsidR="003C6584">
      <w:pgSz w:w="12240" w:h="15840"/>
      <w:pgMar w:top="1080" w:right="1200" w:bottom="108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A6651"/>
    <w:multiLevelType w:val="hybridMultilevel"/>
    <w:tmpl w:val="F3662FB6"/>
    <w:lvl w:ilvl="0" w:tplc="AD2C250A">
      <w:start w:val="1"/>
      <w:numFmt w:val="bullet"/>
      <w:lvlText w:val="•"/>
      <w:lvlJc w:val="left"/>
      <w:pPr>
        <w:ind w:left="360" w:hanging="220"/>
      </w:pPr>
      <w:rPr>
        <w:color w:val="E8501E"/>
      </w:rPr>
    </w:lvl>
    <w:lvl w:ilvl="1" w:tplc="65223FB6">
      <w:start w:val="1"/>
      <w:numFmt w:val="bullet"/>
      <w:lvlText w:val="◦"/>
      <w:lvlJc w:val="left"/>
      <w:pPr>
        <w:ind w:left="780" w:hanging="220"/>
      </w:pPr>
    </w:lvl>
    <w:lvl w:ilvl="2" w:tplc="A3B29742">
      <w:numFmt w:val="decimal"/>
      <w:lvlText w:val=""/>
      <w:lvlJc w:val="left"/>
    </w:lvl>
    <w:lvl w:ilvl="3" w:tplc="639CE148">
      <w:numFmt w:val="decimal"/>
      <w:lvlText w:val=""/>
      <w:lvlJc w:val="left"/>
    </w:lvl>
    <w:lvl w:ilvl="4" w:tplc="11D6BB84">
      <w:numFmt w:val="decimal"/>
      <w:lvlText w:val=""/>
      <w:lvlJc w:val="left"/>
    </w:lvl>
    <w:lvl w:ilvl="5" w:tplc="31F27D70">
      <w:numFmt w:val="decimal"/>
      <w:lvlText w:val=""/>
      <w:lvlJc w:val="left"/>
    </w:lvl>
    <w:lvl w:ilvl="6" w:tplc="C2D610F6">
      <w:numFmt w:val="decimal"/>
      <w:lvlText w:val=""/>
      <w:lvlJc w:val="left"/>
    </w:lvl>
    <w:lvl w:ilvl="7" w:tplc="06A89DEA">
      <w:numFmt w:val="decimal"/>
      <w:lvlText w:val=""/>
      <w:lvlJc w:val="left"/>
    </w:lvl>
    <w:lvl w:ilvl="8" w:tplc="C8587BC0">
      <w:numFmt w:val="decimal"/>
      <w:lvlText w:val=""/>
      <w:lvlJc w:val="left"/>
    </w:lvl>
  </w:abstractNum>
  <w:abstractNum w:abstractNumId="1" w15:restartNumberingAfterBreak="0">
    <w:nsid w:val="3D5807ED"/>
    <w:multiLevelType w:val="hybridMultilevel"/>
    <w:tmpl w:val="82EAE24E"/>
    <w:lvl w:ilvl="0" w:tplc="466C2454">
      <w:start w:val="1"/>
      <w:numFmt w:val="bullet"/>
      <w:lvlText w:val="●"/>
      <w:lvlJc w:val="left"/>
      <w:pPr>
        <w:ind w:left="720" w:hanging="360"/>
      </w:pPr>
    </w:lvl>
    <w:lvl w:ilvl="1" w:tplc="0CBC0958">
      <w:start w:val="1"/>
      <w:numFmt w:val="bullet"/>
      <w:lvlText w:val="○"/>
      <w:lvlJc w:val="left"/>
      <w:pPr>
        <w:ind w:left="1440" w:hanging="360"/>
      </w:pPr>
    </w:lvl>
    <w:lvl w:ilvl="2" w:tplc="D994B31C">
      <w:start w:val="1"/>
      <w:numFmt w:val="bullet"/>
      <w:lvlText w:val="■"/>
      <w:lvlJc w:val="left"/>
      <w:pPr>
        <w:ind w:left="2160" w:hanging="360"/>
      </w:pPr>
    </w:lvl>
    <w:lvl w:ilvl="3" w:tplc="C68ECBA6">
      <w:start w:val="1"/>
      <w:numFmt w:val="bullet"/>
      <w:lvlText w:val="●"/>
      <w:lvlJc w:val="left"/>
      <w:pPr>
        <w:ind w:left="2880" w:hanging="360"/>
      </w:pPr>
    </w:lvl>
    <w:lvl w:ilvl="4" w:tplc="3F9CD5B2">
      <w:start w:val="1"/>
      <w:numFmt w:val="bullet"/>
      <w:lvlText w:val="○"/>
      <w:lvlJc w:val="left"/>
      <w:pPr>
        <w:ind w:left="3600" w:hanging="360"/>
      </w:pPr>
    </w:lvl>
    <w:lvl w:ilvl="5" w:tplc="8618D7B6">
      <w:start w:val="1"/>
      <w:numFmt w:val="bullet"/>
      <w:lvlText w:val="■"/>
      <w:lvlJc w:val="left"/>
      <w:pPr>
        <w:ind w:left="4320" w:hanging="360"/>
      </w:pPr>
    </w:lvl>
    <w:lvl w:ilvl="6" w:tplc="ED00AB6E">
      <w:start w:val="1"/>
      <w:numFmt w:val="bullet"/>
      <w:lvlText w:val="●"/>
      <w:lvlJc w:val="left"/>
      <w:pPr>
        <w:ind w:left="5040" w:hanging="360"/>
      </w:pPr>
    </w:lvl>
    <w:lvl w:ilvl="7" w:tplc="42C614FE">
      <w:start w:val="1"/>
      <w:numFmt w:val="bullet"/>
      <w:lvlText w:val="●"/>
      <w:lvlJc w:val="left"/>
      <w:pPr>
        <w:ind w:left="5760" w:hanging="360"/>
      </w:pPr>
    </w:lvl>
    <w:lvl w:ilvl="8" w:tplc="AE6610E0">
      <w:start w:val="1"/>
      <w:numFmt w:val="bullet"/>
      <w:lvlText w:val="●"/>
      <w:lvlJc w:val="left"/>
      <w:pPr>
        <w:ind w:left="6480" w:hanging="360"/>
      </w:pPr>
    </w:lvl>
  </w:abstractNum>
  <w:num w:numId="1" w16cid:durableId="2037808361">
    <w:abstractNumId w:val="1"/>
    <w:lvlOverride w:ilvl="0">
      <w:startOverride w:val="1"/>
    </w:lvlOverride>
  </w:num>
  <w:num w:numId="2" w16cid:durableId="2802609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584"/>
    <w:rsid w:val="002317A9"/>
    <w:rsid w:val="003C6584"/>
    <w:rsid w:val="005231CD"/>
    <w:rsid w:val="00AA03A4"/>
    <w:rsid w:val="00AA62C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73EB8"/>
  <w15:docId w15:val="{B641CBB5-98CE-4CFD-BEA6-A538E3A7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455</Words>
  <Characters>2595</Characters>
  <Application>Microsoft Office Word</Application>
  <DocSecurity>0</DocSecurity>
  <Lines>21</Lines>
  <Paragraphs>6</Paragraphs>
  <ScaleCrop>false</ScaleCrop>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Application and API Security Self-Assessment Checklist: OWASP-Mapped Test Cases</dc:title>
  <dc:creator>Payatu</dc:creator>
  <cp:lastModifiedBy>Tanvi Tirthani</cp:lastModifiedBy>
  <cp:revision>3</cp:revision>
  <dcterms:created xsi:type="dcterms:W3CDTF">2026-08-24T10:50:00Z</dcterms:created>
  <dcterms:modified xsi:type="dcterms:W3CDTF">2026-08-24T13:32:00Z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2aa02281-0ea2-44ac-9754-69cf56f3454d</vt:lpwstr>
  </property>
</Properties>
</file>