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504A" w:rsidRDefault="5244B701" w14:paraId="2C078E63" w14:textId="534A1A54">
      <w:r>
        <w:t>Privacy Control Crosswalk: ISO 27701:2025 to GDPR and DPDP</w:t>
      </w:r>
    </w:p>
    <w:p w:rsidR="5244B701" w:rsidRDefault="5244B701" w14:paraId="1F262873" w14:textId="6E162207">
      <w:r>
        <w:t>All 82 ISO/IEC 27701:2025 subclauses mapped to the GDPR article and the DPDP Act section or 2025 Rule that covers them, so your team runs one control set against two regulators instead of two.</w:t>
      </w:r>
    </w:p>
    <w:p w:rsidR="6EBD6EF8" w:rsidRDefault="6EBD6EF8" w14:paraId="28A838EF" w14:textId="14D413EC"/>
    <w:p w:rsidR="6EBD6EF8" w:rsidRDefault="6EBD6EF8" w14:paraId="54471D95" w14:textId="367EC10D"/>
    <w:p w:rsidR="6EBD6EF8" w:rsidRDefault="6EBD6EF8" w14:paraId="0837163A" w14:textId="393AFBC7"/>
    <w:p w:rsidR="34714F0F" w:rsidRDefault="34714F0F" w14:paraId="6C1577A0" w14:textId="59EF1005">
      <w:r>
        <w:t>ISO/IEC 27701:2025 is now a standalone privacy standard. India’s DPDP Rules were notified in November 2025, with substantive compliance obligations kicking in by May 2027. If your organization operates under GDPR and needs to align with DPDP (or is pursuing 27701 certification alongside either), you’re cross-referencing three frameworks manually.</w:t>
      </w:r>
    </w:p>
    <w:p w:rsidR="34714F0F" w:rsidP="6EBD6EF8" w:rsidRDefault="34714F0F" w14:paraId="14CF0583" w14:textId="2E919152">
      <w:r>
        <w:t xml:space="preserve"> </w:t>
      </w:r>
    </w:p>
    <w:p w:rsidR="34714F0F" w:rsidP="6EBD6EF8" w:rsidRDefault="34714F0F" w14:paraId="33602CEC" w14:textId="77A5F653">
      <w:r>
        <w:t>This mapping does that work for you. It aligns 82 ISO/IEC 27701:2025 subclauses to their corresponding GDPR articles and DPDP Act 2023/Rules 2025 sections</w:t>
      </w:r>
    </w:p>
    <w:p w:rsidR="6EBD6EF8" w:rsidP="6EBD6EF8" w:rsidRDefault="6EBD6EF8" w14:paraId="7AFF4C77" w14:textId="0E29E9B6"/>
    <w:p w:rsidR="6EBD6EF8" w:rsidP="6EBD6EF8" w:rsidRDefault="6EBD6EF8" w14:paraId="608257A1" w14:textId="62F5119B"/>
    <w:p w:rsidR="34714F0F" w:rsidP="6EBD6EF8" w:rsidRDefault="34714F0F" w14:paraId="5D87A635" w14:textId="7BA55C81">
      <w:r w:rsidR="34714F0F">
        <w:rPr/>
        <w:t>Key Take Aways</w:t>
      </w:r>
    </w:p>
    <w:p w:rsidR="16B2106E" w:rsidP="0EFC8739" w:rsidRDefault="16B2106E" w14:paraId="69D05A79" w14:textId="6A6C7E0A">
      <w:pPr>
        <w:pStyle w:val="ListParagraph"/>
        <w:numPr>
          <w:ilvl w:val="0"/>
          <w:numId w:val="2"/>
        </w:numPr>
        <w:rPr/>
      </w:pPr>
      <w:r w:rsidR="16B2106E">
        <w:rPr/>
        <w:t>Which ISO 27701 controls already satisfy DPDP: all 25 security control subclauses map to both frameworks</w:t>
      </w:r>
    </w:p>
    <w:p w:rsidR="16B2106E" w:rsidP="0EFC8739" w:rsidRDefault="16B2106E" w14:paraId="4A0D20C5" w14:textId="323040B3">
      <w:pPr>
        <w:pStyle w:val="ListParagraph"/>
        <w:numPr>
          <w:ilvl w:val="0"/>
          <w:numId w:val="2"/>
        </w:numPr>
        <w:rPr/>
      </w:pPr>
      <w:r w:rsidR="16B2106E">
        <w:rPr/>
        <w:t>Where the two part company: the DPDP Act has no right to object, it relies on withdrawal of consent instead</w:t>
      </w:r>
    </w:p>
    <w:p w:rsidR="16B2106E" w:rsidP="0EFC8739" w:rsidRDefault="16B2106E" w14:paraId="2BEF7DE6" w14:textId="0DC43735">
      <w:pPr>
        <w:pStyle w:val="ListParagraph"/>
        <w:numPr>
          <w:ilvl w:val="0"/>
          <w:numId w:val="2"/>
        </w:numPr>
        <w:rPr/>
      </w:pPr>
      <w:r w:rsidR="16B2106E">
        <w:rPr/>
        <w:t>Three duties GDPR puts on your processor that India puts back on you, so your contracts can be corrected</w:t>
      </w:r>
    </w:p>
    <w:p w:rsidR="16B2106E" w:rsidP="0EFC8739" w:rsidRDefault="16B2106E" w14:paraId="6ABBE990" w14:textId="37A44FC3">
      <w:pPr>
        <w:pStyle w:val="ListParagraph"/>
        <w:numPr>
          <w:ilvl w:val="0"/>
          <w:numId w:val="2"/>
        </w:numPr>
        <w:rPr/>
      </w:pPr>
      <w:r w:rsidR="16B2106E">
        <w:rPr/>
        <w:t>Which obligations only start once you are notified a Significant Data Fiduciary, so you do not over-budget</w:t>
      </w:r>
    </w:p>
    <w:p w:rsidR="6EBD6EF8" w:rsidP="6EBD6EF8" w:rsidRDefault="6EBD6EF8" w14:paraId="1963B800" w14:textId="7BA74C9A"/>
    <w:p w:rsidR="6EBD6EF8" w:rsidP="6EBD6EF8" w:rsidRDefault="6EBD6EF8" w14:paraId="5EDAEC0A" w14:textId="26D643FD"/>
    <w:p w:rsidR="34714F0F" w:rsidP="6EBD6EF8" w:rsidRDefault="34714F0F" w14:paraId="52133D74" w14:textId="461C2CA0">
      <w:r>
        <w:t>What’s Inside</w:t>
      </w:r>
    </w:p>
    <w:p w:rsidR="34714F0F" w:rsidP="0EFC8739" w:rsidRDefault="34714F0F" w14:paraId="163149FC" w14:textId="4D15473A">
      <w:pPr>
        <w:pStyle w:val="ListParagraph"/>
        <w:numPr>
          <w:ilvl w:val="0"/>
          <w:numId w:val="1"/>
        </w:numPr>
        <w:rPr/>
      </w:pPr>
      <w:r w:rsidR="34714F0F">
        <w:rPr/>
        <w:t>Every row is one ISO/IEC 27701:2025 subclause, grouped the way the standard groups them.</w:t>
      </w:r>
    </w:p>
    <w:p w:rsidR="34714F0F" w:rsidP="0EFC8739" w:rsidRDefault="34714F0F" w14:paraId="7F8EA2E8" w14:textId="79E44B8D">
      <w:pPr>
        <w:pStyle w:val="ListParagraph"/>
        <w:numPr>
          <w:ilvl w:val="0"/>
          <w:numId w:val="1"/>
        </w:numPr>
        <w:rPr/>
      </w:pPr>
      <w:r w:rsidR="34714F0F">
        <w:rPr/>
        <w:t>Security controls (encryption, access control, breach notification, logging)</w:t>
      </w:r>
    </w:p>
    <w:p w:rsidR="34714F0F" w:rsidP="0EFC8739" w:rsidRDefault="34714F0F" w14:paraId="0E3D50F5" w14:textId="6D6D443A">
      <w:pPr>
        <w:pStyle w:val="ListParagraph"/>
        <w:numPr>
          <w:ilvl w:val="0"/>
          <w:numId w:val="1"/>
        </w:numPr>
        <w:rPr/>
      </w:pPr>
      <w:r w:rsidR="34714F0F">
        <w:rPr/>
        <w:t>Controller obligations (consent, notice, data minimization, cross-border transfers, erasure)</w:t>
      </w:r>
    </w:p>
    <w:p w:rsidR="34714F0F" w:rsidP="0EFC8739" w:rsidRDefault="34714F0F" w14:paraId="06E72006" w14:textId="1D592595">
      <w:pPr>
        <w:pStyle w:val="ListParagraph"/>
        <w:numPr>
          <w:ilvl w:val="0"/>
          <w:numId w:val="1"/>
        </w:numPr>
        <w:rPr/>
      </w:pPr>
      <w:r w:rsidR="34714F0F">
        <w:rPr/>
        <w:t>Processor responsibilities (contractual safeguards, sub-processing, data return/deletion)</w:t>
      </w:r>
    </w:p>
    <w:p w:rsidR="34714F0F" w:rsidP="0EFC8739" w:rsidRDefault="34714F0F" w14:paraId="7F36D34E" w14:textId="3F7CB6A2">
      <w:pPr>
        <w:pStyle w:val="ListParagraph"/>
        <w:numPr>
          <w:ilvl w:val="0"/>
          <w:numId w:val="1"/>
        </w:numPr>
        <w:rPr/>
      </w:pPr>
      <w:r w:rsidR="34714F0F">
        <w:rPr/>
        <w:t>Management system requirements (DPIA, DPO appointment, audit, risk assessment).</w:t>
      </w:r>
    </w:p>
    <w:p w:rsidR="6EBD6EF8" w:rsidP="6EBD6EF8" w:rsidRDefault="6EBD6EF8" w14:paraId="3AA20812" w14:textId="5666F958"/>
    <w:p w:rsidR="6EBD6EF8" w:rsidP="6EBD6EF8" w:rsidRDefault="6EBD6EF8" w14:paraId="7F6D84A1" w14:textId="670A8F74"/>
    <w:p w:rsidR="34714F0F" w:rsidP="6EBD6EF8" w:rsidRDefault="34714F0F" w14:paraId="69CFB58C" w14:textId="7CC00F87">
      <w:r>
        <w:t>How to use it</w:t>
      </w:r>
    </w:p>
    <w:p w:rsidR="6EBD6EF8" w:rsidP="6EBD6EF8" w:rsidRDefault="6EBD6EF8" w14:paraId="386348DC" w14:textId="265EEAFE"/>
    <w:tbl>
      <w:tblPr>
        <w:tblW w:w="0" w:type="auto"/>
        <w:tblLook w:val="06A0" w:firstRow="1" w:lastRow="0" w:firstColumn="1" w:lastColumn="0" w:noHBand="1" w:noVBand="1"/>
      </w:tblPr>
      <w:tblGrid>
        <w:gridCol w:w="961"/>
        <w:gridCol w:w="8379"/>
      </w:tblGrid>
      <w:tr w:rsidR="6EBD6EF8" w:rsidTr="6EBD6EF8" w14:paraId="751AD3AF" w14:textId="77777777">
        <w:trPr>
          <w:trHeight w:val="300"/>
        </w:trPr>
        <w:tc>
          <w:tcPr>
            <w:tcW w:w="961"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2BC6DBC3" w14:textId="4DFC226E">
            <w:pPr>
              <w:spacing w:after="0" w:line="266" w:lineRule="auto"/>
            </w:pPr>
            <w:r w:rsidRPr="6EBD6EF8">
              <w:rPr>
                <w:rFonts w:ascii="Calibri" w:hAnsi="Calibri" w:eastAsia="Calibri" w:cs="Calibri"/>
                <w:b/>
                <w:bCs/>
                <w:color w:val="9A9A9A"/>
                <w:sz w:val="18"/>
                <w:szCs w:val="18"/>
              </w:rPr>
              <w:t>01</w:t>
            </w:r>
          </w:p>
        </w:tc>
        <w:tc>
          <w:tcPr>
            <w:tcW w:w="8379"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284C0D9E" w14:textId="24CF67E7">
            <w:pPr>
              <w:spacing w:after="0" w:line="276" w:lineRule="auto"/>
            </w:pPr>
            <w:r w:rsidRPr="6EBD6EF8">
              <w:rPr>
                <w:rFonts w:ascii="Calibri" w:hAnsi="Calibri" w:eastAsia="Calibri" w:cs="Calibri"/>
                <w:color w:val="1A1A1A"/>
                <w:sz w:val="20"/>
                <w:szCs w:val="20"/>
              </w:rPr>
              <w:t>Pick your scope. Filter to the ISO/IEC 27701:2025 clause family your auditor is asking about, or run all 82 rows for a first-pass review.</w:t>
            </w:r>
          </w:p>
        </w:tc>
      </w:tr>
      <w:tr w:rsidR="6EBD6EF8" w:rsidTr="6EBD6EF8" w14:paraId="1D7F2FE9" w14:textId="77777777">
        <w:trPr>
          <w:trHeight w:val="300"/>
        </w:trPr>
        <w:tc>
          <w:tcPr>
            <w:tcW w:w="961"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7118C0C7" w14:textId="5BA0B442">
            <w:pPr>
              <w:spacing w:after="0" w:line="266" w:lineRule="auto"/>
            </w:pPr>
            <w:r w:rsidRPr="6EBD6EF8">
              <w:rPr>
                <w:rFonts w:ascii="Calibri" w:hAnsi="Calibri" w:eastAsia="Calibri" w:cs="Calibri"/>
                <w:b/>
                <w:bCs/>
                <w:color w:val="9A9A9A"/>
                <w:sz w:val="18"/>
                <w:szCs w:val="18"/>
              </w:rPr>
              <w:t>02</w:t>
            </w:r>
          </w:p>
        </w:tc>
        <w:tc>
          <w:tcPr>
            <w:tcW w:w="8379"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1B014C57" w14:textId="01BDBB47">
            <w:pPr>
              <w:spacing w:after="0" w:line="276" w:lineRule="auto"/>
            </w:pPr>
            <w:r w:rsidRPr="6EBD6EF8">
              <w:rPr>
                <w:rFonts w:ascii="Calibri" w:hAnsi="Calibri" w:eastAsia="Calibri" w:cs="Calibri"/>
                <w:color w:val="1A1A1A"/>
                <w:sz w:val="20"/>
                <w:szCs w:val="20"/>
              </w:rPr>
              <w:t>Read across the row. The ISO subclause first, then the GDPR article, then the DPDP Act section and the DPDP Rules 2025 provision that cover it.</w:t>
            </w:r>
          </w:p>
        </w:tc>
      </w:tr>
      <w:tr w:rsidR="6EBD6EF8" w:rsidTr="6EBD6EF8" w14:paraId="0FDC7018" w14:textId="77777777">
        <w:trPr>
          <w:trHeight w:val="300"/>
        </w:trPr>
        <w:tc>
          <w:tcPr>
            <w:tcW w:w="961"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159DC3BB" w14:textId="6C57976D">
            <w:pPr>
              <w:spacing w:after="0" w:line="266" w:lineRule="auto"/>
            </w:pPr>
            <w:r w:rsidRPr="6EBD6EF8">
              <w:rPr>
                <w:rFonts w:ascii="Calibri" w:hAnsi="Calibri" w:eastAsia="Calibri" w:cs="Calibri"/>
                <w:b/>
                <w:bCs/>
                <w:color w:val="9A9A9A"/>
                <w:sz w:val="18"/>
                <w:szCs w:val="18"/>
              </w:rPr>
              <w:t>03</w:t>
            </w:r>
          </w:p>
        </w:tc>
        <w:tc>
          <w:tcPr>
            <w:tcW w:w="8379"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335207A0" w14:textId="6EA1CB94">
            <w:pPr>
              <w:spacing w:after="0" w:line="276" w:lineRule="auto"/>
            </w:pPr>
            <w:r w:rsidRPr="6EBD6EF8">
              <w:rPr>
                <w:rFonts w:ascii="Calibri" w:hAnsi="Calibri" w:eastAsia="Calibri" w:cs="Calibri"/>
                <w:color w:val="1A1A1A"/>
                <w:sz w:val="20"/>
                <w:szCs w:val="20"/>
              </w:rPr>
              <w:t>Record your own control reference and owner in the Notes column. It ships empty, so the sheet becomes your working record rather than a static reference.</w:t>
            </w:r>
          </w:p>
        </w:tc>
      </w:tr>
      <w:tr w:rsidR="6EBD6EF8" w:rsidTr="6EBD6EF8" w14:paraId="5E82677F" w14:textId="77777777">
        <w:trPr>
          <w:trHeight w:val="300"/>
        </w:trPr>
        <w:tc>
          <w:tcPr>
            <w:tcW w:w="961"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7370E464" w14:textId="54D88AD1">
            <w:pPr>
              <w:spacing w:after="0" w:line="266" w:lineRule="auto"/>
            </w:pPr>
            <w:r w:rsidRPr="6EBD6EF8">
              <w:rPr>
                <w:rFonts w:ascii="Calibri" w:hAnsi="Calibri" w:eastAsia="Calibri" w:cs="Calibri"/>
                <w:b/>
                <w:bCs/>
                <w:color w:val="9A9A9A"/>
                <w:sz w:val="18"/>
                <w:szCs w:val="18"/>
              </w:rPr>
              <w:t>04</w:t>
            </w:r>
          </w:p>
        </w:tc>
        <w:tc>
          <w:tcPr>
            <w:tcW w:w="8379" w:type="dxa"/>
            <w:tcBorders>
              <w:top w:val="single" w:color="DEDEDE" w:sz="8" w:space="0"/>
              <w:left w:val="single" w:color="FFFFFF" w:themeColor="background1" w:sz="8" w:space="0"/>
              <w:bottom w:val="single" w:color="DEDEDE" w:sz="8" w:space="0"/>
              <w:right w:val="single" w:color="FFFFFF" w:themeColor="background1" w:sz="8" w:space="0"/>
            </w:tcBorders>
            <w:tcMar>
              <w:top w:w="60" w:type="dxa"/>
              <w:left w:w="140" w:type="dxa"/>
              <w:bottom w:w="60" w:type="dxa"/>
              <w:right w:w="140" w:type="dxa"/>
            </w:tcMar>
          </w:tcPr>
          <w:p w:rsidR="6EBD6EF8" w:rsidP="6EBD6EF8" w:rsidRDefault="6EBD6EF8" w14:paraId="71E79EE5" w14:textId="62505C08">
            <w:pPr>
              <w:spacing w:after="0" w:line="276" w:lineRule="auto"/>
            </w:pPr>
            <w:r w:rsidRPr="6EBD6EF8">
              <w:rPr>
                <w:rFonts w:ascii="Calibri" w:hAnsi="Calibri" w:eastAsia="Calibri" w:cs="Calibri"/>
                <w:color w:val="1A1A1A"/>
                <w:sz w:val="20"/>
                <w:szCs w:val="20"/>
              </w:rPr>
              <w:t>Not sure whether a row applies to you? Send us the filled sheet and a Payatu GRC assessor will walk through it with you.</w:t>
            </w:r>
          </w:p>
        </w:tc>
      </w:tr>
    </w:tbl>
    <w:p w:rsidR="6EBD6EF8" w:rsidP="6EBD6EF8" w:rsidRDefault="6EBD6EF8" w14:paraId="1104C1CC" w14:textId="7AD900A5"/>
    <w:p w:rsidR="6EBD6EF8" w:rsidRDefault="6EBD6EF8" w14:paraId="055DEC43" w14:textId="4D9498F7"/>
    <w:sectPr w:rsidR="6EBD6EF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507b77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18234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7B6AE0"/>
    <w:rsid w:val="0027504A"/>
    <w:rsid w:val="005E33DE"/>
    <w:rsid w:val="00792B3E"/>
    <w:rsid w:val="0EFC8739"/>
    <w:rsid w:val="127E90DE"/>
    <w:rsid w:val="16B2106E"/>
    <w:rsid w:val="192DFCB9"/>
    <w:rsid w:val="34714F0F"/>
    <w:rsid w:val="3ABAE2A1"/>
    <w:rsid w:val="497B6AE0"/>
    <w:rsid w:val="5244B701"/>
    <w:rsid w:val="52D6E4B6"/>
    <w:rsid w:val="5B266DB3"/>
    <w:rsid w:val="6C1CB86A"/>
    <w:rsid w:val="6EBD6EF8"/>
    <w:rsid w:val="73AE6EBB"/>
    <w:rsid w:val="7902812E"/>
    <w:rsid w:val="7A3B0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CDCBB32"/>
  <w15:chartTrackingRefBased/>
  <w15:docId w15:val="{C13C9286-4E0D-4BB0-8598-B5DB5163B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uiPriority w:val="34"/>
    <w:name w:val="List Paragraph"/>
    <w:basedOn w:val="Normal"/>
    <w:qFormat/>
    <w:rsid w:val="0EFC873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d8e305e1dc54df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Tanvi Tirthani</dc:creator>
  <keywords/>
  <dc:description/>
  <lastModifiedBy>Tanvi Tirthani</lastModifiedBy>
  <revision>2</revision>
  <dcterms:created xsi:type="dcterms:W3CDTF">2026-08-06T09:30:00.0000000Z</dcterms:created>
  <dcterms:modified xsi:type="dcterms:W3CDTF">2026-08-07T10:03:08.3531028Z</dcterms:modified>
</coreProperties>
</file>