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275EF" w14:textId="257752CD" w:rsidR="00FD7F31" w:rsidRDefault="00000000">
      <w:pPr>
        <w:spacing w:after="160"/>
      </w:pPr>
      <w:r>
        <w:rPr>
          <w:rFonts w:ascii="Calibri" w:eastAsia="Calibri" w:hAnsi="Calibri" w:cs="Calibri"/>
          <w:b/>
          <w:bCs/>
          <w:color w:val="1A1A2E"/>
          <w:sz w:val="34"/>
          <w:szCs w:val="34"/>
        </w:rPr>
        <w:t>Active Directory Attack Test Cases: MITRE ATT&amp;CK-Mapped Checks for On-Prem AD</w:t>
      </w:r>
    </w:p>
    <w:p w14:paraId="4633A703" w14:textId="4E8EF1E3" w:rsidR="00FD7F31" w:rsidRDefault="00D43848">
      <w:pPr>
        <w:pBdr>
          <w:bottom w:val="single" w:sz="18" w:space="1" w:color="E8501E"/>
        </w:pBdr>
        <w:spacing w:after="220"/>
        <w:rPr>
          <w:rFonts w:ascii="Calibri" w:eastAsia="Calibri" w:hAnsi="Calibri" w:cs="Calibri"/>
          <w:i/>
          <w:iCs/>
          <w:color w:val="2B2B33"/>
          <w:sz w:val="24"/>
          <w:szCs w:val="24"/>
        </w:rPr>
      </w:pPr>
      <w:r w:rsidRPr="00D43848">
        <w:rPr>
          <w:rFonts w:ascii="Calibri" w:eastAsia="Calibri" w:hAnsi="Calibri" w:cs="Calibri"/>
          <w:i/>
          <w:iCs/>
          <w:color w:val="2B2B33"/>
          <w:sz w:val="24"/>
          <w:szCs w:val="24"/>
        </w:rPr>
        <w:t>40 on-prem Active Directory attack test cases, each mapped to its MITRE ATT&amp;CK technique, with the exact tools, commands, and indicators of compromise to run the attack and catch it.</w:t>
      </w:r>
    </w:p>
    <w:p w14:paraId="236BF316" w14:textId="77777777" w:rsidR="00D43848" w:rsidRDefault="00D43848">
      <w:pPr>
        <w:pBdr>
          <w:bottom w:val="single" w:sz="18" w:space="1" w:color="E8501E"/>
        </w:pBdr>
        <w:spacing w:after="220"/>
      </w:pPr>
    </w:p>
    <w:p w14:paraId="1E5122ED" w14:textId="1761D809" w:rsidR="00D43848" w:rsidRPr="00D43848" w:rsidRDefault="00D43848" w:rsidP="00D43848">
      <w:pPr>
        <w:spacing w:before="220" w:after="120"/>
        <w:rPr>
          <w:rFonts w:ascii="Calibri" w:eastAsia="Calibri" w:hAnsi="Calibri" w:cs="Calibri"/>
          <w:color w:val="2B2B33"/>
          <w:sz w:val="22"/>
          <w:szCs w:val="22"/>
        </w:rPr>
      </w:pPr>
      <w:r w:rsidRPr="00D43848">
        <w:rPr>
          <w:rFonts w:ascii="Calibri" w:eastAsia="Calibri" w:hAnsi="Calibri" w:cs="Calibri"/>
          <w:color w:val="2B2B33"/>
          <w:sz w:val="22"/>
          <w:szCs w:val="22"/>
        </w:rPr>
        <w:t>Active Directory is the target in most internal compromises. Once an attacker has a domain foothold, the path to Domain Admin runs through a known set of misconfigurations: weak ACLs, roastable service accounts, unconstrained delegation, bad certificate templates. This checklist covers those paths as discrete, repeatable test cases.</w:t>
      </w:r>
    </w:p>
    <w:p w14:paraId="29B5A2F5" w14:textId="2AC32408" w:rsidR="00D43848" w:rsidRPr="00D43848" w:rsidRDefault="00D43848" w:rsidP="00D43848">
      <w:pPr>
        <w:spacing w:before="220" w:after="120"/>
        <w:rPr>
          <w:rFonts w:ascii="Calibri" w:eastAsia="Calibri" w:hAnsi="Calibri" w:cs="Calibri"/>
          <w:color w:val="2B2B33"/>
          <w:sz w:val="22"/>
          <w:szCs w:val="22"/>
        </w:rPr>
      </w:pPr>
      <w:r w:rsidRPr="00D43848">
        <w:rPr>
          <w:rFonts w:ascii="Calibri" w:eastAsia="Calibri" w:hAnsi="Calibri" w:cs="Calibri"/>
          <w:color w:val="2B2B33"/>
          <w:sz w:val="22"/>
          <w:szCs w:val="22"/>
        </w:rPr>
        <w:t>Every row is one test case, tagged with its attack phase and MITRE ATT&amp;CK technique ID, carrying the exploit description, execution steps, tools, commands, and the indicators of compromise a defender would see. The same sheet works for the red team running the attack and the blue team validating detection.</w:t>
      </w:r>
    </w:p>
    <w:p w14:paraId="6EE26DF0" w14:textId="418B3CA1" w:rsidR="00FD7F31" w:rsidRDefault="00000000">
      <w:pPr>
        <w:spacing w:before="220" w:after="120"/>
      </w:pPr>
      <w:r>
        <w:rPr>
          <w:rFonts w:ascii="Calibri" w:eastAsia="Calibri" w:hAnsi="Calibri" w:cs="Calibri"/>
          <w:b/>
          <w:bCs/>
          <w:color w:val="E8501E"/>
          <w:sz w:val="26"/>
          <w:szCs w:val="26"/>
        </w:rPr>
        <w:t xml:space="preserve">Key </w:t>
      </w:r>
      <w:r w:rsidR="00D43848">
        <w:rPr>
          <w:rFonts w:ascii="Calibri" w:eastAsia="Calibri" w:hAnsi="Calibri" w:cs="Calibri"/>
          <w:b/>
          <w:bCs/>
          <w:color w:val="E8501E"/>
          <w:sz w:val="26"/>
          <w:szCs w:val="26"/>
        </w:rPr>
        <w:t>Takeaways</w:t>
      </w:r>
    </w:p>
    <w:p w14:paraId="5E1A2846" w14:textId="77777777" w:rsidR="00D43848" w:rsidRPr="00D43848" w:rsidRDefault="00D43848" w:rsidP="00D43848">
      <w:pPr>
        <w:spacing w:before="220" w:after="120"/>
        <w:rPr>
          <w:rFonts w:ascii="Calibri" w:eastAsia="Calibri" w:hAnsi="Calibri" w:cs="Calibri"/>
          <w:color w:val="2B2B33"/>
          <w:sz w:val="22"/>
          <w:szCs w:val="22"/>
        </w:rPr>
      </w:pPr>
      <w:r w:rsidRPr="00D43848">
        <w:rPr>
          <w:rFonts w:ascii="Calibri" w:eastAsia="Calibri" w:hAnsi="Calibri" w:cs="Calibri"/>
          <w:color w:val="2B2B33"/>
          <w:sz w:val="22"/>
          <w:szCs w:val="22"/>
        </w:rPr>
        <w:t xml:space="preserve">•  Seven attack phases, weighted toward Credential Access (20 of 40 cases): </w:t>
      </w:r>
    </w:p>
    <w:p w14:paraId="2C87F094" w14:textId="77777777" w:rsidR="00D43848" w:rsidRPr="00D43848" w:rsidRDefault="00D43848" w:rsidP="00D43848">
      <w:pPr>
        <w:pStyle w:val="ListParagraph"/>
        <w:numPr>
          <w:ilvl w:val="0"/>
          <w:numId w:val="3"/>
        </w:numPr>
        <w:spacing w:before="220" w:after="120"/>
        <w:rPr>
          <w:rFonts w:ascii="Calibri" w:eastAsia="Calibri" w:hAnsi="Calibri" w:cs="Calibri"/>
          <w:color w:val="2B2B33"/>
          <w:sz w:val="22"/>
          <w:szCs w:val="22"/>
        </w:rPr>
      </w:pPr>
      <w:r w:rsidRPr="00D43848">
        <w:rPr>
          <w:rFonts w:ascii="Calibri" w:eastAsia="Calibri" w:hAnsi="Calibri" w:cs="Calibri"/>
          <w:color w:val="2B2B33"/>
          <w:sz w:val="22"/>
          <w:szCs w:val="22"/>
        </w:rPr>
        <w:t>Roasting: Kerberoasting, AS-REP Roasting</w:t>
      </w:r>
    </w:p>
    <w:p w14:paraId="76252DDC" w14:textId="77777777" w:rsidR="00D43848" w:rsidRPr="00D43848" w:rsidRDefault="00D43848" w:rsidP="00D43848">
      <w:pPr>
        <w:pStyle w:val="ListParagraph"/>
        <w:numPr>
          <w:ilvl w:val="0"/>
          <w:numId w:val="3"/>
        </w:numPr>
        <w:spacing w:before="220" w:after="120"/>
        <w:rPr>
          <w:rFonts w:ascii="Calibri" w:eastAsia="Calibri" w:hAnsi="Calibri" w:cs="Calibri"/>
          <w:color w:val="2B2B33"/>
          <w:sz w:val="22"/>
          <w:szCs w:val="22"/>
        </w:rPr>
      </w:pPr>
      <w:r w:rsidRPr="00D43848">
        <w:rPr>
          <w:rFonts w:ascii="Calibri" w:eastAsia="Calibri" w:hAnsi="Calibri" w:cs="Calibri"/>
          <w:color w:val="2B2B33"/>
          <w:sz w:val="22"/>
          <w:szCs w:val="22"/>
        </w:rPr>
        <w:t>Ticket forgery: Golden, Silver, Diamond</w:t>
      </w:r>
    </w:p>
    <w:p w14:paraId="0B5D57CC" w14:textId="77777777" w:rsidR="00D43848" w:rsidRPr="00D43848" w:rsidRDefault="00D43848" w:rsidP="00D43848">
      <w:pPr>
        <w:pStyle w:val="ListParagraph"/>
        <w:numPr>
          <w:ilvl w:val="0"/>
          <w:numId w:val="3"/>
        </w:numPr>
        <w:spacing w:before="220" w:after="120"/>
        <w:rPr>
          <w:rFonts w:ascii="Calibri" w:eastAsia="Calibri" w:hAnsi="Calibri" w:cs="Calibri"/>
          <w:color w:val="2B2B33"/>
          <w:sz w:val="22"/>
          <w:szCs w:val="22"/>
        </w:rPr>
      </w:pPr>
      <w:r w:rsidRPr="00D43848">
        <w:rPr>
          <w:rFonts w:ascii="Calibri" w:eastAsia="Calibri" w:hAnsi="Calibri" w:cs="Calibri"/>
          <w:color w:val="2B2B33"/>
          <w:sz w:val="22"/>
          <w:szCs w:val="22"/>
        </w:rPr>
        <w:t>Hash and secret dumping: Pass-the-Hash, NTDS, DSRM</w:t>
      </w:r>
    </w:p>
    <w:p w14:paraId="16FDDECA" w14:textId="77777777" w:rsidR="00D43848" w:rsidRPr="00D43848" w:rsidRDefault="00D43848" w:rsidP="00D43848">
      <w:pPr>
        <w:pStyle w:val="ListParagraph"/>
        <w:numPr>
          <w:ilvl w:val="0"/>
          <w:numId w:val="3"/>
        </w:numPr>
        <w:spacing w:before="220" w:after="120"/>
        <w:rPr>
          <w:rFonts w:ascii="Calibri" w:eastAsia="Calibri" w:hAnsi="Calibri" w:cs="Calibri"/>
          <w:color w:val="2B2B33"/>
          <w:sz w:val="22"/>
          <w:szCs w:val="22"/>
        </w:rPr>
      </w:pPr>
      <w:r w:rsidRPr="00D43848">
        <w:rPr>
          <w:rFonts w:ascii="Calibri" w:eastAsia="Calibri" w:hAnsi="Calibri" w:cs="Calibri"/>
          <w:color w:val="2B2B33"/>
          <w:sz w:val="22"/>
          <w:szCs w:val="22"/>
        </w:rPr>
        <w:t>Delegation abuse</w:t>
      </w:r>
    </w:p>
    <w:p w14:paraId="2458AF45" w14:textId="77777777" w:rsidR="00D43848" w:rsidRPr="00D43848" w:rsidRDefault="00D43848" w:rsidP="00D43848">
      <w:pPr>
        <w:spacing w:before="220" w:after="120"/>
        <w:rPr>
          <w:rFonts w:ascii="Calibri" w:eastAsia="Calibri" w:hAnsi="Calibri" w:cs="Calibri"/>
          <w:color w:val="2B2B33"/>
          <w:sz w:val="22"/>
          <w:szCs w:val="22"/>
        </w:rPr>
      </w:pPr>
      <w:r w:rsidRPr="00D43848">
        <w:rPr>
          <w:rFonts w:ascii="Calibri" w:eastAsia="Calibri" w:hAnsi="Calibri" w:cs="Calibri"/>
          <w:color w:val="2B2B33"/>
          <w:sz w:val="22"/>
          <w:szCs w:val="22"/>
        </w:rPr>
        <w:t xml:space="preserve">•  Nine privilege escalation checks, including four named CVEs: </w:t>
      </w:r>
    </w:p>
    <w:p w14:paraId="7948B345" w14:textId="77777777" w:rsidR="00D43848" w:rsidRPr="00D43848" w:rsidRDefault="00D43848" w:rsidP="00D43848">
      <w:pPr>
        <w:pStyle w:val="ListParagraph"/>
        <w:numPr>
          <w:ilvl w:val="0"/>
          <w:numId w:val="4"/>
        </w:numPr>
        <w:spacing w:before="220" w:after="120"/>
        <w:rPr>
          <w:rFonts w:ascii="Calibri" w:eastAsia="Calibri" w:hAnsi="Calibri" w:cs="Calibri"/>
          <w:color w:val="2B2B33"/>
          <w:sz w:val="22"/>
          <w:szCs w:val="22"/>
        </w:rPr>
      </w:pPr>
      <w:r w:rsidRPr="00D43848">
        <w:rPr>
          <w:rFonts w:ascii="Calibri" w:eastAsia="Calibri" w:hAnsi="Calibri" w:cs="Calibri"/>
          <w:color w:val="2B2B33"/>
          <w:sz w:val="22"/>
          <w:szCs w:val="22"/>
        </w:rPr>
        <w:t>ZeroLogon (CVE-2020-1472)</w:t>
      </w:r>
    </w:p>
    <w:p w14:paraId="751249A9" w14:textId="77777777" w:rsidR="00D43848" w:rsidRPr="00D43848" w:rsidRDefault="00D43848" w:rsidP="00D43848">
      <w:pPr>
        <w:pStyle w:val="ListParagraph"/>
        <w:numPr>
          <w:ilvl w:val="0"/>
          <w:numId w:val="4"/>
        </w:numPr>
        <w:spacing w:before="220" w:after="120"/>
        <w:rPr>
          <w:rFonts w:ascii="Calibri" w:eastAsia="Calibri" w:hAnsi="Calibri" w:cs="Calibri"/>
          <w:color w:val="2B2B33"/>
          <w:sz w:val="22"/>
          <w:szCs w:val="22"/>
        </w:rPr>
      </w:pPr>
      <w:r w:rsidRPr="00D43848">
        <w:rPr>
          <w:rFonts w:ascii="Calibri" w:eastAsia="Calibri" w:hAnsi="Calibri" w:cs="Calibri"/>
          <w:color w:val="2B2B33"/>
          <w:sz w:val="22"/>
          <w:szCs w:val="22"/>
        </w:rPr>
        <w:t>PrintNightmare (CVE-2021-1675)</w:t>
      </w:r>
    </w:p>
    <w:p w14:paraId="59A0D24D" w14:textId="77777777" w:rsidR="00D43848" w:rsidRPr="00D43848" w:rsidRDefault="00D43848" w:rsidP="00D43848">
      <w:pPr>
        <w:pStyle w:val="ListParagraph"/>
        <w:numPr>
          <w:ilvl w:val="0"/>
          <w:numId w:val="4"/>
        </w:numPr>
        <w:spacing w:before="220" w:after="120"/>
        <w:rPr>
          <w:rFonts w:ascii="Calibri" w:eastAsia="Calibri" w:hAnsi="Calibri" w:cs="Calibri"/>
          <w:color w:val="2B2B33"/>
          <w:sz w:val="22"/>
          <w:szCs w:val="22"/>
        </w:rPr>
      </w:pPr>
      <w:r w:rsidRPr="00D43848">
        <w:rPr>
          <w:rFonts w:ascii="Calibri" w:eastAsia="Calibri" w:hAnsi="Calibri" w:cs="Calibri"/>
          <w:color w:val="2B2B33"/>
          <w:sz w:val="22"/>
          <w:szCs w:val="22"/>
        </w:rPr>
        <w:t>NoPAC (CVE-2021-42278)</w:t>
      </w:r>
    </w:p>
    <w:p w14:paraId="09B0C232" w14:textId="77777777" w:rsidR="00D43848" w:rsidRPr="00D43848" w:rsidRDefault="00D43848" w:rsidP="00D43848">
      <w:pPr>
        <w:pStyle w:val="ListParagraph"/>
        <w:numPr>
          <w:ilvl w:val="0"/>
          <w:numId w:val="4"/>
        </w:numPr>
        <w:spacing w:before="220" w:after="120"/>
        <w:rPr>
          <w:rFonts w:ascii="Calibri" w:eastAsia="Calibri" w:hAnsi="Calibri" w:cs="Calibri"/>
          <w:color w:val="2B2B33"/>
          <w:sz w:val="22"/>
          <w:szCs w:val="22"/>
        </w:rPr>
      </w:pPr>
      <w:r w:rsidRPr="00D43848">
        <w:rPr>
          <w:rFonts w:ascii="Calibri" w:eastAsia="Calibri" w:hAnsi="Calibri" w:cs="Calibri"/>
          <w:color w:val="2B2B33"/>
          <w:sz w:val="22"/>
          <w:szCs w:val="22"/>
        </w:rPr>
        <w:t>Certifried (CVE-2022-26923)</w:t>
      </w:r>
    </w:p>
    <w:p w14:paraId="5D16B30E" w14:textId="77777777" w:rsidR="00D43848" w:rsidRPr="00D43848" w:rsidRDefault="00D43848" w:rsidP="00D43848">
      <w:pPr>
        <w:spacing w:before="220" w:after="120"/>
        <w:rPr>
          <w:rFonts w:ascii="Calibri" w:eastAsia="Calibri" w:hAnsi="Calibri" w:cs="Calibri"/>
          <w:color w:val="2B2B33"/>
          <w:sz w:val="22"/>
          <w:szCs w:val="22"/>
        </w:rPr>
      </w:pPr>
      <w:r w:rsidRPr="00D43848">
        <w:rPr>
          <w:rFonts w:ascii="Calibri" w:eastAsia="Calibri" w:hAnsi="Calibri" w:cs="Calibri"/>
          <w:color w:val="2B2B33"/>
          <w:sz w:val="22"/>
          <w:szCs w:val="22"/>
        </w:rPr>
        <w:t xml:space="preserve">•  Copy-ready commands for the tools that run each case: PowerSploit, Mimikatz, Rubeus, Impacket, NetExec, BloodHound, Certipy, and more. </w:t>
      </w:r>
    </w:p>
    <w:p w14:paraId="73232588" w14:textId="77777777" w:rsidR="00D43848" w:rsidRDefault="00D43848" w:rsidP="00D43848">
      <w:pPr>
        <w:spacing w:before="220" w:after="120"/>
        <w:rPr>
          <w:rFonts w:ascii="Calibri" w:eastAsia="Calibri" w:hAnsi="Calibri" w:cs="Calibri"/>
          <w:color w:val="2B2B33"/>
          <w:sz w:val="22"/>
          <w:szCs w:val="22"/>
        </w:rPr>
      </w:pPr>
      <w:r w:rsidRPr="00D43848">
        <w:rPr>
          <w:rFonts w:ascii="Calibri" w:eastAsia="Calibri" w:hAnsi="Calibri" w:cs="Calibri"/>
          <w:color w:val="2B2B33"/>
          <w:sz w:val="22"/>
          <w:szCs w:val="22"/>
        </w:rPr>
        <w:t>•  An Indicator of Compromise column on every case, so detection teams can check whether their SIEM would catch each technique.</w:t>
      </w:r>
    </w:p>
    <w:p w14:paraId="3C38CBB6" w14:textId="025ADED4" w:rsidR="00FD7F31" w:rsidRDefault="00000000" w:rsidP="00D43848">
      <w:pPr>
        <w:spacing w:before="220" w:after="120"/>
      </w:pPr>
      <w:r>
        <w:rPr>
          <w:rFonts w:ascii="Calibri" w:eastAsia="Calibri" w:hAnsi="Calibri" w:cs="Calibri"/>
          <w:b/>
          <w:bCs/>
          <w:color w:val="E8501E"/>
          <w:sz w:val="26"/>
          <w:szCs w:val="26"/>
        </w:rPr>
        <w:t>What's Inside</w:t>
      </w:r>
    </w:p>
    <w:p w14:paraId="69EBE2C6" w14:textId="77777777" w:rsidR="00FD7F31" w:rsidRDefault="00000000">
      <w:pPr>
        <w:spacing w:after="100"/>
      </w:pPr>
      <w:r>
        <w:rPr>
          <w:rFonts w:ascii="Calibri" w:eastAsia="Calibri" w:hAnsi="Calibri" w:cs="Calibri"/>
          <w:color w:val="2B2B33"/>
          <w:sz w:val="22"/>
          <w:szCs w:val="22"/>
        </w:rPr>
        <w:t>Every row is one test case, grouped by the attack phase an operator moves through in a domain.</w:t>
      </w:r>
    </w:p>
    <w:p w14:paraId="1967C815" w14:textId="77777777" w:rsidR="00FD7F31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Reconnaissance and Discovery: AD object, ACL, GPO, trust, and network share enumeration.</w:t>
      </w:r>
    </w:p>
    <w:p w14:paraId="3D7394A9" w14:textId="77777777" w:rsidR="00FD7F31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Privilege Escalation: group and Machine Account Quota misconfigurations, SID history, ADCS, RODC, plus the four named CVEs.</w:t>
      </w:r>
    </w:p>
    <w:p w14:paraId="161AF8BB" w14:textId="77777777" w:rsidR="00FD7F31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lastRenderedPageBreak/>
        <w:t>Credential Access: roasting, hash and key attacks, delegation, GPP, LAPS, gMSA, NTDS and DSRM dumping, Golden, Silver, Diamond and Skeleton keys.</w:t>
      </w:r>
    </w:p>
    <w:p w14:paraId="23C4CF8A" w14:textId="77777777" w:rsidR="00FD7F31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Lateral Movement and Persistence: SCCM, WSUS, MSSQL trusted links, trust attacks, and Shadow Credentials.</w:t>
      </w:r>
    </w:p>
    <w:p w14:paraId="505A9E0D" w14:textId="77777777" w:rsidR="00FD7F31" w:rsidRDefault="00000000">
      <w:pPr>
        <w:spacing w:before="100" w:after="60"/>
      </w:pPr>
      <w:r>
        <w:rPr>
          <w:rFonts w:ascii="Calibri" w:eastAsia="Calibri" w:hAnsi="Calibri" w:cs="Calibri"/>
          <w:i/>
          <w:iCs/>
          <w:color w:val="2B2B33"/>
          <w:sz w:val="22"/>
          <w:szCs w:val="22"/>
        </w:rPr>
        <w:t>For each case: MITRE ATT&amp;CK technique ID and name, exploit description, execution steps, tools required, commands, and indicators of compromise.</w:t>
      </w:r>
    </w:p>
    <w:p w14:paraId="3F6E260D" w14:textId="77777777" w:rsidR="00FD7F31" w:rsidRDefault="00000000">
      <w:pPr>
        <w:spacing w:before="220" w:after="120"/>
      </w:pPr>
      <w:r>
        <w:rPr>
          <w:rFonts w:ascii="Calibri" w:eastAsia="Calibri" w:hAnsi="Calibri" w:cs="Calibri"/>
          <w:b/>
          <w:bCs/>
          <w:color w:val="E8501E"/>
          <w:sz w:val="26"/>
          <w:szCs w:val="26"/>
        </w:rPr>
        <w:t>How to use it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8894"/>
      </w:tblGrid>
      <w:tr w:rsidR="00FD7F31" w14:paraId="70BC66B3" w14:textId="77777777">
        <w:tc>
          <w:tcPr>
            <w:tcW w:w="900" w:type="dxa"/>
            <w:shd w:val="clear" w:color="auto" w:fill="E8501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B68594" w14:textId="77777777" w:rsidR="00FD7F31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01</w:t>
            </w:r>
          </w:p>
        </w:tc>
        <w:tc>
          <w:tcPr>
            <w:tcW w:w="8460" w:type="dxa"/>
            <w:tcMar>
              <w:top w:w="60" w:type="dxa"/>
              <w:left w:w="160" w:type="dxa"/>
              <w:bottom w:w="60" w:type="dxa"/>
              <w:right w:w="80" w:type="dxa"/>
            </w:tcMar>
            <w:vAlign w:val="center"/>
          </w:tcPr>
          <w:p w14:paraId="182F7C33" w14:textId="759E9285" w:rsidR="00FD7F31" w:rsidRDefault="00000000">
            <w:r>
              <w:rPr>
                <w:rFonts w:ascii="Calibri" w:eastAsia="Calibri" w:hAnsi="Calibri" w:cs="Calibri"/>
                <w:color w:val="2B2B33"/>
                <w:sz w:val="22"/>
                <w:szCs w:val="22"/>
              </w:rPr>
              <w:t xml:space="preserve">Pick your phase. Filter to the attack phase you are testing, such as Credential Access, or run all </w:t>
            </w:r>
            <w:r w:rsidR="007A12C4">
              <w:rPr>
                <w:rFonts w:ascii="Calibri" w:eastAsia="Calibri" w:hAnsi="Calibri" w:cs="Calibri"/>
                <w:color w:val="2B2B33"/>
                <w:sz w:val="22"/>
                <w:szCs w:val="22"/>
              </w:rPr>
              <w:t xml:space="preserve">of them </w:t>
            </w:r>
            <w:r>
              <w:rPr>
                <w:rFonts w:ascii="Calibri" w:eastAsia="Calibri" w:hAnsi="Calibri" w:cs="Calibri"/>
                <w:color w:val="2B2B33"/>
                <w:sz w:val="22"/>
                <w:szCs w:val="22"/>
              </w:rPr>
              <w:t>for a full internal AD review.</w:t>
            </w:r>
          </w:p>
        </w:tc>
      </w:tr>
    </w:tbl>
    <w:p w14:paraId="06BCC762" w14:textId="77777777" w:rsidR="00FD7F31" w:rsidRDefault="00FD7F31">
      <w:pPr>
        <w:spacing w:after="8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8894"/>
      </w:tblGrid>
      <w:tr w:rsidR="00FD7F31" w14:paraId="5A297794" w14:textId="77777777">
        <w:tc>
          <w:tcPr>
            <w:tcW w:w="900" w:type="dxa"/>
            <w:shd w:val="clear" w:color="auto" w:fill="E8501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39B2E0" w14:textId="77777777" w:rsidR="00FD7F31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02</w:t>
            </w:r>
          </w:p>
        </w:tc>
        <w:tc>
          <w:tcPr>
            <w:tcW w:w="8460" w:type="dxa"/>
            <w:tcMar>
              <w:top w:w="60" w:type="dxa"/>
              <w:left w:w="160" w:type="dxa"/>
              <w:bottom w:w="60" w:type="dxa"/>
              <w:right w:w="80" w:type="dxa"/>
            </w:tcMar>
            <w:vAlign w:val="center"/>
          </w:tcPr>
          <w:p w14:paraId="278FFEAA" w14:textId="77777777" w:rsidR="00FD7F31" w:rsidRDefault="00000000">
            <w:r>
              <w:rPr>
                <w:rFonts w:ascii="Calibri" w:eastAsia="Calibri" w:hAnsi="Calibri" w:cs="Calibri"/>
                <w:color w:val="2B2B33"/>
                <w:sz w:val="22"/>
                <w:szCs w:val="22"/>
              </w:rPr>
              <w:t>Read across the row. The test case first, then the technique it maps to, the tools, the exact commands, and the indicators a defender should see.</w:t>
            </w:r>
          </w:p>
        </w:tc>
      </w:tr>
    </w:tbl>
    <w:p w14:paraId="03DD4EF9" w14:textId="77777777" w:rsidR="00FD7F31" w:rsidRDefault="00FD7F31">
      <w:pPr>
        <w:spacing w:after="8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8894"/>
      </w:tblGrid>
      <w:tr w:rsidR="00FD7F31" w14:paraId="0F795216" w14:textId="77777777">
        <w:tc>
          <w:tcPr>
            <w:tcW w:w="900" w:type="dxa"/>
            <w:shd w:val="clear" w:color="auto" w:fill="E8501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2B50A4" w14:textId="77777777" w:rsidR="00FD7F31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03</w:t>
            </w:r>
          </w:p>
        </w:tc>
        <w:tc>
          <w:tcPr>
            <w:tcW w:w="8460" w:type="dxa"/>
            <w:tcMar>
              <w:top w:w="60" w:type="dxa"/>
              <w:left w:w="160" w:type="dxa"/>
              <w:bottom w:w="60" w:type="dxa"/>
              <w:right w:w="80" w:type="dxa"/>
            </w:tcMar>
            <w:vAlign w:val="center"/>
          </w:tcPr>
          <w:p w14:paraId="04C18789" w14:textId="77777777" w:rsidR="00FD7F31" w:rsidRDefault="00000000">
            <w:r>
              <w:rPr>
                <w:rFonts w:ascii="Calibri" w:eastAsia="Calibri" w:hAnsi="Calibri" w:cs="Calibri"/>
                <w:color w:val="2B2B33"/>
                <w:sz w:val="22"/>
                <w:szCs w:val="22"/>
              </w:rPr>
              <w:t>Run it, then check the IoC column. After executing a test case, confirm whether your monitoring flagged the listed indicators. A test that runs clean with no detection is a gap worth logging.</w:t>
            </w:r>
          </w:p>
        </w:tc>
      </w:tr>
    </w:tbl>
    <w:p w14:paraId="3C4EDC20" w14:textId="77777777" w:rsidR="00FD7F31" w:rsidRDefault="00FD7F31">
      <w:pPr>
        <w:spacing w:after="8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8894"/>
      </w:tblGrid>
      <w:tr w:rsidR="00FD7F31" w14:paraId="743EED6E" w14:textId="77777777">
        <w:tc>
          <w:tcPr>
            <w:tcW w:w="900" w:type="dxa"/>
            <w:shd w:val="clear" w:color="auto" w:fill="E8501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5F9210" w14:textId="77777777" w:rsidR="00FD7F31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04</w:t>
            </w:r>
          </w:p>
        </w:tc>
        <w:tc>
          <w:tcPr>
            <w:tcW w:w="8460" w:type="dxa"/>
            <w:tcMar>
              <w:top w:w="60" w:type="dxa"/>
              <w:left w:w="160" w:type="dxa"/>
              <w:bottom w:w="60" w:type="dxa"/>
              <w:right w:w="80" w:type="dxa"/>
            </w:tcMar>
            <w:vAlign w:val="center"/>
          </w:tcPr>
          <w:p w14:paraId="457352DE" w14:textId="77777777" w:rsidR="00FD7F31" w:rsidRDefault="00000000">
            <w:r>
              <w:rPr>
                <w:rFonts w:ascii="Calibri" w:eastAsia="Calibri" w:hAnsi="Calibri" w:cs="Calibri"/>
                <w:color w:val="2B2B33"/>
                <w:sz w:val="22"/>
                <w:szCs w:val="22"/>
              </w:rPr>
              <w:t>Not comfortable running these against production? Payatu's red team runs the full set in a scoped Active Directory assessment and shows you which paths reach Domain Admin.</w:t>
            </w:r>
          </w:p>
        </w:tc>
      </w:tr>
    </w:tbl>
    <w:p w14:paraId="2D278C8C" w14:textId="77777777" w:rsidR="00FD7F31" w:rsidRDefault="00FD7F31">
      <w:pPr>
        <w:spacing w:after="80"/>
      </w:pPr>
    </w:p>
    <w:sectPr w:rsidR="00FD7F31">
      <w:pgSz w:w="12240" w:h="15840"/>
      <w:pgMar w:top="1080" w:right="1200" w:bottom="108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84837"/>
    <w:multiLevelType w:val="hybridMultilevel"/>
    <w:tmpl w:val="59466E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45BBC"/>
    <w:multiLevelType w:val="hybridMultilevel"/>
    <w:tmpl w:val="EBB29A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00280E"/>
    <w:multiLevelType w:val="hybridMultilevel"/>
    <w:tmpl w:val="AC4C74AC"/>
    <w:lvl w:ilvl="0" w:tplc="72F6C368">
      <w:start w:val="1"/>
      <w:numFmt w:val="bullet"/>
      <w:lvlText w:val="●"/>
      <w:lvlJc w:val="left"/>
      <w:pPr>
        <w:ind w:left="720" w:hanging="360"/>
      </w:pPr>
    </w:lvl>
    <w:lvl w:ilvl="1" w:tplc="E788E8CC">
      <w:start w:val="1"/>
      <w:numFmt w:val="bullet"/>
      <w:lvlText w:val="○"/>
      <w:lvlJc w:val="left"/>
      <w:pPr>
        <w:ind w:left="1440" w:hanging="360"/>
      </w:pPr>
    </w:lvl>
    <w:lvl w:ilvl="2" w:tplc="829620F8">
      <w:start w:val="1"/>
      <w:numFmt w:val="bullet"/>
      <w:lvlText w:val="■"/>
      <w:lvlJc w:val="left"/>
      <w:pPr>
        <w:ind w:left="2160" w:hanging="360"/>
      </w:pPr>
    </w:lvl>
    <w:lvl w:ilvl="3" w:tplc="3EFCBAF0">
      <w:start w:val="1"/>
      <w:numFmt w:val="bullet"/>
      <w:lvlText w:val="●"/>
      <w:lvlJc w:val="left"/>
      <w:pPr>
        <w:ind w:left="2880" w:hanging="360"/>
      </w:pPr>
    </w:lvl>
    <w:lvl w:ilvl="4" w:tplc="387A013E">
      <w:start w:val="1"/>
      <w:numFmt w:val="bullet"/>
      <w:lvlText w:val="○"/>
      <w:lvlJc w:val="left"/>
      <w:pPr>
        <w:ind w:left="3600" w:hanging="360"/>
      </w:pPr>
    </w:lvl>
    <w:lvl w:ilvl="5" w:tplc="2188D9EC">
      <w:start w:val="1"/>
      <w:numFmt w:val="bullet"/>
      <w:lvlText w:val="■"/>
      <w:lvlJc w:val="left"/>
      <w:pPr>
        <w:ind w:left="4320" w:hanging="360"/>
      </w:pPr>
    </w:lvl>
    <w:lvl w:ilvl="6" w:tplc="CE7AD338">
      <w:start w:val="1"/>
      <w:numFmt w:val="bullet"/>
      <w:lvlText w:val="●"/>
      <w:lvlJc w:val="left"/>
      <w:pPr>
        <w:ind w:left="5040" w:hanging="360"/>
      </w:pPr>
    </w:lvl>
    <w:lvl w:ilvl="7" w:tplc="A1420E40">
      <w:start w:val="1"/>
      <w:numFmt w:val="bullet"/>
      <w:lvlText w:val="●"/>
      <w:lvlJc w:val="left"/>
      <w:pPr>
        <w:ind w:left="5760" w:hanging="360"/>
      </w:pPr>
    </w:lvl>
    <w:lvl w:ilvl="8" w:tplc="2C4480BA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625D67FA"/>
    <w:multiLevelType w:val="hybridMultilevel"/>
    <w:tmpl w:val="6096D500"/>
    <w:lvl w:ilvl="0" w:tplc="19425EA2">
      <w:start w:val="1"/>
      <w:numFmt w:val="bullet"/>
      <w:lvlText w:val="•"/>
      <w:lvlJc w:val="left"/>
      <w:pPr>
        <w:ind w:left="360" w:hanging="220"/>
      </w:pPr>
      <w:rPr>
        <w:color w:val="E8501E"/>
      </w:rPr>
    </w:lvl>
    <w:lvl w:ilvl="1" w:tplc="E3166EF8">
      <w:start w:val="1"/>
      <w:numFmt w:val="bullet"/>
      <w:lvlText w:val="◦"/>
      <w:lvlJc w:val="left"/>
      <w:pPr>
        <w:ind w:left="780" w:hanging="220"/>
      </w:pPr>
    </w:lvl>
    <w:lvl w:ilvl="2" w:tplc="C0DEB908">
      <w:numFmt w:val="decimal"/>
      <w:lvlText w:val=""/>
      <w:lvlJc w:val="left"/>
    </w:lvl>
    <w:lvl w:ilvl="3" w:tplc="D9FE99F6">
      <w:numFmt w:val="decimal"/>
      <w:lvlText w:val=""/>
      <w:lvlJc w:val="left"/>
    </w:lvl>
    <w:lvl w:ilvl="4" w:tplc="FACAC708">
      <w:numFmt w:val="decimal"/>
      <w:lvlText w:val=""/>
      <w:lvlJc w:val="left"/>
    </w:lvl>
    <w:lvl w:ilvl="5" w:tplc="05C81BAA">
      <w:numFmt w:val="decimal"/>
      <w:lvlText w:val=""/>
      <w:lvlJc w:val="left"/>
    </w:lvl>
    <w:lvl w:ilvl="6" w:tplc="A49A5B5C">
      <w:numFmt w:val="decimal"/>
      <w:lvlText w:val=""/>
      <w:lvlJc w:val="left"/>
    </w:lvl>
    <w:lvl w:ilvl="7" w:tplc="4FC22FC8">
      <w:numFmt w:val="decimal"/>
      <w:lvlText w:val=""/>
      <w:lvlJc w:val="left"/>
    </w:lvl>
    <w:lvl w:ilvl="8" w:tplc="68503FCE">
      <w:numFmt w:val="decimal"/>
      <w:lvlText w:val=""/>
      <w:lvlJc w:val="left"/>
    </w:lvl>
  </w:abstractNum>
  <w:num w:numId="1" w16cid:durableId="1120875164">
    <w:abstractNumId w:val="2"/>
    <w:lvlOverride w:ilvl="0">
      <w:startOverride w:val="1"/>
    </w:lvlOverride>
  </w:num>
  <w:num w:numId="2" w16cid:durableId="1912496655">
    <w:abstractNumId w:val="3"/>
    <w:lvlOverride w:ilvl="0">
      <w:startOverride w:val="1"/>
    </w:lvlOverride>
  </w:num>
  <w:num w:numId="3" w16cid:durableId="71589278">
    <w:abstractNumId w:val="1"/>
  </w:num>
  <w:num w:numId="4" w16cid:durableId="598147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F31"/>
    <w:rsid w:val="002317A9"/>
    <w:rsid w:val="007A12C4"/>
    <w:rsid w:val="00C204BE"/>
    <w:rsid w:val="00D43848"/>
    <w:rsid w:val="00EF1336"/>
    <w:rsid w:val="00FD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26795"/>
  <w15:docId w15:val="{B641CBB5-98CE-4CFD-BEA6-A538E3A7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Active Directory Attack Test Cases: 40 MITRE ATT&amp;CK-Mapped Checks for On-Prem AD</dc:title>
  <dc:creator>Payatu</dc:creator>
  <cp:lastModifiedBy>Tanvi Tirthani</cp:lastModifiedBy>
  <cp:revision>4</cp:revision>
  <dcterms:created xsi:type="dcterms:W3CDTF">2026-08-24T10:50:00Z</dcterms:created>
  <dcterms:modified xsi:type="dcterms:W3CDTF">2026-08-24T13:26:00Z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6e0baae9-75d9-4d26-adfb-0a7dc8ec7c5c</vt:lpwstr>
  </property>
</Properties>
</file>