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PULSO INTELLIGENCE LABS, INC.</w:t>
      </w:r>
      <w:r>
        <w:t xml:space="preserve"> </w:t>
      </w:r>
      <w:r>
        <w:t xml:space="preserve">PUBLIC OPINION RESEARCH</w:t>
      </w:r>
    </w:p>
    <w:bookmarkStart w:id="38" w:name="public-opinion-report"/>
    <w:p>
      <w:pPr>
        <w:pStyle w:val="Heading1"/>
      </w:pPr>
      <w:r>
        <w:t xml:space="preserve">PUBLIC OPINION REPORT</w:t>
      </w:r>
    </w:p>
    <w:bookmarkStart w:id="22" w:name="X55b0a1d0e7ac154e690f4e90b9a992df9ae960d"/>
    <w:p>
      <w:pPr>
        <w:pStyle w:val="Heading2"/>
      </w:pPr>
      <w:r>
        <w:t xml:space="preserve">87% of Filipinos Believe the</w:t>
      </w:r>
      <w:r>
        <w:t xml:space="preserve"> </w:t>
      </w:r>
      <w:r>
        <w:t xml:space="preserve">“</w:t>
      </w:r>
      <w:r>
        <w:t xml:space="preserve">Maleta</w:t>
      </w:r>
      <w:r>
        <w:t xml:space="preserve">”</w:t>
      </w:r>
      <w:r>
        <w:t xml:space="preserve"> </w:t>
      </w:r>
      <w:r>
        <w:t xml:space="preserve">Allegations Are True, and the Story Has Fused With President Marcos Personally</w:t>
      </w:r>
    </w:p>
    <w:p>
      <w:pPr>
        <w:pStyle w:val="FirstParagraph"/>
      </w:pPr>
      <w:r>
        <w:t xml:space="preserve">A nationwide Pulso Intelligence tracker of the aware public finds belief in the</w:t>
      </w:r>
      <w:r>
        <w:t xml:space="preserve"> </w:t>
      </w:r>
      <w:r>
        <w:t xml:space="preserve">“</w:t>
      </w:r>
      <w:r>
        <w:t xml:space="preserve">maleta</w:t>
      </w:r>
      <w:r>
        <w:t xml:space="preserve">”</w:t>
      </w:r>
      <w:r>
        <w:t xml:space="preserve"> </w:t>
      </w:r>
      <w:r>
        <w:t xml:space="preserve">cash allegations effectively locked in, trust in every investigating body sitting below the scale midpoint, and the political fallout landing hardest on President Marcos and administration-aligned candidates — while the opposition has yet to convert any of it into gains of its own.</w:t>
      </w:r>
    </w:p>
    <w:p>
      <w:pPr>
        <w:pStyle w:val="BodyText"/>
      </w:pPr>
      <w:r>
        <w:t xml:space="preserve">According to the second wave of a nationwide Pulso Intelligence Labs, Inc. issue-tracking survey of 1,979 respondents already aware of the</w:t>
      </w:r>
      <w:r>
        <w:t xml:space="preserve"> </w:t>
      </w:r>
      <w:r>
        <w:t xml:space="preserve">“</w:t>
      </w:r>
      <w:r>
        <w:t xml:space="preserve">maleta</w:t>
      </w:r>
      <w:r>
        <w:t xml:space="preserve">”</w:t>
      </w:r>
      <w:r>
        <w:t xml:space="preserve"> </w:t>
      </w:r>
      <w:r>
        <w:t xml:space="preserve">suitcase-money allegations, fielded through the Pulso Intelligence app and the Pulso Intelligence mini app inside GCash, 87.0% of respondents say the allegations that government officials received suitcases of cash linked to corruption or kickbacks are</w:t>
      </w:r>
      <w:r>
        <w:t xml:space="preserve"> </w:t>
      </w:r>
      <w:r>
        <w:t xml:space="preserve">“</w:t>
      </w:r>
      <w:r>
        <w:t xml:space="preserve">definitely</w:t>
      </w:r>
      <w:r>
        <w:t xml:space="preserve">”</w:t>
      </w:r>
      <w:r>
        <w:t xml:space="preserve"> </w:t>
      </w:r>
      <w:r>
        <w:t xml:space="preserve">or</w:t>
      </w:r>
      <w:r>
        <w:t xml:space="preserve"> </w:t>
      </w:r>
      <w:r>
        <w:t xml:space="preserve">“</w:t>
      </w:r>
      <w:r>
        <w:t xml:space="preserve">somewhat</w:t>
      </w:r>
      <w:r>
        <w:t xml:space="preserve">”</w:t>
      </w:r>
      <w:r>
        <w:t xml:space="preserve"> </w:t>
      </w:r>
      <w:r>
        <w:t xml:space="preserve">true, against just 2.7% who say they are not true. Top-of-mind recall on the issue has broadened well past its</w:t>
      </w:r>
      <w:r>
        <w:t xml:space="preserve"> </w:t>
      </w:r>
      <w:r>
        <w:t xml:space="preserve">“</w:t>
      </w:r>
      <w:r>
        <w:t xml:space="preserve">flood control</w:t>
      </w:r>
      <w:r>
        <w:t xml:space="preserve">”</w:t>
      </w:r>
      <w:r>
        <w:t xml:space="preserve"> </w:t>
      </w:r>
      <w:r>
        <w:t xml:space="preserve">origins into a general corruption story (48.7% unaided), and on the</w:t>
      </w:r>
      <w:r>
        <w:t xml:space="preserve"> </w:t>
      </w:r>
      <w:r>
        <w:t xml:space="preserve">“</w:t>
      </w:r>
      <w:r>
        <w:t xml:space="preserve">who comes to mind</w:t>
      </w:r>
      <w:r>
        <w:t xml:space="preserve">”</w:t>
      </w:r>
      <w:r>
        <w:t xml:space="preserve"> </w:t>
      </w:r>
      <w:r>
        <w:t xml:space="preserve">follow-up, President Ferdinand</w:t>
      </w:r>
      <w:r>
        <w:t xml:space="preserve"> </w:t>
      </w:r>
      <w:r>
        <w:t xml:space="preserve">“</w:t>
      </w:r>
      <w:r>
        <w:t xml:space="preserve">Bongbong</w:t>
      </w:r>
      <w:r>
        <w:t xml:space="preserve">”</w:t>
      </w:r>
      <w:r>
        <w:t xml:space="preserve"> </w:t>
      </w:r>
      <w:r>
        <w:t xml:space="preserve">Marcos Jr. is the single most-named figure (20.3%), ahead of contractor Zaldy Co (13.3%) and Speaker Martin Romualdez (8.9%).</w:t>
      </w:r>
    </w:p>
    <w:p>
      <w:pPr>
        <w:pStyle w:val="BodyText"/>
      </w:pPr>
      <w:r>
        <w:t xml:space="preserve">The institutions tasked with investigating the matter inspire little confidence. On a 1–5 scale, the Senate Blue Ribbon Committee (2.58), the Ombudsman (2.48), the Department of Justice (2.63), and other government bodies (2.45) all sit below the scale midpoint, with</w:t>
      </w:r>
      <w:r>
        <w:t xml:space="preserve"> </w:t>
      </w:r>
      <w:r>
        <w:t xml:space="preserve">“</w:t>
      </w:r>
      <w:r>
        <w:t xml:space="preserve">no confidence</w:t>
      </w:r>
      <w:r>
        <w:t xml:space="preserve">”</w:t>
      </w:r>
      <w:r>
        <w:t xml:space="preserve"> </w:t>
      </w:r>
      <w:r>
        <w:t xml:space="preserve">responses outnumbering</w:t>
      </w:r>
      <w:r>
        <w:t xml:space="preserve"> </w:t>
      </w:r>
      <w:r>
        <w:t xml:space="preserve">“</w:t>
      </w:r>
      <w:r>
        <w:t xml:space="preserve">confident</w:t>
      </w:r>
      <w:r>
        <w:t xml:space="preserve">”</w:t>
      </w:r>
      <w:r>
        <w:t xml:space="preserve"> </w:t>
      </w:r>
      <w:r>
        <w:t xml:space="preserve">ones by roughly two to one across all four. The political cost is concentrated and asymmetric: net trust in President Marcos has fallen by 56.7 points because of the issue, and administration-aligned candidates face a net 2028 vote-impact score of –46.0, against a comparatively flat +4.4 for opposition candidates — an anti-incumbent mood that has not yet consolidated into a pro-opposition one.</w:t>
      </w:r>
    </w:p>
    <w:bookmarkStart w:id="20" w:name="key-figures"/>
    <w:p>
      <w:pPr>
        <w:pStyle w:val="Heading3"/>
      </w:pPr>
      <w:r>
        <w:t xml:space="preserve">KEY FIGURES</w:t>
      </w:r>
    </w:p>
    <w:p>
      <w:pPr>
        <w:numPr>
          <w:ilvl w:val="0"/>
          <w:numId w:val="1001"/>
        </w:numPr>
        <w:pStyle w:val="Compact"/>
      </w:pPr>
      <w:r>
        <w:t xml:space="preserve">87.0% believe the</w:t>
      </w:r>
      <w:r>
        <w:t xml:space="preserve"> </w:t>
      </w:r>
      <w:r>
        <w:t xml:space="preserve">“</w:t>
      </w:r>
      <w:r>
        <w:t xml:space="preserve">maleta</w:t>
      </w:r>
      <w:r>
        <w:t xml:space="preserve">”</w:t>
      </w:r>
      <w:r>
        <w:t xml:space="preserve"> </w:t>
      </w:r>
      <w:r>
        <w:t xml:space="preserve">allegations are</w:t>
      </w:r>
      <w:r>
        <w:t xml:space="preserve"> </w:t>
      </w:r>
      <w:r>
        <w:t xml:space="preserve">“</w:t>
      </w:r>
      <w:r>
        <w:t xml:space="preserve">definitely</w:t>
      </w:r>
      <w:r>
        <w:t xml:space="preserve">”</w:t>
      </w:r>
      <w:r>
        <w:t xml:space="preserve"> </w:t>
      </w:r>
      <w:r>
        <w:t xml:space="preserve">or</w:t>
      </w:r>
      <w:r>
        <w:t xml:space="preserve"> </w:t>
      </w:r>
      <w:r>
        <w:t xml:space="preserve">“</w:t>
      </w:r>
      <w:r>
        <w:t xml:space="preserve">somewhat</w:t>
      </w:r>
      <w:r>
        <w:t xml:space="preserve">”</w:t>
      </w:r>
      <w:r>
        <w:t xml:space="preserve"> </w:t>
      </w:r>
      <w:r>
        <w:t xml:space="preserve">true; only 2.7% say they are not true.</w:t>
      </w:r>
    </w:p>
    <w:p>
      <w:pPr>
        <w:numPr>
          <w:ilvl w:val="0"/>
          <w:numId w:val="1001"/>
        </w:numPr>
        <w:pStyle w:val="Compact"/>
      </w:pPr>
      <w:r>
        <w:t xml:space="preserve">Top-of-mind recall on the issue itself has generalized to corruption overall (48.7%), ahead of the original</w:t>
      </w:r>
      <w:r>
        <w:t xml:space="preserve"> </w:t>
      </w:r>
      <w:r>
        <w:t xml:space="preserve">“</w:t>
      </w:r>
      <w:r>
        <w:t xml:space="preserve">stolen/unexplained money in a suitcase</w:t>
      </w:r>
      <w:r>
        <w:t xml:space="preserve">”</w:t>
      </w:r>
      <w:r>
        <w:t xml:space="preserve"> </w:t>
      </w:r>
      <w:r>
        <w:t xml:space="preserve">frame (32.7%) and the flood control scandal specifically (6.7%).</w:t>
      </w:r>
    </w:p>
    <w:p>
      <w:pPr>
        <w:numPr>
          <w:ilvl w:val="0"/>
          <w:numId w:val="1001"/>
        </w:numPr>
        <w:pStyle w:val="Compact"/>
      </w:pPr>
      <w:r>
        <w:t xml:space="preserve">President Marcos (BBM) is the single most-named personality on unaided recall (20.3%), ahead of Zaldy Co (13.3%) and Martin Romualdez (8.9%).</w:t>
      </w:r>
    </w:p>
    <w:p>
      <w:pPr>
        <w:numPr>
          <w:ilvl w:val="0"/>
          <w:numId w:val="1001"/>
        </w:numPr>
        <w:pStyle w:val="Compact"/>
      </w:pPr>
      <w:r>
        <w:t xml:space="preserve">Every top-of-mind personality tracked draws net-negative sentiment, from Rodante Marcoleta (net –83) and Martin Romualdez (net –74) to President Marcos himself (net –61).</w:t>
      </w:r>
    </w:p>
    <w:p>
      <w:pPr>
        <w:numPr>
          <w:ilvl w:val="0"/>
          <w:numId w:val="1001"/>
        </w:numPr>
        <w:pStyle w:val="Compact"/>
      </w:pPr>
      <w:r>
        <w:t xml:space="preserve">Confidence in every investigating body sits below the scale midpoint (Senate Blue Ribbon 2.58, DOJ 2.63, Ombudsman 2.48, other government bodies 2.45, all on a 1–5 scale), with</w:t>
      </w:r>
      <w:r>
        <w:t xml:space="preserve"> </w:t>
      </w:r>
      <w:r>
        <w:t xml:space="preserve">“</w:t>
      </w:r>
      <w:r>
        <w:t xml:space="preserve">no confidence</w:t>
      </w:r>
      <w:r>
        <w:t xml:space="preserve">”</w:t>
      </w:r>
      <w:r>
        <w:t xml:space="preserve"> </w:t>
      </w:r>
      <w:r>
        <w:t xml:space="preserve">outnumbering</w:t>
      </w:r>
      <w:r>
        <w:t xml:space="preserve"> </w:t>
      </w:r>
      <w:r>
        <w:t xml:space="preserve">“</w:t>
      </w:r>
      <w:r>
        <w:t xml:space="preserve">confident</w:t>
      </w:r>
      <w:r>
        <w:t xml:space="preserve">”</w:t>
      </w:r>
      <w:r>
        <w:t xml:space="preserve"> </w:t>
      </w:r>
      <w:r>
        <w:t xml:space="preserve">responses roughly 2-to-1.</w:t>
      </w:r>
    </w:p>
    <w:p>
      <w:pPr>
        <w:numPr>
          <w:ilvl w:val="0"/>
          <w:numId w:val="1001"/>
        </w:numPr>
        <w:pStyle w:val="Compact"/>
      </w:pPr>
      <w:r>
        <w:t xml:space="preserve">78.3% rate the issue a 4 or 5 out of 5 on personal relevance — this is not a niche news story.</w:t>
      </w:r>
    </w:p>
    <w:p>
      <w:pPr>
        <w:numPr>
          <w:ilvl w:val="0"/>
          <w:numId w:val="1001"/>
        </w:numPr>
        <w:pStyle w:val="Compact"/>
      </w:pPr>
      <w:r>
        <w:t xml:space="preserve">Net Trust Score for President Marcos has moved –56.7 because of the issue, deepest in Eastern Visayas (–74) and South Mindanao (–69), softest in North Luzon (–43).</w:t>
      </w:r>
    </w:p>
    <w:p>
      <w:pPr>
        <w:numPr>
          <w:ilvl w:val="0"/>
          <w:numId w:val="1001"/>
        </w:numPr>
        <w:pStyle w:val="Compact"/>
      </w:pPr>
      <w:r>
        <w:t xml:space="preserve">Net 2028 vote-impact score is –46.0 for administration-aligned candidates against just +4.4 for opposition candidates, a 50.4-point gap.</w:t>
      </w:r>
    </w:p>
    <w:p>
      <w:pPr>
        <w:pStyle w:val="BlockText"/>
      </w:pPr>
      <w:r>
        <w:t xml:space="preserve">“</w:t>
      </w:r>
      <w:r>
        <w:t xml:space="preserve">The people are angered by the</w:t>
      </w:r>
      <w:r>
        <w:t xml:space="preserve"> </w:t>
      </w:r>
      <w:r>
        <w:t xml:space="preserve">‘</w:t>
      </w:r>
      <w:r>
        <w:t xml:space="preserve">maleta issue,</w:t>
      </w:r>
      <w:r>
        <w:t xml:space="preserve">’</w:t>
      </w:r>
      <w:r>
        <w:t xml:space="preserve"> </w:t>
      </w:r>
      <w:r>
        <w:t xml:space="preserve">alongside its narrative broadening towards general corruption. The people have a general idea of who to blame, but are still unsure of who the good guys are.</w:t>
      </w:r>
      <w:r>
        <w:t xml:space="preserve">”</w:t>
      </w:r>
      <w:r>
        <w:t xml:space="preserve"> </w:t>
      </w:r>
      <w:r>
        <w:t xml:space="preserve">— Abraham Eleazar D. Quintos, Chief Executive Officer, Pulso Intelligence Labs, Inc.</w:t>
      </w:r>
    </w:p>
    <w:p>
      <w:r>
        <w:pict>
          <v:rect style="width:0;height:1.5pt" o:hralign="center" o:hrstd="t" o:hr="t"/>
        </w:pict>
      </w:r>
    </w:p>
    <w:bookmarkEnd w:id="20"/>
    <w:bookmarkStart w:id="21" w:name="about-this-report"/>
    <w:p>
      <w:pPr>
        <w:pStyle w:val="Heading3"/>
      </w:pPr>
      <w:r>
        <w:t xml:space="preserve">About this report</w:t>
      </w:r>
    </w:p>
    <w:p>
      <w:pPr>
        <w:pStyle w:val="FirstParagraph"/>
      </w:pPr>
      <w:r>
        <w:t xml:space="preserve">This report presents the findings of the second wave of a Pulso Intelligence Labs, Inc. issue-tracking survey on the</w:t>
      </w:r>
      <w:r>
        <w:t xml:space="preserve"> </w:t>
      </w:r>
      <w:r>
        <w:t xml:space="preserve">“</w:t>
      </w:r>
      <w:r>
        <w:t xml:space="preserve">maleta</w:t>
      </w:r>
      <w:r>
        <w:t xml:space="preserve">”</w:t>
      </w:r>
      <w:r>
        <w:t xml:space="preserve"> </w:t>
      </w:r>
      <w:r>
        <w:t xml:space="preserve">suitcase-money allegations. It is intended for internal strategic use. The summary above sets out the headline results; the full findings, including each question, the response distributions, and the demographic and regional breakdowns, follow in the pages after it. The methodology and the firm’s independence statement appear at the end.</w:t>
      </w:r>
    </w:p>
    <w:p>
      <w:pPr>
        <w:pStyle w:val="BodyText"/>
      </w:pPr>
      <w:r>
        <w:rPr>
          <w:bCs/>
          <w:b/>
        </w:rPr>
        <w:t xml:space="preserve">How to read the figures.</w:t>
      </w:r>
      <w:r>
        <w:t xml:space="preserve"> </w:t>
      </w:r>
      <w:r>
        <w:t xml:space="preserve">Unless otherwise noted, all percentages are based on 1,979 respondents surveyed through the Pulso Intelligence app and the Pulso Intelligence mini app inside GCash, rebalanced to reflect national and regional demographic voter composition. All respondents had already heard of the</w:t>
      </w:r>
      <w:r>
        <w:t xml:space="preserve"> </w:t>
      </w:r>
      <w:r>
        <w:t xml:space="preserve">“</w:t>
      </w:r>
      <w:r>
        <w:t xml:space="preserve">maleta</w:t>
      </w:r>
      <w:r>
        <w:t xml:space="preserve">”</w:t>
      </w:r>
      <w:r>
        <w:t xml:space="preserve"> </w:t>
      </w:r>
      <w:r>
        <w:t xml:space="preserve">allegations at screening, so this is a study of the aware public, not the general population. Where a figure is based on a subgroup rather than the whole sample, the base and its size are stated beneath the relevant table. Subgroups below thirty unweighted respondents (marked with an asterisk) are directional only. Figures may not sum to 100% due to rounding.</w:t>
      </w:r>
    </w:p>
    <w:p>
      <w:pPr>
        <w:pStyle w:val="BodyText"/>
      </w:pPr>
      <w:r>
        <w:rPr>
          <w:bCs/>
          <w:b/>
        </w:rPr>
        <w:t xml:space="preserve">Use and attribution.</w:t>
      </w:r>
      <w:r>
        <w:t xml:space="preserve"> </w:t>
      </w:r>
      <w:r>
        <w:t xml:space="preserve">These results are prepared by Pulso Intelligence Labs, Inc. for internal client use.</w:t>
      </w:r>
    </w:p>
    <w:p>
      <w:pPr>
        <w:pStyle w:val="BodyText"/>
      </w:pPr>
      <w:r>
        <w:rPr>
          <w:bCs/>
          <w:b/>
        </w:rPr>
        <w:t xml:space="preserve">About Pulso Intelligence.</w:t>
      </w:r>
      <w:r>
        <w:t xml:space="preserve"> </w:t>
      </w:r>
      <w:r>
        <w:t xml:space="preserve">Pulso Intelligence Labs, Inc. (</w:t>
      </w:r>
      <w:r>
        <w:t xml:space="preserve">“</w:t>
      </w:r>
      <w:r>
        <w:t xml:space="preserve">Pulso Intelligence</w:t>
      </w:r>
      <w:r>
        <w:t xml:space="preserve">”</w:t>
      </w:r>
      <w:r>
        <w:t xml:space="preserve">) is an independent public opinion and market sentiment research firm, and the research arm of Geronimo Law. It maintains a verified respondent network of more than 1.6 million panel members across all 17 regions of the Philippines, and conducts socio-political and policy polling, brand and market research, and qualitative and deliberative studies.</w:t>
      </w:r>
    </w:p>
    <w:p>
      <w:pPr>
        <w:pStyle w:val="BodyText"/>
      </w:pPr>
      <w:r>
        <w:t xml:space="preserve">This survey was designed, conducted, and funded solely by Pulso Intelligence Labs, Inc. No partisan group, candidate, political party, or commissioning interest influenced the survey or the reporting of its results.</w:t>
      </w:r>
    </w:p>
    <w:p>
      <w:r>
        <w:pict>
          <v:rect style="width:0;height:1.5pt" o:hralign="center" o:hrstd="t" o:hr="t"/>
        </w:pict>
      </w:r>
    </w:p>
    <w:bookmarkEnd w:id="21"/>
    <w:bookmarkEnd w:id="22"/>
    <w:bookmarkStart w:id="24" w:name="the-full-findings"/>
    <w:p>
      <w:pPr>
        <w:pStyle w:val="Heading2"/>
      </w:pPr>
      <w:r>
        <w:t xml:space="preserve">THE FULL FINDINGS</w:t>
      </w:r>
    </w:p>
    <w:bookmarkStart w:id="23" w:name="Xf7ab60feca0e725f8ecf5e87a7816947362a19f"/>
    <w:p>
      <w:pPr>
        <w:pStyle w:val="Heading3"/>
      </w:pPr>
      <w:r>
        <w:t xml:space="preserve">Maleta Issue Sentiment Tracking Study (Wave 2)</w:t>
      </w:r>
    </w:p>
    <w:p>
      <w:pPr>
        <w:pStyle w:val="FirstParagraph"/>
      </w:pPr>
      <w:r>
        <w:t xml:space="preserve">The results below report the full study behind the findings summarized above. Figures are drawn from a survey of 1,979 respondents already aware of the</w:t>
      </w:r>
      <w:r>
        <w:t xml:space="preserve"> </w:t>
      </w:r>
      <w:r>
        <w:t xml:space="preserve">“</w:t>
      </w:r>
      <w:r>
        <w:t xml:space="preserve">maleta</w:t>
      </w:r>
      <w:r>
        <w:t xml:space="preserve">”</w:t>
      </w:r>
      <w:r>
        <w:t xml:space="preserve"> </w:t>
      </w:r>
      <w:r>
        <w:t xml:space="preserve">issue, gathered via the Pulso Intelligence app and its GCash mini app; all bases are rebalanced to national and regional demographic voter composition unless otherwise noted. Detailed methodology and the firm’s independence statement appear at the end.</w:t>
      </w:r>
    </w:p>
    <w:bookmarkEnd w:id="23"/>
    <w:bookmarkEnd w:id="24"/>
    <w:bookmarkStart w:id="26" w:name="section-i"/>
    <w:p>
      <w:pPr>
        <w:pStyle w:val="Heading2"/>
      </w:pPr>
      <w:r>
        <w:t xml:space="preserve">SECTION I</w:t>
      </w:r>
    </w:p>
    <w:bookmarkStart w:id="25" w:name="awareness-top-of-mind"/>
    <w:p>
      <w:pPr>
        <w:pStyle w:val="Heading3"/>
      </w:pPr>
      <w:r>
        <w:t xml:space="preserve">Awareness &amp; Top-of-Mind</w:t>
      </w:r>
    </w:p>
    <w:p>
      <w:pPr>
        <w:pStyle w:val="FirstParagraph"/>
      </w:pPr>
      <w:r>
        <w:rPr>
          <w:bCs/>
          <w:b/>
        </w:rPr>
        <w:t xml:space="preserve">“</w:t>
      </w:r>
      <w:r>
        <w:rPr>
          <w:bCs/>
          <w:b/>
        </w:rPr>
        <w:t xml:space="preserve">Corruption</w:t>
      </w:r>
      <w:r>
        <w:rPr>
          <w:bCs/>
          <w:b/>
        </w:rPr>
        <w:t xml:space="preserve">”</w:t>
      </w:r>
      <w:r>
        <w:rPr>
          <w:bCs/>
          <w:b/>
        </w:rPr>
        <w:t xml:space="preserve"> </w:t>
      </w:r>
      <w:r>
        <w:rPr>
          <w:bCs/>
          <w:b/>
        </w:rPr>
        <w:t xml:space="preserve">has overtaken</w:t>
      </w:r>
      <w:r>
        <w:rPr>
          <w:bCs/>
          <w:b/>
        </w:rPr>
        <w:t xml:space="preserve"> </w:t>
      </w:r>
      <w:r>
        <w:rPr>
          <w:bCs/>
          <w:b/>
        </w:rPr>
        <w:t xml:space="preserve">“</w:t>
      </w:r>
      <w:r>
        <w:rPr>
          <w:bCs/>
          <w:b/>
        </w:rPr>
        <w:t xml:space="preserve">flood control</w:t>
      </w:r>
      <w:r>
        <w:rPr>
          <w:bCs/>
          <w:b/>
        </w:rPr>
        <w:t xml:space="preserve">”</w:t>
      </w:r>
      <w:r>
        <w:rPr>
          <w:bCs/>
          <w:b/>
        </w:rPr>
        <w:t xml:space="preserve"> </w:t>
      </w:r>
      <w:r>
        <w:rPr>
          <w:bCs/>
          <w:b/>
        </w:rPr>
        <w:t xml:space="preserve">as the dominant top-of-mind frame</w:t>
      </w:r>
    </w:p>
    <w:p>
      <w:pPr>
        <w:pStyle w:val="BodyText"/>
      </w:pPr>
      <w:r>
        <w:t xml:space="preserve">Asked, without prompting, what comes to mind when they hear about the</w:t>
      </w:r>
      <w:r>
        <w:t xml:space="preserve"> </w:t>
      </w:r>
      <w:r>
        <w:t xml:space="preserve">“</w:t>
      </w:r>
      <w:r>
        <w:t xml:space="preserve">maleta</w:t>
      </w:r>
      <w:r>
        <w:t xml:space="preserve">”</w:t>
      </w:r>
      <w:r>
        <w:t xml:space="preserve"> </w:t>
      </w:r>
      <w:r>
        <w:t xml:space="preserve">issue, respondents return an overwhelmingly generalized answer. Nearly half (48.7%) simply say</w:t>
      </w:r>
      <w:r>
        <w:t xml:space="preserve"> </w:t>
      </w:r>
      <w:r>
        <w:t xml:space="preserve">“</w:t>
      </w:r>
      <w:r>
        <w:t xml:space="preserve">corruption,</w:t>
      </w:r>
      <w:r>
        <w:t xml:space="preserve">”</w:t>
      </w:r>
      <w:r>
        <w:t xml:space="preserve"> </w:t>
      </w:r>
      <w:r>
        <w:t xml:space="preserve">well ahead of the original, more specific</w:t>
      </w:r>
      <w:r>
        <w:t xml:space="preserve"> </w:t>
      </w:r>
      <w:r>
        <w:t xml:space="preserve">“</w:t>
      </w:r>
      <w:r>
        <w:t xml:space="preserve">stolen or unexplained money in a suitcase</w:t>
      </w:r>
      <w:r>
        <w:t xml:space="preserve">”</w:t>
      </w:r>
      <w:r>
        <w:t xml:space="preserve"> </w:t>
      </w:r>
      <w:r>
        <w:t xml:space="preserve">frame (32.7%) and mentions of corrupt politicians or officials (14.3%). The flood-control scandal that originally anchored the story is now named by just 6.7%, with poverty or misuse of public funds (2.6%) and expressions of anger or disgust (2.5%) trailing further behind. The issue has outgrown its originating scandal and become a vessel for corruption sentiment generally, a genericization that widens its reach but also its vulnerability to being claimed by whichever camp defines it first. (Please refer to Table 1.)</w:t>
      </w:r>
    </w:p>
    <w:p>
      <w:pPr>
        <w:pStyle w:val="BodyText"/>
      </w:pPr>
      <w:r>
        <w:rPr>
          <w:bCs/>
          <w:b/>
        </w:rPr>
        <w:t xml:space="preserve">TABLE 1</w:t>
      </w:r>
      <w:r>
        <w:t xml:space="preserve"> </w:t>
      </w:r>
      <w:r>
        <w:rPr>
          <w:iCs/>
          <w:i/>
        </w:rPr>
        <w:t xml:space="preserve">Q. When you hear or think about the</w:t>
      </w:r>
      <w:r>
        <w:rPr>
          <w:iCs/>
          <w:i/>
        </w:rPr>
        <w:t xml:space="preserve"> </w:t>
      </w:r>
      <w:r>
        <w:rPr>
          <w:iCs/>
          <w:i/>
        </w:rPr>
        <w:t xml:space="preserve">“</w:t>
      </w:r>
      <w:r>
        <w:rPr>
          <w:iCs/>
          <w:i/>
        </w:rPr>
        <w:t xml:space="preserve">maleta</w:t>
      </w:r>
      <w:r>
        <w:rPr>
          <w:iCs/>
          <w:i/>
        </w:rPr>
        <w:t xml:space="preserve">”</w:t>
      </w:r>
      <w:r>
        <w:rPr>
          <w:iCs/>
          <w:i/>
        </w:rPr>
        <w:t xml:space="preserve"> </w:t>
      </w:r>
      <w:r>
        <w:rPr>
          <w:iCs/>
          <w:i/>
        </w:rPr>
        <w:t xml:space="preserve">issue in the news lately, what comes to mind?</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Response</w:t>
            </w:r>
          </w:p>
        </w:tc>
        <w:tc>
          <w:tcPr/>
          <w:p>
            <w:pPr>
              <w:pStyle w:val="Compact"/>
              <w:jc w:val="left"/>
            </w:pPr>
            <w:r>
              <w:t xml:space="preserve">%</w:t>
            </w:r>
          </w:p>
        </w:tc>
      </w:tr>
      <w:tr>
        <w:tc>
          <w:tcPr/>
          <w:p>
            <w:pPr>
              <w:pStyle w:val="Compact"/>
              <w:jc w:val="left"/>
            </w:pPr>
            <w:r>
              <w:t xml:space="preserve">Corruption (general)</w:t>
            </w:r>
          </w:p>
        </w:tc>
        <w:tc>
          <w:tcPr/>
          <w:p>
            <w:pPr>
              <w:pStyle w:val="Compact"/>
              <w:jc w:val="left"/>
            </w:pPr>
            <w:r>
              <w:t xml:space="preserve">48.7</w:t>
            </w:r>
          </w:p>
        </w:tc>
      </w:tr>
      <w:tr>
        <w:tc>
          <w:tcPr/>
          <w:p>
            <w:pPr>
              <w:pStyle w:val="Compact"/>
              <w:jc w:val="left"/>
            </w:pPr>
            <w:r>
              <w:t xml:space="preserve">Stolen/unexplained money in suitcase</w:t>
            </w:r>
          </w:p>
        </w:tc>
        <w:tc>
          <w:tcPr/>
          <w:p>
            <w:pPr>
              <w:pStyle w:val="Compact"/>
              <w:jc w:val="left"/>
            </w:pPr>
            <w:r>
              <w:t xml:space="preserve">32.7</w:t>
            </w:r>
          </w:p>
        </w:tc>
      </w:tr>
      <w:tr>
        <w:tc>
          <w:tcPr/>
          <w:p>
            <w:pPr>
              <w:pStyle w:val="Compact"/>
              <w:jc w:val="left"/>
            </w:pPr>
            <w:r>
              <w:t xml:space="preserve">Corrupt politicians/officials</w:t>
            </w:r>
          </w:p>
        </w:tc>
        <w:tc>
          <w:tcPr/>
          <w:p>
            <w:pPr>
              <w:pStyle w:val="Compact"/>
              <w:jc w:val="left"/>
            </w:pPr>
            <w:r>
              <w:t xml:space="preserve">14.3</w:t>
            </w:r>
          </w:p>
        </w:tc>
      </w:tr>
      <w:tr>
        <w:tc>
          <w:tcPr/>
          <w:p>
            <w:pPr>
              <w:pStyle w:val="Compact"/>
              <w:jc w:val="left"/>
            </w:pPr>
            <w:r>
              <w:t xml:space="preserve">Flood control project scandal</w:t>
            </w:r>
          </w:p>
        </w:tc>
        <w:tc>
          <w:tcPr/>
          <w:p>
            <w:pPr>
              <w:pStyle w:val="Compact"/>
              <w:jc w:val="left"/>
            </w:pPr>
            <w:r>
              <w:t xml:space="preserve">6.7</w:t>
            </w:r>
          </w:p>
        </w:tc>
      </w:tr>
      <w:tr>
        <w:tc>
          <w:tcPr/>
          <w:p>
            <w:pPr>
              <w:pStyle w:val="Compact"/>
              <w:jc w:val="left"/>
            </w:pPr>
            <w:r>
              <w:t xml:space="preserve">Poverty/misuse of public funds</w:t>
            </w:r>
          </w:p>
        </w:tc>
        <w:tc>
          <w:tcPr/>
          <w:p>
            <w:pPr>
              <w:pStyle w:val="Compact"/>
              <w:jc w:val="left"/>
            </w:pPr>
            <w:r>
              <w:t xml:space="preserve">2.6</w:t>
            </w:r>
          </w:p>
        </w:tc>
      </w:tr>
      <w:tr>
        <w:tc>
          <w:tcPr/>
          <w:p>
            <w:pPr>
              <w:pStyle w:val="Compact"/>
              <w:jc w:val="left"/>
            </w:pPr>
            <w:r>
              <w:t xml:space="preserve">Anger, disgust, frustration</w:t>
            </w:r>
          </w:p>
        </w:tc>
        <w:tc>
          <w:tcPr/>
          <w:p>
            <w:pPr>
              <w:pStyle w:val="Compact"/>
              <w:jc w:val="left"/>
            </w:pPr>
            <w:r>
              <w:t xml:space="preserve">2.5</w:t>
            </w:r>
          </w:p>
        </w:tc>
      </w:tr>
      <w:tr>
        <w:tc>
          <w:tcPr/>
          <w:p>
            <w:pPr>
              <w:pStyle w:val="Compact"/>
              <w:jc w:val="left"/>
            </w:pPr>
            <w:r>
              <w:t xml:space="preserve">Other/non-recurring mentions</w:t>
            </w:r>
          </w:p>
        </w:tc>
        <w:tc>
          <w:tcPr/>
          <w:p>
            <w:pPr>
              <w:pStyle w:val="Compact"/>
              <w:jc w:val="left"/>
            </w:pPr>
            <w:r>
              <w:t xml:space="preserve">11.1</w:t>
            </w:r>
          </w:p>
        </w:tc>
      </w:tr>
      <w:tr>
        <w:tc>
          <w:tcPr/>
          <w:p>
            <w:pPr>
              <w:pStyle w:val="Compact"/>
              <w:jc w:val="left"/>
            </w:pPr>
            <w:r>
              <w:t xml:space="preserve">Don’t know/No answer</w:t>
            </w:r>
          </w:p>
        </w:tc>
        <w:tc>
          <w:tcPr/>
          <w:p>
            <w:pPr>
              <w:pStyle w:val="Compact"/>
              <w:jc w:val="left"/>
            </w:pPr>
            <w:r>
              <w:t xml:space="preserve">0.4</w:t>
            </w:r>
          </w:p>
        </w:tc>
      </w:tr>
    </w:tbl>
    <w:p>
      <w:pPr>
        <w:pStyle w:val="BodyText"/>
      </w:pPr>
      <w:r>
        <w:rPr>
          <w:iCs/>
          <w:i/>
        </w:rPr>
        <w:t xml:space="preserve">Base: All respondents (n=1,979). Multi-mention open-end — % of respondents, not % of mentions; figures do not sum to 100%.</w:t>
      </w:r>
    </w:p>
    <w:p>
      <w:pPr>
        <w:pStyle w:val="BodyText"/>
      </w:pPr>
      <w:r>
        <w:rPr>
          <w:bCs/>
          <w:b/>
        </w:rPr>
        <w:t xml:space="preserve">President Marcos is the single most-named personality, ahead of Zaldy Co and Speaker Romualdez</w:t>
      </w:r>
    </w:p>
    <w:p>
      <w:pPr>
        <w:pStyle w:val="BodyText"/>
      </w:pPr>
      <w:r>
        <w:t xml:space="preserve">Asked who comes to mind on the same prompt, respondents name President Ferdinand</w:t>
      </w:r>
      <w:r>
        <w:t xml:space="preserve"> </w:t>
      </w:r>
      <w:r>
        <w:t xml:space="preserve">“</w:t>
      </w:r>
      <w:r>
        <w:t xml:space="preserve">Bongbong</w:t>
      </w:r>
      <w:r>
        <w:t xml:space="preserve">”</w:t>
      </w:r>
      <w:r>
        <w:t xml:space="preserve"> </w:t>
      </w:r>
      <w:r>
        <w:t xml:space="preserve">Marcos Jr. more than any other individual (20.3%), ahead of contractor Zaldy Co (13.3%), generic references to politicians (15.6%, shown separately as a non-specific mention), generic senators, Congress, or the DPWH (10.9%), the government or administration as a whole (10.3%), and Speaker Martin Romualdez (8.9%). Former President Rodrigo Duterte (3.9%) and Vice-President Sara Duterte (3.2%) trail well behind, alongside Rodante Marcoleta (2.9%). That the sitting President draws the single highest share of individual mentions, ahead of the contractor at the center of the original allegations, indicates the story has already fused with him personally rather than remaining contained to the officials directly implicated. (Please refer to Table 2.)</w:t>
      </w:r>
    </w:p>
    <w:p>
      <w:pPr>
        <w:pStyle w:val="BodyText"/>
      </w:pPr>
      <w:r>
        <w:rPr>
          <w:bCs/>
          <w:b/>
        </w:rPr>
        <w:t xml:space="preserve">TABLE 2</w:t>
      </w:r>
      <w:r>
        <w:t xml:space="preserve"> </w:t>
      </w:r>
      <w:r>
        <w:rPr>
          <w:iCs/>
          <w:i/>
        </w:rPr>
        <w:t xml:space="preserve">Q. When you hear or think about the</w:t>
      </w:r>
      <w:r>
        <w:rPr>
          <w:iCs/>
          <w:i/>
        </w:rPr>
        <w:t xml:space="preserve"> </w:t>
      </w:r>
      <w:r>
        <w:rPr>
          <w:iCs/>
          <w:i/>
        </w:rPr>
        <w:t xml:space="preserve">“</w:t>
      </w:r>
      <w:r>
        <w:rPr>
          <w:iCs/>
          <w:i/>
        </w:rPr>
        <w:t xml:space="preserve">maleta</w:t>
      </w:r>
      <w:r>
        <w:rPr>
          <w:iCs/>
          <w:i/>
        </w:rPr>
        <w:t xml:space="preserve">”</w:t>
      </w:r>
      <w:r>
        <w:rPr>
          <w:iCs/>
          <w:i/>
        </w:rPr>
        <w:t xml:space="preserve"> </w:t>
      </w:r>
      <w:r>
        <w:rPr>
          <w:iCs/>
          <w:i/>
        </w:rPr>
        <w:t xml:space="preserve">issue in the news lately, who comes to mind?</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Candidate/Entity</w:t>
            </w:r>
          </w:p>
        </w:tc>
        <w:tc>
          <w:tcPr/>
          <w:p>
            <w:pPr>
              <w:pStyle w:val="Compact"/>
              <w:jc w:val="left"/>
            </w:pPr>
            <w:r>
              <w:t xml:space="preserve">%</w:t>
            </w:r>
          </w:p>
        </w:tc>
      </w:tr>
      <w:tr>
        <w:tc>
          <w:tcPr/>
          <w:p>
            <w:pPr>
              <w:pStyle w:val="Compact"/>
              <w:jc w:val="left"/>
            </w:pPr>
            <w:r>
              <w:t xml:space="preserve">President Marcos (BBM)</w:t>
            </w:r>
          </w:p>
        </w:tc>
        <w:tc>
          <w:tcPr/>
          <w:p>
            <w:pPr>
              <w:pStyle w:val="Compact"/>
              <w:jc w:val="left"/>
            </w:pPr>
            <w:r>
              <w:t xml:space="preserve">20.3</w:t>
            </w:r>
          </w:p>
        </w:tc>
      </w:tr>
      <w:tr>
        <w:tc>
          <w:tcPr/>
          <w:p>
            <w:pPr>
              <w:pStyle w:val="Compact"/>
              <w:jc w:val="left"/>
            </w:pPr>
            <w:r>
              <w:t xml:space="preserve">Generic politicians/politiko</w:t>
            </w:r>
          </w:p>
        </w:tc>
        <w:tc>
          <w:tcPr/>
          <w:p>
            <w:pPr>
              <w:pStyle w:val="Compact"/>
              <w:jc w:val="left"/>
            </w:pPr>
            <w:r>
              <w:t xml:space="preserve">15.6</w:t>
            </w:r>
          </w:p>
        </w:tc>
      </w:tr>
      <w:tr>
        <w:tc>
          <w:tcPr/>
          <w:p>
            <w:pPr>
              <w:pStyle w:val="Compact"/>
              <w:jc w:val="left"/>
            </w:pPr>
            <w:r>
              <w:t xml:space="preserve">Zaldy Co</w:t>
            </w:r>
          </w:p>
        </w:tc>
        <w:tc>
          <w:tcPr/>
          <w:p>
            <w:pPr>
              <w:pStyle w:val="Compact"/>
              <w:jc w:val="left"/>
            </w:pPr>
            <w:r>
              <w:t xml:space="preserve">13.3</w:t>
            </w:r>
          </w:p>
        </w:tc>
      </w:tr>
      <w:tr>
        <w:tc>
          <w:tcPr/>
          <w:p>
            <w:pPr>
              <w:pStyle w:val="Compact"/>
              <w:jc w:val="left"/>
            </w:pPr>
            <w:r>
              <w:t xml:space="preserve">Generic senators/Congress/DPWH</w:t>
            </w:r>
          </w:p>
        </w:tc>
        <w:tc>
          <w:tcPr/>
          <w:p>
            <w:pPr>
              <w:pStyle w:val="Compact"/>
              <w:jc w:val="left"/>
            </w:pPr>
            <w:r>
              <w:t xml:space="preserve">10.9</w:t>
            </w:r>
          </w:p>
        </w:tc>
      </w:tr>
      <w:tr>
        <w:tc>
          <w:tcPr/>
          <w:p>
            <w:pPr>
              <w:pStyle w:val="Compact"/>
              <w:jc w:val="left"/>
            </w:pPr>
            <w:r>
              <w:t xml:space="preserve">The government/administration</w:t>
            </w:r>
          </w:p>
        </w:tc>
        <w:tc>
          <w:tcPr/>
          <w:p>
            <w:pPr>
              <w:pStyle w:val="Compact"/>
              <w:jc w:val="left"/>
            </w:pPr>
            <w:r>
              <w:t xml:space="preserve">10.3</w:t>
            </w:r>
          </w:p>
        </w:tc>
      </w:tr>
      <w:tr>
        <w:tc>
          <w:tcPr/>
          <w:p>
            <w:pPr>
              <w:pStyle w:val="Compact"/>
              <w:jc w:val="left"/>
            </w:pPr>
            <w:r>
              <w:t xml:space="preserve">Martin Romualdez (Speaker)</w:t>
            </w:r>
          </w:p>
        </w:tc>
        <w:tc>
          <w:tcPr/>
          <w:p>
            <w:pPr>
              <w:pStyle w:val="Compact"/>
              <w:jc w:val="left"/>
            </w:pPr>
            <w:r>
              <w:t xml:space="preserve">8.9</w:t>
            </w:r>
          </w:p>
        </w:tc>
      </w:tr>
      <w:tr>
        <w:tc>
          <w:tcPr/>
          <w:p>
            <w:pPr>
              <w:pStyle w:val="Compact"/>
              <w:jc w:val="left"/>
            </w:pPr>
            <w:r>
              <w:t xml:space="preserve">Rodrigo Duterte (former Pres.)</w:t>
            </w:r>
          </w:p>
        </w:tc>
        <w:tc>
          <w:tcPr/>
          <w:p>
            <w:pPr>
              <w:pStyle w:val="Compact"/>
              <w:jc w:val="left"/>
            </w:pPr>
            <w:r>
              <w:t xml:space="preserve">3.9</w:t>
            </w:r>
          </w:p>
        </w:tc>
      </w:tr>
      <w:tr>
        <w:tc>
          <w:tcPr/>
          <w:p>
            <w:pPr>
              <w:pStyle w:val="Compact"/>
              <w:jc w:val="left"/>
            </w:pPr>
            <w:r>
              <w:t xml:space="preserve">Sara Duterte (VP)</w:t>
            </w:r>
          </w:p>
        </w:tc>
        <w:tc>
          <w:tcPr/>
          <w:p>
            <w:pPr>
              <w:pStyle w:val="Compact"/>
              <w:jc w:val="left"/>
            </w:pPr>
            <w:r>
              <w:t xml:space="preserve">3.2</w:t>
            </w:r>
          </w:p>
        </w:tc>
      </w:tr>
      <w:tr>
        <w:tc>
          <w:tcPr/>
          <w:p>
            <w:pPr>
              <w:pStyle w:val="Compact"/>
              <w:jc w:val="left"/>
            </w:pPr>
            <w:r>
              <w:t xml:space="preserve">Rodante Marcoleta</w:t>
            </w:r>
          </w:p>
        </w:tc>
        <w:tc>
          <w:tcPr/>
          <w:p>
            <w:pPr>
              <w:pStyle w:val="Compact"/>
              <w:jc w:val="left"/>
            </w:pPr>
            <w:r>
              <w:t xml:space="preserve">2.9</w:t>
            </w:r>
          </w:p>
        </w:tc>
      </w:tr>
      <w:tr>
        <w:tc>
          <w:tcPr/>
          <w:p>
            <w:pPr>
              <w:pStyle w:val="Compact"/>
              <w:jc w:val="left"/>
            </w:pPr>
            <w:r>
              <w:t xml:space="preserve">Other named public officials</w:t>
            </w:r>
          </w:p>
        </w:tc>
        <w:tc>
          <w:tcPr/>
          <w:p>
            <w:pPr>
              <w:pStyle w:val="Compact"/>
              <w:jc w:val="left"/>
            </w:pPr>
            <w:r>
              <w:t xml:space="preserve">2.9</w:t>
            </w:r>
          </w:p>
        </w:tc>
      </w:tr>
      <w:tr>
        <w:tc>
          <w:tcPr/>
          <w:p>
            <w:pPr>
              <w:pStyle w:val="Compact"/>
              <w:jc w:val="left"/>
            </w:pPr>
            <w:r>
              <w:t xml:space="preserve">Other/non-recurring mentions</w:t>
            </w:r>
          </w:p>
        </w:tc>
        <w:tc>
          <w:tcPr/>
          <w:p>
            <w:pPr>
              <w:pStyle w:val="Compact"/>
              <w:jc w:val="left"/>
            </w:pPr>
            <w:r>
              <w:t xml:space="preserve">10.0</w:t>
            </w:r>
          </w:p>
        </w:tc>
      </w:tr>
      <w:tr>
        <w:tc>
          <w:tcPr/>
          <w:p>
            <w:pPr>
              <w:pStyle w:val="Compact"/>
              <w:jc w:val="left"/>
            </w:pPr>
            <w:r>
              <w:t xml:space="preserve">Don’t know/No answer</w:t>
            </w:r>
          </w:p>
        </w:tc>
        <w:tc>
          <w:tcPr/>
          <w:p>
            <w:pPr>
              <w:pStyle w:val="Compact"/>
              <w:jc w:val="left"/>
            </w:pPr>
            <w:r>
              <w:t xml:space="preserve">1.2</w:t>
            </w:r>
          </w:p>
        </w:tc>
      </w:tr>
    </w:tbl>
    <w:p>
      <w:pPr>
        <w:pStyle w:val="BodyText"/>
      </w:pPr>
      <w:r>
        <w:rPr>
          <w:iCs/>
          <w:i/>
        </w:rPr>
        <w:t xml:space="preserve">Base: All respondents (n=1,979). Multi-mention open-end; multiple names in one response each counted separately.</w:t>
      </w:r>
      <w:r>
        <w:rPr>
          <w:iCs/>
          <w:i/>
        </w:rPr>
        <w:t xml:space="preserve"> </w:t>
      </w:r>
      <w:r>
        <w:rPr>
          <w:iCs/>
          <w:i/>
        </w:rPr>
        <w:t xml:space="preserve">“</w:t>
      </w:r>
      <w:r>
        <w:rPr>
          <w:iCs/>
          <w:i/>
        </w:rPr>
        <w:t xml:space="preserve">Other named officials</w:t>
      </w:r>
      <w:r>
        <w:rPr>
          <w:iCs/>
          <w:i/>
        </w:rPr>
        <w:t xml:space="preserve">”</w:t>
      </w:r>
      <w:r>
        <w:rPr>
          <w:iCs/>
          <w:i/>
        </w:rPr>
        <w:t xml:space="preserve"> </w:t>
      </w:r>
      <w:r>
        <w:rPr>
          <w:iCs/>
          <w:i/>
        </w:rPr>
        <w:t xml:space="preserve">includes Escudero, Defensor, De Lima, Villar, Pangilinan, and nine more (n≤11 each).</w:t>
      </w:r>
    </w:p>
    <w:p>
      <w:pPr>
        <w:pStyle w:val="BodyText"/>
      </w:pPr>
      <w:r>
        <w:rPr>
          <w:bCs/>
          <w:b/>
        </w:rPr>
        <w:t xml:space="preserve">Every top-of-mind personality is rated net negative; Marcoleta is the worst at –83</w:t>
      </w:r>
    </w:p>
    <w:p>
      <w:pPr>
        <w:pStyle w:val="BodyText"/>
      </w:pPr>
      <w:r>
        <w:t xml:space="preserve">Respondents who named a person were asked whether that person is, on balance, positive or negative for the country. Every tracked figure comes back net negative. Rodante Marcoleta posts the worst score (–83: 88% negative, 7% neutral, 5% positive), followed by Martin Romualdez (–74) and contractor-linked figure Discaya (–73). President Marcos sits at –61, and Vice-President Sara Duterte at –72, a reading driven less by outright positive sentiment (6%) than by an unusually high neutral share (16%). No figure in the current top-of-mind field offers voters a clean positive contrast to rally around. (Please refer to Table 3.)</w:t>
      </w:r>
    </w:p>
    <w:p>
      <w:pPr>
        <w:pStyle w:val="BodyText"/>
      </w:pPr>
      <w:r>
        <w:rPr>
          <w:bCs/>
          <w:b/>
        </w:rPr>
        <w:t xml:space="preserve">TABLE 3</w:t>
      </w:r>
      <w:r>
        <w:t xml:space="preserve"> </w:t>
      </w:r>
      <w:r>
        <w:rPr>
          <w:iCs/>
          <w:i/>
        </w:rPr>
        <w:t xml:space="preserve">Q. Would you say that the person you mentioned is positive, negative, or neutral for the country?</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Name</w:t>
            </w:r>
          </w:p>
        </w:tc>
        <w:tc>
          <w:tcPr/>
          <w:p>
            <w:pPr>
              <w:pStyle w:val="Compact"/>
              <w:jc w:val="left"/>
            </w:pPr>
            <w:r>
              <w:t xml:space="preserve">Negative %</w:t>
            </w:r>
          </w:p>
        </w:tc>
        <w:tc>
          <w:tcPr/>
          <w:p>
            <w:pPr>
              <w:pStyle w:val="Compact"/>
              <w:jc w:val="left"/>
            </w:pPr>
            <w:r>
              <w:t xml:space="preserve">Neutral %</w:t>
            </w:r>
          </w:p>
        </w:tc>
        <w:tc>
          <w:tcPr/>
          <w:p>
            <w:pPr>
              <w:pStyle w:val="Compact"/>
              <w:jc w:val="left"/>
            </w:pPr>
            <w:r>
              <w:t xml:space="preserve">Positive %</w:t>
            </w:r>
          </w:p>
        </w:tc>
        <w:tc>
          <w:tcPr/>
          <w:p>
            <w:pPr>
              <w:pStyle w:val="Compact"/>
              <w:jc w:val="left"/>
            </w:pPr>
            <w:r>
              <w:t xml:space="preserve">Net</w:t>
            </w:r>
          </w:p>
        </w:tc>
      </w:tr>
      <w:tr>
        <w:tc>
          <w:tcPr/>
          <w:p>
            <w:pPr>
              <w:pStyle w:val="Compact"/>
              <w:jc w:val="left"/>
            </w:pPr>
            <w:r>
              <w:t xml:space="preserve">Rodante Marcoleta</w:t>
            </w:r>
          </w:p>
        </w:tc>
        <w:tc>
          <w:tcPr/>
          <w:p>
            <w:pPr>
              <w:pStyle w:val="Compact"/>
              <w:jc w:val="left"/>
            </w:pPr>
            <w:r>
              <w:t xml:space="preserve">88</w:t>
            </w:r>
          </w:p>
        </w:tc>
        <w:tc>
          <w:tcPr/>
          <w:p>
            <w:pPr>
              <w:pStyle w:val="Compact"/>
              <w:jc w:val="left"/>
            </w:pPr>
            <w:r>
              <w:t xml:space="preserve">7</w:t>
            </w:r>
          </w:p>
        </w:tc>
        <w:tc>
          <w:tcPr/>
          <w:p>
            <w:pPr>
              <w:pStyle w:val="Compact"/>
              <w:jc w:val="left"/>
            </w:pPr>
            <w:r>
              <w:t xml:space="preserve">5</w:t>
            </w:r>
          </w:p>
        </w:tc>
        <w:tc>
          <w:tcPr/>
          <w:p>
            <w:pPr>
              <w:pStyle w:val="Compact"/>
              <w:jc w:val="left"/>
            </w:pPr>
            <w:r>
              <w:t xml:space="preserve">–83</w:t>
            </w:r>
          </w:p>
        </w:tc>
      </w:tr>
      <w:tr>
        <w:tc>
          <w:tcPr/>
          <w:p>
            <w:pPr>
              <w:pStyle w:val="Compact"/>
              <w:jc w:val="left"/>
            </w:pPr>
            <w:r>
              <w:t xml:space="preserve">Martin Romualdez</w:t>
            </w:r>
          </w:p>
        </w:tc>
        <w:tc>
          <w:tcPr/>
          <w:p>
            <w:pPr>
              <w:pStyle w:val="Compact"/>
              <w:jc w:val="left"/>
            </w:pPr>
            <w:r>
              <w:t xml:space="preserve">84</w:t>
            </w:r>
          </w:p>
        </w:tc>
        <w:tc>
          <w:tcPr/>
          <w:p>
            <w:pPr>
              <w:pStyle w:val="Compact"/>
              <w:jc w:val="left"/>
            </w:pPr>
            <w:r>
              <w:t xml:space="preserve">6</w:t>
            </w:r>
          </w:p>
        </w:tc>
        <w:tc>
          <w:tcPr/>
          <w:p>
            <w:pPr>
              <w:pStyle w:val="Compact"/>
              <w:jc w:val="left"/>
            </w:pPr>
            <w:r>
              <w:t xml:space="preserve">10</w:t>
            </w:r>
          </w:p>
        </w:tc>
        <w:tc>
          <w:tcPr/>
          <w:p>
            <w:pPr>
              <w:pStyle w:val="Compact"/>
              <w:jc w:val="left"/>
            </w:pPr>
            <w:r>
              <w:t xml:space="preserve">–74</w:t>
            </w:r>
          </w:p>
        </w:tc>
      </w:tr>
      <w:tr>
        <w:tc>
          <w:tcPr/>
          <w:p>
            <w:pPr>
              <w:pStyle w:val="Compact"/>
              <w:jc w:val="left"/>
            </w:pPr>
            <w:r>
              <w:t xml:space="preserve">Discaya (contractors)</w:t>
            </w:r>
          </w:p>
        </w:tc>
        <w:tc>
          <w:tcPr/>
          <w:p>
            <w:pPr>
              <w:pStyle w:val="Compact"/>
              <w:jc w:val="left"/>
            </w:pPr>
            <w:r>
              <w:t xml:space="preserve">81</w:t>
            </w:r>
          </w:p>
        </w:tc>
        <w:tc>
          <w:tcPr/>
          <w:p>
            <w:pPr>
              <w:pStyle w:val="Compact"/>
              <w:jc w:val="left"/>
            </w:pPr>
            <w:r>
              <w:t xml:space="preserve">11</w:t>
            </w:r>
          </w:p>
        </w:tc>
        <w:tc>
          <w:tcPr/>
          <w:p>
            <w:pPr>
              <w:pStyle w:val="Compact"/>
              <w:jc w:val="left"/>
            </w:pPr>
            <w:r>
              <w:t xml:space="preserve">8</w:t>
            </w:r>
          </w:p>
        </w:tc>
        <w:tc>
          <w:tcPr/>
          <w:p>
            <w:pPr>
              <w:pStyle w:val="Compact"/>
              <w:jc w:val="left"/>
            </w:pPr>
            <w:r>
              <w:t xml:space="preserve">–73</w:t>
            </w:r>
          </w:p>
        </w:tc>
      </w:tr>
      <w:tr>
        <w:tc>
          <w:tcPr/>
          <w:p>
            <w:pPr>
              <w:pStyle w:val="Compact"/>
              <w:jc w:val="left"/>
            </w:pPr>
            <w:r>
              <w:t xml:space="preserve">Sara Duterte (VP)</w:t>
            </w:r>
          </w:p>
        </w:tc>
        <w:tc>
          <w:tcPr/>
          <w:p>
            <w:pPr>
              <w:pStyle w:val="Compact"/>
              <w:jc w:val="left"/>
            </w:pPr>
            <w:r>
              <w:t xml:space="preserve">78</w:t>
            </w:r>
          </w:p>
        </w:tc>
        <w:tc>
          <w:tcPr/>
          <w:p>
            <w:pPr>
              <w:pStyle w:val="Compact"/>
              <w:jc w:val="left"/>
            </w:pPr>
            <w:r>
              <w:t xml:space="preserve">16</w:t>
            </w:r>
          </w:p>
        </w:tc>
        <w:tc>
          <w:tcPr/>
          <w:p>
            <w:pPr>
              <w:pStyle w:val="Compact"/>
              <w:jc w:val="left"/>
            </w:pPr>
            <w:r>
              <w:t xml:space="preserve">6</w:t>
            </w:r>
          </w:p>
        </w:tc>
        <w:tc>
          <w:tcPr/>
          <w:p>
            <w:pPr>
              <w:pStyle w:val="Compact"/>
              <w:jc w:val="left"/>
            </w:pPr>
            <w:r>
              <w:t xml:space="preserve">–72</w:t>
            </w:r>
          </w:p>
        </w:tc>
      </w:tr>
      <w:tr>
        <w:tc>
          <w:tcPr/>
          <w:p>
            <w:pPr>
              <w:pStyle w:val="Compact"/>
              <w:jc w:val="left"/>
            </w:pPr>
            <w:r>
              <w:t xml:space="preserve">Zaldy Co</w:t>
            </w:r>
          </w:p>
        </w:tc>
        <w:tc>
          <w:tcPr/>
          <w:p>
            <w:pPr>
              <w:pStyle w:val="Compact"/>
              <w:jc w:val="left"/>
            </w:pPr>
            <w:r>
              <w:t xml:space="preserve">83</w:t>
            </w:r>
          </w:p>
        </w:tc>
        <w:tc>
          <w:tcPr/>
          <w:p>
            <w:pPr>
              <w:pStyle w:val="Compact"/>
              <w:jc w:val="left"/>
            </w:pPr>
            <w:r>
              <w:t xml:space="preserve">6</w:t>
            </w:r>
          </w:p>
        </w:tc>
        <w:tc>
          <w:tcPr/>
          <w:p>
            <w:pPr>
              <w:pStyle w:val="Compact"/>
              <w:jc w:val="left"/>
            </w:pPr>
            <w:r>
              <w:t xml:space="preserve">12</w:t>
            </w:r>
          </w:p>
        </w:tc>
        <w:tc>
          <w:tcPr/>
          <w:p>
            <w:pPr>
              <w:pStyle w:val="Compact"/>
              <w:jc w:val="left"/>
            </w:pPr>
            <w:r>
              <w:t xml:space="preserve">–71</w:t>
            </w:r>
          </w:p>
        </w:tc>
      </w:tr>
      <w:tr>
        <w:tc>
          <w:tcPr/>
          <w:p>
            <w:pPr>
              <w:pStyle w:val="Compact"/>
              <w:jc w:val="left"/>
            </w:pPr>
            <w:r>
              <w:t xml:space="preserve">President Marcos (BBM)</w:t>
            </w:r>
          </w:p>
        </w:tc>
        <w:tc>
          <w:tcPr/>
          <w:p>
            <w:pPr>
              <w:pStyle w:val="Compact"/>
              <w:jc w:val="left"/>
            </w:pPr>
            <w:r>
              <w:t xml:space="preserve">75</w:t>
            </w:r>
          </w:p>
        </w:tc>
        <w:tc>
          <w:tcPr/>
          <w:p>
            <w:pPr>
              <w:pStyle w:val="Compact"/>
              <w:jc w:val="left"/>
            </w:pPr>
            <w:r>
              <w:t xml:space="preserve">12</w:t>
            </w:r>
          </w:p>
        </w:tc>
        <w:tc>
          <w:tcPr/>
          <w:p>
            <w:pPr>
              <w:pStyle w:val="Compact"/>
              <w:jc w:val="left"/>
            </w:pPr>
            <w:r>
              <w:t xml:space="preserve">14</w:t>
            </w:r>
          </w:p>
        </w:tc>
        <w:tc>
          <w:tcPr/>
          <w:p>
            <w:pPr>
              <w:pStyle w:val="Compact"/>
              <w:jc w:val="left"/>
            </w:pPr>
            <w:r>
              <w:t xml:space="preserve">–61</w:t>
            </w:r>
          </w:p>
        </w:tc>
      </w:tr>
      <w:tr>
        <w:tc>
          <w:tcPr/>
          <w:p>
            <w:pPr>
              <w:pStyle w:val="Compact"/>
              <w:jc w:val="left"/>
            </w:pPr>
            <w:r>
              <w:t xml:space="preserve">Rodrigo Duterte</w:t>
            </w:r>
          </w:p>
        </w:tc>
        <w:tc>
          <w:tcPr/>
          <w:p>
            <w:pPr>
              <w:pStyle w:val="Compact"/>
              <w:jc w:val="left"/>
            </w:pPr>
            <w:r>
              <w:t xml:space="preserve">71</w:t>
            </w:r>
          </w:p>
        </w:tc>
        <w:tc>
          <w:tcPr/>
          <w:p>
            <w:pPr>
              <w:pStyle w:val="Compact"/>
              <w:jc w:val="left"/>
            </w:pPr>
            <w:r>
              <w:t xml:space="preserve">12</w:t>
            </w:r>
          </w:p>
        </w:tc>
        <w:tc>
          <w:tcPr/>
          <w:p>
            <w:pPr>
              <w:pStyle w:val="Compact"/>
              <w:jc w:val="left"/>
            </w:pPr>
            <w:r>
              <w:t xml:space="preserve">17</w:t>
            </w:r>
          </w:p>
        </w:tc>
        <w:tc>
          <w:tcPr/>
          <w:p>
            <w:pPr>
              <w:pStyle w:val="Compact"/>
              <w:jc w:val="left"/>
            </w:pPr>
            <w:r>
              <w:t xml:space="preserve">–54</w:t>
            </w:r>
          </w:p>
        </w:tc>
      </w:tr>
      <w:tr>
        <w:tc>
          <w:tcPr/>
          <w:p>
            <w:pPr>
              <w:pStyle w:val="Compact"/>
              <w:jc w:val="left"/>
            </w:pPr>
            <w:r>
              <w:t xml:space="preserve">Tulfo (Erwin/bros.)</w:t>
            </w:r>
          </w:p>
        </w:tc>
        <w:tc>
          <w:tcPr/>
          <w:p>
            <w:pPr>
              <w:pStyle w:val="Compact"/>
              <w:jc w:val="left"/>
            </w:pPr>
            <w:r>
              <w:t xml:space="preserve">73</w:t>
            </w:r>
          </w:p>
        </w:tc>
        <w:tc>
          <w:tcPr/>
          <w:p>
            <w:pPr>
              <w:pStyle w:val="Compact"/>
              <w:jc w:val="left"/>
            </w:pPr>
            <w:r>
              <w:t xml:space="preserve">8</w:t>
            </w:r>
          </w:p>
        </w:tc>
        <w:tc>
          <w:tcPr/>
          <w:p>
            <w:pPr>
              <w:pStyle w:val="Compact"/>
              <w:jc w:val="left"/>
            </w:pPr>
            <w:r>
              <w:t xml:space="preserve">19</w:t>
            </w:r>
          </w:p>
        </w:tc>
        <w:tc>
          <w:tcPr/>
          <w:p>
            <w:pPr>
              <w:pStyle w:val="Compact"/>
              <w:jc w:val="left"/>
            </w:pPr>
            <w:r>
              <w:t xml:space="preserve">–54</w:t>
            </w:r>
          </w:p>
        </w:tc>
      </w:tr>
    </w:tbl>
    <w:p>
      <w:pPr>
        <w:pStyle w:val="BodyText"/>
      </w:pPr>
      <w:r>
        <w:rPr>
          <w:iCs/>
          <w:i/>
        </w:rPr>
        <w:t xml:space="preserve">Derived read: sentiment (positive/negative/neutral) is a single answer per respondent, applied to every named person that respondent mentioned in the prior question. Named individuals shown have n≥36 mentions each. Base: respondents who named each individual.</w:t>
      </w:r>
    </w:p>
    <w:p>
      <w:pPr>
        <w:pStyle w:val="BodyText"/>
      </w:pPr>
      <w:r>
        <w:rPr>
          <w:bCs/>
          <w:b/>
        </w:rPr>
        <w:t xml:space="preserve">Social media is the dominant news source, well ahead of TV</w:t>
      </w:r>
    </w:p>
    <w:p>
      <w:pPr>
        <w:pStyle w:val="BodyText"/>
      </w:pPr>
      <w:r>
        <w:t xml:space="preserve">Asked where they mainly heard or read about the issue, half of respondents (50%) point to social media, followed by TV news (35%) and online news sites (13%). Conversations with family and friends (2%) and radio (1%) are marginal by comparison, and newspapers fall below the reporting floor (0.5%, n=9). With internet-native channels accounting for the majority of exposure, a drill-down into which specific online sources and social pages are driving the narrative is recommended for any follow-up wave. (Please refer to Table 4.)</w:t>
      </w:r>
    </w:p>
    <w:p>
      <w:pPr>
        <w:pStyle w:val="BodyText"/>
      </w:pPr>
      <w:r>
        <w:rPr>
          <w:bCs/>
          <w:b/>
        </w:rPr>
        <w:t xml:space="preserve">TABLE 4</w:t>
      </w:r>
      <w:r>
        <w:t xml:space="preserve"> </w:t>
      </w:r>
      <w:r>
        <w:rPr>
          <w:iCs/>
          <w:i/>
        </w:rPr>
        <w:t xml:space="preserve">Q. Where did you mainly hear or read about this issue?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Source</w:t>
            </w:r>
          </w:p>
        </w:tc>
        <w:tc>
          <w:tcPr/>
          <w:p>
            <w:pPr>
              <w:pStyle w:val="Compact"/>
              <w:jc w:val="left"/>
            </w:pPr>
            <w:r>
              <w:t xml:space="preserve">%</w:t>
            </w:r>
          </w:p>
        </w:tc>
      </w:tr>
      <w:tr>
        <w:tc>
          <w:tcPr/>
          <w:p>
            <w:pPr>
              <w:pStyle w:val="Compact"/>
              <w:jc w:val="left"/>
            </w:pPr>
            <w:r>
              <w:t xml:space="preserve">Social media</w:t>
            </w:r>
          </w:p>
        </w:tc>
        <w:tc>
          <w:tcPr/>
          <w:p>
            <w:pPr>
              <w:pStyle w:val="Compact"/>
              <w:jc w:val="left"/>
            </w:pPr>
            <w:r>
              <w:t xml:space="preserve">50</w:t>
            </w:r>
          </w:p>
        </w:tc>
      </w:tr>
      <w:tr>
        <w:tc>
          <w:tcPr/>
          <w:p>
            <w:pPr>
              <w:pStyle w:val="Compact"/>
              <w:jc w:val="left"/>
            </w:pPr>
            <w:r>
              <w:t xml:space="preserve">TV news</w:t>
            </w:r>
          </w:p>
        </w:tc>
        <w:tc>
          <w:tcPr/>
          <w:p>
            <w:pPr>
              <w:pStyle w:val="Compact"/>
              <w:jc w:val="left"/>
            </w:pPr>
            <w:r>
              <w:t xml:space="preserve">35</w:t>
            </w:r>
          </w:p>
        </w:tc>
      </w:tr>
      <w:tr>
        <w:tc>
          <w:tcPr/>
          <w:p>
            <w:pPr>
              <w:pStyle w:val="Compact"/>
              <w:jc w:val="left"/>
            </w:pPr>
            <w:r>
              <w:t xml:space="preserve">Online news sites</w:t>
            </w:r>
          </w:p>
        </w:tc>
        <w:tc>
          <w:tcPr/>
          <w:p>
            <w:pPr>
              <w:pStyle w:val="Compact"/>
              <w:jc w:val="left"/>
            </w:pPr>
            <w:r>
              <w:t xml:space="preserve">13</w:t>
            </w:r>
          </w:p>
        </w:tc>
      </w:tr>
      <w:tr>
        <w:tc>
          <w:tcPr/>
          <w:p>
            <w:pPr>
              <w:pStyle w:val="Compact"/>
              <w:jc w:val="left"/>
            </w:pPr>
            <w:r>
              <w:t xml:space="preserve">Conversations w/ family, friends</w:t>
            </w:r>
          </w:p>
        </w:tc>
        <w:tc>
          <w:tcPr/>
          <w:p>
            <w:pPr>
              <w:pStyle w:val="Compact"/>
              <w:jc w:val="left"/>
            </w:pPr>
            <w:r>
              <w:t xml:space="preserve">2</w:t>
            </w:r>
          </w:p>
        </w:tc>
      </w:tr>
      <w:tr>
        <w:tc>
          <w:tcPr/>
          <w:p>
            <w:pPr>
              <w:pStyle w:val="Compact"/>
              <w:jc w:val="left"/>
            </w:pPr>
            <w:r>
              <w:t xml:space="preserve">Radio</w:t>
            </w:r>
          </w:p>
        </w:tc>
        <w:tc>
          <w:tcPr/>
          <w:p>
            <w:pPr>
              <w:pStyle w:val="Compact"/>
              <w:jc w:val="left"/>
            </w:pPr>
            <w:r>
              <w:t xml:space="preserve">1</w:t>
            </w:r>
          </w:p>
        </w:tc>
      </w:tr>
    </w:tbl>
    <w:p>
      <w:pPr>
        <w:pStyle w:val="BodyText"/>
      </w:pPr>
      <w:r>
        <w:rPr>
          <w:iCs/>
          <w:i/>
        </w:rPr>
        <w:t xml:space="preserve">Newspaper (0.5%, n=9) and other write-ins (n=2) suppressed for low base. Base: All respondents (n=1,979).</w:t>
      </w:r>
    </w:p>
    <w:bookmarkEnd w:id="25"/>
    <w:bookmarkEnd w:id="26"/>
    <w:bookmarkStart w:id="28" w:name="section-ii"/>
    <w:p>
      <w:pPr>
        <w:pStyle w:val="Heading2"/>
      </w:pPr>
      <w:r>
        <w:t xml:space="preserve">SECTION II</w:t>
      </w:r>
    </w:p>
    <w:bookmarkStart w:id="27" w:name="belief-institutional-trust"/>
    <w:p>
      <w:pPr>
        <w:pStyle w:val="Heading3"/>
      </w:pPr>
      <w:r>
        <w:t xml:space="preserve">Belief &amp; Institutional Trust</w:t>
      </w:r>
    </w:p>
    <w:p>
      <w:pPr>
        <w:pStyle w:val="FirstParagraph"/>
      </w:pPr>
      <w:r>
        <w:rPr>
          <w:bCs/>
          <w:b/>
        </w:rPr>
        <w:t xml:space="preserve">87% already believe the allegations are true — there is virtually no room left to shift sentiment</w:t>
      </w:r>
    </w:p>
    <w:p>
      <w:pPr>
        <w:pStyle w:val="BodyText"/>
      </w:pPr>
      <w:r>
        <w:t xml:space="preserve">Belief in the underlying allegations is close to settled. Nearly two-thirds of respondents (65.0%) say the allegations are</w:t>
      </w:r>
      <w:r>
        <w:t xml:space="preserve"> </w:t>
      </w:r>
      <w:r>
        <w:t xml:space="preserve">“</w:t>
      </w:r>
      <w:r>
        <w:t xml:space="preserve">definitely</w:t>
      </w:r>
      <w:r>
        <w:t xml:space="preserve">”</w:t>
      </w:r>
      <w:r>
        <w:t xml:space="preserve"> </w:t>
      </w:r>
      <w:r>
        <w:t xml:space="preserve">true, and a further 22.0% say they are</w:t>
      </w:r>
      <w:r>
        <w:t xml:space="preserve"> </w:t>
      </w:r>
      <w:r>
        <w:t xml:space="preserve">“</w:t>
      </w:r>
      <w:r>
        <w:t xml:space="preserve">somewhat</w:t>
      </w:r>
      <w:r>
        <w:t xml:space="preserve">”</w:t>
      </w:r>
      <w:r>
        <w:t xml:space="preserve"> </w:t>
      </w:r>
      <w:r>
        <w:t xml:space="preserve">true, for a combined Top-2-Box of 87.0%. Only 10.3% are neutral, and a mere 2.7% say the allegations are not true at all. With belief already this consolidated, any communications strategy built on casting doubt or arguing denial is arguing against an opinion that has already hardened. (Please refer to Table 5.)</w:t>
      </w:r>
    </w:p>
    <w:p>
      <w:pPr>
        <w:pStyle w:val="BodyText"/>
      </w:pPr>
      <w:r>
        <w:rPr>
          <w:bCs/>
          <w:b/>
        </w:rPr>
        <w:t xml:space="preserve">TABLE 5</w:t>
      </w:r>
      <w:r>
        <w:t xml:space="preserve"> </w:t>
      </w:r>
      <w:r>
        <w:rPr>
          <w:iCs/>
          <w:i/>
        </w:rPr>
        <w:t xml:space="preserve">Q. Overall, how much truth do you believe there is to the allegations that some government officials received suitcases of cash linked to corruption or kickbacks?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Response</w:t>
            </w:r>
          </w:p>
        </w:tc>
        <w:tc>
          <w:tcPr/>
          <w:p>
            <w:pPr>
              <w:pStyle w:val="Compact"/>
              <w:jc w:val="left"/>
            </w:pPr>
            <w:r>
              <w:t xml:space="preserve">%</w:t>
            </w:r>
          </w:p>
        </w:tc>
      </w:tr>
      <w:tr>
        <w:tc>
          <w:tcPr/>
          <w:p>
            <w:pPr>
              <w:pStyle w:val="Compact"/>
              <w:jc w:val="left"/>
            </w:pPr>
            <w:r>
              <w:t xml:space="preserve">Definitely true</w:t>
            </w:r>
          </w:p>
        </w:tc>
        <w:tc>
          <w:tcPr/>
          <w:p>
            <w:pPr>
              <w:pStyle w:val="Compact"/>
              <w:jc w:val="left"/>
            </w:pPr>
            <w:r>
              <w:t xml:space="preserve">65.0</w:t>
            </w:r>
          </w:p>
        </w:tc>
      </w:tr>
      <w:tr>
        <w:tc>
          <w:tcPr/>
          <w:p>
            <w:pPr>
              <w:pStyle w:val="Compact"/>
              <w:jc w:val="left"/>
            </w:pPr>
            <w:r>
              <w:t xml:space="preserve">Somewhat true</w:t>
            </w:r>
          </w:p>
        </w:tc>
        <w:tc>
          <w:tcPr/>
          <w:p>
            <w:pPr>
              <w:pStyle w:val="Compact"/>
              <w:jc w:val="left"/>
            </w:pPr>
            <w:r>
              <w:t xml:space="preserve">22.0</w:t>
            </w:r>
          </w:p>
        </w:tc>
      </w:tr>
      <w:tr>
        <w:tc>
          <w:tcPr/>
          <w:p>
            <w:pPr>
              <w:pStyle w:val="Compact"/>
              <w:jc w:val="left"/>
            </w:pPr>
            <w:r>
              <w:t xml:space="preserve">Neutral</w:t>
            </w:r>
          </w:p>
        </w:tc>
        <w:tc>
          <w:tcPr/>
          <w:p>
            <w:pPr>
              <w:pStyle w:val="Compact"/>
              <w:jc w:val="left"/>
            </w:pPr>
            <w:r>
              <w:t xml:space="preserve">10.3</w:t>
            </w:r>
          </w:p>
        </w:tc>
      </w:tr>
      <w:tr>
        <w:tc>
          <w:tcPr/>
          <w:p>
            <w:pPr>
              <w:pStyle w:val="Compact"/>
              <w:jc w:val="left"/>
            </w:pPr>
            <w:r>
              <w:t xml:space="preserve">Somewhat not true</w:t>
            </w:r>
          </w:p>
        </w:tc>
        <w:tc>
          <w:tcPr/>
          <w:p>
            <w:pPr>
              <w:pStyle w:val="Compact"/>
              <w:jc w:val="left"/>
            </w:pPr>
            <w:r>
              <w:t xml:space="preserve">2.0</w:t>
            </w:r>
          </w:p>
        </w:tc>
      </w:tr>
      <w:tr>
        <w:tc>
          <w:tcPr/>
          <w:p>
            <w:pPr>
              <w:pStyle w:val="Compact"/>
              <w:jc w:val="left"/>
            </w:pPr>
            <w:r>
              <w:t xml:space="preserve">Definitely not true</w:t>
            </w:r>
          </w:p>
        </w:tc>
        <w:tc>
          <w:tcPr/>
          <w:p>
            <w:pPr>
              <w:pStyle w:val="Compact"/>
              <w:jc w:val="left"/>
            </w:pPr>
            <w:r>
              <w:t xml:space="preserve">0.7</w:t>
            </w:r>
          </w:p>
        </w:tc>
      </w:tr>
      <w:tr>
        <w:tc>
          <w:tcPr/>
          <w:p>
            <w:pPr>
              <w:pStyle w:val="Compact"/>
              <w:jc w:val="left"/>
            </w:pPr>
            <w:r>
              <w:rPr>
                <w:bCs/>
                <w:b/>
              </w:rPr>
              <w:t xml:space="preserve">Top-2-Box (true)</w:t>
            </w:r>
          </w:p>
        </w:tc>
        <w:tc>
          <w:tcPr/>
          <w:p>
            <w:pPr>
              <w:pStyle w:val="Compact"/>
              <w:jc w:val="left"/>
            </w:pPr>
            <w:r>
              <w:rPr>
                <w:bCs/>
                <w:b/>
              </w:rPr>
              <w:t xml:space="preserve">87.0</w:t>
            </w:r>
          </w:p>
        </w:tc>
      </w:tr>
    </w:tbl>
    <w:p>
      <w:pPr>
        <w:pStyle w:val="BodyText"/>
      </w:pPr>
      <w:r>
        <w:rPr>
          <w:iCs/>
          <w:i/>
        </w:rPr>
        <w:t xml:space="preserve">Top-2-Box = combined % selecting the two most</w:t>
      </w:r>
      <w:r>
        <w:rPr>
          <w:iCs/>
          <w:i/>
        </w:rPr>
        <w:t xml:space="preserve"> </w:t>
      </w:r>
      <w:r>
        <w:rPr>
          <w:iCs/>
          <w:i/>
        </w:rPr>
        <w:t xml:space="preserve">“</w:t>
      </w:r>
      <w:r>
        <w:rPr>
          <w:iCs/>
          <w:i/>
        </w:rPr>
        <w:t xml:space="preserve">true</w:t>
      </w:r>
      <w:r>
        <w:rPr>
          <w:iCs/>
          <w:i/>
        </w:rPr>
        <w:t xml:space="preserve">”</w:t>
      </w:r>
      <w:r>
        <w:rPr>
          <w:iCs/>
          <w:i/>
        </w:rPr>
        <w:t xml:space="preserve"> </w:t>
      </w:r>
      <w:r>
        <w:rPr>
          <w:iCs/>
          <w:i/>
        </w:rPr>
        <w:t xml:space="preserve">response options. Definitely not true is low base (n=13) — directional only. Base: All respondents (n=1,979). Scale order preserved (ordinal).</w:t>
      </w:r>
    </w:p>
    <w:p>
      <w:pPr>
        <w:pStyle w:val="BodyText"/>
      </w:pPr>
      <w:r>
        <w:rPr>
          <w:bCs/>
          <w:b/>
        </w:rPr>
        <w:t xml:space="preserve">No investigating body clears the scale midpoint; confidence trails distrust roughly 2-to-1</w:t>
      </w:r>
    </w:p>
    <w:p>
      <w:pPr>
        <w:pStyle w:val="BodyText"/>
      </w:pPr>
      <w:r>
        <w:t xml:space="preserve">Asked how much confidence they have in each of four bodies to investigate the matter fairly and thoroughly, respondents rate every one of them below the scale midpoint of 3.0. The Department of Justice scores highest but still low (2.63), followed by the Senate Blue Ribbon Committee (2.58), the Ombudsman (2.48), and other government bodies generally (2.45). Across all four,</w:t>
      </w:r>
      <w:r>
        <w:t xml:space="preserve"> </w:t>
      </w:r>
      <w:r>
        <w:t xml:space="preserve">“</w:t>
      </w:r>
      <w:r>
        <w:t xml:space="preserve">no confidence</w:t>
      </w:r>
      <w:r>
        <w:t xml:space="preserve">”</w:t>
      </w:r>
      <w:r>
        <w:t xml:space="preserve"> </w:t>
      </w:r>
      <w:r>
        <w:t xml:space="preserve">(bottom-box) responses outnumber</w:t>
      </w:r>
      <w:r>
        <w:t xml:space="preserve"> </w:t>
      </w:r>
      <w:r>
        <w:t xml:space="preserve">“</w:t>
      </w:r>
      <w:r>
        <w:t xml:space="preserve">confident</w:t>
      </w:r>
      <w:r>
        <w:t xml:space="preserve">”</w:t>
      </w:r>
      <w:r>
        <w:t xml:space="preserve"> </w:t>
      </w:r>
      <w:r>
        <w:t xml:space="preserve">(top-box) responses by roughly two to one. A</w:t>
      </w:r>
      <w:r>
        <w:t xml:space="preserve"> </w:t>
      </w:r>
      <w:r>
        <w:t xml:space="preserve">“</w:t>
      </w:r>
      <w:r>
        <w:t xml:space="preserve">let the process work</w:t>
      </w:r>
      <w:r>
        <w:t xml:space="preserve">”</w:t>
      </w:r>
      <w:r>
        <w:t xml:space="preserve"> </w:t>
      </w:r>
      <w:r>
        <w:t xml:space="preserve">message is unlikely to calm this electorate, since the process itself is not trusted to deliver an answer the public will believe. (Please refer to Table 6.)</w:t>
      </w:r>
    </w:p>
    <w:p>
      <w:pPr>
        <w:pStyle w:val="BodyText"/>
      </w:pPr>
      <w:r>
        <w:rPr>
          <w:bCs/>
          <w:b/>
        </w:rPr>
        <w:t xml:space="preserve">TABLE 6</w:t>
      </w:r>
      <w:r>
        <w:t xml:space="preserve"> </w:t>
      </w:r>
      <w:r>
        <w:rPr>
          <w:iCs/>
          <w:i/>
        </w:rPr>
        <w:t xml:space="preserve">Q. How much confidence do you have in each of the following to investigate this matter fairly and thoroughly? (1 = No confidence at all, 5 = Very confident)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Institution</w:t>
            </w:r>
          </w:p>
        </w:tc>
        <w:tc>
          <w:tcPr/>
          <w:p>
            <w:pPr>
              <w:pStyle w:val="Compact"/>
              <w:jc w:val="left"/>
            </w:pPr>
            <w:r>
              <w:t xml:space="preserve">Mean (of 5)</w:t>
            </w:r>
          </w:p>
        </w:tc>
      </w:tr>
      <w:tr>
        <w:tc>
          <w:tcPr/>
          <w:p>
            <w:pPr>
              <w:pStyle w:val="Compact"/>
              <w:jc w:val="left"/>
            </w:pPr>
            <w:r>
              <w:t xml:space="preserve">Department of Justice</w:t>
            </w:r>
          </w:p>
        </w:tc>
        <w:tc>
          <w:tcPr/>
          <w:p>
            <w:pPr>
              <w:pStyle w:val="Compact"/>
              <w:jc w:val="left"/>
            </w:pPr>
            <w:r>
              <w:t xml:space="preserve">2.63</w:t>
            </w:r>
          </w:p>
        </w:tc>
      </w:tr>
      <w:tr>
        <w:tc>
          <w:tcPr/>
          <w:p>
            <w:pPr>
              <w:pStyle w:val="Compact"/>
              <w:jc w:val="left"/>
            </w:pPr>
            <w:r>
              <w:t xml:space="preserve">Senate Blue Ribbon Committee</w:t>
            </w:r>
          </w:p>
        </w:tc>
        <w:tc>
          <w:tcPr/>
          <w:p>
            <w:pPr>
              <w:pStyle w:val="Compact"/>
              <w:jc w:val="left"/>
            </w:pPr>
            <w:r>
              <w:t xml:space="preserve">2.58</w:t>
            </w:r>
          </w:p>
        </w:tc>
      </w:tr>
      <w:tr>
        <w:tc>
          <w:tcPr/>
          <w:p>
            <w:pPr>
              <w:pStyle w:val="Compact"/>
              <w:jc w:val="left"/>
            </w:pPr>
            <w:r>
              <w:t xml:space="preserve">Ombudsman</w:t>
            </w:r>
          </w:p>
        </w:tc>
        <w:tc>
          <w:tcPr/>
          <w:p>
            <w:pPr>
              <w:pStyle w:val="Compact"/>
              <w:jc w:val="left"/>
            </w:pPr>
            <w:r>
              <w:t xml:space="preserve">2.48</w:t>
            </w:r>
          </w:p>
        </w:tc>
      </w:tr>
      <w:tr>
        <w:tc>
          <w:tcPr/>
          <w:p>
            <w:pPr>
              <w:pStyle w:val="Compact"/>
              <w:jc w:val="left"/>
            </w:pPr>
            <w:r>
              <w:t xml:space="preserve">Other Government Bodies</w:t>
            </w:r>
          </w:p>
        </w:tc>
        <w:tc>
          <w:tcPr/>
          <w:p>
            <w:pPr>
              <w:pStyle w:val="Compact"/>
              <w:jc w:val="left"/>
            </w:pPr>
            <w:r>
              <w:t xml:space="preserve">2.45</w:t>
            </w:r>
          </w:p>
        </w:tc>
      </w:tr>
    </w:tbl>
    <w:p>
      <w:pPr>
        <w:pStyle w:val="BodyText"/>
      </w:pPr>
      <w:r>
        <w:rPr>
          <w:iCs/>
          <w:i/>
        </w:rPr>
        <w:t xml:space="preserve">Derived read: mean score of the basic 1–5 distributions. Base: Respondents who answered each item (n=1,918); 61 skipped.</w:t>
      </w:r>
    </w:p>
    <w:bookmarkEnd w:id="27"/>
    <w:bookmarkEnd w:id="28"/>
    <w:bookmarkStart w:id="30" w:name="section-iii"/>
    <w:p>
      <w:pPr>
        <w:pStyle w:val="Heading2"/>
      </w:pPr>
      <w:r>
        <w:t xml:space="preserve">SECTION III</w:t>
      </w:r>
    </w:p>
    <w:bookmarkStart w:id="29" w:name="relevance-political-stakes"/>
    <w:p>
      <w:pPr>
        <w:pStyle w:val="Heading3"/>
      </w:pPr>
      <w:r>
        <w:t xml:space="preserve">Relevance &amp; Political Stakes</w:t>
      </w:r>
    </w:p>
    <w:p>
      <w:pPr>
        <w:pStyle w:val="FirstParagraph"/>
      </w:pPr>
      <w:r>
        <w:rPr>
          <w:bCs/>
          <w:b/>
        </w:rPr>
        <w:t xml:space="preserve">78% call the issue personally relevant — this is not a niche news story</w:t>
      </w:r>
    </w:p>
    <w:p>
      <w:pPr>
        <w:pStyle w:val="BodyText"/>
      </w:pPr>
      <w:r>
        <w:t xml:space="preserve">The issue registers well beyond passive awareness. Asked how relevant it is to them personally on a 1–5 scale, 61% of respondents give the top rating and a further 17% rate it a 4, for a combined Top-2-Box of 78.3%. Only 8% place it at the bottom of the scale (3% at 1, 5% at 2). That the story is felt as personally important by most of the electorate raises the stakes for how — and by whom — it gets resolved before 2028. (Please refer to Table 7.)</w:t>
      </w:r>
    </w:p>
    <w:p>
      <w:pPr>
        <w:pStyle w:val="BodyText"/>
      </w:pPr>
      <w:r>
        <w:rPr>
          <w:bCs/>
          <w:b/>
        </w:rPr>
        <w:t xml:space="preserve">TABLE 7</w:t>
      </w:r>
      <w:r>
        <w:t xml:space="preserve"> </w:t>
      </w:r>
      <w:r>
        <w:rPr>
          <w:iCs/>
          <w:i/>
        </w:rPr>
        <w:t xml:space="preserve">Q. How relevant is this issue to you?</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Rating</w:t>
            </w:r>
          </w:p>
        </w:tc>
        <w:tc>
          <w:tcPr/>
          <w:p>
            <w:pPr>
              <w:pStyle w:val="Compact"/>
              <w:jc w:val="left"/>
            </w:pPr>
            <w:r>
              <w:t xml:space="preserve">%</w:t>
            </w:r>
          </w:p>
        </w:tc>
      </w:tr>
      <w:tr>
        <w:tc>
          <w:tcPr/>
          <w:p>
            <w:pPr>
              <w:pStyle w:val="Compact"/>
              <w:jc w:val="left"/>
            </w:pPr>
            <w:r>
              <w:t xml:space="preserve">1 (Not relevant)</w:t>
            </w:r>
          </w:p>
        </w:tc>
        <w:tc>
          <w:tcPr/>
          <w:p>
            <w:pPr>
              <w:pStyle w:val="Compact"/>
              <w:jc w:val="left"/>
            </w:pPr>
            <w:r>
              <w:t xml:space="preserve">3</w:t>
            </w:r>
          </w:p>
        </w:tc>
      </w:tr>
      <w:tr>
        <w:tc>
          <w:tcPr/>
          <w:p>
            <w:pPr>
              <w:pStyle w:val="Compact"/>
              <w:jc w:val="left"/>
            </w:pPr>
            <w:r>
              <w:t xml:space="preserve">2</w:t>
            </w:r>
          </w:p>
        </w:tc>
        <w:tc>
          <w:tcPr/>
          <w:p>
            <w:pPr>
              <w:pStyle w:val="Compact"/>
              <w:jc w:val="left"/>
            </w:pPr>
            <w:r>
              <w:t xml:space="preserve">5</w:t>
            </w:r>
          </w:p>
        </w:tc>
      </w:tr>
      <w:tr>
        <w:tc>
          <w:tcPr/>
          <w:p>
            <w:pPr>
              <w:pStyle w:val="Compact"/>
              <w:jc w:val="left"/>
            </w:pPr>
            <w:r>
              <w:t xml:space="preserve">3</w:t>
            </w:r>
          </w:p>
        </w:tc>
        <w:tc>
          <w:tcPr/>
          <w:p>
            <w:pPr>
              <w:pStyle w:val="Compact"/>
              <w:jc w:val="left"/>
            </w:pPr>
            <w:r>
              <w:t xml:space="preserve">14</w:t>
            </w:r>
          </w:p>
        </w:tc>
      </w:tr>
      <w:tr>
        <w:tc>
          <w:tcPr/>
          <w:p>
            <w:pPr>
              <w:pStyle w:val="Compact"/>
              <w:jc w:val="left"/>
            </w:pPr>
            <w:r>
              <w:t xml:space="preserve">4</w:t>
            </w:r>
          </w:p>
        </w:tc>
        <w:tc>
          <w:tcPr/>
          <w:p>
            <w:pPr>
              <w:pStyle w:val="Compact"/>
              <w:jc w:val="left"/>
            </w:pPr>
            <w:r>
              <w:t xml:space="preserve">17</w:t>
            </w:r>
          </w:p>
        </w:tc>
      </w:tr>
      <w:tr>
        <w:tc>
          <w:tcPr/>
          <w:p>
            <w:pPr>
              <w:pStyle w:val="Compact"/>
              <w:jc w:val="left"/>
            </w:pPr>
            <w:r>
              <w:t xml:space="preserve">5 (Very relevant)</w:t>
            </w:r>
          </w:p>
        </w:tc>
        <w:tc>
          <w:tcPr/>
          <w:p>
            <w:pPr>
              <w:pStyle w:val="Compact"/>
              <w:jc w:val="left"/>
            </w:pPr>
            <w:r>
              <w:t xml:space="preserve">61</w:t>
            </w:r>
          </w:p>
        </w:tc>
      </w:tr>
      <w:tr>
        <w:tc>
          <w:tcPr/>
          <w:p>
            <w:pPr>
              <w:pStyle w:val="Compact"/>
              <w:jc w:val="left"/>
            </w:pPr>
            <w:r>
              <w:rPr>
                <w:bCs/>
                <w:b/>
              </w:rPr>
              <w:t xml:space="preserve">Top-2-Box (4–5)</w:t>
            </w:r>
          </w:p>
        </w:tc>
        <w:tc>
          <w:tcPr/>
          <w:p>
            <w:pPr>
              <w:pStyle w:val="Compact"/>
              <w:jc w:val="left"/>
            </w:pPr>
            <w:r>
              <w:rPr>
                <w:bCs/>
                <w:b/>
              </w:rPr>
              <w:t xml:space="preserve">78.3</w:t>
            </w:r>
          </w:p>
        </w:tc>
      </w:tr>
    </w:tbl>
    <w:p>
      <w:pPr>
        <w:pStyle w:val="BodyText"/>
      </w:pPr>
      <w:r>
        <w:rPr>
          <w:iCs/>
          <w:i/>
        </w:rPr>
        <w:t xml:space="preserve">Top-2-Box = combined % selecting the two most favorable response options. Base: All respondents (n=1,979). Scale order preserved (ordinal).</w:t>
      </w:r>
    </w:p>
    <w:p>
      <w:pPr>
        <w:pStyle w:val="BodyText"/>
      </w:pPr>
      <w:r>
        <w:rPr>
          <w:bCs/>
          <w:b/>
        </w:rPr>
        <w:t xml:space="preserve">Net Trust in President Marcos falls 56.7 points because of the issue — a one-directional movement</w:t>
      </w:r>
    </w:p>
    <w:p>
      <w:pPr>
        <w:pStyle w:val="BodyText"/>
      </w:pPr>
      <w:r>
        <w:t xml:space="preserve">Asked whether the issue has changed their trust in President Marcos, respondents move overwhelmingly in one direction. Only 9.1% say their trust increased (4.0%</w:t>
      </w:r>
      <w:r>
        <w:t xml:space="preserve"> </w:t>
      </w:r>
      <w:r>
        <w:t xml:space="preserve">“</w:t>
      </w:r>
      <w:r>
        <w:t xml:space="preserve">much more,</w:t>
      </w:r>
      <w:r>
        <w:t xml:space="preserve">”</w:t>
      </w:r>
      <w:r>
        <w:t xml:space="preserve"> </w:t>
      </w:r>
      <w:r>
        <w:t xml:space="preserve">5.1%</w:t>
      </w:r>
      <w:r>
        <w:t xml:space="preserve"> </w:t>
      </w:r>
      <w:r>
        <w:t xml:space="preserve">“</w:t>
      </w:r>
      <w:r>
        <w:t xml:space="preserve">somewhat more</w:t>
      </w:r>
      <w:r>
        <w:t xml:space="preserve">”</w:t>
      </w:r>
      <w:r>
        <w:t xml:space="preserve">), against 65.8% who say it decreased (15.8%</w:t>
      </w:r>
      <w:r>
        <w:t xml:space="preserve"> </w:t>
      </w:r>
      <w:r>
        <w:t xml:space="preserve">“</w:t>
      </w:r>
      <w:r>
        <w:t xml:space="preserve">somewhat less,</w:t>
      </w:r>
      <w:r>
        <w:t xml:space="preserve">”</w:t>
      </w:r>
      <w:r>
        <w:t xml:space="preserve"> </w:t>
      </w:r>
      <w:r>
        <w:t xml:space="preserve">50.0%</w:t>
      </w:r>
      <w:r>
        <w:t xml:space="preserve"> </w:t>
      </w:r>
      <w:r>
        <w:t xml:space="preserve">“</w:t>
      </w:r>
      <w:r>
        <w:t xml:space="preserve">much less</w:t>
      </w:r>
      <w:r>
        <w:t xml:space="preserve">”</w:t>
      </w:r>
      <w:r>
        <w:t xml:space="preserve">), for a Net Trust Score of –56.7. Eighteen percent report no change and 7% offer no opinion. This is not a split electorate reacting to the issue — it is a one-directional shift against the President. (Please refer to Table 8.)</w:t>
      </w:r>
    </w:p>
    <w:p>
      <w:pPr>
        <w:pStyle w:val="BodyText"/>
      </w:pPr>
      <w:r>
        <w:rPr>
          <w:bCs/>
          <w:b/>
        </w:rPr>
        <w:t xml:space="preserve">TABLE 8</w:t>
      </w:r>
      <w:r>
        <w:t xml:space="preserve"> </w:t>
      </w:r>
      <w:r>
        <w:rPr>
          <w:iCs/>
          <w:i/>
        </w:rPr>
        <w:t xml:space="preserve">Q. Has this issue made you trust the President more, trust him less, or has it not changed your level of trust?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Response</w:t>
            </w:r>
          </w:p>
        </w:tc>
        <w:tc>
          <w:tcPr/>
          <w:p>
            <w:pPr>
              <w:pStyle w:val="Compact"/>
              <w:jc w:val="left"/>
            </w:pPr>
            <w:r>
              <w:t xml:space="preserve">%</w:t>
            </w:r>
          </w:p>
        </w:tc>
      </w:tr>
      <w:tr>
        <w:tc>
          <w:tcPr/>
          <w:p>
            <w:pPr>
              <w:pStyle w:val="Compact"/>
              <w:jc w:val="left"/>
            </w:pPr>
            <w:r>
              <w:t xml:space="preserve">Much more</w:t>
            </w:r>
          </w:p>
        </w:tc>
        <w:tc>
          <w:tcPr/>
          <w:p>
            <w:pPr>
              <w:pStyle w:val="Compact"/>
              <w:jc w:val="left"/>
            </w:pPr>
            <w:r>
              <w:t xml:space="preserve">4</w:t>
            </w:r>
          </w:p>
        </w:tc>
      </w:tr>
      <w:tr>
        <w:tc>
          <w:tcPr/>
          <w:p>
            <w:pPr>
              <w:pStyle w:val="Compact"/>
              <w:jc w:val="left"/>
            </w:pPr>
            <w:r>
              <w:t xml:space="preserve">Somewhat more</w:t>
            </w:r>
          </w:p>
        </w:tc>
        <w:tc>
          <w:tcPr/>
          <w:p>
            <w:pPr>
              <w:pStyle w:val="Compact"/>
              <w:jc w:val="left"/>
            </w:pPr>
            <w:r>
              <w:t xml:space="preserve">5</w:t>
            </w:r>
          </w:p>
        </w:tc>
      </w:tr>
      <w:tr>
        <w:tc>
          <w:tcPr/>
          <w:p>
            <w:pPr>
              <w:pStyle w:val="Compact"/>
              <w:jc w:val="left"/>
            </w:pPr>
            <w:r>
              <w:t xml:space="preserve">No change</w:t>
            </w:r>
          </w:p>
        </w:tc>
        <w:tc>
          <w:tcPr/>
          <w:p>
            <w:pPr>
              <w:pStyle w:val="Compact"/>
              <w:jc w:val="left"/>
            </w:pPr>
            <w:r>
              <w:t xml:space="preserve">18</w:t>
            </w:r>
          </w:p>
        </w:tc>
      </w:tr>
      <w:tr>
        <w:tc>
          <w:tcPr/>
          <w:p>
            <w:pPr>
              <w:pStyle w:val="Compact"/>
              <w:jc w:val="left"/>
            </w:pPr>
            <w:r>
              <w:t xml:space="preserve">Somewhat less</w:t>
            </w:r>
          </w:p>
        </w:tc>
        <w:tc>
          <w:tcPr/>
          <w:p>
            <w:pPr>
              <w:pStyle w:val="Compact"/>
              <w:jc w:val="left"/>
            </w:pPr>
            <w:r>
              <w:t xml:space="preserve">16</w:t>
            </w:r>
          </w:p>
        </w:tc>
      </w:tr>
      <w:tr>
        <w:tc>
          <w:tcPr/>
          <w:p>
            <w:pPr>
              <w:pStyle w:val="Compact"/>
              <w:jc w:val="left"/>
            </w:pPr>
            <w:r>
              <w:t xml:space="preserve">Much less</w:t>
            </w:r>
          </w:p>
        </w:tc>
        <w:tc>
          <w:tcPr/>
          <w:p>
            <w:pPr>
              <w:pStyle w:val="Compact"/>
              <w:jc w:val="left"/>
            </w:pPr>
            <w:r>
              <w:t xml:space="preserve">50</w:t>
            </w:r>
          </w:p>
        </w:tc>
      </w:tr>
      <w:tr>
        <w:tc>
          <w:tcPr/>
          <w:p>
            <w:pPr>
              <w:pStyle w:val="Compact"/>
              <w:jc w:val="left"/>
            </w:pPr>
            <w:r>
              <w:t xml:space="preserve">No opinion</w:t>
            </w:r>
          </w:p>
        </w:tc>
        <w:tc>
          <w:tcPr/>
          <w:p>
            <w:pPr>
              <w:pStyle w:val="Compact"/>
              <w:jc w:val="left"/>
            </w:pPr>
            <w:r>
              <w:t xml:space="preserve">7</w:t>
            </w:r>
          </w:p>
        </w:tc>
      </w:tr>
      <w:tr>
        <w:tc>
          <w:tcPr/>
          <w:p>
            <w:pPr>
              <w:pStyle w:val="Compact"/>
              <w:jc w:val="left"/>
            </w:pPr>
            <w:r>
              <w:rPr>
                <w:bCs/>
                <w:b/>
              </w:rPr>
              <w:t xml:space="preserve">Net Trust Score</w:t>
            </w:r>
          </w:p>
        </w:tc>
        <w:tc>
          <w:tcPr/>
          <w:p>
            <w:pPr>
              <w:pStyle w:val="Compact"/>
              <w:jc w:val="left"/>
            </w:pPr>
            <w:r>
              <w:rPr>
                <w:bCs/>
                <w:b/>
              </w:rPr>
              <w:t xml:space="preserve">–56.7</w:t>
            </w:r>
          </w:p>
        </w:tc>
      </w:tr>
    </w:tbl>
    <w:p>
      <w:pPr>
        <w:pStyle w:val="BodyText"/>
      </w:pPr>
      <w:r>
        <w:rPr>
          <w:iCs/>
          <w:i/>
        </w:rPr>
        <w:t xml:space="preserve">Net Trust Score = % who trust him more minus % who trust him less. Scale order preserved (ordinal: more → no change → less);</w:t>
      </w:r>
      <w:r>
        <w:rPr>
          <w:iCs/>
          <w:i/>
        </w:rPr>
        <w:t xml:space="preserve"> </w:t>
      </w:r>
      <w:r>
        <w:rPr>
          <w:iCs/>
          <w:i/>
        </w:rPr>
        <w:t xml:space="preserve">“</w:t>
      </w:r>
      <w:r>
        <w:rPr>
          <w:iCs/>
          <w:i/>
        </w:rPr>
        <w:t xml:space="preserve">No opinion</w:t>
      </w:r>
      <w:r>
        <w:rPr>
          <w:iCs/>
          <w:i/>
        </w:rPr>
        <w:t xml:space="preserve">”</w:t>
      </w:r>
      <w:r>
        <w:rPr>
          <w:iCs/>
          <w:i/>
        </w:rPr>
        <w:t xml:space="preserve"> </w:t>
      </w:r>
      <w:r>
        <w:rPr>
          <w:iCs/>
          <w:i/>
        </w:rPr>
        <w:t xml:space="preserve">shown separately. Base: All respondents (n=1,979).</w:t>
      </w:r>
    </w:p>
    <w:p>
      <w:pPr>
        <w:pStyle w:val="BodyText"/>
      </w:pPr>
      <w:r>
        <w:rPr>
          <w:bCs/>
          <w:b/>
        </w:rPr>
        <w:t xml:space="preserve">The erosion is regionally uneven: deepest in Eastern Visayas and South Mindanao, softest in North Luzon</w:t>
      </w:r>
    </w:p>
    <w:p>
      <w:pPr>
        <w:pStyle w:val="BodyText"/>
      </w:pPr>
      <w:r>
        <w:t xml:space="preserve">The national –56.7 net trust movement masks considerable regional variation. The decline is sharpest in the Visayas and Mindanao, reaching –74 in Eastern Visayas, –69 in South Mindanao, and –63 in West Visayas, and comparatively softer across Luzon, bottoming out at –43 in North Luzon. NCR (–51) and Central Luzon (–51) sit close to the national figure. The President’s trust deficit over this issue is thus broadest in regions further from his traditional political base, rather than concentrated in any single stronghold. (Please refer to Table 9.)</w:t>
      </w:r>
    </w:p>
    <w:p>
      <w:pPr>
        <w:pStyle w:val="BodyText"/>
      </w:pPr>
      <w:r>
        <w:rPr>
          <w:bCs/>
          <w:b/>
        </w:rPr>
        <w:t xml:space="preserve">TABLE 9</w:t>
      </w:r>
      <w:r>
        <w:t xml:space="preserve"> </w:t>
      </w:r>
      <w:r>
        <w:rPr>
          <w:iCs/>
          <w:i/>
        </w:rPr>
        <w:t xml:space="preserve">Q. Net Trust Score change in President Marcos, by region</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Region</w:t>
            </w:r>
          </w:p>
        </w:tc>
        <w:tc>
          <w:tcPr/>
          <w:p>
            <w:pPr>
              <w:pStyle w:val="Compact"/>
              <w:jc w:val="left"/>
            </w:pPr>
            <w:r>
              <w:t xml:space="preserve">Net Trust Score</w:t>
            </w:r>
          </w:p>
        </w:tc>
      </w:tr>
      <w:tr>
        <w:tc>
          <w:tcPr/>
          <w:p>
            <w:pPr>
              <w:pStyle w:val="Compact"/>
              <w:jc w:val="left"/>
            </w:pPr>
            <w:r>
              <w:t xml:space="preserve">North Luzon</w:t>
            </w:r>
          </w:p>
        </w:tc>
        <w:tc>
          <w:tcPr/>
          <w:p>
            <w:pPr>
              <w:pStyle w:val="Compact"/>
              <w:jc w:val="left"/>
            </w:pPr>
            <w:r>
              <w:t xml:space="preserve">–43</w:t>
            </w:r>
          </w:p>
        </w:tc>
      </w:tr>
      <w:tr>
        <w:tc>
          <w:tcPr/>
          <w:p>
            <w:pPr>
              <w:pStyle w:val="Compact"/>
              <w:jc w:val="left"/>
            </w:pPr>
            <w:r>
              <w:t xml:space="preserve">South Luzon</w:t>
            </w:r>
          </w:p>
        </w:tc>
        <w:tc>
          <w:tcPr/>
          <w:p>
            <w:pPr>
              <w:pStyle w:val="Compact"/>
              <w:jc w:val="left"/>
            </w:pPr>
            <w:r>
              <w:t xml:space="preserve">–50</w:t>
            </w:r>
          </w:p>
        </w:tc>
      </w:tr>
      <w:tr>
        <w:tc>
          <w:tcPr/>
          <w:p>
            <w:pPr>
              <w:pStyle w:val="Compact"/>
              <w:jc w:val="left"/>
            </w:pPr>
            <w:r>
              <w:t xml:space="preserve">NCR</w:t>
            </w:r>
          </w:p>
        </w:tc>
        <w:tc>
          <w:tcPr/>
          <w:p>
            <w:pPr>
              <w:pStyle w:val="Compact"/>
              <w:jc w:val="left"/>
            </w:pPr>
            <w:r>
              <w:t xml:space="preserve">–51</w:t>
            </w:r>
          </w:p>
        </w:tc>
      </w:tr>
      <w:tr>
        <w:tc>
          <w:tcPr/>
          <w:p>
            <w:pPr>
              <w:pStyle w:val="Compact"/>
              <w:jc w:val="left"/>
            </w:pPr>
            <w:r>
              <w:t xml:space="preserve">Central Luzon</w:t>
            </w:r>
          </w:p>
        </w:tc>
        <w:tc>
          <w:tcPr/>
          <w:p>
            <w:pPr>
              <w:pStyle w:val="Compact"/>
              <w:jc w:val="left"/>
            </w:pPr>
            <w:r>
              <w:t xml:space="preserve">–51</w:t>
            </w:r>
          </w:p>
        </w:tc>
      </w:tr>
      <w:tr>
        <w:tc>
          <w:tcPr/>
          <w:p>
            <w:pPr>
              <w:pStyle w:val="Compact"/>
              <w:jc w:val="left"/>
            </w:pPr>
            <w:r>
              <w:t xml:space="preserve">North Mindanao</w:t>
            </w:r>
          </w:p>
        </w:tc>
        <w:tc>
          <w:tcPr/>
          <w:p>
            <w:pPr>
              <w:pStyle w:val="Compact"/>
              <w:jc w:val="left"/>
            </w:pPr>
            <w:r>
              <w:t xml:space="preserve">–61</w:t>
            </w:r>
          </w:p>
        </w:tc>
      </w:tr>
      <w:tr>
        <w:tc>
          <w:tcPr/>
          <w:p>
            <w:pPr>
              <w:pStyle w:val="Compact"/>
              <w:jc w:val="left"/>
            </w:pPr>
            <w:r>
              <w:t xml:space="preserve">West Visayas</w:t>
            </w:r>
          </w:p>
        </w:tc>
        <w:tc>
          <w:tcPr/>
          <w:p>
            <w:pPr>
              <w:pStyle w:val="Compact"/>
              <w:jc w:val="left"/>
            </w:pPr>
            <w:r>
              <w:t xml:space="preserve">–63</w:t>
            </w:r>
          </w:p>
        </w:tc>
      </w:tr>
      <w:tr>
        <w:tc>
          <w:tcPr/>
          <w:p>
            <w:pPr>
              <w:pStyle w:val="Compact"/>
              <w:jc w:val="left"/>
            </w:pPr>
            <w:r>
              <w:t xml:space="preserve">South Mindanao</w:t>
            </w:r>
          </w:p>
        </w:tc>
        <w:tc>
          <w:tcPr/>
          <w:p>
            <w:pPr>
              <w:pStyle w:val="Compact"/>
              <w:jc w:val="left"/>
            </w:pPr>
            <w:r>
              <w:t xml:space="preserve">–69</w:t>
            </w:r>
          </w:p>
        </w:tc>
      </w:tr>
      <w:tr>
        <w:tc>
          <w:tcPr/>
          <w:p>
            <w:pPr>
              <w:pStyle w:val="Compact"/>
              <w:jc w:val="left"/>
            </w:pPr>
            <w:r>
              <w:t xml:space="preserve">Eastern Visayas</w:t>
            </w:r>
          </w:p>
        </w:tc>
        <w:tc>
          <w:tcPr/>
          <w:p>
            <w:pPr>
              <w:pStyle w:val="Compact"/>
              <w:jc w:val="left"/>
            </w:pPr>
            <w:r>
              <w:t xml:space="preserve">–74</w:t>
            </w:r>
          </w:p>
        </w:tc>
      </w:tr>
    </w:tbl>
    <w:p>
      <w:pPr>
        <w:pStyle w:val="BodyText"/>
      </w:pPr>
      <w:r>
        <w:rPr>
          <w:iCs/>
          <w:i/>
        </w:rPr>
        <w:t xml:space="preserve">Derived read of the national Net Trust Score, cut by region. All regional bases exceed n=144.</w:t>
      </w:r>
    </w:p>
    <w:p>
      <w:pPr>
        <w:pStyle w:val="BodyText"/>
      </w:pPr>
      <w:r>
        <w:rPr>
          <w:bCs/>
          <w:b/>
        </w:rPr>
        <w:t xml:space="preserve">2028 damage is asymmetric: administration candidates face –46.0, opposition candidates just +4.4</w:t>
      </w:r>
    </w:p>
    <w:p>
      <w:pPr>
        <w:pStyle w:val="BodyText"/>
      </w:pPr>
      <w:r>
        <w:t xml:space="preserve">Looking ahead to 2028, the issue’s electoral cost falls almost entirely on the administration. Asked how the issue affects their willingness to vote for administration-aligned candidates, 62.5% say they are now somewhat or much less willing against just 16.4% more willing, for a Net Vote-Impact Score of –46.0. Asked the same question about opposition candidates, the electorate splits far more evenly — 38.2% more willing against 33.8% less willing — for a Net Vote-Impact Score of +4.4. The 50.4-point gap between the two scores indicates an anti-incumbent mood rather than a pro-opposition wave: voters know who they are moving away from more clearly than who they are moving toward. (Please refer to Tables 10–12.)</w:t>
      </w:r>
    </w:p>
    <w:p>
      <w:pPr>
        <w:pStyle w:val="BodyText"/>
      </w:pPr>
      <w:r>
        <w:rPr>
          <w:bCs/>
          <w:b/>
        </w:rPr>
        <w:t xml:space="preserve">TABLE 10</w:t>
      </w:r>
      <w:r>
        <w:t xml:space="preserve"> </w:t>
      </w:r>
      <w:r>
        <w:rPr>
          <w:iCs/>
          <w:i/>
        </w:rPr>
        <w:t xml:space="preserve">Q. Thinking ahead to the 2028 elections, how much will this issue affect your willingness to vote for administration-aligned candidates?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Response</w:t>
            </w:r>
          </w:p>
        </w:tc>
        <w:tc>
          <w:tcPr/>
          <w:p>
            <w:pPr>
              <w:pStyle w:val="Compact"/>
              <w:jc w:val="left"/>
            </w:pPr>
            <w:r>
              <w:t xml:space="preserve">%</w:t>
            </w:r>
          </w:p>
        </w:tc>
      </w:tr>
      <w:tr>
        <w:tc>
          <w:tcPr/>
          <w:p>
            <w:pPr>
              <w:pStyle w:val="Compact"/>
              <w:jc w:val="left"/>
            </w:pPr>
            <w:r>
              <w:t xml:space="preserve">Much more willing</w:t>
            </w:r>
          </w:p>
        </w:tc>
        <w:tc>
          <w:tcPr/>
          <w:p>
            <w:pPr>
              <w:pStyle w:val="Compact"/>
              <w:jc w:val="left"/>
            </w:pPr>
            <w:r>
              <w:t xml:space="preserve">10</w:t>
            </w:r>
          </w:p>
        </w:tc>
      </w:tr>
      <w:tr>
        <w:tc>
          <w:tcPr/>
          <w:p>
            <w:pPr>
              <w:pStyle w:val="Compact"/>
              <w:jc w:val="left"/>
            </w:pPr>
            <w:r>
              <w:t xml:space="preserve">Somewhat more willing</w:t>
            </w:r>
          </w:p>
        </w:tc>
        <w:tc>
          <w:tcPr/>
          <w:p>
            <w:pPr>
              <w:pStyle w:val="Compact"/>
              <w:jc w:val="left"/>
            </w:pPr>
            <w:r>
              <w:t xml:space="preserve">7</w:t>
            </w:r>
          </w:p>
        </w:tc>
      </w:tr>
      <w:tr>
        <w:tc>
          <w:tcPr/>
          <w:p>
            <w:pPr>
              <w:pStyle w:val="Compact"/>
              <w:jc w:val="left"/>
            </w:pPr>
            <w:r>
              <w:t xml:space="preserve">No effect</w:t>
            </w:r>
          </w:p>
        </w:tc>
        <w:tc>
          <w:tcPr/>
          <w:p>
            <w:pPr>
              <w:pStyle w:val="Compact"/>
              <w:jc w:val="left"/>
            </w:pPr>
            <w:r>
              <w:t xml:space="preserve">8</w:t>
            </w:r>
          </w:p>
        </w:tc>
      </w:tr>
      <w:tr>
        <w:tc>
          <w:tcPr/>
          <w:p>
            <w:pPr>
              <w:pStyle w:val="Compact"/>
              <w:jc w:val="left"/>
            </w:pPr>
            <w:r>
              <w:t xml:space="preserve">Don’t know yet</w:t>
            </w:r>
          </w:p>
        </w:tc>
        <w:tc>
          <w:tcPr/>
          <w:p>
            <w:pPr>
              <w:pStyle w:val="Compact"/>
              <w:jc w:val="left"/>
            </w:pPr>
            <w:r>
              <w:t xml:space="preserve">13</w:t>
            </w:r>
          </w:p>
        </w:tc>
      </w:tr>
      <w:tr>
        <w:tc>
          <w:tcPr/>
          <w:p>
            <w:pPr>
              <w:pStyle w:val="Compact"/>
              <w:jc w:val="left"/>
            </w:pPr>
            <w:r>
              <w:t xml:space="preserve">Somewhat less willing</w:t>
            </w:r>
          </w:p>
        </w:tc>
        <w:tc>
          <w:tcPr/>
          <w:p>
            <w:pPr>
              <w:pStyle w:val="Compact"/>
              <w:jc w:val="left"/>
            </w:pPr>
            <w:r>
              <w:t xml:space="preserve">20</w:t>
            </w:r>
          </w:p>
        </w:tc>
      </w:tr>
      <w:tr>
        <w:tc>
          <w:tcPr/>
          <w:p>
            <w:pPr>
              <w:pStyle w:val="Compact"/>
              <w:jc w:val="left"/>
            </w:pPr>
            <w:r>
              <w:t xml:space="preserve">Much less willing</w:t>
            </w:r>
          </w:p>
        </w:tc>
        <w:tc>
          <w:tcPr/>
          <w:p>
            <w:pPr>
              <w:pStyle w:val="Compact"/>
              <w:jc w:val="left"/>
            </w:pPr>
            <w:r>
              <w:t xml:space="preserve">43</w:t>
            </w:r>
          </w:p>
        </w:tc>
      </w:tr>
      <w:tr>
        <w:tc>
          <w:tcPr/>
          <w:p>
            <w:pPr>
              <w:pStyle w:val="Compact"/>
              <w:jc w:val="left"/>
            </w:pPr>
            <w:r>
              <w:rPr>
                <w:bCs/>
                <w:b/>
              </w:rPr>
              <w:t xml:space="preserve">Net Vote-Impact Score</w:t>
            </w:r>
          </w:p>
        </w:tc>
        <w:tc>
          <w:tcPr/>
          <w:p>
            <w:pPr>
              <w:pStyle w:val="Compact"/>
              <w:jc w:val="left"/>
            </w:pPr>
            <w:r>
              <w:rPr>
                <w:bCs/>
                <w:b/>
              </w:rPr>
              <w:t xml:space="preserve">–46.0</w:t>
            </w:r>
          </w:p>
        </w:tc>
      </w:tr>
    </w:tbl>
    <w:p>
      <w:pPr>
        <w:pStyle w:val="BodyText"/>
      </w:pPr>
      <w:r>
        <w:rPr>
          <w:iCs/>
          <w:i/>
        </w:rPr>
        <w:t xml:space="preserve">Net Vote-Impact Score = % more willing minus % less willing. Scale order preserved (ordinal). Base: All respondents (n=1,979).</w:t>
      </w:r>
    </w:p>
    <w:p>
      <w:pPr>
        <w:pStyle w:val="BodyText"/>
      </w:pPr>
      <w:r>
        <w:rPr>
          <w:bCs/>
          <w:b/>
        </w:rPr>
        <w:t xml:space="preserve">TABLE 11</w:t>
      </w:r>
      <w:r>
        <w:t xml:space="preserve"> </w:t>
      </w:r>
      <w:r>
        <w:rPr>
          <w:iCs/>
          <w:i/>
        </w:rPr>
        <w:t xml:space="preserve">Q. Thinking ahead to the 2028 elections, how much will this issue affect your willingness to vote for opposition candidates?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Response</w:t>
            </w:r>
          </w:p>
        </w:tc>
        <w:tc>
          <w:tcPr/>
          <w:p>
            <w:pPr>
              <w:pStyle w:val="Compact"/>
              <w:jc w:val="left"/>
            </w:pPr>
            <w:r>
              <w:t xml:space="preserve">%</w:t>
            </w:r>
          </w:p>
        </w:tc>
      </w:tr>
      <w:tr>
        <w:tc>
          <w:tcPr/>
          <w:p>
            <w:pPr>
              <w:pStyle w:val="Compact"/>
              <w:jc w:val="left"/>
            </w:pPr>
            <w:r>
              <w:t xml:space="preserve">Much more willing</w:t>
            </w:r>
          </w:p>
        </w:tc>
        <w:tc>
          <w:tcPr/>
          <w:p>
            <w:pPr>
              <w:pStyle w:val="Compact"/>
              <w:jc w:val="left"/>
            </w:pPr>
            <w:r>
              <w:t xml:space="preserve">20</w:t>
            </w:r>
          </w:p>
        </w:tc>
      </w:tr>
      <w:tr>
        <w:tc>
          <w:tcPr/>
          <w:p>
            <w:pPr>
              <w:pStyle w:val="Compact"/>
              <w:jc w:val="left"/>
            </w:pPr>
            <w:r>
              <w:t xml:space="preserve">Somewhat more willing</w:t>
            </w:r>
          </w:p>
        </w:tc>
        <w:tc>
          <w:tcPr/>
          <w:p>
            <w:pPr>
              <w:pStyle w:val="Compact"/>
              <w:jc w:val="left"/>
            </w:pPr>
            <w:r>
              <w:t xml:space="preserve">18</w:t>
            </w:r>
          </w:p>
        </w:tc>
      </w:tr>
      <w:tr>
        <w:tc>
          <w:tcPr/>
          <w:p>
            <w:pPr>
              <w:pStyle w:val="Compact"/>
              <w:jc w:val="left"/>
            </w:pPr>
            <w:r>
              <w:t xml:space="preserve">No effect</w:t>
            </w:r>
          </w:p>
        </w:tc>
        <w:tc>
          <w:tcPr/>
          <w:p>
            <w:pPr>
              <w:pStyle w:val="Compact"/>
              <w:jc w:val="left"/>
            </w:pPr>
            <w:r>
              <w:t xml:space="preserve">12</w:t>
            </w:r>
          </w:p>
        </w:tc>
      </w:tr>
      <w:tr>
        <w:tc>
          <w:tcPr/>
          <w:p>
            <w:pPr>
              <w:pStyle w:val="Compact"/>
              <w:jc w:val="left"/>
            </w:pPr>
            <w:r>
              <w:t xml:space="preserve">Don’t know yet</w:t>
            </w:r>
          </w:p>
        </w:tc>
        <w:tc>
          <w:tcPr/>
          <w:p>
            <w:pPr>
              <w:pStyle w:val="Compact"/>
              <w:jc w:val="left"/>
            </w:pPr>
            <w:r>
              <w:t xml:space="preserve">16</w:t>
            </w:r>
          </w:p>
        </w:tc>
      </w:tr>
      <w:tr>
        <w:tc>
          <w:tcPr/>
          <w:p>
            <w:pPr>
              <w:pStyle w:val="Compact"/>
              <w:jc w:val="left"/>
            </w:pPr>
            <w:r>
              <w:t xml:space="preserve">Somewhat less willing</w:t>
            </w:r>
          </w:p>
        </w:tc>
        <w:tc>
          <w:tcPr/>
          <w:p>
            <w:pPr>
              <w:pStyle w:val="Compact"/>
              <w:jc w:val="left"/>
            </w:pPr>
            <w:r>
              <w:t xml:space="preserve">12</w:t>
            </w:r>
          </w:p>
        </w:tc>
      </w:tr>
      <w:tr>
        <w:tc>
          <w:tcPr/>
          <w:p>
            <w:pPr>
              <w:pStyle w:val="Compact"/>
              <w:jc w:val="left"/>
            </w:pPr>
            <w:r>
              <w:t xml:space="preserve">Much less willing</w:t>
            </w:r>
          </w:p>
        </w:tc>
        <w:tc>
          <w:tcPr/>
          <w:p>
            <w:pPr>
              <w:pStyle w:val="Compact"/>
              <w:jc w:val="left"/>
            </w:pPr>
            <w:r>
              <w:t xml:space="preserve">22</w:t>
            </w:r>
          </w:p>
        </w:tc>
      </w:tr>
      <w:tr>
        <w:tc>
          <w:tcPr/>
          <w:p>
            <w:pPr>
              <w:pStyle w:val="Compact"/>
              <w:jc w:val="left"/>
            </w:pPr>
            <w:r>
              <w:rPr>
                <w:bCs/>
                <w:b/>
              </w:rPr>
              <w:t xml:space="preserve">Net Vote-Impact Score</w:t>
            </w:r>
          </w:p>
        </w:tc>
        <w:tc>
          <w:tcPr/>
          <w:p>
            <w:pPr>
              <w:pStyle w:val="Compact"/>
              <w:jc w:val="left"/>
            </w:pPr>
            <w:r>
              <w:rPr>
                <w:bCs/>
                <w:b/>
              </w:rPr>
              <w:t xml:space="preserve">+4.4</w:t>
            </w:r>
          </w:p>
        </w:tc>
      </w:tr>
    </w:tbl>
    <w:p>
      <w:pPr>
        <w:pStyle w:val="BodyText"/>
      </w:pPr>
      <w:r>
        <w:rPr>
          <w:iCs/>
          <w:i/>
        </w:rPr>
        <w:t xml:space="preserve">Net Vote-Impact Score = % more willing minus % less willing. Scale order preserved (ordinal). Base: All respondents (n=1,979).</w:t>
      </w:r>
    </w:p>
    <w:p>
      <w:pPr>
        <w:pStyle w:val="BodyText"/>
      </w:pPr>
      <w:r>
        <w:rPr>
          <w:bCs/>
          <w:b/>
        </w:rPr>
        <w:t xml:space="preserve">TABLE 12</w:t>
      </w:r>
      <w:r>
        <w:t xml:space="preserve"> </w:t>
      </w:r>
      <w:r>
        <w:rPr>
          <w:iCs/>
          <w:i/>
        </w:rPr>
        <w:t xml:space="preserve">Head-to-head comparison: Net 2028 Vote-Impact Score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Bloc</w:t>
            </w:r>
          </w:p>
        </w:tc>
        <w:tc>
          <w:tcPr/>
          <w:p>
            <w:pPr>
              <w:pStyle w:val="Compact"/>
              <w:jc w:val="left"/>
            </w:pPr>
            <w:r>
              <w:t xml:space="preserve">Net Vote-Impact Score</w:t>
            </w:r>
          </w:p>
        </w:tc>
      </w:tr>
      <w:tr>
        <w:tc>
          <w:tcPr/>
          <w:p>
            <w:pPr>
              <w:pStyle w:val="Compact"/>
              <w:jc w:val="left"/>
            </w:pPr>
            <w:r>
              <w:t xml:space="preserve">Administration-aligned candidates</w:t>
            </w:r>
          </w:p>
        </w:tc>
        <w:tc>
          <w:tcPr/>
          <w:p>
            <w:pPr>
              <w:pStyle w:val="Compact"/>
              <w:jc w:val="left"/>
            </w:pPr>
            <w:r>
              <w:t xml:space="preserve">–46.0</w:t>
            </w:r>
          </w:p>
        </w:tc>
      </w:tr>
      <w:tr>
        <w:tc>
          <w:tcPr/>
          <w:p>
            <w:pPr>
              <w:pStyle w:val="Compact"/>
              <w:jc w:val="left"/>
            </w:pPr>
            <w:r>
              <w:t xml:space="preserve">Opposition candidates</w:t>
            </w:r>
          </w:p>
        </w:tc>
        <w:tc>
          <w:tcPr/>
          <w:p>
            <w:pPr>
              <w:pStyle w:val="Compact"/>
              <w:jc w:val="left"/>
            </w:pPr>
            <w:r>
              <w:t xml:space="preserve">+4.4</w:t>
            </w:r>
          </w:p>
        </w:tc>
      </w:tr>
    </w:tbl>
    <w:p>
      <w:pPr>
        <w:pStyle w:val="BodyText"/>
      </w:pPr>
      <w:r>
        <w:rPr>
          <w:iCs/>
          <w:i/>
        </w:rPr>
        <w:t xml:space="preserve">Head-to-head derived comparison of Tables 10 and 11. Gap of 50.4 percentage points. Base: All respondents (n=1,979).</w:t>
      </w:r>
    </w:p>
    <w:bookmarkEnd w:id="29"/>
    <w:bookmarkEnd w:id="30"/>
    <w:bookmarkStart w:id="33" w:name="section-iv"/>
    <w:p>
      <w:pPr>
        <w:pStyle w:val="Heading2"/>
      </w:pPr>
      <w:r>
        <w:t xml:space="preserve">SECTION IV</w:t>
      </w:r>
    </w:p>
    <w:bookmarkStart w:id="31" w:name="strategic-takeaways"/>
    <w:p>
      <w:pPr>
        <w:pStyle w:val="Heading3"/>
      </w:pPr>
      <w:r>
        <w:t xml:space="preserve">Strategic Takeaways</w:t>
      </w:r>
    </w:p>
    <w:p>
      <w:pPr>
        <w:pStyle w:val="FirstParagraph"/>
      </w:pPr>
      <w:r>
        <w:rPr>
          <w:bCs/>
          <w:b/>
        </w:rPr>
        <w:t xml:space="preserve">Belief is locked in, blame is diffuse, and no camp currently owns a positive contrast</w:t>
      </w:r>
    </w:p>
    <w:p>
      <w:pPr>
        <w:pStyle w:val="BodyText"/>
      </w:pPr>
      <w:r>
        <w:t xml:space="preserve">Three readings define this wave. First, the persuasion window on the underlying facts is effectively closed: 87.0% already believe the allegations are true, and the</w:t>
      </w:r>
      <w:r>
        <w:t xml:space="preserve"> </w:t>
      </w:r>
      <w:r>
        <w:t xml:space="preserve">“</w:t>
      </w:r>
      <w:r>
        <w:t xml:space="preserve">maleta</w:t>
      </w:r>
      <w:r>
        <w:t xml:space="preserve">”</w:t>
      </w:r>
      <w:r>
        <w:t xml:space="preserve"> </w:t>
      </w:r>
      <w:r>
        <w:t xml:space="preserve">frame has broadened from a specific flood-control scandal into a general corruption story, spreading the narrative — and the reputational exposure — across a wider set of named and unnamed officials. Second, trust in every mechanism meant to resolve the matter is weak: no investigating body clears the scale midpoint, and the public’s sentiment appears set independent of where the actual investigations and court proceedings land. Third, the political fallout is asymmetric but incomplete: administration-aligned candidates face a heavy net vote-impact (–46.0) while opposition candidates have gained comparatively little (+4.4) — this is an anger looking for a direction, not yet an allegiance.</w:t>
      </w:r>
    </w:p>
    <w:bookmarkEnd w:id="31"/>
    <w:bookmarkStart w:id="32" w:name="recommendations"/>
    <w:p>
      <w:pPr>
        <w:pStyle w:val="Heading3"/>
      </w:pPr>
      <w:r>
        <w:t xml:space="preserve">Recommendations</w:t>
      </w:r>
    </w:p>
    <w:p>
      <w:pPr>
        <w:numPr>
          <w:ilvl w:val="0"/>
          <w:numId w:val="1002"/>
        </w:numPr>
      </w:pPr>
      <w:r>
        <w:rPr>
          <w:bCs/>
          <w:b/>
        </w:rPr>
        <w:t xml:space="preserve">The genericization of the issue cuts both ways.</w:t>
      </w:r>
      <w:r>
        <w:t xml:space="preserve"> </w:t>
      </w:r>
      <w:r>
        <w:t xml:space="preserve">As</w:t>
      </w:r>
      <w:r>
        <w:t xml:space="preserve"> </w:t>
      </w:r>
      <w:r>
        <w:t xml:space="preserve">“</w:t>
      </w:r>
      <w:r>
        <w:t xml:space="preserve">maleta</w:t>
      </w:r>
      <w:r>
        <w:t xml:space="preserve">”</w:t>
      </w:r>
      <w:r>
        <w:t xml:space="preserve"> </w:t>
      </w:r>
      <w:r>
        <w:t xml:space="preserve">generalizes from</w:t>
      </w:r>
      <w:r>
        <w:t xml:space="preserve"> </w:t>
      </w:r>
      <w:r>
        <w:t xml:space="preserve">“</w:t>
      </w:r>
      <w:r>
        <w:t xml:space="preserve">flood control</w:t>
      </w:r>
      <w:r>
        <w:t xml:space="preserve">”</w:t>
      </w:r>
      <w:r>
        <w:t xml:space="preserve"> </w:t>
      </w:r>
      <w:r>
        <w:t xml:space="preserve">into corruption writ large, the diffusion of blame across a wider field of officials could, paradoxically, work in favor of any individually named politician — spreading negative sentiment more thinly rather than concentrating it. Camps close to the center of the story should watch whether this broadening dilutes or sharpens their personal exposure in subsequent waves.</w:t>
      </w:r>
    </w:p>
    <w:p>
      <w:pPr>
        <w:numPr>
          <w:ilvl w:val="0"/>
          <w:numId w:val="1002"/>
        </w:numPr>
      </w:pPr>
      <w:r>
        <w:rPr>
          <w:bCs/>
          <w:b/>
        </w:rPr>
        <w:t xml:space="preserve">Strong negative sentiment has not yet translated into gains for any personality or party — this is an opening, not a dead end.</w:t>
      </w:r>
      <w:r>
        <w:t xml:space="preserve"> </w:t>
      </w:r>
      <w:r>
        <w:t xml:space="preserve">The public is angry and has a general sense of who to blame, but has not yet settled on who the</w:t>
      </w:r>
      <w:r>
        <w:t xml:space="preserve"> </w:t>
      </w:r>
      <w:r>
        <w:t xml:space="preserve">“</w:t>
      </w:r>
      <w:r>
        <w:t xml:space="preserve">good guys</w:t>
      </w:r>
      <w:r>
        <w:t xml:space="preserve">”</w:t>
      </w:r>
      <w:r>
        <w:t xml:space="preserve"> </w:t>
      </w:r>
      <w:r>
        <w:t xml:space="preserve">are. Whichever camp first offers a credible, positive contrast stands to capture a currently unclaimed share of sentiment.</w:t>
      </w:r>
    </w:p>
    <w:p>
      <w:pPr>
        <w:numPr>
          <w:ilvl w:val="0"/>
          <w:numId w:val="1002"/>
        </w:numPr>
      </w:pPr>
      <w:r>
        <w:rPr>
          <w:bCs/>
          <w:b/>
        </w:rPr>
        <w:t xml:space="preserve">Weak trust in investigating institutions means public sentiment may move independently of the cases themselves.</w:t>
      </w:r>
      <w:r>
        <w:t xml:space="preserve"> </w:t>
      </w:r>
      <w:r>
        <w:t xml:space="preserve">With confidence in the Senate Blue Ribbon Committee, the Ombudsman, the DOJ, and other bodies all below the scale midpoint, formal investigative outcomes may do less to move opinion than the narrative that is built and sustained outside the courtroom — raising the relative importance of message control over case control.</w:t>
      </w:r>
    </w:p>
    <w:p>
      <w:r>
        <w:pict>
          <v:rect style="width:0;height:1.5pt" o:hralign="center" o:hrstd="t" o:hr="t"/>
        </w:pict>
      </w:r>
    </w:p>
    <w:bookmarkEnd w:id="32"/>
    <w:bookmarkEnd w:id="33"/>
    <w:bookmarkStart w:id="37" w:name="appendix"/>
    <w:p>
      <w:pPr>
        <w:pStyle w:val="Heading2"/>
      </w:pPr>
      <w:r>
        <w:t xml:space="preserve">APPENDIX</w:t>
      </w:r>
    </w:p>
    <w:bookmarkStart w:id="34" w:name="methodology-sample-composition"/>
    <w:p>
      <w:pPr>
        <w:pStyle w:val="Heading3"/>
      </w:pPr>
      <w:r>
        <w:t xml:space="preserve">Methodology &amp; Sample Composition</w:t>
      </w:r>
    </w:p>
    <w:p>
      <w:pPr>
        <w:pStyle w:val="FirstParagraph"/>
      </w:pPr>
      <w:r>
        <w:t xml:space="preserve">This report presents the findings of the second wave of a Pulso Intelligence Labs, Inc. issue/opinion tracking survey on the</w:t>
      </w:r>
      <w:r>
        <w:t xml:space="preserve"> </w:t>
      </w:r>
      <w:r>
        <w:t xml:space="preserve">“</w:t>
      </w:r>
      <w:r>
        <w:t xml:space="preserve">maleta</w:t>
      </w:r>
      <w:r>
        <w:t xml:space="preserve">”</w:t>
      </w:r>
      <w:r>
        <w:t xml:space="preserve"> </w:t>
      </w:r>
      <w:r>
        <w:t xml:space="preserve">suitcase-money allegations, fielded through the Pulso Intelligence app and the Pulso Intelligence mini app inside the GCash platform. Total base for this wave is n=1,979. In place of a pre-tagged approval field, data quality was checked directly: zero duplicate respondent IDs, no illogical routing (100% of respondents were screened-in aware), and fully answered open-ends. Results are rebalanced to reflect national and regional demographic voter composition. A four-item confidence battery (Q11–Q14) showed 50% of respondents rating all four institutions identically; this was reviewed and retained, as ratings spread across the full 1–5 scale rather than clustering on one extreme, consistent with genuine undifferentiated views rather than fabricated speeding. All respondents had already heard of the</w:t>
      </w:r>
      <w:r>
        <w:t xml:space="preserve"> </w:t>
      </w:r>
      <w:r>
        <w:t xml:space="preserve">“</w:t>
      </w:r>
      <w:r>
        <w:t xml:space="preserve">maleta</w:t>
      </w:r>
      <w:r>
        <w:t xml:space="preserve">”</w:t>
      </w:r>
      <w:r>
        <w:t xml:space="preserve"> </w:t>
      </w:r>
      <w:r>
        <w:t xml:space="preserve">allegations at screening — this is a study of the aware public, not the general population.</w:t>
      </w:r>
    </w:p>
    <w:p>
      <w:pPr>
        <w:pStyle w:val="BodyText"/>
      </w:pPr>
      <w:r>
        <w:rPr>
          <w:bCs/>
          <w:b/>
        </w:rPr>
        <w:t xml:space="preserve">TABLE A1 — Sample Composition</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Gender</w:t>
            </w:r>
          </w:p>
        </w:tc>
        <w:tc>
          <w:tcPr/>
          <w:p>
            <w:pPr>
              <w:pStyle w:val="Compact"/>
              <w:jc w:val="left"/>
            </w:pPr>
            <w:r>
              <w:t xml:space="preserve">n</w:t>
            </w:r>
          </w:p>
        </w:tc>
        <w:tc>
          <w:tcPr/>
          <w:p>
            <w:pPr>
              <w:pStyle w:val="Compact"/>
              <w:jc w:val="left"/>
            </w:pPr>
            <w:r>
              <w:t xml:space="preserve">Age Group</w:t>
            </w:r>
          </w:p>
        </w:tc>
        <w:tc>
          <w:tcPr/>
          <w:p>
            <w:pPr>
              <w:pStyle w:val="Compact"/>
              <w:jc w:val="left"/>
            </w:pPr>
            <w:r>
              <w:t xml:space="preserve">n</w:t>
            </w:r>
          </w:p>
        </w:tc>
        <w:tc>
          <w:tcPr/>
          <w:p>
            <w:pPr>
              <w:pStyle w:val="Compact"/>
              <w:jc w:val="left"/>
            </w:pPr>
            <w:r>
              <w:t xml:space="preserve">SEC</w:t>
            </w:r>
          </w:p>
        </w:tc>
        <w:tc>
          <w:tcPr/>
          <w:p>
            <w:pPr>
              <w:pStyle w:val="Compact"/>
              <w:jc w:val="left"/>
            </w:pPr>
            <w:r>
              <w:t xml:space="preserve">n</w:t>
            </w:r>
          </w:p>
        </w:tc>
      </w:tr>
      <w:tr>
        <w:tc>
          <w:tcPr/>
          <w:p>
            <w:pPr>
              <w:pStyle w:val="Compact"/>
              <w:jc w:val="left"/>
            </w:pPr>
            <w:r>
              <w:t xml:space="preserve">Female</w:t>
            </w:r>
          </w:p>
        </w:tc>
        <w:tc>
          <w:tcPr/>
          <w:p>
            <w:pPr>
              <w:pStyle w:val="Compact"/>
              <w:jc w:val="left"/>
            </w:pPr>
            <w:r>
              <w:t xml:space="preserve">1,168</w:t>
            </w:r>
          </w:p>
        </w:tc>
        <w:tc>
          <w:tcPr/>
          <w:p>
            <w:pPr>
              <w:pStyle w:val="Compact"/>
              <w:jc w:val="left"/>
            </w:pPr>
            <w:r>
              <w:t xml:space="preserve">18–30</w:t>
            </w:r>
          </w:p>
        </w:tc>
        <w:tc>
          <w:tcPr/>
          <w:p>
            <w:pPr>
              <w:pStyle w:val="Compact"/>
              <w:jc w:val="left"/>
            </w:pPr>
            <w:r>
              <w:t xml:space="preserve">1,081</w:t>
            </w:r>
          </w:p>
        </w:tc>
        <w:tc>
          <w:tcPr/>
          <w:p>
            <w:pPr>
              <w:pStyle w:val="Compact"/>
              <w:jc w:val="left"/>
            </w:pPr>
            <w:r>
              <w:t xml:space="preserve">E</w:t>
            </w:r>
          </w:p>
        </w:tc>
        <w:tc>
          <w:tcPr/>
          <w:p>
            <w:pPr>
              <w:pStyle w:val="Compact"/>
              <w:jc w:val="left"/>
            </w:pPr>
            <w:r>
              <w:t xml:space="preserve">920</w:t>
            </w:r>
          </w:p>
        </w:tc>
      </w:tr>
      <w:tr>
        <w:tc>
          <w:tcPr/>
          <w:p>
            <w:pPr>
              <w:pStyle w:val="Compact"/>
              <w:jc w:val="left"/>
            </w:pPr>
            <w:r>
              <w:t xml:space="preserve">Male</w:t>
            </w:r>
          </w:p>
        </w:tc>
        <w:tc>
          <w:tcPr/>
          <w:p>
            <w:pPr>
              <w:pStyle w:val="Compact"/>
              <w:jc w:val="left"/>
            </w:pPr>
            <w:r>
              <w:t xml:space="preserve">811</w:t>
            </w:r>
          </w:p>
        </w:tc>
        <w:tc>
          <w:tcPr/>
          <w:p>
            <w:pPr>
              <w:pStyle w:val="Compact"/>
              <w:jc w:val="left"/>
            </w:pPr>
            <w:r>
              <w:t xml:space="preserve">31–59</w:t>
            </w:r>
          </w:p>
        </w:tc>
        <w:tc>
          <w:tcPr/>
          <w:p>
            <w:pPr>
              <w:pStyle w:val="Compact"/>
              <w:jc w:val="left"/>
            </w:pPr>
            <w:r>
              <w:t xml:space="preserve">880</w:t>
            </w:r>
          </w:p>
        </w:tc>
        <w:tc>
          <w:tcPr/>
          <w:p>
            <w:pPr>
              <w:pStyle w:val="Compact"/>
              <w:jc w:val="left"/>
            </w:pPr>
            <w:r>
              <w:t xml:space="preserve">C2</w:t>
            </w:r>
          </w:p>
        </w:tc>
        <w:tc>
          <w:tcPr/>
          <w:p>
            <w:pPr>
              <w:pStyle w:val="Compact"/>
              <w:jc w:val="left"/>
            </w:pPr>
            <w:r>
              <w:t xml:space="preserve">471</w:t>
            </w:r>
          </w:p>
        </w:tc>
      </w:tr>
      <w:tr>
        <w:tc>
          <w:tcPr/>
          <w:p>
            <w:pPr>
              <w:pStyle w:val="Compact"/>
            </w:pPr>
          </w:p>
        </w:tc>
        <w:tc>
          <w:tcPr/>
          <w:p>
            <w:pPr>
              <w:pStyle w:val="Compact"/>
            </w:pPr>
          </w:p>
        </w:tc>
        <w:tc>
          <w:tcPr/>
          <w:p>
            <w:pPr>
              <w:pStyle w:val="Compact"/>
              <w:jc w:val="left"/>
            </w:pPr>
            <w:r>
              <w:t xml:space="preserve">60+ (low base)*</w:t>
            </w:r>
          </w:p>
        </w:tc>
        <w:tc>
          <w:tcPr/>
          <w:p>
            <w:pPr>
              <w:pStyle w:val="Compact"/>
              <w:jc w:val="left"/>
            </w:pPr>
            <w:r>
              <w:t xml:space="preserve">17*</w:t>
            </w:r>
          </w:p>
        </w:tc>
        <w:tc>
          <w:tcPr/>
          <w:p>
            <w:pPr>
              <w:pStyle w:val="Compact"/>
              <w:jc w:val="left"/>
            </w:pPr>
            <w:r>
              <w:t xml:space="preserve">D</w:t>
            </w:r>
          </w:p>
        </w:tc>
        <w:tc>
          <w:tcPr/>
          <w:p>
            <w:pPr>
              <w:pStyle w:val="Compact"/>
              <w:jc w:val="left"/>
            </w:pPr>
            <w:r>
              <w:t xml:space="preserve">348</w:t>
            </w:r>
          </w:p>
        </w:tc>
      </w:tr>
      <w:tr>
        <w:tc>
          <w:tcPr/>
          <w:p>
            <w:pPr>
              <w:pStyle w:val="Compact"/>
            </w:pPr>
          </w:p>
        </w:tc>
        <w:tc>
          <w:tcPr/>
          <w:p>
            <w:pPr>
              <w:pStyle w:val="Compact"/>
            </w:pPr>
          </w:p>
        </w:tc>
        <w:tc>
          <w:tcPr/>
          <w:p>
            <w:pPr>
              <w:pStyle w:val="Compact"/>
            </w:pPr>
          </w:p>
        </w:tc>
        <w:tc>
          <w:tcPr/>
          <w:p>
            <w:pPr>
              <w:pStyle w:val="Compact"/>
            </w:pPr>
          </w:p>
        </w:tc>
        <w:tc>
          <w:tcPr/>
          <w:p>
            <w:pPr>
              <w:pStyle w:val="Compact"/>
              <w:jc w:val="left"/>
            </w:pPr>
            <w:r>
              <w:t xml:space="preserve">C1</w:t>
            </w:r>
          </w:p>
        </w:tc>
        <w:tc>
          <w:tcPr/>
          <w:p>
            <w:pPr>
              <w:pStyle w:val="Compact"/>
              <w:jc w:val="left"/>
            </w:pPr>
            <w:r>
              <w:t xml:space="preserve">159</w:t>
            </w:r>
          </w:p>
        </w:tc>
      </w:tr>
      <w:tr>
        <w:tc>
          <w:tcPr/>
          <w:p>
            <w:pPr>
              <w:pStyle w:val="Compact"/>
            </w:pPr>
          </w:p>
        </w:tc>
        <w:tc>
          <w:tcPr/>
          <w:p>
            <w:pPr>
              <w:pStyle w:val="Compact"/>
            </w:pPr>
          </w:p>
        </w:tc>
        <w:tc>
          <w:tcPr/>
          <w:p>
            <w:pPr>
              <w:pStyle w:val="Compact"/>
            </w:pPr>
          </w:p>
        </w:tc>
        <w:tc>
          <w:tcPr/>
          <w:p>
            <w:pPr>
              <w:pStyle w:val="Compact"/>
            </w:pPr>
          </w:p>
        </w:tc>
        <w:tc>
          <w:tcPr/>
          <w:p>
            <w:pPr>
              <w:pStyle w:val="Compact"/>
              <w:jc w:val="left"/>
            </w:pPr>
            <w:r>
              <w:t xml:space="preserve">B</w:t>
            </w:r>
          </w:p>
        </w:tc>
        <w:tc>
          <w:tcPr/>
          <w:p>
            <w:pPr>
              <w:pStyle w:val="Compact"/>
              <w:jc w:val="left"/>
            </w:pPr>
            <w:r>
              <w:t xml:space="preserve">56</w:t>
            </w:r>
          </w:p>
        </w:tc>
      </w:tr>
      <w:tr>
        <w:tc>
          <w:tcPr/>
          <w:p>
            <w:pPr>
              <w:pStyle w:val="Compact"/>
            </w:pPr>
          </w:p>
        </w:tc>
        <w:tc>
          <w:tcPr/>
          <w:p>
            <w:pPr>
              <w:pStyle w:val="Compact"/>
            </w:pPr>
          </w:p>
        </w:tc>
        <w:tc>
          <w:tcPr/>
          <w:p>
            <w:pPr>
              <w:pStyle w:val="Compact"/>
            </w:pPr>
          </w:p>
        </w:tc>
        <w:tc>
          <w:tcPr/>
          <w:p>
            <w:pPr>
              <w:pStyle w:val="Compact"/>
            </w:pPr>
          </w:p>
        </w:tc>
        <w:tc>
          <w:tcPr/>
          <w:p>
            <w:pPr>
              <w:pStyle w:val="Compact"/>
              <w:jc w:val="left"/>
            </w:pPr>
            <w:r>
              <w:t xml:space="preserve">A (low base)*</w:t>
            </w:r>
          </w:p>
        </w:tc>
        <w:tc>
          <w:tcPr/>
          <w:p>
            <w:pPr>
              <w:pStyle w:val="Compact"/>
              <w:jc w:val="left"/>
            </w:pPr>
            <w:r>
              <w:t xml:space="preserve">25*</w:t>
            </w:r>
          </w:p>
        </w:tc>
      </w:tr>
    </w:tbl>
    <w:p>
      <w:pPr>
        <w:pStyle w:val="BodyText"/>
      </w:pPr>
      <w:r>
        <w:rPr>
          <w:bCs/>
          <w:b/>
        </w:rPr>
        <w:t xml:space="preserve">Region (n):</w:t>
      </w:r>
      <w:r>
        <w:t xml:space="preserve"> </w:t>
      </w:r>
      <w:r>
        <w:t xml:space="preserve">South Luzon 474 · NCR 309 · Eastern Visayas 273 · Central Luzon 246 · North Mindanao 198 · South Mindanao 174 · North Luzon 159 · West Visayas 144</w:t>
      </w:r>
    </w:p>
    <w:p>
      <w:pPr>
        <w:pStyle w:val="BodyText"/>
      </w:pPr>
      <w:r>
        <w:rPr>
          <w:iCs/>
          <w:i/>
        </w:rPr>
        <w:t xml:space="preserve">Low base (n&lt;30) treated as directional only. Confidence-battery items (Q11–Q14) had n=1,918 answering; 61 skipped.</w:t>
      </w:r>
    </w:p>
    <w:bookmarkEnd w:id="34"/>
    <w:bookmarkStart w:id="35" w:name="survey-structure"/>
    <w:p>
      <w:pPr>
        <w:pStyle w:val="Heading3"/>
      </w:pPr>
      <w:r>
        <w:t xml:space="preserve">Survey Structure</w:t>
      </w:r>
    </w:p>
    <w:p>
      <w:pPr>
        <w:pStyle w:val="FirstParagraph"/>
      </w:pPr>
      <w:r>
        <w:t xml:space="preserve">This study follows Pulso Intelligence’s standard issue-tracking module sequence, with the final module customized per research objective: top-of-mind recall (unaided) → sentiment tagging on that recall → source of information → perceived truthfulness → relevance to target → three customized drill-down questions. For this wave, the three drill-downs covered confidence in investigating bodies (Senate Blue Ribbon Committee, Ombudsman, DOJ, and other government bodies), the issue’s effect on trust in the President, and its projected 2028 vote-impact on administration-aligned versus opposition candidates.</w:t>
      </w:r>
    </w:p>
    <w:bookmarkEnd w:id="35"/>
    <w:bookmarkStart w:id="36" w:name="independence-and-disclosure"/>
    <w:p>
      <w:pPr>
        <w:pStyle w:val="Heading3"/>
      </w:pPr>
      <w:r>
        <w:t xml:space="preserve">Independence and disclosure</w:t>
      </w:r>
    </w:p>
    <w:p>
      <w:pPr>
        <w:pStyle w:val="FirstParagraph"/>
      </w:pPr>
      <w:r>
        <w:t xml:space="preserve">Pulso Intelligence Labs, Inc.’s research team takes full responsibility for the design and conduct of the survey, including the formulation of the questionnaire, the fieldwork, the processing of the data, and the analysis and interpretation of the findings. No partisan group, candidate, political party, or commissioning interest influenced any of these processes or the reporting of the results. The survey was undertaken and funded by Pulso Intelligence Labs, Inc. as part of its continuing program of independent public-opinion research.</w:t>
      </w:r>
    </w:p>
    <w:p>
      <w:pPr>
        <w:pStyle w:val="BodyText"/>
      </w:pPr>
      <w:r>
        <w:t xml:space="preserve">Pulso Intelligence Labs, Inc. · c/o Geronimo Law, 610 VGP Center, Ayala Avenue, Makati City · www.pulsointelligence.com</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2026-08-03T10:56:45Z</dcterms:created>
  <dcterms:modified xsi:type="dcterms:W3CDTF">2026-08-03T10:56:45Z</dcterms:modified>
</cp:coreProperties>
</file>

<file path=docProps/custom.xml><?xml version="1.0" encoding="utf-8"?>
<Properties xmlns="http://schemas.openxmlformats.org/officeDocument/2006/custom-properties" xmlns:vt="http://schemas.openxmlformats.org/officeDocument/2006/docPropsVTypes"/>
</file>