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1600"/>
        <w:jc w:val="center"/>
      </w:pPr>
      <w:r>
        <w:rPr>
          <w:rFonts w:ascii="Cambria" w:cs="Cambria" w:eastAsia="Cambria" w:hAnsi="Cambria"/>
          <w:b/>
          <w:bCs/>
          <w:color w:val="1587AB"/>
          <w:spacing w:val="60"/>
          <w:sz w:val="30"/>
          <w:szCs w:val="30"/>
        </w:rPr>
        <w:t xml:space="preserve">PULSO INTELLIGENCE</w:t>
      </w:r>
    </w:p>
    <w:p>
      <w:pPr>
        <w:spacing w:after="40"/>
        <w:jc w:val="center"/>
      </w:pPr>
      <w:r>
        <w:rPr>
          <w:rFonts w:ascii="Calibri" w:cs="Calibri" w:eastAsia="Calibri" w:hAnsi="Calibri"/>
          <w:color w:val="56656D"/>
          <w:spacing w:val="40"/>
          <w:sz w:val="18"/>
          <w:szCs w:val="18"/>
        </w:rPr>
        <w:t xml:space="preserve">WEEKLY IMPEACHMENT TRACKER · WHITE PAPER</w:t>
      </w:r>
    </w:p>
    <w:p>
      <w:pPr>
        <w:spacing w:after="0" w:before="520"/>
        <w:jc w:val="center"/>
      </w:pPr>
      <w:r>
        <w:rPr>
          <w:rFonts w:ascii="Cambria" w:cs="Cambria" w:eastAsia="Cambria" w:hAnsi="Cambria"/>
          <w:b/>
          <w:bCs/>
          <w:color w:val="12303F"/>
          <w:sz w:val="52"/>
          <w:szCs w:val="52"/>
        </w:rPr>
        <w:t xml:space="preserve">The Verdict Filipinos Would Give</w:t>
      </w:r>
    </w:p>
    <w:p>
      <w:pPr>
        <w:spacing w:after="0" w:before="120"/>
        <w:jc w:val="center"/>
      </w:pPr>
      <w:r>
        <w:rPr>
          <w:rFonts w:ascii="Cambria" w:cs="Cambria" w:eastAsia="Cambria" w:hAnsi="Cambria"/>
          <w:color w:val="222B33"/>
          <w:sz w:val="26"/>
          <w:szCs w:val="26"/>
        </w:rPr>
        <w:t xml:space="preserve">Public Sentiment on the Impeachment of Vice President Sara Duterte,</w:t>
      </w:r>
    </w:p>
    <w:p>
      <w:pPr>
        <w:spacing w:after="0"/>
        <w:jc w:val="center"/>
      </w:pPr>
      <w:r>
        <w:rPr>
          <w:rFonts w:ascii="Cambria" w:cs="Cambria" w:eastAsia="Cambria" w:hAnsi="Cambria"/>
          <w:color w:val="222B33"/>
          <w:sz w:val="26"/>
          <w:szCs w:val="26"/>
        </w:rPr>
        <w:t xml:space="preserve">and Filipinos' Ratings of the Senator-Judges</w:t>
      </w:r>
    </w:p>
    <w:p>
      <w:pPr>
        <w:pBdr>
          <w:top w:val="single" w:color="1587AB" w:sz="12" w:space="10"/>
        </w:pBdr>
        <w:spacing w:after="0" w:before="420"/>
        <w:jc w:val="center"/>
      </w:pPr>
      <w:r>
        <w:rPr>
          <w:rFonts w:ascii="Calibri" w:cs="Calibri" w:eastAsia="Calibri" w:hAnsi="Calibri"/>
          <w:color w:val="222B33"/>
          <w:sz w:val="21"/>
          <w:szCs w:val="21"/>
        </w:rPr>
        <w:t xml:space="preserve"/>
      </w:r>
    </w:p>
    <w:p>
      <w:pPr>
        <w:spacing w:after="30" w:before="260"/>
        <w:jc w:val="center"/>
      </w:pPr>
      <w:r>
        <w:rPr>
          <w:rFonts w:ascii="Calibri" w:cs="Calibri" w:eastAsia="Calibri" w:hAnsi="Calibri"/>
          <w:b/>
          <w:bCs/>
          <w:color w:val="1587AB"/>
          <w:sz w:val="24"/>
          <w:szCs w:val="24"/>
        </w:rPr>
        <w:t xml:space="preserve">Wave 3 — Fielded August 24–30, 2026</w:t>
      </w:r>
    </w:p>
    <w:p>
      <w:pPr>
        <w:spacing w:after="30"/>
        <w:jc w:val="center"/>
      </w:pPr>
      <w:r>
        <w:rPr>
          <w:rFonts w:ascii="Calibri" w:cs="Calibri" w:eastAsia="Calibri" w:hAnsi="Calibri"/>
          <w:color w:val="56656D"/>
          <w:sz w:val="20"/>
          <w:szCs w:val="20"/>
        </w:rPr>
        <w:t xml:space="preserve">Compared with Wave 2 — August 17–23, 2026</w:t>
      </w:r>
    </w:p>
    <w:p>
      <w:pPr>
        <w:spacing w:before="200"/>
        <w:jc w:val="center"/>
      </w:pPr>
      <w:r>
        <w:rPr>
          <w:rFonts w:ascii="Calibri" w:cs="Calibri" w:eastAsia="Calibri" w:hAnsi="Calibri"/>
          <w:i/>
          <w:iCs/>
          <w:color w:val="8A97A0"/>
          <w:sz w:val="17"/>
          <w:szCs w:val="17"/>
        </w:rPr>
        <w:t xml:space="preserve">A week-on-week national tracking study  ·  n = 2,222 weighted respondents  ·  weighted to COMELEC 2025 registered-voter benchmarks</w:t>
      </w:r>
    </w:p>
    <w:p>
      <w:r>
        <w:br w:type="page"/>
      </w:r>
    </w:p>
    <w:p>
      <w:pPr>
        <w:pStyle w:val="Heading1"/>
        <w:spacing w:after="150" w:before="340"/>
      </w:pPr>
      <w:r>
        <w:rPr>
          <w:rFonts w:ascii="Cambria" w:cs="Cambria" w:eastAsia="Cambria" w:hAnsi="Cambria"/>
          <w:b/>
          <w:bCs/>
          <w:color w:val="1587AB"/>
          <w:sz w:val="30"/>
          <w:szCs w:val="30"/>
        </w:rPr>
        <w:t xml:space="preserve">Executive Summary</w:t>
      </w:r>
    </w:p>
    <w:p>
      <w:pPr>
        <w:spacing w:after="160" w:line="288"/>
      </w:pPr>
      <w:r>
        <w:rPr>
          <w:rFonts w:ascii="Calibri" w:cs="Calibri" w:eastAsia="Calibri" w:hAnsi="Calibri"/>
          <w:color w:val="222B33"/>
          <w:sz w:val="21"/>
          <w:szCs w:val="21"/>
        </w:rPr>
        <w:t xml:space="preserve">This paper reports the third wave of Pulso Intelligence's weekly tracking of Filipino public opinion on the impeachment of Vice President Sara Duterte. Wave 3 was fielded August 24–30, 2026 and is compared against Wave 2 (August 17–23, 2026). Two instruments are covered: a national reading of whether the public believes the Vice President is guilty, and a scorecard rating the twenty-one senator-judges hearing the case.</w:t>
      </w:r>
    </w:p>
    <w:p>
      <w:pPr>
        <w:spacing w:after="160" w:line="288"/>
      </w:pPr>
      <w:r>
        <w:rPr>
          <w:rFonts w:ascii="Calibri" w:cs="Calibri" w:eastAsia="Calibri" w:hAnsi="Calibri"/>
          <w:color w:val="222B33"/>
          <w:sz w:val="21"/>
          <w:szCs w:val="21"/>
        </w:rPr>
        <w:t xml:space="preserve">After a Wave 2 that edged toward conviction, Wave 3 moves the other way. The drift toward guilt stalled and partly reversed, the country's attention cooled, and public confidence in the senator-judges slipped almost across the board. Acquittal, which had been narrowing, reopened its lead.</w:t>
      </w:r>
    </w:p>
    <w:p>
      <w:pPr>
        <w:spacing w:after="60"/>
      </w:pPr>
      <w:r>
        <w:rPr>
          <w:rFonts w:ascii="Calibri" w:cs="Calibri" w:eastAsia="Calibri" w:hAnsi="Calibri"/>
          <w:b/>
          <w:bCs/>
          <w:color w:val="1587AB"/>
          <w:spacing w:val="30"/>
          <w:sz w:val="16"/>
          <w:szCs w:val="16"/>
        </w:rPr>
        <w:t xml:space="preserve">KEY FINDINGS</w:t>
      </w:r>
    </w:p>
    <w:p>
      <w:pPr>
        <w:pStyle w:val="ListParagraph"/>
        <w:numPr>
          <w:ilvl w:val="0"/>
          <w:numId w:val="2"/>
        </w:numPr>
        <w:spacing w:after="90" w:line="282"/>
      </w:pPr>
      <w:r>
        <w:rPr>
          <w:rFonts w:ascii="Calibri" w:cs="Calibri" w:eastAsia="Calibri" w:hAnsi="Calibri"/>
          <w:b/>
          <w:bCs/>
          <w:color w:val="222B33"/>
          <w:sz w:val="21"/>
          <w:szCs w:val="21"/>
        </w:rPr>
        <w:t xml:space="preserve">Acquittal reopens its lead. </w:t>
      </w:r>
      <w:r>
        <w:rPr>
          <w:rFonts w:ascii="Calibri" w:cs="Calibri" w:eastAsia="Calibri" w:hAnsi="Calibri"/>
          <w:color w:val="222B33"/>
          <w:sz w:val="21"/>
          <w:szCs w:val="21"/>
        </w:rPr>
        <w:t xml:space="preserve">“Not guilty” rose from 46.2% to 47.9% while “guilty” eased from 36.3% to 35.9%. The acquittal margin widened back from 9.9 to 12.0 points; the mean guilt rating slipped from 2.79 to 2.75 on the 1–5 scale.</w:t>
      </w:r>
    </w:p>
    <w:p>
      <w:pPr>
        <w:pStyle w:val="ListParagraph"/>
        <w:numPr>
          <w:ilvl w:val="0"/>
          <w:numId w:val="2"/>
        </w:numPr>
        <w:spacing w:after="90" w:line="282"/>
      </w:pPr>
      <w:r>
        <w:rPr>
          <w:rFonts w:ascii="Calibri" w:cs="Calibri" w:eastAsia="Calibri" w:hAnsi="Calibri"/>
          <w:b/>
          <w:bCs/>
          <w:color w:val="222B33"/>
          <w:sz w:val="21"/>
          <w:szCs w:val="21"/>
        </w:rPr>
        <w:t xml:space="preserve">The committed held; the casual pulled back. </w:t>
      </w:r>
      <w:r>
        <w:rPr>
          <w:rFonts w:ascii="Calibri" w:cs="Calibri" w:eastAsia="Calibri" w:hAnsi="Calibri"/>
          <w:color w:val="222B33"/>
          <w:sz w:val="21"/>
          <w:szCs w:val="21"/>
        </w:rPr>
        <w:t xml:space="preserve">Filipinos who follow the trial weekly (+0.6) and daily (+1.1) actually edged further toward guilt, but the disengaged moved the other way — “not interested” fell 2.6 points and occasional followers 1.9 points on guilt — driving the overall dip.</w:t>
      </w:r>
    </w:p>
    <w:p>
      <w:pPr>
        <w:pStyle w:val="ListParagraph"/>
        <w:numPr>
          <w:ilvl w:val="0"/>
          <w:numId w:val="2"/>
        </w:numPr>
        <w:spacing w:after="90" w:line="282"/>
      </w:pPr>
      <w:r>
        <w:rPr>
          <w:rFonts w:ascii="Calibri" w:cs="Calibri" w:eastAsia="Calibri" w:hAnsi="Calibri"/>
          <w:b/>
          <w:bCs/>
          <w:color w:val="222B33"/>
          <w:sz w:val="21"/>
          <w:szCs w:val="21"/>
        </w:rPr>
        <w:t xml:space="preserve">Attention cooled. </w:t>
      </w:r>
      <w:r>
        <w:rPr>
          <w:rFonts w:ascii="Calibri" w:cs="Calibri" w:eastAsia="Calibri" w:hAnsi="Calibri"/>
          <w:color w:val="222B33"/>
          <w:sz w:val="21"/>
          <w:szCs w:val="21"/>
        </w:rPr>
        <w:t xml:space="preserve">Daily following fell from 19.8% to 18.4% and the “not interested” share rose from 4.4% to 5.1% — a less-engaged week.</w:t>
      </w:r>
    </w:p>
    <w:p>
      <w:pPr>
        <w:pStyle w:val="ListParagraph"/>
        <w:numPr>
          <w:ilvl w:val="0"/>
          <w:numId w:val="2"/>
        </w:numPr>
        <w:spacing w:after="90" w:line="282"/>
      </w:pPr>
      <w:r>
        <w:rPr>
          <w:rFonts w:ascii="Calibri" w:cs="Calibri" w:eastAsia="Calibri" w:hAnsi="Calibri"/>
          <w:b/>
          <w:bCs/>
          <w:color w:val="222B33"/>
          <w:sz w:val="21"/>
          <w:szCs w:val="21"/>
        </w:rPr>
        <w:t xml:space="preserve">West Visayas rose; Metro Manila and Mindanao eased. </w:t>
      </w:r>
      <w:r>
        <w:rPr>
          <w:rFonts w:ascii="Calibri" w:cs="Calibri" w:eastAsia="Calibri" w:hAnsi="Calibri"/>
          <w:color w:val="222B33"/>
          <w:sz w:val="21"/>
          <w:szCs w:val="21"/>
        </w:rPr>
        <w:t xml:space="preserve">Guilty sentiment jumped +3.6 points in West Visayas but fell in Metro Manila (−1.8) and slid further in Mindanao, now in single digits (South 9.0%, North 8.2%).</w:t>
      </w:r>
    </w:p>
    <w:p>
      <w:pPr>
        <w:pStyle w:val="ListParagraph"/>
        <w:numPr>
          <w:ilvl w:val="0"/>
          <w:numId w:val="2"/>
        </w:numPr>
        <w:spacing w:after="90" w:line="282"/>
      </w:pPr>
      <w:r>
        <w:rPr>
          <w:rFonts w:ascii="Calibri" w:cs="Calibri" w:eastAsia="Calibri" w:hAnsi="Calibri"/>
          <w:b/>
          <w:bCs/>
          <w:color w:val="222B33"/>
          <w:sz w:val="21"/>
          <w:szCs w:val="21"/>
        </w:rPr>
        <w:t xml:space="preserve">Trial fairness stays poor. </w:t>
      </w:r>
      <w:r>
        <w:rPr>
          <w:rFonts w:ascii="Calibri" w:cs="Calibri" w:eastAsia="Calibri" w:hAnsi="Calibri"/>
          <w:color w:val="222B33"/>
          <w:sz w:val="21"/>
          <w:szCs w:val="21"/>
        </w:rPr>
        <w:t xml:space="preserve">Just 25.5% say the Senate is conducting the trial fairly, against 37.7% who call it unfair — essentially unchanged, and still net-negative.</w:t>
      </w:r>
    </w:p>
    <w:p>
      <w:pPr>
        <w:pStyle w:val="ListParagraph"/>
        <w:numPr>
          <w:ilvl w:val="0"/>
          <w:numId w:val="2"/>
        </w:numPr>
        <w:spacing w:after="90" w:line="282"/>
      </w:pPr>
      <w:r>
        <w:rPr>
          <w:rFonts w:ascii="Calibri" w:cs="Calibri" w:eastAsia="Calibri" w:hAnsi="Calibri"/>
          <w:b/>
          <w:bCs/>
          <w:color w:val="222B33"/>
          <w:sz w:val="21"/>
          <w:szCs w:val="21"/>
        </w:rPr>
        <w:t xml:space="preserve">Confidence in the senator-judges slipped nearly across the board. </w:t>
      </w:r>
      <w:r>
        <w:rPr>
          <w:rFonts w:ascii="Calibri" w:cs="Calibri" w:eastAsia="Calibri" w:hAnsi="Calibri"/>
          <w:color w:val="222B33"/>
          <w:sz w:val="21"/>
          <w:szCs w:val="21"/>
        </w:rPr>
        <w:t xml:space="preserve">Nineteen of twenty-one senators saw their overall rating fall versus Wave 2; only Imee Marcos edged up (+0.01) and Chiz Escudero held flat at 2.99. No senator clears the 3.0 midpoint.</w:t>
      </w:r>
    </w:p>
    <w:p>
      <w:pPr>
        <w:spacing w:after="160" w:line="288"/>
      </w:pPr>
      <w:r>
        <w:rPr>
          <w:rFonts w:ascii="Calibri" w:cs="Calibri" w:eastAsia="Calibri" w:hAnsi="Calibri"/>
          <w:b/>
          <w:bCs/>
          <w:color w:val="12303F"/>
          <w:sz w:val="21"/>
          <w:szCs w:val="21"/>
        </w:rPr>
        <w:t xml:space="preserve">Note on comparability. </w:t>
      </w:r>
      <w:r>
        <w:rPr>
          <w:rFonts w:ascii="Calibri" w:cs="Calibri" w:eastAsia="Calibri" w:hAnsi="Calibri"/>
          <w:color w:val="222B33"/>
          <w:sz w:val="21"/>
          <w:szCs w:val="21"/>
        </w:rPr>
        <w:t xml:space="preserve">Wave 2 and Wave 3 both rate the senator-judges on a 1–5 scale, so their scores and rankings are directly comparable and the wave-on-wave change is reported here. (Wave 1 used a 1–3 scale and remains non-comparable.) The guilt and fairness questions use identical 1–5 wording across all waves.</w:t>
      </w:r>
    </w:p>
    <w:p>
      <w:r>
        <w:br w:type="page"/>
      </w:r>
    </w:p>
    <w:p>
      <w:pPr>
        <w:pStyle w:val="Heading1"/>
        <w:spacing w:after="150" w:before="340"/>
      </w:pPr>
      <w:r>
        <w:rPr>
          <w:rFonts w:ascii="Cambria" w:cs="Cambria" w:eastAsia="Cambria" w:hAnsi="Cambria"/>
          <w:b/>
          <w:bCs/>
          <w:color w:val="1587AB"/>
          <w:sz w:val="30"/>
          <w:szCs w:val="30"/>
        </w:rPr>
        <w:t xml:space="preserve">1.  Introduction &amp; Objectives</w:t>
      </w:r>
    </w:p>
    <w:p>
      <w:pPr>
        <w:spacing w:after="160" w:line="288"/>
      </w:pPr>
      <w:r>
        <w:rPr>
          <w:rFonts w:ascii="Calibri" w:cs="Calibri" w:eastAsia="Calibri" w:hAnsi="Calibri"/>
          <w:color w:val="222B33"/>
          <w:sz w:val="21"/>
          <w:szCs w:val="21"/>
        </w:rPr>
        <w:t xml:space="preserve">The Senate impeachment trial of Vice President Sara Duterte remains the dominant political story of 2026, and public sentiment around it continues to move week to week. Pulso Intelligence's Weekly Impeachment Tracker measures that movement on a fixed cadence with constant questions, so that change — not just level — can be read with confidence. Wave 3 is the third reading in the series.</w:t>
      </w:r>
    </w:p>
    <w:p>
      <w:pPr>
        <w:spacing w:after="160" w:line="288"/>
      </w:pPr>
      <w:r>
        <w:rPr>
          <w:rFonts w:ascii="Calibri" w:cs="Calibri" w:eastAsia="Calibri" w:hAnsi="Calibri"/>
          <w:color w:val="222B33"/>
          <w:sz w:val="21"/>
          <w:szCs w:val="21"/>
        </w:rPr>
        <w:t xml:space="preserve">This paper has three objectives: to establish where national opinion stands after Wave 3 and how it moved from Wave 2; to identify which segments of the public drove the movement; and to document how Filipinos now rate the individual senators serving as judges, including — for the first time — the wave-on-wave change in those ratings.</w:t>
      </w:r>
    </w:p>
    <w:p>
      <w:pPr>
        <w:pStyle w:val="Heading1"/>
        <w:spacing w:after="150" w:before="340"/>
      </w:pPr>
      <w:r>
        <w:rPr>
          <w:rFonts w:ascii="Cambria" w:cs="Cambria" w:eastAsia="Cambria" w:hAnsi="Cambria"/>
          <w:b/>
          <w:bCs/>
          <w:color w:val="1587AB"/>
          <w:sz w:val="30"/>
          <w:szCs w:val="30"/>
        </w:rPr>
        <w:t xml:space="preserve">2.  Methodology</w:t>
      </w:r>
    </w:p>
    <w:p>
      <w:pPr>
        <w:spacing w:after="160" w:line="288"/>
      </w:pPr>
      <w:r>
        <w:rPr>
          <w:rFonts w:ascii="Calibri" w:cs="Calibri" w:eastAsia="Calibri" w:hAnsi="Calibri"/>
          <w:color w:val="222B33"/>
          <w:sz w:val="21"/>
          <w:szCs w:val="21"/>
        </w:rPr>
        <w:t xml:space="preserve">Wave 3 was fielded </w:t>
      </w:r>
      <w:r>
        <w:rPr>
          <w:rFonts w:ascii="Calibri" w:cs="Calibri" w:eastAsia="Calibri" w:hAnsi="Calibri"/>
          <w:b/>
          <w:bCs/>
          <w:color w:val="222B33"/>
          <w:sz w:val="21"/>
          <w:szCs w:val="21"/>
        </w:rPr>
        <w:t xml:space="preserve">August 24–30, 2026</w:t>
      </w:r>
      <w:r>
        <w:rPr>
          <w:rFonts w:ascii="Calibri" w:cs="Calibri" w:eastAsia="Calibri" w:hAnsi="Calibri"/>
          <w:color w:val="222B33"/>
          <w:sz w:val="21"/>
          <w:szCs w:val="21"/>
        </w:rPr>
        <w:t xml:space="preserve">, through the Pulso Intelligence application. A total of 2,246 respondents were approved and 2,222 were weightable. Results are calibration-weighted to COMELEC 2025 National and Local Elections registered-voter benchmarks on Sex × Age × Region. The effective sample size after weighting is 1,788.3, a design effect of 1.241. For reporting, age is grouped into 18–30, 31–50 and 51+.</w:t>
      </w:r>
    </w:p>
    <w:p>
      <w:pPr>
        <w:spacing w:after="160" w:line="288"/>
      </w:pPr>
      <w:r>
        <w:rPr>
          <w:rFonts w:ascii="Calibri" w:cs="Calibri" w:eastAsia="Calibri" w:hAnsi="Calibri"/>
          <w:color w:val="222B33"/>
          <w:sz w:val="21"/>
          <w:szCs w:val="21"/>
        </w:rPr>
        <w:t xml:space="preserve">Wave 2 was fielded </w:t>
      </w:r>
      <w:r>
        <w:rPr>
          <w:rFonts w:ascii="Calibri" w:cs="Calibri" w:eastAsia="Calibri" w:hAnsi="Calibri"/>
          <w:b/>
          <w:bCs/>
          <w:color w:val="222B33"/>
          <w:sz w:val="21"/>
          <w:szCs w:val="21"/>
        </w:rPr>
        <w:t xml:space="preserve">August 17–23, 2026</w:t>
      </w:r>
      <w:r>
        <w:rPr>
          <w:rFonts w:ascii="Calibri" w:cs="Calibri" w:eastAsia="Calibri" w:hAnsi="Calibri"/>
          <w:color w:val="222B33"/>
          <w:sz w:val="21"/>
          <w:szCs w:val="21"/>
        </w:rPr>
        <w:t xml:space="preserve"> on the same instrument. The guilt question, the trial-fairness question, and — from Wave 2 onward — the senator-judge battery all use identical 1–5 wording, so Wave 2 and Wave 3 are directly comparable throughout this paper. Wave 1 (August 10–16) used a 1–3 senator scale and is excluded from senator comparisons.</w:t>
      </w:r>
    </w:p>
    <w:p>
      <w:pPr>
        <w:spacing w:after="160" w:line="288"/>
      </w:pPr>
      <w:r>
        <w:rPr>
          <w:rFonts w:ascii="Calibri" w:cs="Calibri" w:eastAsia="Calibri" w:hAnsi="Calibri"/>
          <w:b/>
          <w:bCs/>
          <w:color w:val="12303F"/>
          <w:sz w:val="21"/>
          <w:szCs w:val="21"/>
        </w:rPr>
        <w:t xml:space="preserve">A note on interpretation. </w:t>
      </w:r>
      <w:r>
        <w:rPr>
          <w:rFonts w:ascii="Calibri" w:cs="Calibri" w:eastAsia="Calibri" w:hAnsi="Calibri"/>
          <w:color w:val="222B33"/>
          <w:sz w:val="21"/>
          <w:szCs w:val="21"/>
        </w:rPr>
        <w:t xml:space="preserve">This is an app-based, opt-in panel weighted to the national voter profile. Weighting improves representativeness but does not fully remove self-selection; week-on-week change is the more defensible statistic than any single absolute level, and figures are best read alongside the probability-based national pollsters.</w:t>
      </w:r>
    </w:p>
    <w:p>
      <w:r>
        <w:br w:type="page"/>
      </w:r>
    </w:p>
    <w:p>
      <w:pPr>
        <w:pStyle w:val="Heading1"/>
        <w:spacing w:after="150" w:before="340"/>
      </w:pPr>
      <w:r>
        <w:rPr>
          <w:rFonts w:ascii="Cambria" w:cs="Cambria" w:eastAsia="Cambria" w:hAnsi="Cambria"/>
          <w:b/>
          <w:bCs/>
          <w:color w:val="1587AB"/>
          <w:sz w:val="30"/>
          <w:szCs w:val="30"/>
        </w:rPr>
        <w:t xml:space="preserve">3.  The National Verdict: Guilt Perception</w:t>
      </w:r>
    </w:p>
    <w:p>
      <w:pPr>
        <w:spacing w:after="160" w:line="288"/>
      </w:pPr>
      <w:r>
        <w:rPr>
          <w:rFonts w:ascii="Calibri" w:cs="Calibri" w:eastAsia="Calibri" w:hAnsi="Calibri"/>
          <w:color w:val="222B33"/>
          <w:sz w:val="21"/>
          <w:szCs w:val="21"/>
        </w:rPr>
        <w:t xml:space="preserve">Asked whether Vice President Duterte is guilty or not guilty (rated 1–5, where 1–2 is “not guilty,” 3 is neutral and 4–5 is “guilty”), Filipinos moved back toward acquittal after Wave 2's drift the other way.</w:t>
      </w:r>
    </w:p>
    <w:tbl>
      <w:tblPr>
        <w:tblW w:type="dxa" w:w="9648"/>
        <w:tblBorders>
          <w:top w:val="single" w:color="D8E3EC" w:sz="4"/>
          <w:left w:val="single" w:color="D8E3EC" w:sz="4"/>
          <w:bottom w:val="single" w:color="D8E3EC" w:sz="4"/>
          <w:right w:val="single" w:color="D8E3EC" w:sz="4"/>
          <w:insideH w:val="single" w:color="D8E3EC" w:sz="4"/>
          <w:insideV w:val="single" w:color="D8E3EC" w:sz="4"/>
        </w:tblBorders>
      </w:tblPr>
      <w:tblGrid>
        <w:gridCol w:w="3450"/>
        <w:gridCol w:w="2066"/>
        <w:gridCol w:w="2066"/>
        <w:gridCol w:w="2066"/>
      </w:tblGrid>
      <w:tr>
        <w:trPr>
          <w:tblHeader/>
        </w:trPr>
        <w:tc>
          <w:tcPr>
            <w:tcW w:type="dxa" w:w="3450"/>
            <w:shd w:fill="12303F" w:color="auto" w:val="clear"/>
            <w:tcMar>
              <w:top w:type="dxa" w:w="50"/>
              <w:left w:type="dxa" w:w="90"/>
              <w:bottom w:type="dxa" w:w="50"/>
              <w:right w:type="dxa" w:w="90"/>
            </w:tcMar>
          </w:tcPr>
          <w:p>
            <w:pPr>
              <w:spacing w:after="0" w:line="246"/>
              <w:jc w:val="left"/>
            </w:pPr>
            <w:r>
              <w:rPr>
                <w:rFonts w:ascii="Calibri" w:cs="Calibri" w:eastAsia="Calibri" w:hAnsi="Calibri"/>
                <w:b/>
                <w:bCs/>
                <w:i w:val="false"/>
                <w:iCs w:val="false"/>
                <w:color w:val="FFFFFF"/>
                <w:sz w:val="17"/>
                <w:szCs w:val="17"/>
              </w:rPr>
              <w:t xml:space="preserve">Response</w:t>
            </w:r>
          </w:p>
        </w:tc>
        <w:tc>
          <w:tcPr>
            <w:tcW w:type="dxa" w:w="2066"/>
            <w:shd w:fill="12303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FFFFFF"/>
                <w:sz w:val="17"/>
                <w:szCs w:val="17"/>
              </w:rPr>
              <w:t xml:space="preserve">Wave 2 %</w:t>
            </w:r>
          </w:p>
        </w:tc>
        <w:tc>
          <w:tcPr>
            <w:tcW w:type="dxa" w:w="2066"/>
            <w:shd w:fill="12303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FFFFFF"/>
                <w:sz w:val="17"/>
                <w:szCs w:val="17"/>
              </w:rPr>
              <w:t xml:space="preserve">Wave 3 %</w:t>
            </w:r>
          </w:p>
        </w:tc>
        <w:tc>
          <w:tcPr>
            <w:tcW w:type="dxa" w:w="2066"/>
            <w:shd w:fill="12303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FFFFFF"/>
                <w:sz w:val="17"/>
                <w:szCs w:val="17"/>
              </w:rPr>
              <w:t xml:space="preserve">Change (pts)</w:t>
            </w:r>
          </w:p>
        </w:tc>
      </w:tr>
      <w:tr>
        <w:tc>
          <w:tcPr>
            <w:tcW w:type="dxa" w:w="3450"/>
            <w:shd w:fill="FFFFFF"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Not guilty (1–2)</w:t>
            </w:r>
          </w:p>
        </w:tc>
        <w:tc>
          <w:tcPr>
            <w:tcW w:type="dxa" w:w="206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46.2</w:t>
            </w:r>
          </w:p>
        </w:tc>
        <w:tc>
          <w:tcPr>
            <w:tcW w:type="dxa" w:w="206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47.9</w:t>
            </w:r>
          </w:p>
        </w:tc>
        <w:tc>
          <w:tcPr>
            <w:tcW w:type="dxa" w:w="206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+1.7</w:t>
            </w:r>
          </w:p>
        </w:tc>
      </w:tr>
      <w:tr>
        <w:tc>
          <w:tcPr>
            <w:tcW w:type="dxa" w:w="3450"/>
            <w:shd w:fill="E9F5FA"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Neutral (3)</w:t>
            </w:r>
          </w:p>
        </w:tc>
        <w:tc>
          <w:tcPr>
            <w:tcW w:type="dxa" w:w="206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17.6</w:t>
            </w:r>
          </w:p>
        </w:tc>
        <w:tc>
          <w:tcPr>
            <w:tcW w:type="dxa" w:w="206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16.2</w:t>
            </w:r>
          </w:p>
        </w:tc>
        <w:tc>
          <w:tcPr>
            <w:tcW w:type="dxa" w:w="206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−1.4</w:t>
            </w:r>
          </w:p>
        </w:tc>
      </w:tr>
      <w:tr>
        <w:tc>
          <w:tcPr>
            <w:tcW w:type="dxa" w:w="3450"/>
            <w:shd w:fill="F4FAFC" w:color="auto" w:val="clear"/>
            <w:tcMar>
              <w:top w:type="dxa" w:w="50"/>
              <w:left w:type="dxa" w:w="90"/>
              <w:bottom w:type="dxa" w:w="50"/>
              <w:right w:type="dxa" w:w="90"/>
            </w:tcMar>
          </w:tcPr>
          <w:p>
            <w:pPr>
              <w:spacing w:after="0" w:line="246"/>
              <w:jc w:val="left"/>
            </w:pPr>
            <w:r>
              <w:rPr>
                <w:rFonts w:ascii="Calibri" w:cs="Calibri" w:eastAsia="Calibri" w:hAnsi="Calibri"/>
                <w:b/>
                <w:bCs/>
                <w:i w:val="false"/>
                <w:iCs w:val="false"/>
                <w:color w:val="222B33"/>
                <w:sz w:val="18"/>
                <w:szCs w:val="18"/>
              </w:rPr>
              <w:t xml:space="preserve">Guilty (4–5)</w:t>
            </w:r>
          </w:p>
        </w:tc>
        <w:tc>
          <w:tcPr>
            <w:tcW w:type="dxa" w:w="2066"/>
            <w:shd w:fill="F4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36.3</w:t>
            </w:r>
          </w:p>
        </w:tc>
        <w:tc>
          <w:tcPr>
            <w:tcW w:type="dxa" w:w="2066"/>
            <w:shd w:fill="F4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35.9</w:t>
            </w:r>
          </w:p>
        </w:tc>
        <w:tc>
          <w:tcPr>
            <w:tcW w:type="dxa" w:w="2066"/>
            <w:shd w:fill="F4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−0.4</w:t>
            </w:r>
          </w:p>
        </w:tc>
      </w:tr>
      <w:tr>
        <w:tc>
          <w:tcPr>
            <w:tcW w:type="dxa" w:w="3450"/>
            <w:shd w:fill="E9F5FA"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Mean rating (1–5)</w:t>
            </w:r>
          </w:p>
        </w:tc>
        <w:tc>
          <w:tcPr>
            <w:tcW w:type="dxa" w:w="206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2.79</w:t>
            </w:r>
          </w:p>
        </w:tc>
        <w:tc>
          <w:tcPr>
            <w:tcW w:type="dxa" w:w="206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2.75</w:t>
            </w:r>
          </w:p>
        </w:tc>
        <w:tc>
          <w:tcPr>
            <w:tcW w:type="dxa" w:w="206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−0.04</w:t>
            </w:r>
          </w:p>
        </w:tc>
      </w:tr>
    </w:tbl>
    <w:p>
      <w:pPr>
        <w:spacing w:after="200" w:before="60"/>
      </w:pPr>
      <w:r>
        <w:rPr>
          <w:rFonts w:ascii="Calibri" w:cs="Calibri" w:eastAsia="Calibri" w:hAnsi="Calibri"/>
          <w:i/>
          <w:iCs/>
          <w:color w:val="8A97A0"/>
          <w:sz w:val="16"/>
          <w:szCs w:val="16"/>
        </w:rPr>
        <w:t xml:space="preserve">Table 1. National guilt perception, Wave 2 → Wave 3. Base: 2,222 weighted respondents.</w:t>
      </w:r>
    </w:p>
    <w:p>
      <w:pPr>
        <w:spacing w:after="160" w:line="288"/>
      </w:pPr>
      <w:r>
        <w:rPr>
          <w:rFonts w:ascii="Calibri" w:cs="Calibri" w:eastAsia="Calibri" w:hAnsi="Calibri"/>
          <w:color w:val="222B33"/>
          <w:sz w:val="21"/>
          <w:szCs w:val="21"/>
        </w:rPr>
        <w:t xml:space="preserve">The acquittal margin — “not guilty” minus “guilty” — widened from 9.9 points in Wave 2 to 12.0 points in Wave 3, unwinding most of the previous week's compression. The movement is modest but coherent: acquittal gained (+1.7), the neutral middle thinned (−1.4), and guilt ticked down (−0.4). The Wave 2 momentum toward conviction did not carry into Wave 3.</w:t>
      </w:r>
    </w:p>
    <w:p>
      <w:pPr>
        <w:spacing w:after="160" w:line="288"/>
      </w:pPr>
      <w:r>
        <w:rPr>
          <w:rFonts w:ascii="Calibri" w:cs="Calibri" w:eastAsia="Calibri" w:hAnsi="Calibri"/>
          <w:color w:val="222B33"/>
          <w:sz w:val="21"/>
          <w:szCs w:val="21"/>
        </w:rPr>
        <w:t xml:space="preserve">Two framings matter. First, acquittal not only leads but has re-widened its advantage. Second, the neutral bloc — now 16.2%, its smallest in the series — is still large enough to be decisive, but it shrank this week as respondents moved off the fence, mostly toward “not guilty.”</w:t>
      </w:r>
    </w:p>
    <w:p>
      <w:pPr>
        <w:pStyle w:val="Heading1"/>
        <w:spacing w:after="150" w:before="340"/>
      </w:pPr>
      <w:r>
        <w:rPr>
          <w:rFonts w:ascii="Cambria" w:cs="Cambria" w:eastAsia="Cambria" w:hAnsi="Cambria"/>
          <w:b/>
          <w:bCs/>
          <w:color w:val="1587AB"/>
          <w:sz w:val="30"/>
          <w:szCs w:val="30"/>
        </w:rPr>
        <w:t xml:space="preserve">4.  What Moved: The Committed vs the Casual</w:t>
      </w:r>
    </w:p>
    <w:p>
      <w:pPr>
        <w:spacing w:after="160" w:line="288"/>
      </w:pPr>
      <w:r>
        <w:rPr>
          <w:rFonts w:ascii="Calibri" w:cs="Calibri" w:eastAsia="Calibri" w:hAnsi="Calibri"/>
          <w:color w:val="222B33"/>
          <w:sz w:val="21"/>
          <w:szCs w:val="21"/>
        </w:rPr>
        <w:t xml:space="preserve">Segmenting the change by how closely respondents follow the trial reveals a split beneath the small national dip. The most engaged did not retreat — they edged further toward guilt — while the disengaged pulled back toward acquittal, and it is the latter, larger group that moved the national number.</w:t>
      </w:r>
    </w:p>
    <w:tbl>
      <w:tblPr>
        <w:tblW w:type="dxa" w:w="9648"/>
        <w:tblBorders>
          <w:top w:val="single" w:color="D8E3EC" w:sz="4"/>
          <w:left w:val="single" w:color="D8E3EC" w:sz="4"/>
          <w:bottom w:val="single" w:color="D8E3EC" w:sz="4"/>
          <w:right w:val="single" w:color="D8E3EC" w:sz="4"/>
          <w:insideH w:val="single" w:color="D8E3EC" w:sz="4"/>
          <w:insideV w:val="single" w:color="D8E3EC" w:sz="4"/>
        </w:tblBorders>
      </w:tblPr>
      <w:tblGrid>
        <w:gridCol w:w="6000"/>
        <w:gridCol w:w="3648"/>
      </w:tblGrid>
      <w:tr>
        <w:trPr>
          <w:tblHeader/>
        </w:trPr>
        <w:tc>
          <w:tcPr>
            <w:tcW w:type="dxa" w:w="6000"/>
            <w:shd w:fill="12303F" w:color="auto" w:val="clear"/>
            <w:tcMar>
              <w:top w:type="dxa" w:w="50"/>
              <w:left w:type="dxa" w:w="90"/>
              <w:bottom w:type="dxa" w:w="50"/>
              <w:right w:type="dxa" w:w="90"/>
            </w:tcMar>
          </w:tcPr>
          <w:p>
            <w:pPr>
              <w:spacing w:after="0" w:line="246"/>
              <w:jc w:val="left"/>
            </w:pPr>
            <w:r>
              <w:rPr>
                <w:rFonts w:ascii="Calibri" w:cs="Calibri" w:eastAsia="Calibri" w:hAnsi="Calibri"/>
                <w:b/>
                <w:bCs/>
                <w:i w:val="false"/>
                <w:iCs w:val="false"/>
                <w:color w:val="FFFFFF"/>
                <w:sz w:val="17"/>
                <w:szCs w:val="17"/>
              </w:rPr>
              <w:t xml:space="preserve">Follows the trial…</w:t>
            </w:r>
          </w:p>
        </w:tc>
        <w:tc>
          <w:tcPr>
            <w:tcW w:type="dxa" w:w="3648"/>
            <w:shd w:fill="12303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FFFFFF"/>
                <w:sz w:val="17"/>
                <w:szCs w:val="17"/>
              </w:rPr>
              <w:t xml:space="preserve">Δ Guilty (pts)</w:t>
            </w:r>
          </w:p>
        </w:tc>
      </w:tr>
      <w:tr>
        <w:tc>
          <w:tcPr>
            <w:tcW w:type="dxa" w:w="6000"/>
            <w:shd w:fill="FFF3EE"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Not interested</w:t>
            </w:r>
          </w:p>
        </w:tc>
        <w:tc>
          <w:tcPr>
            <w:tcW w:type="dxa" w:w="3648"/>
            <w:shd w:fill="FFF3EE"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−2.6</w:t>
            </w:r>
          </w:p>
        </w:tc>
      </w:tr>
      <w:tr>
        <w:tc>
          <w:tcPr>
            <w:tcW w:type="dxa" w:w="6000"/>
            <w:shd w:fill="E9F5FA"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Occasionally hears news</w:t>
            </w:r>
          </w:p>
        </w:tc>
        <w:tc>
          <w:tcPr>
            <w:tcW w:type="dxa" w:w="3648"/>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−1.9</w:t>
            </w:r>
          </w:p>
        </w:tc>
      </w:tr>
      <w:tr>
        <w:tc>
          <w:tcPr>
            <w:tcW w:type="dxa" w:w="6000"/>
            <w:shd w:fill="FFFFFF"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Hears about it monthly</w:t>
            </w:r>
          </w:p>
        </w:tc>
        <w:tc>
          <w:tcPr>
            <w:tcW w:type="dxa" w:w="3648"/>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+3.8</w:t>
            </w:r>
          </w:p>
        </w:tc>
      </w:tr>
      <w:tr>
        <w:tc>
          <w:tcPr>
            <w:tcW w:type="dxa" w:w="6000"/>
            <w:shd w:fill="F4FAFC" w:color="auto" w:val="clear"/>
            <w:tcMar>
              <w:top w:type="dxa" w:w="50"/>
              <w:left w:type="dxa" w:w="90"/>
              <w:bottom w:type="dxa" w:w="50"/>
              <w:right w:type="dxa" w:w="90"/>
            </w:tcMar>
          </w:tcPr>
          <w:p>
            <w:pPr>
              <w:spacing w:after="0" w:line="246"/>
              <w:jc w:val="left"/>
            </w:pPr>
            <w:r>
              <w:rPr>
                <w:rFonts w:ascii="Calibri" w:cs="Calibri" w:eastAsia="Calibri" w:hAnsi="Calibri"/>
                <w:b/>
                <w:bCs/>
                <w:i w:val="false"/>
                <w:iCs w:val="false"/>
                <w:color w:val="222B33"/>
                <w:sz w:val="18"/>
                <w:szCs w:val="18"/>
              </w:rPr>
              <w:t xml:space="preserve">Follows weekly</w:t>
            </w:r>
          </w:p>
        </w:tc>
        <w:tc>
          <w:tcPr>
            <w:tcW w:type="dxa" w:w="3648"/>
            <w:shd w:fill="F4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+0.6</w:t>
            </w:r>
          </w:p>
        </w:tc>
      </w:tr>
      <w:tr>
        <w:tc>
          <w:tcPr>
            <w:tcW w:type="dxa" w:w="6000"/>
            <w:shd w:fill="F4FAFC" w:color="auto" w:val="clear"/>
            <w:tcMar>
              <w:top w:type="dxa" w:w="50"/>
              <w:left w:type="dxa" w:w="90"/>
              <w:bottom w:type="dxa" w:w="50"/>
              <w:right w:type="dxa" w:w="90"/>
            </w:tcMar>
          </w:tcPr>
          <w:p>
            <w:pPr>
              <w:spacing w:after="0" w:line="246"/>
              <w:jc w:val="left"/>
            </w:pPr>
            <w:r>
              <w:rPr>
                <w:rFonts w:ascii="Calibri" w:cs="Calibri" w:eastAsia="Calibri" w:hAnsi="Calibri"/>
                <w:b/>
                <w:bCs/>
                <w:i w:val="false"/>
                <w:iCs w:val="false"/>
                <w:color w:val="222B33"/>
                <w:sz w:val="18"/>
                <w:szCs w:val="18"/>
              </w:rPr>
              <w:t xml:space="preserve">Follows daily</w:t>
            </w:r>
          </w:p>
        </w:tc>
        <w:tc>
          <w:tcPr>
            <w:tcW w:type="dxa" w:w="3648"/>
            <w:shd w:fill="F4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+1.1</w:t>
            </w:r>
          </w:p>
        </w:tc>
      </w:tr>
    </w:tbl>
    <w:p>
      <w:pPr>
        <w:spacing w:after="200" w:before="60"/>
      </w:pPr>
      <w:r>
        <w:rPr>
          <w:rFonts w:ascii="Calibri" w:cs="Calibri" w:eastAsia="Calibri" w:hAnsi="Calibri"/>
          <w:i/>
          <w:iCs/>
          <w:color w:val="8A97A0"/>
          <w:sz w:val="16"/>
          <w:szCs w:val="16"/>
        </w:rPr>
        <w:t xml:space="preserve">Table 2. Change in the share saying “guilty,” Wave 2 → Wave 3, by trial-following frequency (Q2 × Q3).</w:t>
      </w:r>
    </w:p>
    <w:p>
      <w:pPr>
        <w:spacing w:after="160" w:line="288"/>
      </w:pPr>
      <w:r>
        <w:rPr>
          <w:rFonts w:ascii="Calibri" w:cs="Calibri" w:eastAsia="Calibri" w:hAnsi="Calibri"/>
          <w:color w:val="222B33"/>
          <w:sz w:val="21"/>
          <w:szCs w:val="21"/>
        </w:rPr>
        <w:t xml:space="preserve">Weekly and daily followers held their ground and even nudged toward guilt (+0.6 and +1.1), a continuation of the engagement-driven hardening seen in Wave 2. But the “not interested” group fell 2.6 points and occasional news-hearers 1.9 points on guilt, moving back to acquittal. Because these casual segments are far larger than the committed core, their retreat set the national direction. (The small “monthly” cell rose +3.8 but is the least stable.) The reading for Wave 3 is that the pullback was concentrated among Filipinos paying the least attention, in a week when attention itself declined.</w:t>
      </w:r>
    </w:p>
    <w:p>
      <w:pPr>
        <w:spacing w:after="160" w:line="288"/>
      </w:pPr>
      <w:r>
        <w:rPr>
          <w:rFonts w:ascii="Calibri" w:cs="Calibri" w:eastAsia="Calibri" w:hAnsi="Calibri"/>
          <w:color w:val="222B33"/>
          <w:sz w:val="21"/>
          <w:szCs w:val="21"/>
        </w:rPr>
        <w:t xml:space="preserve">Attention indeed cooled. Daily following fell from 19.8% to 18.4%, and those saying they are “not interested” rose from 4.4% to 5.1%, while weekly following held near 29%. A less-engaged public that drifts back toward its prior (acquittal) lean is the throughline of Wave 3.</w:t>
      </w:r>
    </w:p>
    <w:p>
      <w:r>
        <w:br w:type="page"/>
      </w:r>
    </w:p>
    <w:p>
      <w:pPr>
        <w:pStyle w:val="Heading1"/>
        <w:spacing w:after="150" w:before="340"/>
      </w:pPr>
      <w:r>
        <w:rPr>
          <w:rFonts w:ascii="Cambria" w:cs="Cambria" w:eastAsia="Cambria" w:hAnsi="Cambria"/>
          <w:b/>
          <w:bCs/>
          <w:color w:val="1587AB"/>
          <w:sz w:val="30"/>
          <w:szCs w:val="30"/>
        </w:rPr>
        <w:t xml:space="preserve">5.  Regional Patterns</w:t>
      </w:r>
    </w:p>
    <w:p>
      <w:pPr>
        <w:spacing w:after="160" w:line="288"/>
      </w:pPr>
      <w:r>
        <w:rPr>
          <w:rFonts w:ascii="Calibri" w:cs="Calibri" w:eastAsia="Calibri" w:hAnsi="Calibri"/>
          <w:color w:val="222B33"/>
          <w:sz w:val="21"/>
          <w:szCs w:val="21"/>
        </w:rPr>
        <w:t xml:space="preserve">The country's political geography held its shape — Luzon and Metro Manila most conviction-leaning, Mindanao overwhelmingly for acquittal — but the week's movement rearranged the edges.</w:t>
      </w:r>
    </w:p>
    <w:tbl>
      <w:tblPr>
        <w:tblW w:type="dxa" w:w="9648"/>
        <w:tblBorders>
          <w:top w:val="single" w:color="D8E3EC" w:sz="4"/>
          <w:left w:val="single" w:color="D8E3EC" w:sz="4"/>
          <w:bottom w:val="single" w:color="D8E3EC" w:sz="4"/>
          <w:right w:val="single" w:color="D8E3EC" w:sz="4"/>
          <w:insideH w:val="single" w:color="D8E3EC" w:sz="4"/>
          <w:insideV w:val="single" w:color="D8E3EC" w:sz="4"/>
        </w:tblBorders>
      </w:tblPr>
      <w:tblGrid>
        <w:gridCol w:w="3300"/>
        <w:gridCol w:w="2116"/>
        <w:gridCol w:w="2116"/>
        <w:gridCol w:w="2116"/>
      </w:tblGrid>
      <w:tr>
        <w:trPr>
          <w:tblHeader/>
        </w:trPr>
        <w:tc>
          <w:tcPr>
            <w:tcW w:type="dxa" w:w="3300"/>
            <w:shd w:fill="12303F" w:color="auto" w:val="clear"/>
            <w:tcMar>
              <w:top w:type="dxa" w:w="50"/>
              <w:left w:type="dxa" w:w="90"/>
              <w:bottom w:type="dxa" w:w="50"/>
              <w:right w:type="dxa" w:w="90"/>
            </w:tcMar>
          </w:tcPr>
          <w:p>
            <w:pPr>
              <w:spacing w:after="0" w:line="246"/>
              <w:jc w:val="left"/>
            </w:pPr>
            <w:r>
              <w:rPr>
                <w:rFonts w:ascii="Calibri" w:cs="Calibri" w:eastAsia="Calibri" w:hAnsi="Calibri"/>
                <w:b/>
                <w:bCs/>
                <w:i w:val="false"/>
                <w:iCs w:val="false"/>
                <w:color w:val="FFFFFF"/>
                <w:sz w:val="17"/>
                <w:szCs w:val="17"/>
              </w:rPr>
              <w:t xml:space="preserve">Region</w:t>
            </w:r>
          </w:p>
        </w:tc>
        <w:tc>
          <w:tcPr>
            <w:tcW w:type="dxa" w:w="2116"/>
            <w:shd w:fill="12303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FFFFFF"/>
                <w:sz w:val="17"/>
                <w:szCs w:val="17"/>
              </w:rPr>
              <w:t xml:space="preserve">Guilty % (W3)</w:t>
            </w:r>
          </w:p>
        </w:tc>
        <w:tc>
          <w:tcPr>
            <w:tcW w:type="dxa" w:w="2116"/>
            <w:shd w:fill="12303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FFFFFF"/>
                <w:sz w:val="17"/>
                <w:szCs w:val="17"/>
              </w:rPr>
              <w:t xml:space="preserve">Not guilty % (W3)</w:t>
            </w:r>
          </w:p>
        </w:tc>
        <w:tc>
          <w:tcPr>
            <w:tcW w:type="dxa" w:w="2116"/>
            <w:shd w:fill="12303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FFFFFF"/>
                <w:sz w:val="17"/>
                <w:szCs w:val="17"/>
              </w:rPr>
              <w:t xml:space="preserve">Δ Guilty (pts)</w:t>
            </w:r>
          </w:p>
        </w:tc>
      </w:tr>
      <w:tr>
        <w:tc>
          <w:tcPr>
            <w:tcW w:type="dxa" w:w="3300"/>
            <w:shd w:fill="FFFFFF"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Metro Manila (NCR)</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56.2</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29.9</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−1.8</w:t>
            </w:r>
          </w:p>
        </w:tc>
      </w:tr>
      <w:tr>
        <w:tc>
          <w:tcPr>
            <w:tcW w:type="dxa" w:w="3300"/>
            <w:shd w:fill="E9F5FA"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South Luzon (SLUZ)</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52.2</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29.8</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+0.2</w:t>
            </w:r>
          </w:p>
        </w:tc>
      </w:tr>
      <w:tr>
        <w:tc>
          <w:tcPr>
            <w:tcW w:type="dxa" w:w="3300"/>
            <w:shd w:fill="FFFFFF"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North Luzon (NLUZ)</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43.8</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32.6</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−1.1</w:t>
            </w:r>
          </w:p>
        </w:tc>
      </w:tr>
      <w:tr>
        <w:tc>
          <w:tcPr>
            <w:tcW w:type="dxa" w:w="3300"/>
            <w:shd w:fill="E9F5FA"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Central Luzon (CLUZ)</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43.5</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41.0</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+0.1</w:t>
            </w:r>
          </w:p>
        </w:tc>
      </w:tr>
      <w:tr>
        <w:tc>
          <w:tcPr>
            <w:tcW w:type="dxa" w:w="3300"/>
            <w:shd w:fill="F4FAFC" w:color="auto" w:val="clear"/>
            <w:tcMar>
              <w:top w:type="dxa" w:w="50"/>
              <w:left w:type="dxa" w:w="90"/>
              <w:bottom w:type="dxa" w:w="50"/>
              <w:right w:type="dxa" w:w="90"/>
            </w:tcMar>
          </w:tcPr>
          <w:p>
            <w:pPr>
              <w:spacing w:after="0" w:line="246"/>
              <w:jc w:val="left"/>
            </w:pPr>
            <w:r>
              <w:rPr>
                <w:rFonts w:ascii="Calibri" w:cs="Calibri" w:eastAsia="Calibri" w:hAnsi="Calibri"/>
                <w:b/>
                <w:bCs/>
                <w:i w:val="false"/>
                <w:iCs w:val="false"/>
                <w:color w:val="222B33"/>
                <w:sz w:val="18"/>
                <w:szCs w:val="18"/>
              </w:rPr>
              <w:t xml:space="preserve">West Visayas (WVIS)</w:t>
            </w:r>
          </w:p>
        </w:tc>
        <w:tc>
          <w:tcPr>
            <w:tcW w:type="dxa" w:w="2116"/>
            <w:shd w:fill="F4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37.0</w:t>
            </w:r>
          </w:p>
        </w:tc>
        <w:tc>
          <w:tcPr>
            <w:tcW w:type="dxa" w:w="2116"/>
            <w:shd w:fill="F4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46.4</w:t>
            </w:r>
          </w:p>
        </w:tc>
        <w:tc>
          <w:tcPr>
            <w:tcW w:type="dxa" w:w="2116"/>
            <w:shd w:fill="F4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+3.6</w:t>
            </w:r>
          </w:p>
        </w:tc>
      </w:tr>
      <w:tr>
        <w:tc>
          <w:tcPr>
            <w:tcW w:type="dxa" w:w="3300"/>
            <w:shd w:fill="E9F5FA"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East Visayas (EVIS)</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25.3</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57.5</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+0.6</w:t>
            </w:r>
          </w:p>
        </w:tc>
      </w:tr>
      <w:tr>
        <w:tc>
          <w:tcPr>
            <w:tcW w:type="dxa" w:w="3300"/>
            <w:shd w:fill="FFFFFF"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South Mindanao (SMIN)</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9.0</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80.0</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−1.5</w:t>
            </w:r>
          </w:p>
        </w:tc>
      </w:tr>
      <w:tr>
        <w:tc>
          <w:tcPr>
            <w:tcW w:type="dxa" w:w="3300"/>
            <w:shd w:fill="E9F5FA"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North Mindanao (NMIN)</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8.2</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78.3</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−2.0</w:t>
            </w:r>
          </w:p>
        </w:tc>
      </w:tr>
    </w:tbl>
    <w:p>
      <w:pPr>
        <w:spacing w:after="200" w:before="60"/>
      </w:pPr>
      <w:r>
        <w:rPr>
          <w:rFonts w:ascii="Calibri" w:cs="Calibri" w:eastAsia="Calibri" w:hAnsi="Calibri"/>
          <w:i/>
          <w:iCs/>
          <w:color w:val="8A97A0"/>
          <w:sz w:val="16"/>
          <w:szCs w:val="16"/>
        </w:rPr>
        <w:t xml:space="preserve">Table 3. Guilt perception by region, Wave 3, with week-on-week change in the guilty share. All regional bases n ≥ 30.</w:t>
      </w:r>
    </w:p>
    <w:p>
      <w:pPr>
        <w:spacing w:after="160" w:line="288"/>
      </w:pPr>
      <w:r>
        <w:rPr>
          <w:rFonts w:ascii="Calibri" w:cs="Calibri" w:eastAsia="Calibri" w:hAnsi="Calibri"/>
          <w:color w:val="222B33"/>
          <w:sz w:val="21"/>
          <w:szCs w:val="21"/>
        </w:rPr>
        <w:t xml:space="preserve">The clearest mover was West Visayas, where guilty sentiment rose +3.6 points to 37.0% — the only sizeable increase this wave. Metro Manila eased −1.8 (though it remains the most conviction-leaning region at 56.2%), and both Mindanao regions slid further toward acquittal, dropping into single digits on guilt (South 9.0%, North 8.2%). The vote-rich Luzon corridors of Central and South Luzon were essentially flat. In short, the small national pullback toward acquittal was driven by Metro Manila and Mindanao, partly offset by a conviction-ward move in West Visayas.</w:t>
      </w:r>
    </w:p>
    <w:p>
      <w:pPr>
        <w:pStyle w:val="Heading1"/>
        <w:spacing w:after="150" w:before="340"/>
      </w:pPr>
      <w:r>
        <w:rPr>
          <w:rFonts w:ascii="Cambria" w:cs="Cambria" w:eastAsia="Cambria" w:hAnsi="Cambria"/>
          <w:b/>
          <w:bCs/>
          <w:color w:val="1587AB"/>
          <w:sz w:val="30"/>
          <w:szCs w:val="30"/>
        </w:rPr>
        <w:t xml:space="preserve">6.  Demographic Patterns</w:t>
      </w:r>
    </w:p>
    <w:p>
      <w:pPr>
        <w:spacing w:after="160" w:line="288"/>
      </w:pPr>
      <w:r>
        <w:rPr>
          <w:rFonts w:ascii="Calibri" w:cs="Calibri" w:eastAsia="Calibri" w:hAnsi="Calibri"/>
          <w:color w:val="222B33"/>
          <w:sz w:val="21"/>
          <w:szCs w:val="21"/>
        </w:rPr>
        <w:t xml:space="preserve">The sex and age cleavages persist, with one notable shift among women.</w:t>
      </w:r>
    </w:p>
    <w:tbl>
      <w:tblPr>
        <w:tblW w:type="dxa" w:w="9648"/>
        <w:tblBorders>
          <w:top w:val="single" w:color="D8E3EC" w:sz="4"/>
          <w:left w:val="single" w:color="D8E3EC" w:sz="4"/>
          <w:bottom w:val="single" w:color="D8E3EC" w:sz="4"/>
          <w:right w:val="single" w:color="D8E3EC" w:sz="4"/>
          <w:insideH w:val="single" w:color="D8E3EC" w:sz="4"/>
          <w:insideV w:val="single" w:color="D8E3EC" w:sz="4"/>
        </w:tblBorders>
      </w:tblPr>
      <w:tblGrid>
        <w:gridCol w:w="3300"/>
        <w:gridCol w:w="2116"/>
        <w:gridCol w:w="2116"/>
        <w:gridCol w:w="2116"/>
      </w:tblGrid>
      <w:tr>
        <w:trPr>
          <w:tblHeader/>
        </w:trPr>
        <w:tc>
          <w:tcPr>
            <w:tcW w:type="dxa" w:w="3300"/>
            <w:shd w:fill="12303F" w:color="auto" w:val="clear"/>
            <w:tcMar>
              <w:top w:type="dxa" w:w="50"/>
              <w:left w:type="dxa" w:w="90"/>
              <w:bottom w:type="dxa" w:w="50"/>
              <w:right w:type="dxa" w:w="90"/>
            </w:tcMar>
          </w:tcPr>
          <w:p>
            <w:pPr>
              <w:spacing w:after="0" w:line="246"/>
              <w:jc w:val="left"/>
            </w:pPr>
            <w:r>
              <w:rPr>
                <w:rFonts w:ascii="Calibri" w:cs="Calibri" w:eastAsia="Calibri" w:hAnsi="Calibri"/>
                <w:b/>
                <w:bCs/>
                <w:i w:val="false"/>
                <w:iCs w:val="false"/>
                <w:color w:val="FFFFFF"/>
                <w:sz w:val="17"/>
                <w:szCs w:val="17"/>
              </w:rPr>
              <w:t xml:space="preserve">Segment</w:t>
            </w:r>
          </w:p>
        </w:tc>
        <w:tc>
          <w:tcPr>
            <w:tcW w:type="dxa" w:w="2116"/>
            <w:shd w:fill="12303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FFFFFF"/>
                <w:sz w:val="17"/>
                <w:szCs w:val="17"/>
              </w:rPr>
              <w:t xml:space="preserve">Not guilty %</w:t>
            </w:r>
          </w:p>
        </w:tc>
        <w:tc>
          <w:tcPr>
            <w:tcW w:type="dxa" w:w="2116"/>
            <w:shd w:fill="12303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FFFFFF"/>
                <w:sz w:val="17"/>
                <w:szCs w:val="17"/>
              </w:rPr>
              <w:t xml:space="preserve">Neutral %</w:t>
            </w:r>
          </w:p>
        </w:tc>
        <w:tc>
          <w:tcPr>
            <w:tcW w:type="dxa" w:w="2116"/>
            <w:shd w:fill="12303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FFFFFF"/>
                <w:sz w:val="17"/>
                <w:szCs w:val="17"/>
              </w:rPr>
              <w:t xml:space="preserve">Guilty %</w:t>
            </w:r>
          </w:p>
        </w:tc>
      </w:tr>
      <w:tr>
        <w:tc>
          <w:tcPr>
            <w:tcW w:type="dxa" w:w="3300"/>
            <w:shd w:fill="FFFFFF"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Male</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51.8</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14.6</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33.7</w:t>
            </w:r>
          </w:p>
        </w:tc>
      </w:tr>
      <w:tr>
        <w:tc>
          <w:tcPr>
            <w:tcW w:type="dxa" w:w="3300"/>
            <w:shd w:fill="E9F5FA"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Female</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44.0</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17.8</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38.1</w:t>
            </w:r>
          </w:p>
        </w:tc>
      </w:tr>
      <w:tr>
        <w:tc>
          <w:tcPr>
            <w:tcW w:type="dxa" w:w="3300"/>
            <w:shd w:fill="FFFFFF"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Age 18–30</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39.7</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18.5</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41.8</w:t>
            </w:r>
          </w:p>
        </w:tc>
      </w:tr>
      <w:tr>
        <w:tc>
          <w:tcPr>
            <w:tcW w:type="dxa" w:w="3300"/>
            <w:shd w:fill="E9F5FA"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Age 31–50</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54.4</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14.8</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30.8</w:t>
            </w:r>
          </w:p>
        </w:tc>
      </w:tr>
      <w:tr>
        <w:tc>
          <w:tcPr>
            <w:tcW w:type="dxa" w:w="3300"/>
            <w:shd w:fill="FFFFFF"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Age 51+</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35.7</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15.8</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48.5</w:t>
            </w:r>
          </w:p>
        </w:tc>
      </w:tr>
    </w:tbl>
    <w:p>
      <w:pPr>
        <w:spacing w:after="200" w:before="60"/>
      </w:pPr>
      <w:r>
        <w:rPr>
          <w:rFonts w:ascii="Calibri" w:cs="Calibri" w:eastAsia="Calibri" w:hAnsi="Calibri"/>
          <w:i/>
          <w:iCs/>
          <w:color w:val="8A97A0"/>
          <w:sz w:val="16"/>
          <w:szCs w:val="16"/>
        </w:rPr>
        <w:t xml:space="preserve">Table 4. Guilt perception by sex and age, Wave 3.</w:t>
      </w:r>
    </w:p>
    <w:p>
      <w:pPr>
        <w:spacing w:after="160" w:line="288"/>
      </w:pPr>
      <w:r>
        <w:rPr>
          <w:rFonts w:ascii="Calibri" w:cs="Calibri" w:eastAsia="Calibri" w:hAnsi="Calibri"/>
          <w:color w:val="222B33"/>
          <w:sz w:val="21"/>
          <w:szCs w:val="21"/>
        </w:rPr>
        <w:t xml:space="preserve">Women remain more conviction-leaning than men (38.1% vs 33.7% guilty), but the gap narrowed this week: women eased 2.5 points off guilt while men rose 1.8. The age pattern stays U-shaped and, if anything, sharpened at the top — the oldest Filipinos (51+) are the most conviction-leaning at 48.5% guilty (up 2.5 points), the youngest (18–30) sit at 41.8%, and the 31–50 middle cohort remains the most protective of the Vice President, with 54.4% saying not guilty. The persuadable middle of the electorate is, once again, the middle of the age range.</w:t>
      </w:r>
    </w:p>
    <w:p>
      <w:r>
        <w:br w:type="page"/>
      </w:r>
    </w:p>
    <w:p>
      <w:pPr>
        <w:pStyle w:val="Heading1"/>
        <w:spacing w:after="150" w:before="340"/>
      </w:pPr>
      <w:r>
        <w:rPr>
          <w:rFonts w:ascii="Cambria" w:cs="Cambria" w:eastAsia="Cambria" w:hAnsi="Cambria"/>
          <w:b/>
          <w:bCs/>
          <w:color w:val="1587AB"/>
          <w:sz w:val="30"/>
          <w:szCs w:val="30"/>
        </w:rPr>
        <w:t xml:space="preserve">7.  Perceived Fairness of the Trial</w:t>
      </w:r>
    </w:p>
    <w:p>
      <w:pPr>
        <w:spacing w:after="160" w:line="288"/>
      </w:pPr>
      <w:r>
        <w:rPr>
          <w:rFonts w:ascii="Calibri" w:cs="Calibri" w:eastAsia="Calibri" w:hAnsi="Calibri"/>
          <w:color w:val="222B33"/>
          <w:sz w:val="21"/>
          <w:szCs w:val="21"/>
        </w:rPr>
        <w:t xml:space="preserve">The public's read on the process barely moved and remains decidedly skeptical.</w:t>
      </w:r>
    </w:p>
    <w:tbl>
      <w:tblPr>
        <w:tblW w:type="dxa" w:w="9648"/>
        <w:tblBorders>
          <w:top w:val="single" w:color="D8E3EC" w:sz="4"/>
          <w:left w:val="single" w:color="D8E3EC" w:sz="4"/>
          <w:bottom w:val="single" w:color="D8E3EC" w:sz="4"/>
          <w:right w:val="single" w:color="D8E3EC" w:sz="4"/>
          <w:insideH w:val="single" w:color="D8E3EC" w:sz="4"/>
          <w:insideV w:val="single" w:color="D8E3EC" w:sz="4"/>
        </w:tblBorders>
      </w:tblPr>
      <w:tblGrid>
        <w:gridCol w:w="3300"/>
        <w:gridCol w:w="2116"/>
        <w:gridCol w:w="2116"/>
        <w:gridCol w:w="2116"/>
      </w:tblGrid>
      <w:tr>
        <w:trPr>
          <w:tblHeader/>
        </w:trPr>
        <w:tc>
          <w:tcPr>
            <w:tcW w:type="dxa" w:w="3300"/>
            <w:shd w:fill="12303F" w:color="auto" w:val="clear"/>
            <w:tcMar>
              <w:top w:type="dxa" w:w="50"/>
              <w:left w:type="dxa" w:w="90"/>
              <w:bottom w:type="dxa" w:w="50"/>
              <w:right w:type="dxa" w:w="90"/>
            </w:tcMar>
          </w:tcPr>
          <w:p>
            <w:pPr>
              <w:spacing w:after="0" w:line="246"/>
              <w:jc w:val="left"/>
            </w:pPr>
            <w:r>
              <w:rPr>
                <w:rFonts w:ascii="Calibri" w:cs="Calibri" w:eastAsia="Calibri" w:hAnsi="Calibri"/>
                <w:b/>
                <w:bCs/>
                <w:i w:val="false"/>
                <w:iCs w:val="false"/>
                <w:color w:val="FFFFFF"/>
                <w:sz w:val="17"/>
                <w:szCs w:val="17"/>
              </w:rPr>
              <w:t xml:space="preserve">Response</w:t>
            </w:r>
          </w:p>
        </w:tc>
        <w:tc>
          <w:tcPr>
            <w:tcW w:type="dxa" w:w="2116"/>
            <w:shd w:fill="12303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FFFFFF"/>
                <w:sz w:val="17"/>
                <w:szCs w:val="17"/>
              </w:rPr>
              <w:t xml:space="preserve">Total %</w:t>
            </w:r>
          </w:p>
        </w:tc>
        <w:tc>
          <w:tcPr>
            <w:tcW w:type="dxa" w:w="2116"/>
            <w:shd w:fill="12303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FFFFFF"/>
                <w:sz w:val="17"/>
                <w:szCs w:val="17"/>
              </w:rPr>
              <w:t xml:space="preserve">NCR %</w:t>
            </w:r>
          </w:p>
        </w:tc>
        <w:tc>
          <w:tcPr>
            <w:tcW w:type="dxa" w:w="2116"/>
            <w:shd w:fill="12303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FFFFFF"/>
                <w:sz w:val="17"/>
                <w:szCs w:val="17"/>
              </w:rPr>
              <w:t xml:space="preserve">South Mindanao %</w:t>
            </w:r>
          </w:p>
        </w:tc>
      </w:tr>
      <w:tr>
        <w:tc>
          <w:tcPr>
            <w:tcW w:type="dxa" w:w="3300"/>
            <w:shd w:fill="F4FAFC" w:color="auto" w:val="clear"/>
            <w:tcMar>
              <w:top w:type="dxa" w:w="50"/>
              <w:left w:type="dxa" w:w="90"/>
              <w:bottom w:type="dxa" w:w="50"/>
              <w:right w:type="dxa" w:w="90"/>
            </w:tcMar>
          </w:tcPr>
          <w:p>
            <w:pPr>
              <w:spacing w:after="0" w:line="246"/>
              <w:jc w:val="left"/>
            </w:pPr>
            <w:r>
              <w:rPr>
                <w:rFonts w:ascii="Calibri" w:cs="Calibri" w:eastAsia="Calibri" w:hAnsi="Calibri"/>
                <w:b/>
                <w:bCs/>
                <w:i w:val="false"/>
                <w:iCs w:val="false"/>
                <w:color w:val="222B33"/>
                <w:sz w:val="18"/>
                <w:szCs w:val="18"/>
              </w:rPr>
              <w:t xml:space="preserve">Fair (4–5)</w:t>
            </w:r>
          </w:p>
        </w:tc>
        <w:tc>
          <w:tcPr>
            <w:tcW w:type="dxa" w:w="2116"/>
            <w:shd w:fill="F4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25.5</w:t>
            </w:r>
          </w:p>
        </w:tc>
        <w:tc>
          <w:tcPr>
            <w:tcW w:type="dxa" w:w="2116"/>
            <w:shd w:fill="F4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34.6</w:t>
            </w:r>
          </w:p>
        </w:tc>
        <w:tc>
          <w:tcPr>
            <w:tcW w:type="dxa" w:w="2116"/>
            <w:shd w:fill="F4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9.2</w:t>
            </w:r>
          </w:p>
        </w:tc>
      </w:tr>
      <w:tr>
        <w:tc>
          <w:tcPr>
            <w:tcW w:type="dxa" w:w="3300"/>
            <w:shd w:fill="E9F5FA"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Neutral (3)</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36.9</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40.2</w:t>
            </w:r>
          </w:p>
        </w:tc>
        <w:tc>
          <w:tcPr>
            <w:tcW w:type="dxa" w:w="2116"/>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30.5</w:t>
            </w:r>
          </w:p>
        </w:tc>
      </w:tr>
      <w:tr>
        <w:tc>
          <w:tcPr>
            <w:tcW w:type="dxa" w:w="3300"/>
            <w:shd w:fill="FFFFFF"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Unfair (1–2)</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37.7</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25.2</w:t>
            </w:r>
          </w:p>
        </w:tc>
        <w:tc>
          <w:tcPr>
            <w:tcW w:type="dxa" w:w="2116"/>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60.2</w:t>
            </w:r>
          </w:p>
        </w:tc>
      </w:tr>
    </w:tbl>
    <w:p>
      <w:pPr>
        <w:spacing w:after="200" w:before="60"/>
      </w:pPr>
      <w:r>
        <w:rPr>
          <w:rFonts w:ascii="Calibri" w:cs="Calibri" w:eastAsia="Calibri" w:hAnsi="Calibri"/>
          <w:i/>
          <w:iCs/>
          <w:color w:val="8A97A0"/>
          <w:sz w:val="16"/>
          <w:szCs w:val="16"/>
        </w:rPr>
        <w:t xml:space="preserve">Table 5. Perceived fairness of the Senate trial, Wave 3 — national and selected regions.</w:t>
      </w:r>
    </w:p>
    <w:p>
      <w:pPr>
        <w:spacing w:after="160" w:line="288"/>
      </w:pPr>
      <w:r>
        <w:rPr>
          <w:rFonts w:ascii="Calibri" w:cs="Calibri" w:eastAsia="Calibri" w:hAnsi="Calibri"/>
          <w:color w:val="222B33"/>
          <w:sz w:val="21"/>
          <w:szCs w:val="21"/>
        </w:rPr>
        <w:t xml:space="preserve">Only about one in four Filipinos (25.5%) consider the trial fair, statistically unchanged from Wave 2's 25.6%, against 37.7% who call it unfair (up a point) and 36.9% neutral. The geographic pattern matches guilt perception: perceived unfairness is highest in Mindanao (60.2% in South Mindanao) and lowest in Metro Manila (25.2%). A persistent, net-negative fairness read means any conviction that emerges will land before a public a large share of which already regards the proceedings as unfair — and that share is concentrated exactly where support for the Vice President is strongest.</w:t>
      </w:r>
    </w:p>
    <w:p>
      <w:pPr>
        <w:pStyle w:val="Heading1"/>
        <w:spacing w:after="150" w:before="340"/>
      </w:pPr>
      <w:r>
        <w:rPr>
          <w:rFonts w:ascii="Cambria" w:cs="Cambria" w:eastAsia="Cambria" w:hAnsi="Cambria"/>
          <w:b/>
          <w:bCs/>
          <w:color w:val="1587AB"/>
          <w:sz w:val="30"/>
          <w:szCs w:val="30"/>
        </w:rPr>
        <w:t xml:space="preserve">8.  The Senator Scorecard</w:t>
      </w:r>
    </w:p>
    <w:p>
      <w:pPr>
        <w:spacing w:after="160" w:line="288"/>
      </w:pPr>
      <w:r>
        <w:rPr>
          <w:rFonts w:ascii="Calibri" w:cs="Calibri" w:eastAsia="Calibri" w:hAnsi="Calibri"/>
          <w:b/>
          <w:bCs/>
          <w:color w:val="12303F"/>
          <w:sz w:val="21"/>
          <w:szCs w:val="21"/>
        </w:rPr>
        <w:t xml:space="preserve">Now comparable week-on-week. </w:t>
      </w:r>
      <w:r>
        <w:rPr>
          <w:rFonts w:ascii="Calibri" w:cs="Calibri" w:eastAsia="Calibri" w:hAnsi="Calibri"/>
          <w:color w:val="222B33"/>
          <w:sz w:val="21"/>
          <w:szCs w:val="21"/>
        </w:rPr>
        <w:t xml:space="preserve">Because Wave 2 and Wave 3 share the 1–5 scale (5 = best), senator scores and rankings can be compared directly; the Δ column reports the change since Wave 2. Respondents rate each senator on fairness, performance and trust, each 1–5; the overall score is their mean.</w:t>
      </w:r>
    </w:p>
    <w:p>
      <w:pPr>
        <w:spacing w:after="160" w:line="288"/>
      </w:pPr>
      <w:r>
        <w:rPr>
          <w:rFonts w:ascii="Calibri" w:cs="Calibri" w:eastAsia="Calibri" w:hAnsi="Calibri"/>
          <w:color w:val="222B33"/>
          <w:sz w:val="21"/>
          <w:szCs w:val="21"/>
        </w:rPr>
        <w:t xml:space="preserve">Two things stand out. First, the field is still compressed and low — every senator sits below the 3.0 midpoint, from 2.39 to 2.99. Second, the direction is almost uniformly downward: nineteen of the twenty-one senators lost ground versus Wave 2.</w:t>
      </w:r>
    </w:p>
    <w:tbl>
      <w:tblPr>
        <w:tblW w:type="dxa" w:w="9548"/>
        <w:tblBorders>
          <w:top w:val="single" w:color="D8E3EC" w:sz="4"/>
          <w:left w:val="single" w:color="D8E3EC" w:sz="4"/>
          <w:bottom w:val="single" w:color="D8E3EC" w:sz="4"/>
          <w:right w:val="single" w:color="D8E3EC" w:sz="4"/>
          <w:insideH w:val="single" w:color="D8E3EC" w:sz="4"/>
          <w:insideV w:val="single" w:color="D8E3EC" w:sz="4"/>
        </w:tblBorders>
      </w:tblPr>
      <w:tblGrid>
        <w:gridCol w:w="560"/>
        <w:gridCol w:w="3448"/>
        <w:gridCol w:w="1040"/>
        <w:gridCol w:w="1040"/>
        <w:gridCol w:w="1040"/>
        <w:gridCol w:w="1240"/>
        <w:gridCol w:w="1180"/>
      </w:tblGrid>
      <w:tr>
        <w:trPr>
          <w:tblHeader/>
        </w:trPr>
        <w:tc>
          <w:tcPr>
            <w:tcW w:type="dxa" w:w="560"/>
            <w:shd w:fill="12303F" w:color="auto" w:val="clear"/>
            <w:tcMar>
              <w:top w:type="dxa" w:w="50"/>
              <w:left w:type="dxa" w:w="90"/>
              <w:bottom w:type="dxa" w:w="50"/>
              <w:right w:type="dxa" w:w="90"/>
            </w:tcMar>
          </w:tcPr>
          <w:p>
            <w:pPr>
              <w:spacing w:after="0" w:line="246"/>
              <w:jc w:val="left"/>
            </w:pPr>
            <w:r>
              <w:rPr>
                <w:rFonts w:ascii="Calibri" w:cs="Calibri" w:eastAsia="Calibri" w:hAnsi="Calibri"/>
                <w:b/>
                <w:bCs/>
                <w:i w:val="false"/>
                <w:iCs w:val="false"/>
                <w:color w:val="FFFFFF"/>
                <w:sz w:val="17"/>
                <w:szCs w:val="17"/>
              </w:rPr>
              <w:t xml:space="preserve">#</w:t>
            </w:r>
          </w:p>
        </w:tc>
        <w:tc>
          <w:tcPr>
            <w:tcW w:type="dxa" w:w="3448"/>
            <w:shd w:fill="12303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FFFFFF"/>
                <w:sz w:val="17"/>
                <w:szCs w:val="17"/>
              </w:rPr>
              <w:t xml:space="preserve">Senator</w:t>
            </w:r>
          </w:p>
        </w:tc>
        <w:tc>
          <w:tcPr>
            <w:tcW w:type="dxa" w:w="1040"/>
            <w:shd w:fill="12303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FFFFFF"/>
                <w:sz w:val="17"/>
                <w:szCs w:val="17"/>
              </w:rPr>
              <w:t xml:space="preserve">Fair</w:t>
            </w:r>
          </w:p>
        </w:tc>
        <w:tc>
          <w:tcPr>
            <w:tcW w:type="dxa" w:w="1040"/>
            <w:shd w:fill="12303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FFFFFF"/>
                <w:sz w:val="17"/>
                <w:szCs w:val="17"/>
              </w:rPr>
              <w:t xml:space="preserve">Perf</w:t>
            </w:r>
          </w:p>
        </w:tc>
        <w:tc>
          <w:tcPr>
            <w:tcW w:type="dxa" w:w="1040"/>
            <w:shd w:fill="12303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FFFFFF"/>
                <w:sz w:val="17"/>
                <w:szCs w:val="17"/>
              </w:rPr>
              <w:t xml:space="preserve">Trust</w:t>
            </w:r>
          </w:p>
        </w:tc>
        <w:tc>
          <w:tcPr>
            <w:tcW w:type="dxa" w:w="1240"/>
            <w:shd w:fill="12303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FFFFFF"/>
                <w:sz w:val="17"/>
                <w:szCs w:val="17"/>
              </w:rPr>
              <w:t xml:space="preserve">Overall</w:t>
            </w:r>
          </w:p>
        </w:tc>
        <w:tc>
          <w:tcPr>
            <w:tcW w:type="dxa" w:w="1180"/>
            <w:shd w:fill="12303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FFFFFF"/>
                <w:sz w:val="17"/>
                <w:szCs w:val="17"/>
              </w:rPr>
              <w:t xml:space="preserve">Δ vs W2</w:t>
            </w:r>
          </w:p>
        </w:tc>
      </w:tr>
      <w:tr>
        <w:tc>
          <w:tcPr>
            <w:tcW w:type="dxa" w:w="560"/>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w:t>
            </w:r>
          </w:p>
        </w:tc>
        <w:tc>
          <w:tcPr>
            <w:tcW w:type="dxa" w:w="3448"/>
            <w:shd w:fill="E9F5FA"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Francis “Chiz” Escudero</w:t>
            </w:r>
          </w:p>
        </w:tc>
        <w:tc>
          <w:tcPr>
            <w:tcW w:type="dxa" w:w="1040"/>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2.98</w:t>
            </w:r>
          </w:p>
        </w:tc>
        <w:tc>
          <w:tcPr>
            <w:tcW w:type="dxa" w:w="1040"/>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3.00</w:t>
            </w:r>
          </w:p>
        </w:tc>
        <w:tc>
          <w:tcPr>
            <w:tcW w:type="dxa" w:w="1040"/>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2.99</w:t>
            </w:r>
          </w:p>
        </w:tc>
        <w:tc>
          <w:tcPr>
            <w:tcW w:type="dxa" w:w="1240"/>
            <w:shd w:fill="E9F5FA"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2.99</w:t>
            </w:r>
          </w:p>
        </w:tc>
        <w:tc>
          <w:tcPr>
            <w:tcW w:type="dxa" w:w="1180"/>
            <w:shd w:fill="E9F5FA" w:color="auto" w:val="clear"/>
            <w:tcMar>
              <w:top w:type="dxa" w:w="50"/>
              <w:left w:type="dxa" w:w="90"/>
              <w:bottom w:type="dxa" w:w="50"/>
              <w:right w:type="dxa" w:w="90"/>
            </w:tcMar>
          </w:tcPr>
          <w:p>
            <w:pPr>
              <w:spacing w:after="0" w:line="246"/>
              <w:jc w:val="center"/>
            </w:pPr>
            <w:r>
              <w:rPr>
                <w:rFonts w:ascii="Calibri" w:cs="Calibri" w:eastAsia="Calibri" w:hAnsi="Calibri"/>
                <w:b/>
                <w:bCs/>
                <w:color w:val="8A97A0"/>
                <w:sz w:val="18"/>
                <w:szCs w:val="18"/>
              </w:rPr>
              <w:t xml:space="preserve">▬ 0.00</w:t>
            </w:r>
          </w:p>
        </w:tc>
      </w:tr>
      <w:tr>
        <w:tc>
          <w:tcPr>
            <w:tcW w:type="dxa" w:w="560"/>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w:t>
            </w:r>
          </w:p>
        </w:tc>
        <w:tc>
          <w:tcPr>
            <w:tcW w:type="dxa" w:w="3448"/>
            <w:shd w:fill="E9F5FA"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Christopher “Bong” Go</w:t>
            </w:r>
          </w:p>
        </w:tc>
        <w:tc>
          <w:tcPr>
            <w:tcW w:type="dxa" w:w="1040"/>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2.93</w:t>
            </w:r>
          </w:p>
        </w:tc>
        <w:tc>
          <w:tcPr>
            <w:tcW w:type="dxa" w:w="1040"/>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2.83</w:t>
            </w:r>
          </w:p>
        </w:tc>
        <w:tc>
          <w:tcPr>
            <w:tcW w:type="dxa" w:w="1040"/>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2.92</w:t>
            </w:r>
          </w:p>
        </w:tc>
        <w:tc>
          <w:tcPr>
            <w:tcW w:type="dxa" w:w="1240"/>
            <w:shd w:fill="E9F5FA"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2.89</w:t>
            </w:r>
          </w:p>
        </w:tc>
        <w:tc>
          <w:tcPr>
            <w:tcW w:type="dxa" w:w="1180"/>
            <w:shd w:fill="E9F5FA" w:color="auto" w:val="clear"/>
            <w:tcMar>
              <w:top w:type="dxa" w:w="50"/>
              <w:left w:type="dxa" w:w="90"/>
              <w:bottom w:type="dxa" w:w="50"/>
              <w:right w:type="dxa" w:w="90"/>
            </w:tcMar>
          </w:tcPr>
          <w:p>
            <w:pPr>
              <w:spacing w:after="0" w:line="246"/>
              <w:jc w:val="center"/>
            </w:pPr>
            <w:r>
              <w:rPr>
                <w:rFonts w:ascii="Calibri" w:cs="Calibri" w:eastAsia="Calibri" w:hAnsi="Calibri"/>
                <w:b/>
                <w:bCs/>
                <w:color w:val="C24A2E"/>
                <w:sz w:val="18"/>
                <w:szCs w:val="18"/>
              </w:rPr>
              <w:t xml:space="preserve">▼ -0.01</w:t>
            </w:r>
          </w:p>
        </w:tc>
      </w:tr>
      <w:tr>
        <w:tc>
          <w:tcPr>
            <w:tcW w:type="dxa" w:w="560"/>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3</w:t>
            </w:r>
          </w:p>
        </w:tc>
        <w:tc>
          <w:tcPr>
            <w:tcW w:type="dxa" w:w="3448"/>
            <w:shd w:fill="E9F5FA"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Alan Peter Cayetano</w:t>
            </w:r>
          </w:p>
        </w:tc>
        <w:tc>
          <w:tcPr>
            <w:tcW w:type="dxa" w:w="1040"/>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2.88</w:t>
            </w:r>
          </w:p>
        </w:tc>
        <w:tc>
          <w:tcPr>
            <w:tcW w:type="dxa" w:w="1040"/>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2.84</w:t>
            </w:r>
          </w:p>
        </w:tc>
        <w:tc>
          <w:tcPr>
            <w:tcW w:type="dxa" w:w="1040"/>
            <w:shd w:fill="E9F5FA"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2.89</w:t>
            </w:r>
          </w:p>
        </w:tc>
        <w:tc>
          <w:tcPr>
            <w:tcW w:type="dxa" w:w="1240"/>
            <w:shd w:fill="E9F5FA"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2.87</w:t>
            </w:r>
          </w:p>
        </w:tc>
        <w:tc>
          <w:tcPr>
            <w:tcW w:type="dxa" w:w="1180"/>
            <w:shd w:fill="E9F5FA" w:color="auto" w:val="clear"/>
            <w:tcMar>
              <w:top w:type="dxa" w:w="50"/>
              <w:left w:type="dxa" w:w="90"/>
              <w:bottom w:type="dxa" w:w="50"/>
              <w:right w:type="dxa" w:w="90"/>
            </w:tcMar>
          </w:tcPr>
          <w:p>
            <w:pPr>
              <w:spacing w:after="0" w:line="246"/>
              <w:jc w:val="center"/>
            </w:pPr>
            <w:r>
              <w:rPr>
                <w:rFonts w:ascii="Calibri" w:cs="Calibri" w:eastAsia="Calibri" w:hAnsi="Calibri"/>
                <w:b/>
                <w:bCs/>
                <w:color w:val="C24A2E"/>
                <w:sz w:val="18"/>
                <w:szCs w:val="18"/>
              </w:rPr>
              <w:t xml:space="preserve">▼ -0.03</w:t>
            </w:r>
          </w:p>
        </w:tc>
      </w:tr>
      <w:tr>
        <w:tc>
          <w:tcPr>
            <w:tcW w:type="dxa" w:w="56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4</w:t>
            </w:r>
          </w:p>
        </w:tc>
        <w:tc>
          <w:tcPr>
            <w:tcW w:type="dxa" w:w="3448"/>
            <w:shd w:fill="F7FAFC"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Robinhood “Robin” Padilla</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2.85</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2.79</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2.87</w:t>
            </w:r>
          </w:p>
        </w:tc>
        <w:tc>
          <w:tcPr>
            <w:tcW w:type="dxa" w:w="1240"/>
            <w:shd w:fill="F7FAFC"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2.84</w:t>
            </w:r>
          </w:p>
        </w:tc>
        <w:tc>
          <w:tcPr>
            <w:tcW w:type="dxa" w:w="1180"/>
            <w:shd w:fill="F7FAFC" w:color="auto" w:val="clear"/>
            <w:tcMar>
              <w:top w:type="dxa" w:w="50"/>
              <w:left w:type="dxa" w:w="90"/>
              <w:bottom w:type="dxa" w:w="50"/>
              <w:right w:type="dxa" w:w="90"/>
            </w:tcMar>
          </w:tcPr>
          <w:p>
            <w:pPr>
              <w:spacing w:after="0" w:line="246"/>
              <w:jc w:val="center"/>
            </w:pPr>
            <w:r>
              <w:rPr>
                <w:rFonts w:ascii="Calibri" w:cs="Calibri" w:eastAsia="Calibri" w:hAnsi="Calibri"/>
                <w:b/>
                <w:bCs/>
                <w:color w:val="C24A2E"/>
                <w:sz w:val="18"/>
                <w:szCs w:val="18"/>
              </w:rPr>
              <w:t xml:space="preserve">▼ -0.01</w:t>
            </w:r>
          </w:p>
        </w:tc>
      </w:tr>
      <w:tr>
        <w:tc>
          <w:tcPr>
            <w:tcW w:type="dxa" w:w="56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5</w:t>
            </w:r>
          </w:p>
        </w:tc>
        <w:tc>
          <w:tcPr>
            <w:tcW w:type="dxa" w:w="3448"/>
            <w:shd w:fill="FFFFFF"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Paolo Benigno “Bam” Aquino</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2.85</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2.80</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2.82</w:t>
            </w:r>
          </w:p>
        </w:tc>
        <w:tc>
          <w:tcPr>
            <w:tcW w:type="dxa" w:w="1240"/>
            <w:shd w:fill="FFFFF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2.82</w:t>
            </w:r>
          </w:p>
        </w:tc>
        <w:tc>
          <w:tcPr>
            <w:tcW w:type="dxa" w:w="1180"/>
            <w:shd w:fill="FFFFFF" w:color="auto" w:val="clear"/>
            <w:tcMar>
              <w:top w:type="dxa" w:w="50"/>
              <w:left w:type="dxa" w:w="90"/>
              <w:bottom w:type="dxa" w:w="50"/>
              <w:right w:type="dxa" w:w="90"/>
            </w:tcMar>
          </w:tcPr>
          <w:p>
            <w:pPr>
              <w:spacing w:after="0" w:line="246"/>
              <w:jc w:val="center"/>
            </w:pPr>
            <w:r>
              <w:rPr>
                <w:rFonts w:ascii="Calibri" w:cs="Calibri" w:eastAsia="Calibri" w:hAnsi="Calibri"/>
                <w:b/>
                <w:bCs/>
                <w:color w:val="C24A2E"/>
                <w:sz w:val="18"/>
                <w:szCs w:val="18"/>
              </w:rPr>
              <w:t xml:space="preserve">▼ -0.03</w:t>
            </w:r>
          </w:p>
        </w:tc>
      </w:tr>
      <w:tr>
        <w:tc>
          <w:tcPr>
            <w:tcW w:type="dxa" w:w="56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6</w:t>
            </w:r>
          </w:p>
        </w:tc>
        <w:tc>
          <w:tcPr>
            <w:tcW w:type="dxa" w:w="3448"/>
            <w:shd w:fill="F7FAFC"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Pia Cayetano</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2.74</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2.67</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2.71</w:t>
            </w:r>
          </w:p>
        </w:tc>
        <w:tc>
          <w:tcPr>
            <w:tcW w:type="dxa" w:w="1240"/>
            <w:shd w:fill="F7FAFC"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2.71</w:t>
            </w:r>
          </w:p>
        </w:tc>
        <w:tc>
          <w:tcPr>
            <w:tcW w:type="dxa" w:w="1180"/>
            <w:shd w:fill="F7FAFC" w:color="auto" w:val="clear"/>
            <w:tcMar>
              <w:top w:type="dxa" w:w="50"/>
              <w:left w:type="dxa" w:w="90"/>
              <w:bottom w:type="dxa" w:w="50"/>
              <w:right w:type="dxa" w:w="90"/>
            </w:tcMar>
          </w:tcPr>
          <w:p>
            <w:pPr>
              <w:spacing w:after="0" w:line="246"/>
              <w:jc w:val="center"/>
            </w:pPr>
            <w:r>
              <w:rPr>
                <w:rFonts w:ascii="Calibri" w:cs="Calibri" w:eastAsia="Calibri" w:hAnsi="Calibri"/>
                <w:b/>
                <w:bCs/>
                <w:color w:val="C24A2E"/>
                <w:sz w:val="18"/>
                <w:szCs w:val="18"/>
              </w:rPr>
              <w:t xml:space="preserve">▼ -0.03</w:t>
            </w:r>
          </w:p>
        </w:tc>
      </w:tr>
      <w:tr>
        <w:tc>
          <w:tcPr>
            <w:tcW w:type="dxa" w:w="56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7</w:t>
            </w:r>
          </w:p>
        </w:tc>
        <w:tc>
          <w:tcPr>
            <w:tcW w:type="dxa" w:w="3448"/>
            <w:shd w:fill="FFFFFF"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Loren Legarda</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2.74</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2.64</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2.71</w:t>
            </w:r>
          </w:p>
        </w:tc>
        <w:tc>
          <w:tcPr>
            <w:tcW w:type="dxa" w:w="1240"/>
            <w:shd w:fill="FFFFF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2.70</w:t>
            </w:r>
          </w:p>
        </w:tc>
        <w:tc>
          <w:tcPr>
            <w:tcW w:type="dxa" w:w="1180"/>
            <w:shd w:fill="FFFFFF" w:color="auto" w:val="clear"/>
            <w:tcMar>
              <w:top w:type="dxa" w:w="50"/>
              <w:left w:type="dxa" w:w="90"/>
              <w:bottom w:type="dxa" w:w="50"/>
              <w:right w:type="dxa" w:w="90"/>
            </w:tcMar>
          </w:tcPr>
          <w:p>
            <w:pPr>
              <w:spacing w:after="0" w:line="246"/>
              <w:jc w:val="center"/>
            </w:pPr>
            <w:r>
              <w:rPr>
                <w:rFonts w:ascii="Calibri" w:cs="Calibri" w:eastAsia="Calibri" w:hAnsi="Calibri"/>
                <w:b/>
                <w:bCs/>
                <w:color w:val="C24A2E"/>
                <w:sz w:val="18"/>
                <w:szCs w:val="18"/>
              </w:rPr>
              <w:t xml:space="preserve">▼ -0.04</w:t>
            </w:r>
          </w:p>
        </w:tc>
      </w:tr>
      <w:tr>
        <w:tc>
          <w:tcPr>
            <w:tcW w:type="dxa" w:w="56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8</w:t>
            </w:r>
          </w:p>
        </w:tc>
        <w:tc>
          <w:tcPr>
            <w:tcW w:type="dxa" w:w="3448"/>
            <w:shd w:fill="F7FAFC"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Francis “Kiko” Pangilinan</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2.69</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2.63</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2.66</w:t>
            </w:r>
          </w:p>
        </w:tc>
        <w:tc>
          <w:tcPr>
            <w:tcW w:type="dxa" w:w="1240"/>
            <w:shd w:fill="F7FAFC"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2.66</w:t>
            </w:r>
          </w:p>
        </w:tc>
        <w:tc>
          <w:tcPr>
            <w:tcW w:type="dxa" w:w="1180"/>
            <w:shd w:fill="F7FAFC" w:color="auto" w:val="clear"/>
            <w:tcMar>
              <w:top w:type="dxa" w:w="50"/>
              <w:left w:type="dxa" w:w="90"/>
              <w:bottom w:type="dxa" w:w="50"/>
              <w:right w:type="dxa" w:w="90"/>
            </w:tcMar>
          </w:tcPr>
          <w:p>
            <w:pPr>
              <w:spacing w:after="0" w:line="246"/>
              <w:jc w:val="center"/>
            </w:pPr>
            <w:r>
              <w:rPr>
                <w:rFonts w:ascii="Calibri" w:cs="Calibri" w:eastAsia="Calibri" w:hAnsi="Calibri"/>
                <w:b/>
                <w:bCs/>
                <w:color w:val="C24A2E"/>
                <w:sz w:val="18"/>
                <w:szCs w:val="18"/>
              </w:rPr>
              <w:t xml:space="preserve">▼ -0.01</w:t>
            </w:r>
          </w:p>
        </w:tc>
      </w:tr>
      <w:tr>
        <w:tc>
          <w:tcPr>
            <w:tcW w:type="dxa" w:w="56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9</w:t>
            </w:r>
          </w:p>
        </w:tc>
        <w:tc>
          <w:tcPr>
            <w:tcW w:type="dxa" w:w="3448"/>
            <w:shd w:fill="FFFFFF"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Imee Marcos</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2.67</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2.63</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2.67</w:t>
            </w:r>
          </w:p>
        </w:tc>
        <w:tc>
          <w:tcPr>
            <w:tcW w:type="dxa" w:w="1240"/>
            <w:shd w:fill="FFFFF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2.66</w:t>
            </w:r>
          </w:p>
        </w:tc>
        <w:tc>
          <w:tcPr>
            <w:tcW w:type="dxa" w:w="1180"/>
            <w:shd w:fill="FFFFFF" w:color="auto" w:val="clear"/>
            <w:tcMar>
              <w:top w:type="dxa" w:w="50"/>
              <w:left w:type="dxa" w:w="90"/>
              <w:bottom w:type="dxa" w:w="50"/>
              <w:right w:type="dxa" w:w="90"/>
            </w:tcMar>
          </w:tcPr>
          <w:p>
            <w:pPr>
              <w:spacing w:after="0" w:line="246"/>
              <w:jc w:val="center"/>
            </w:pPr>
            <w:r>
              <w:rPr>
                <w:rFonts w:ascii="Calibri" w:cs="Calibri" w:eastAsia="Calibri" w:hAnsi="Calibri"/>
                <w:b/>
                <w:bCs/>
                <w:color w:val="1587AB"/>
                <w:sz w:val="18"/>
                <w:szCs w:val="18"/>
              </w:rPr>
              <w:t xml:space="preserve">▲ +0.01</w:t>
            </w:r>
          </w:p>
        </w:tc>
      </w:tr>
      <w:tr>
        <w:tc>
          <w:tcPr>
            <w:tcW w:type="dxa" w:w="56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10</w:t>
            </w:r>
          </w:p>
        </w:tc>
        <w:tc>
          <w:tcPr>
            <w:tcW w:type="dxa" w:w="3448"/>
            <w:shd w:fill="F7FAFC"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Risa Hontiveros</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2.64</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2.63</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2.62</w:t>
            </w:r>
          </w:p>
        </w:tc>
        <w:tc>
          <w:tcPr>
            <w:tcW w:type="dxa" w:w="1240"/>
            <w:shd w:fill="F7FAFC"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2.63</w:t>
            </w:r>
          </w:p>
        </w:tc>
        <w:tc>
          <w:tcPr>
            <w:tcW w:type="dxa" w:w="1180"/>
            <w:shd w:fill="F7FAFC" w:color="auto" w:val="clear"/>
            <w:tcMar>
              <w:top w:type="dxa" w:w="50"/>
              <w:left w:type="dxa" w:w="90"/>
              <w:bottom w:type="dxa" w:w="50"/>
              <w:right w:type="dxa" w:w="90"/>
            </w:tcMar>
          </w:tcPr>
          <w:p>
            <w:pPr>
              <w:spacing w:after="0" w:line="246"/>
              <w:jc w:val="center"/>
            </w:pPr>
            <w:r>
              <w:rPr>
                <w:rFonts w:ascii="Calibri" w:cs="Calibri" w:eastAsia="Calibri" w:hAnsi="Calibri"/>
                <w:b/>
                <w:bCs/>
                <w:color w:val="C24A2E"/>
                <w:sz w:val="18"/>
                <w:szCs w:val="18"/>
              </w:rPr>
              <w:t xml:space="preserve">▼ -0.03</w:t>
            </w:r>
          </w:p>
        </w:tc>
      </w:tr>
      <w:tr>
        <w:tc>
          <w:tcPr>
            <w:tcW w:type="dxa" w:w="56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11</w:t>
            </w:r>
          </w:p>
        </w:tc>
        <w:tc>
          <w:tcPr>
            <w:tcW w:type="dxa" w:w="3448"/>
            <w:shd w:fill="FFFFFF"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Sherwin “Win” Gatchalian</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2.63</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2.55</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2.60</w:t>
            </w:r>
          </w:p>
        </w:tc>
        <w:tc>
          <w:tcPr>
            <w:tcW w:type="dxa" w:w="1240"/>
            <w:shd w:fill="FFFFF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2.59</w:t>
            </w:r>
          </w:p>
        </w:tc>
        <w:tc>
          <w:tcPr>
            <w:tcW w:type="dxa" w:w="1180"/>
            <w:shd w:fill="FFFFFF" w:color="auto" w:val="clear"/>
            <w:tcMar>
              <w:top w:type="dxa" w:w="50"/>
              <w:left w:type="dxa" w:w="90"/>
              <w:bottom w:type="dxa" w:w="50"/>
              <w:right w:type="dxa" w:w="90"/>
            </w:tcMar>
          </w:tcPr>
          <w:p>
            <w:pPr>
              <w:spacing w:after="0" w:line="246"/>
              <w:jc w:val="center"/>
            </w:pPr>
            <w:r>
              <w:rPr>
                <w:rFonts w:ascii="Calibri" w:cs="Calibri" w:eastAsia="Calibri" w:hAnsi="Calibri"/>
                <w:b/>
                <w:bCs/>
                <w:color w:val="C24A2E"/>
                <w:sz w:val="18"/>
                <w:szCs w:val="18"/>
              </w:rPr>
              <w:t xml:space="preserve">▼ -0.06</w:t>
            </w:r>
          </w:p>
        </w:tc>
      </w:tr>
      <w:tr>
        <w:tc>
          <w:tcPr>
            <w:tcW w:type="dxa" w:w="56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12</w:t>
            </w:r>
          </w:p>
        </w:tc>
        <w:tc>
          <w:tcPr>
            <w:tcW w:type="dxa" w:w="3448"/>
            <w:shd w:fill="F7FAFC"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Panfilo “Ping” Lacson</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2.58</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2.57</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2.53</w:t>
            </w:r>
          </w:p>
        </w:tc>
        <w:tc>
          <w:tcPr>
            <w:tcW w:type="dxa" w:w="1240"/>
            <w:shd w:fill="F7FAFC"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2.56</w:t>
            </w:r>
          </w:p>
        </w:tc>
        <w:tc>
          <w:tcPr>
            <w:tcW w:type="dxa" w:w="1180"/>
            <w:shd w:fill="F7FAFC" w:color="auto" w:val="clear"/>
            <w:tcMar>
              <w:top w:type="dxa" w:w="50"/>
              <w:left w:type="dxa" w:w="90"/>
              <w:bottom w:type="dxa" w:w="50"/>
              <w:right w:type="dxa" w:w="90"/>
            </w:tcMar>
          </w:tcPr>
          <w:p>
            <w:pPr>
              <w:spacing w:after="0" w:line="246"/>
              <w:jc w:val="center"/>
            </w:pPr>
            <w:r>
              <w:rPr>
                <w:rFonts w:ascii="Calibri" w:cs="Calibri" w:eastAsia="Calibri" w:hAnsi="Calibri"/>
                <w:b/>
                <w:bCs/>
                <w:color w:val="C24A2E"/>
                <w:sz w:val="18"/>
                <w:szCs w:val="18"/>
              </w:rPr>
              <w:t xml:space="preserve">▼ -0.05</w:t>
            </w:r>
          </w:p>
        </w:tc>
      </w:tr>
      <w:tr>
        <w:tc>
          <w:tcPr>
            <w:tcW w:type="dxa" w:w="56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13</w:t>
            </w:r>
          </w:p>
        </w:tc>
        <w:tc>
          <w:tcPr>
            <w:tcW w:type="dxa" w:w="3448"/>
            <w:shd w:fill="FFFFFF"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Manuel “Lito” Lapid</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2.69</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2.45</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2.54</w:t>
            </w:r>
          </w:p>
        </w:tc>
        <w:tc>
          <w:tcPr>
            <w:tcW w:type="dxa" w:w="1240"/>
            <w:shd w:fill="FFFFF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2.56</w:t>
            </w:r>
          </w:p>
        </w:tc>
        <w:tc>
          <w:tcPr>
            <w:tcW w:type="dxa" w:w="1180"/>
            <w:shd w:fill="FFFFFF" w:color="auto" w:val="clear"/>
            <w:tcMar>
              <w:top w:type="dxa" w:w="50"/>
              <w:left w:type="dxa" w:w="90"/>
              <w:bottom w:type="dxa" w:w="50"/>
              <w:right w:type="dxa" w:w="90"/>
            </w:tcMar>
          </w:tcPr>
          <w:p>
            <w:pPr>
              <w:spacing w:after="0" w:line="246"/>
              <w:jc w:val="center"/>
            </w:pPr>
            <w:r>
              <w:rPr>
                <w:rFonts w:ascii="Calibri" w:cs="Calibri" w:eastAsia="Calibri" w:hAnsi="Calibri"/>
                <w:b/>
                <w:bCs/>
                <w:color w:val="C24A2E"/>
                <w:sz w:val="18"/>
                <w:szCs w:val="18"/>
              </w:rPr>
              <w:t xml:space="preserve">▼ -0.02</w:t>
            </w:r>
          </w:p>
        </w:tc>
      </w:tr>
      <w:tr>
        <w:tc>
          <w:tcPr>
            <w:tcW w:type="dxa" w:w="56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14</w:t>
            </w:r>
          </w:p>
        </w:tc>
        <w:tc>
          <w:tcPr>
            <w:tcW w:type="dxa" w:w="3448"/>
            <w:shd w:fill="F7FAFC"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Camille Villar</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2.62</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2.48</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2.55</w:t>
            </w:r>
          </w:p>
        </w:tc>
        <w:tc>
          <w:tcPr>
            <w:tcW w:type="dxa" w:w="1240"/>
            <w:shd w:fill="F7FAFC"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2.55</w:t>
            </w:r>
          </w:p>
        </w:tc>
        <w:tc>
          <w:tcPr>
            <w:tcW w:type="dxa" w:w="1180"/>
            <w:shd w:fill="F7FAFC" w:color="auto" w:val="clear"/>
            <w:tcMar>
              <w:top w:type="dxa" w:w="50"/>
              <w:left w:type="dxa" w:w="90"/>
              <w:bottom w:type="dxa" w:w="50"/>
              <w:right w:type="dxa" w:w="90"/>
            </w:tcMar>
          </w:tcPr>
          <w:p>
            <w:pPr>
              <w:spacing w:after="0" w:line="246"/>
              <w:jc w:val="center"/>
            </w:pPr>
            <w:r>
              <w:rPr>
                <w:rFonts w:ascii="Calibri" w:cs="Calibri" w:eastAsia="Calibri" w:hAnsi="Calibri"/>
                <w:b/>
                <w:bCs/>
                <w:color w:val="C24A2E"/>
                <w:sz w:val="18"/>
                <w:szCs w:val="18"/>
              </w:rPr>
              <w:t xml:space="preserve">▼ -0.05</w:t>
            </w:r>
          </w:p>
        </w:tc>
      </w:tr>
      <w:tr>
        <w:tc>
          <w:tcPr>
            <w:tcW w:type="dxa" w:w="56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15</w:t>
            </w:r>
          </w:p>
        </w:tc>
        <w:tc>
          <w:tcPr>
            <w:tcW w:type="dxa" w:w="3448"/>
            <w:shd w:fill="FFFFFF"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Mark Villar</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2.61</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2.49</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2.54</w:t>
            </w:r>
          </w:p>
        </w:tc>
        <w:tc>
          <w:tcPr>
            <w:tcW w:type="dxa" w:w="1240"/>
            <w:shd w:fill="FFFFF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2.55</w:t>
            </w:r>
          </w:p>
        </w:tc>
        <w:tc>
          <w:tcPr>
            <w:tcW w:type="dxa" w:w="1180"/>
            <w:shd w:fill="FFFFFF" w:color="auto" w:val="clear"/>
            <w:tcMar>
              <w:top w:type="dxa" w:w="50"/>
              <w:left w:type="dxa" w:w="90"/>
              <w:bottom w:type="dxa" w:w="50"/>
              <w:right w:type="dxa" w:w="90"/>
            </w:tcMar>
          </w:tcPr>
          <w:p>
            <w:pPr>
              <w:spacing w:after="0" w:line="246"/>
              <w:jc w:val="center"/>
            </w:pPr>
            <w:r>
              <w:rPr>
                <w:rFonts w:ascii="Calibri" w:cs="Calibri" w:eastAsia="Calibri" w:hAnsi="Calibri"/>
                <w:b/>
                <w:bCs/>
                <w:color w:val="C24A2E"/>
                <w:sz w:val="18"/>
                <w:szCs w:val="18"/>
              </w:rPr>
              <w:t xml:space="preserve">▼ -0.02</w:t>
            </w:r>
          </w:p>
        </w:tc>
      </w:tr>
      <w:tr>
        <w:tc>
          <w:tcPr>
            <w:tcW w:type="dxa" w:w="56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16</w:t>
            </w:r>
          </w:p>
        </w:tc>
        <w:tc>
          <w:tcPr>
            <w:tcW w:type="dxa" w:w="3448"/>
            <w:shd w:fill="F7FAFC"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Raffy Tulfo</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2.52</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2.50</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2.53</w:t>
            </w:r>
          </w:p>
        </w:tc>
        <w:tc>
          <w:tcPr>
            <w:tcW w:type="dxa" w:w="1240"/>
            <w:shd w:fill="F7FAFC"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2.52</w:t>
            </w:r>
          </w:p>
        </w:tc>
        <w:tc>
          <w:tcPr>
            <w:tcW w:type="dxa" w:w="1180"/>
            <w:shd w:fill="F7FAFC" w:color="auto" w:val="clear"/>
            <w:tcMar>
              <w:top w:type="dxa" w:w="50"/>
              <w:left w:type="dxa" w:w="90"/>
              <w:bottom w:type="dxa" w:w="50"/>
              <w:right w:type="dxa" w:w="90"/>
            </w:tcMar>
          </w:tcPr>
          <w:p>
            <w:pPr>
              <w:spacing w:after="0" w:line="246"/>
              <w:jc w:val="center"/>
            </w:pPr>
            <w:r>
              <w:rPr>
                <w:rFonts w:ascii="Calibri" w:cs="Calibri" w:eastAsia="Calibri" w:hAnsi="Calibri"/>
                <w:b/>
                <w:bCs/>
                <w:color w:val="C24A2E"/>
                <w:sz w:val="18"/>
                <w:szCs w:val="18"/>
              </w:rPr>
              <w:t xml:space="preserve">▼ -0.09</w:t>
            </w:r>
          </w:p>
        </w:tc>
      </w:tr>
      <w:tr>
        <w:tc>
          <w:tcPr>
            <w:tcW w:type="dxa" w:w="56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17</w:t>
            </w:r>
          </w:p>
        </w:tc>
        <w:tc>
          <w:tcPr>
            <w:tcW w:type="dxa" w:w="3448"/>
            <w:shd w:fill="FFFFFF"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Vicente “Tito” Sotto III</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2.53</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2.47</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2.50</w:t>
            </w:r>
          </w:p>
        </w:tc>
        <w:tc>
          <w:tcPr>
            <w:tcW w:type="dxa" w:w="1240"/>
            <w:shd w:fill="FFFFF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2.50</w:t>
            </w:r>
          </w:p>
        </w:tc>
        <w:tc>
          <w:tcPr>
            <w:tcW w:type="dxa" w:w="1180"/>
            <w:shd w:fill="FFFFFF" w:color="auto" w:val="clear"/>
            <w:tcMar>
              <w:top w:type="dxa" w:w="50"/>
              <w:left w:type="dxa" w:w="90"/>
              <w:bottom w:type="dxa" w:w="50"/>
              <w:right w:type="dxa" w:w="90"/>
            </w:tcMar>
          </w:tcPr>
          <w:p>
            <w:pPr>
              <w:spacing w:after="0" w:line="246"/>
              <w:jc w:val="center"/>
            </w:pPr>
            <w:r>
              <w:rPr>
                <w:rFonts w:ascii="Calibri" w:cs="Calibri" w:eastAsia="Calibri" w:hAnsi="Calibri"/>
                <w:b/>
                <w:bCs/>
                <w:color w:val="C24A2E"/>
                <w:sz w:val="18"/>
                <w:szCs w:val="18"/>
              </w:rPr>
              <w:t xml:space="preserve">▼ -0.06</w:t>
            </w:r>
          </w:p>
        </w:tc>
      </w:tr>
      <w:tr>
        <w:tc>
          <w:tcPr>
            <w:tcW w:type="dxa" w:w="56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18</w:t>
            </w:r>
          </w:p>
        </w:tc>
        <w:tc>
          <w:tcPr>
            <w:tcW w:type="dxa" w:w="3448"/>
            <w:shd w:fill="F7FAFC"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Erwin Tulfo</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2.52</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2.47</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2.48</w:t>
            </w:r>
          </w:p>
        </w:tc>
        <w:tc>
          <w:tcPr>
            <w:tcW w:type="dxa" w:w="1240"/>
            <w:shd w:fill="F7FAFC"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2.49</w:t>
            </w:r>
          </w:p>
        </w:tc>
        <w:tc>
          <w:tcPr>
            <w:tcW w:type="dxa" w:w="1180"/>
            <w:shd w:fill="F7FAFC" w:color="auto" w:val="clear"/>
            <w:tcMar>
              <w:top w:type="dxa" w:w="50"/>
              <w:left w:type="dxa" w:w="90"/>
              <w:bottom w:type="dxa" w:w="50"/>
              <w:right w:type="dxa" w:w="90"/>
            </w:tcMar>
          </w:tcPr>
          <w:p>
            <w:pPr>
              <w:spacing w:after="0" w:line="246"/>
              <w:jc w:val="center"/>
            </w:pPr>
            <w:r>
              <w:rPr>
                <w:rFonts w:ascii="Calibri" w:cs="Calibri" w:eastAsia="Calibri" w:hAnsi="Calibri"/>
                <w:b/>
                <w:bCs/>
                <w:color w:val="C24A2E"/>
                <w:sz w:val="18"/>
                <w:szCs w:val="18"/>
              </w:rPr>
              <w:t xml:space="preserve">▼ -0.07</w:t>
            </w:r>
          </w:p>
        </w:tc>
      </w:tr>
      <w:tr>
        <w:tc>
          <w:tcPr>
            <w:tcW w:type="dxa" w:w="56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19</w:t>
            </w:r>
          </w:p>
        </w:tc>
        <w:tc>
          <w:tcPr>
            <w:tcW w:type="dxa" w:w="3448"/>
            <w:shd w:fill="FFFFFF"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JV Ejercito</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2.54</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2.36</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2.40</w:t>
            </w:r>
          </w:p>
        </w:tc>
        <w:tc>
          <w:tcPr>
            <w:tcW w:type="dxa" w:w="1240"/>
            <w:shd w:fill="FFFFF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2.43</w:t>
            </w:r>
          </w:p>
        </w:tc>
        <w:tc>
          <w:tcPr>
            <w:tcW w:type="dxa" w:w="1180"/>
            <w:shd w:fill="FFFFFF" w:color="auto" w:val="clear"/>
            <w:tcMar>
              <w:top w:type="dxa" w:w="50"/>
              <w:left w:type="dxa" w:w="90"/>
              <w:bottom w:type="dxa" w:w="50"/>
              <w:right w:type="dxa" w:w="90"/>
            </w:tcMar>
          </w:tcPr>
          <w:p>
            <w:pPr>
              <w:spacing w:after="0" w:line="246"/>
              <w:jc w:val="center"/>
            </w:pPr>
            <w:r>
              <w:rPr>
                <w:rFonts w:ascii="Calibri" w:cs="Calibri" w:eastAsia="Calibri" w:hAnsi="Calibri"/>
                <w:b/>
                <w:bCs/>
                <w:color w:val="C24A2E"/>
                <w:sz w:val="18"/>
                <w:szCs w:val="18"/>
              </w:rPr>
              <w:t xml:space="preserve">▼ -0.06</w:t>
            </w:r>
          </w:p>
        </w:tc>
      </w:tr>
      <w:tr>
        <w:tc>
          <w:tcPr>
            <w:tcW w:type="dxa" w:w="56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20</w:t>
            </w:r>
          </w:p>
        </w:tc>
        <w:tc>
          <w:tcPr>
            <w:tcW w:type="dxa" w:w="3448"/>
            <w:shd w:fill="F7FAFC"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Migz Zubiri</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2.50</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2.37</w:t>
            </w:r>
          </w:p>
        </w:tc>
        <w:tc>
          <w:tcPr>
            <w:tcW w:type="dxa" w:w="1040"/>
            <w:shd w:fill="F7FAFC"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2.40</w:t>
            </w:r>
          </w:p>
        </w:tc>
        <w:tc>
          <w:tcPr>
            <w:tcW w:type="dxa" w:w="1240"/>
            <w:shd w:fill="F7FAFC"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2.42</w:t>
            </w:r>
          </w:p>
        </w:tc>
        <w:tc>
          <w:tcPr>
            <w:tcW w:type="dxa" w:w="1180"/>
            <w:shd w:fill="F7FAFC" w:color="auto" w:val="clear"/>
            <w:tcMar>
              <w:top w:type="dxa" w:w="50"/>
              <w:left w:type="dxa" w:w="90"/>
              <w:bottom w:type="dxa" w:w="50"/>
              <w:right w:type="dxa" w:w="90"/>
            </w:tcMar>
          </w:tcPr>
          <w:p>
            <w:pPr>
              <w:spacing w:after="0" w:line="246"/>
              <w:jc w:val="center"/>
            </w:pPr>
            <w:r>
              <w:rPr>
                <w:rFonts w:ascii="Calibri" w:cs="Calibri" w:eastAsia="Calibri" w:hAnsi="Calibri"/>
                <w:b/>
                <w:bCs/>
                <w:color w:val="C24A2E"/>
                <w:sz w:val="18"/>
                <w:szCs w:val="18"/>
              </w:rPr>
              <w:t xml:space="preserve">▼ -0.05</w:t>
            </w:r>
          </w:p>
        </w:tc>
      </w:tr>
      <w:tr>
        <w:tc>
          <w:tcPr>
            <w:tcW w:type="dxa" w:w="56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21</w:t>
            </w:r>
          </w:p>
        </w:tc>
        <w:tc>
          <w:tcPr>
            <w:tcW w:type="dxa" w:w="3448"/>
            <w:shd w:fill="FFFFFF" w:color="auto" w:val="clear"/>
            <w:tcMar>
              <w:top w:type="dxa" w:w="50"/>
              <w:left w:type="dxa" w:w="90"/>
              <w:bottom w:type="dxa" w:w="50"/>
              <w:right w:type="dxa" w:w="90"/>
            </w:tcMar>
          </w:tcPr>
          <w:p>
            <w:pPr>
              <w:spacing w:after="0" w:line="246"/>
              <w:jc w:val="left"/>
            </w:pPr>
            <w:r>
              <w:rPr>
                <w:rFonts w:ascii="Calibri" w:cs="Calibri" w:eastAsia="Calibri" w:hAnsi="Calibri"/>
                <w:b w:val="false"/>
                <w:bCs w:val="false"/>
                <w:i w:val="false"/>
                <w:iCs w:val="false"/>
                <w:color w:val="222B33"/>
                <w:sz w:val="18"/>
                <w:szCs w:val="18"/>
              </w:rPr>
              <w:t xml:space="preserve">Joel Villanueva</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2.47</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2.35</w:t>
            </w:r>
          </w:p>
        </w:tc>
        <w:tc>
          <w:tcPr>
            <w:tcW w:type="dxa" w:w="1040"/>
            <w:shd w:fill="FFFFFF" w:color="auto" w:val="clear"/>
            <w:tcMar>
              <w:top w:type="dxa" w:w="50"/>
              <w:left w:type="dxa" w:w="90"/>
              <w:bottom w:type="dxa" w:w="50"/>
              <w:right w:type="dxa" w:w="90"/>
            </w:tcMar>
          </w:tcPr>
          <w:p>
            <w:pPr>
              <w:spacing w:after="0" w:line="246"/>
              <w:jc w:val="center"/>
            </w:pPr>
            <w:r>
              <w:rPr>
                <w:rFonts w:ascii="Calibri" w:cs="Calibri" w:eastAsia="Calibri" w:hAnsi="Calibri"/>
                <w:b w:val="false"/>
                <w:bCs w:val="false"/>
                <w:i w:val="false"/>
                <w:iCs w:val="false"/>
                <w:color w:val="222B33"/>
                <w:sz w:val="18"/>
                <w:szCs w:val="18"/>
              </w:rPr>
              <w:t xml:space="preserve">2.34</w:t>
            </w:r>
          </w:p>
        </w:tc>
        <w:tc>
          <w:tcPr>
            <w:tcW w:type="dxa" w:w="1240"/>
            <w:shd w:fill="FFFFFF" w:color="auto" w:val="clear"/>
            <w:tcMar>
              <w:top w:type="dxa" w:w="50"/>
              <w:left w:type="dxa" w:w="90"/>
              <w:bottom w:type="dxa" w:w="50"/>
              <w:right w:type="dxa" w:w="90"/>
            </w:tcMar>
          </w:tcPr>
          <w:p>
            <w:pPr>
              <w:spacing w:after="0" w:line="246"/>
              <w:jc w:val="center"/>
            </w:pPr>
            <w:r>
              <w:rPr>
                <w:rFonts w:ascii="Calibri" w:cs="Calibri" w:eastAsia="Calibri" w:hAnsi="Calibri"/>
                <w:b/>
                <w:bCs/>
                <w:i w:val="false"/>
                <w:iCs w:val="false"/>
                <w:color w:val="222B33"/>
                <w:sz w:val="18"/>
                <w:szCs w:val="18"/>
              </w:rPr>
              <w:t xml:space="preserve">2.39</w:t>
            </w:r>
          </w:p>
        </w:tc>
        <w:tc>
          <w:tcPr>
            <w:tcW w:type="dxa" w:w="1180"/>
            <w:shd w:fill="FFFFFF" w:color="auto" w:val="clear"/>
            <w:tcMar>
              <w:top w:type="dxa" w:w="50"/>
              <w:left w:type="dxa" w:w="90"/>
              <w:bottom w:type="dxa" w:w="50"/>
              <w:right w:type="dxa" w:w="90"/>
            </w:tcMar>
          </w:tcPr>
          <w:p>
            <w:pPr>
              <w:spacing w:after="0" w:line="246"/>
              <w:jc w:val="center"/>
            </w:pPr>
            <w:r>
              <w:rPr>
                <w:rFonts w:ascii="Calibri" w:cs="Calibri" w:eastAsia="Calibri" w:hAnsi="Calibri"/>
                <w:b/>
                <w:bCs/>
                <w:color w:val="C24A2E"/>
                <w:sz w:val="18"/>
                <w:szCs w:val="18"/>
              </w:rPr>
              <w:t xml:space="preserve">▼ -0.04</w:t>
            </w:r>
          </w:p>
        </w:tc>
      </w:tr>
    </w:tbl>
    <w:p>
      <w:pPr>
        <w:spacing w:after="200" w:before="60"/>
      </w:pPr>
      <w:r>
        <w:rPr>
          <w:rFonts w:ascii="Calibri" w:cs="Calibri" w:eastAsia="Calibri" w:hAnsi="Calibri"/>
          <w:i/>
          <w:iCs/>
          <w:color w:val="8A97A0"/>
          <w:sz w:val="16"/>
          <w:szCs w:val="16"/>
        </w:rPr>
        <w:t xml:space="preserve">Table 6. Senator-judge scorecard, Wave 3 (1–5 scale; overall = mean of the three dimensions), ranked by overall score, with change vs Wave 2.</w:t>
      </w:r>
    </w:p>
    <w:p>
      <w:pPr>
        <w:spacing w:after="160" w:line="288"/>
      </w:pPr>
      <w:r>
        <w:rPr>
          <w:rFonts w:ascii="Calibri" w:cs="Calibri" w:eastAsia="Calibri" w:hAnsi="Calibri"/>
          <w:color w:val="222B33"/>
          <w:sz w:val="21"/>
          <w:szCs w:val="21"/>
        </w:rPr>
        <w:t xml:space="preserve">Francis “Chiz” Escudero holds the top spot at 2.99, unchanged, the only senator effectively at the midpoint. Below him the ranking barely reshuffled, but the levels drifted down: the sharpest declines were Raffy Tulfo (−0.09), Erwin Tulfo (−0.07) and a cluster at −0.06 (Gatchalian, Sotto, JV Ejercito). Only Imee Marcos rose, by a single hundredth. Read against Section 7, where a quarter of the public considers the trial fair, the scorecard describes a tribunal whose members are not only individually middling but, this week, slipping. Whether that reflects fatigue with a lengthening trial or specific dissatisfaction is a question for subsequent waves.</w:t>
      </w:r>
    </w:p>
    <w:p>
      <w:pPr>
        <w:pStyle w:val="Heading1"/>
        <w:spacing w:after="150" w:before="340"/>
      </w:pPr>
      <w:r>
        <w:rPr>
          <w:rFonts w:ascii="Cambria" w:cs="Cambria" w:eastAsia="Cambria" w:hAnsi="Cambria"/>
          <w:b/>
          <w:bCs/>
          <w:color w:val="1587AB"/>
          <w:sz w:val="30"/>
          <w:szCs w:val="30"/>
        </w:rPr>
        <w:t xml:space="preserve">9.  Contextual Backdrop</w:t>
      </w:r>
    </w:p>
    <w:p>
      <w:pPr>
        <w:spacing w:after="160" w:line="288"/>
      </w:pPr>
      <w:r>
        <w:rPr>
          <w:rFonts w:ascii="Calibri" w:cs="Calibri" w:eastAsia="Calibri" w:hAnsi="Calibri"/>
          <w:color w:val="222B33"/>
          <w:sz w:val="21"/>
          <w:szCs w:val="21"/>
        </w:rPr>
        <w:t xml:space="preserve">Unlike Wave 2, whose movement coincided with a single dominant news event — the Acosta confidential-funds testimony — Wave 3's field week produced no comparable revelation. The Senate hearings continued, but coverage was more diffuse, and the tracker's own attention measures fell. The most defensible contextual reading is therefore an absence: with no new bombshell to concentrate opinion, and with the least-engaged Filipinos tuning out, sentiment relaxed back toward its structural resting point of acquittal. As always, this is association rather than proven causation; a single wave cannot establish that a quieter news week caused the pullback.</w:t>
      </w:r>
    </w:p>
    <w:p>
      <w:pPr>
        <w:pStyle w:val="Heading1"/>
        <w:spacing w:after="150" w:before="340"/>
      </w:pPr>
      <w:r>
        <w:rPr>
          <w:rFonts w:ascii="Cambria" w:cs="Cambria" w:eastAsia="Cambria" w:hAnsi="Cambria"/>
          <w:b/>
          <w:bCs/>
          <w:color w:val="1587AB"/>
          <w:sz w:val="30"/>
          <w:szCs w:val="30"/>
        </w:rPr>
        <w:t xml:space="preserve">10.  Limitations</w:t>
      </w:r>
    </w:p>
    <w:p>
      <w:pPr>
        <w:pStyle w:val="ListParagraph"/>
        <w:numPr>
          <w:ilvl w:val="0"/>
          <w:numId w:val="2"/>
        </w:numPr>
        <w:spacing w:after="90" w:line="282"/>
      </w:pPr>
      <w:r>
        <w:rPr>
          <w:rFonts w:ascii="Calibri" w:cs="Calibri" w:eastAsia="Calibri" w:hAnsi="Calibri"/>
          <w:b/>
          <w:bCs/>
          <w:color w:val="222B33"/>
          <w:sz w:val="21"/>
          <w:szCs w:val="21"/>
        </w:rPr>
        <w:t xml:space="preserve">Opt-in panel. </w:t>
      </w:r>
      <w:r>
        <w:rPr>
          <w:rFonts w:ascii="Calibri" w:cs="Calibri" w:eastAsia="Calibri" w:hAnsi="Calibri"/>
          <w:color w:val="222B33"/>
          <w:sz w:val="21"/>
          <w:szCs w:val="21"/>
        </w:rPr>
        <w:t xml:space="preserve">Respondents are Pulso Intelligence app users weighted to the national voter profile. Weighting reduces but does not eliminate self-selection; treat week-on-week change as more reliable than absolute levels.</w:t>
      </w:r>
    </w:p>
    <w:p>
      <w:pPr>
        <w:pStyle w:val="ListParagraph"/>
        <w:numPr>
          <w:ilvl w:val="0"/>
          <w:numId w:val="2"/>
        </w:numPr>
        <w:spacing w:after="90" w:line="282"/>
      </w:pPr>
      <w:r>
        <w:rPr>
          <w:rFonts w:ascii="Calibri" w:cs="Calibri" w:eastAsia="Calibri" w:hAnsi="Calibri"/>
          <w:b/>
          <w:bCs/>
          <w:color w:val="222B33"/>
          <w:sz w:val="21"/>
          <w:szCs w:val="21"/>
        </w:rPr>
        <w:t xml:space="preserve">Small subgroups. </w:t>
      </w:r>
      <w:r>
        <w:rPr>
          <w:rFonts w:ascii="Calibri" w:cs="Calibri" w:eastAsia="Calibri" w:hAnsi="Calibri"/>
          <w:color w:val="222B33"/>
          <w:sz w:val="21"/>
          <w:szCs w:val="21"/>
        </w:rPr>
        <w:t xml:space="preserve">The 51+ band remains the smallest age cell and should be read as indicative even where it moves most.</w:t>
      </w:r>
    </w:p>
    <w:p>
      <w:pPr>
        <w:pStyle w:val="ListParagraph"/>
        <w:numPr>
          <w:ilvl w:val="0"/>
          <w:numId w:val="2"/>
        </w:numPr>
        <w:spacing w:after="90" w:line="282"/>
      </w:pPr>
      <w:r>
        <w:rPr>
          <w:rFonts w:ascii="Calibri" w:cs="Calibri" w:eastAsia="Calibri" w:hAnsi="Calibri"/>
          <w:b/>
          <w:bCs/>
          <w:color w:val="222B33"/>
          <w:sz w:val="21"/>
          <w:szCs w:val="21"/>
        </w:rPr>
        <w:t xml:space="preserve">Fielding window inferred. </w:t>
      </w:r>
      <w:r>
        <w:rPr>
          <w:rFonts w:ascii="Calibri" w:cs="Calibri" w:eastAsia="Calibri" w:hAnsi="Calibri"/>
          <w:color w:val="222B33"/>
          <w:sz w:val="21"/>
          <w:szCs w:val="21"/>
        </w:rPr>
        <w:t xml:space="preserve">The dataset labels this reading “Wave 3” without exact dates; the August 24–30 window is inferred from the tracker's weekly cadence and should be confirmed before publication.</w:t>
      </w:r>
    </w:p>
    <w:p>
      <w:pPr>
        <w:pStyle w:val="ListParagraph"/>
        <w:numPr>
          <w:ilvl w:val="0"/>
          <w:numId w:val="2"/>
        </w:numPr>
        <w:spacing w:after="90" w:line="282"/>
      </w:pPr>
      <w:r>
        <w:rPr>
          <w:rFonts w:ascii="Calibri" w:cs="Calibri" w:eastAsia="Calibri" w:hAnsi="Calibri"/>
          <w:b/>
          <w:bCs/>
          <w:color w:val="222B33"/>
          <w:sz w:val="21"/>
          <w:szCs w:val="21"/>
        </w:rPr>
        <w:t xml:space="preserve">Association, not causation. </w:t>
      </w:r>
      <w:r>
        <w:rPr>
          <w:rFonts w:ascii="Calibri" w:cs="Calibri" w:eastAsia="Calibri" w:hAnsi="Calibri"/>
          <w:color w:val="222B33"/>
          <w:sz w:val="21"/>
          <w:szCs w:val="21"/>
        </w:rPr>
        <w:t xml:space="preserve">Contextual observations are aligned with sentiment in time; the design does not establish causal effect.</w:t>
      </w:r>
    </w:p>
    <w:p>
      <w:pPr>
        <w:pStyle w:val="Heading1"/>
        <w:spacing w:after="150" w:before="340"/>
      </w:pPr>
      <w:r>
        <w:rPr>
          <w:rFonts w:ascii="Cambria" w:cs="Cambria" w:eastAsia="Cambria" w:hAnsi="Cambria"/>
          <w:b/>
          <w:bCs/>
          <w:color w:val="1587AB"/>
          <w:sz w:val="30"/>
          <w:szCs w:val="30"/>
        </w:rPr>
        <w:t xml:space="preserve">11.  Conclusion</w:t>
      </w:r>
    </w:p>
    <w:p>
      <w:pPr>
        <w:spacing w:after="160" w:line="288"/>
      </w:pPr>
      <w:r>
        <w:rPr>
          <w:rFonts w:ascii="Calibri" w:cs="Calibri" w:eastAsia="Calibri" w:hAnsi="Calibri"/>
          <w:color w:val="222B33"/>
          <w:sz w:val="21"/>
          <w:szCs w:val="21"/>
        </w:rPr>
        <w:t xml:space="preserve">Wave 3 is a reversion week. The tentative move toward a guilty verdict recorded in Wave 2 did not build; instead acquittal reopened a double-digit lead, the neutral middle thinned, and the country paid less attention. The people still watching most closely edged further toward conviction, but they are outnumbered by casual observers who drifted back to acquittal as the news quieted. Meanwhile the senator-judges, now measured on a stable scale, lost public confidence almost uniformly. The questions for Wave 4 are whether acquittal's re-widened lead is a floor or merely a pause, whether renewed testimony re-engages the disengaged, and whether the broad erosion in senator ratings continues or stabilises.</w:t>
      </w:r>
    </w:p>
    <w:p>
      <w:pPr>
        <w:pBdr>
          <w:bottom w:val="single" w:color="D8E3EC" w:sz="6" w:space="1"/>
        </w:pBdr>
        <w:spacing w:after="120" w:before="40"/>
      </w:pPr>
      <w:r>
        <w:rPr>
          <w:rFonts w:ascii="Calibri" w:cs="Calibri" w:eastAsia="Calibri" w:hAnsi="Calibri"/>
          <w:color w:val="222B33"/>
          <w:sz w:val="21"/>
          <w:szCs w:val="21"/>
        </w:rPr>
        <w:t xml:space="preserve"/>
      </w:r>
    </w:p>
    <w:p>
      <w:pPr>
        <w:spacing w:before="80"/>
      </w:pPr>
      <w:r>
        <w:rPr>
          <w:rFonts w:ascii="Calibri" w:cs="Calibri" w:eastAsia="Calibri" w:hAnsi="Calibri"/>
          <w:i/>
          <w:iCs/>
          <w:color w:val="8A97A0"/>
          <w:sz w:val="16"/>
          <w:szCs w:val="16"/>
        </w:rPr>
        <w:t xml:space="preserve">Prepared by Pulso Intelligence · Weekly Impeachment Tracker, Wave 3 (August 24–30, 2026), compared with Wave 2 (August 17–23, 2026). Data weighted to COMELEC 2025 registered-voter benchmarks. Figures may not total 100% due to rounding.</w:t>
      </w:r>
    </w:p>
    <w:sectPr>
      <w:headerReference w:type="default" r:id="rId7"/>
      <w:footerReference w:type="default" r:id="rId8"/>
      <w:pgSz w:w="12240" w:h="15840" w:orient="portrait"/>
      <w:pgMar w:top="1200" w:right="1296" w:bottom="1200" w:left="1296"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8E3EC" w:sz="4" w:space="6"/>
      </w:pBdr>
      <w:jc w:val="center"/>
    </w:pPr>
    <w:r>
      <w:rPr>
        <w:rFonts w:ascii="Calibri" w:cs="Calibri" w:eastAsia="Calibri" w:hAnsi="Calibri"/>
        <w:color w:val="8A97A0"/>
        <w:sz w:val="15"/>
        <w:szCs w:val="15"/>
      </w:rPr>
      <w:t xml:space="preserve">Wave 3 · August 24–30, 2026     ·     </w:t>
    </w:r>
    <w:r>
      <w:rPr>
        <w:rFonts w:ascii="Calibri" w:cs="Calibri" w:eastAsia="Calibri" w:hAnsi="Calibri"/>
        <w:color w:val="8A97A0"/>
        <w:sz w:val="15"/>
        <w:szCs w:val="15"/>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spacing w:after="0"/>
      <w:jc w:val="right"/>
    </w:pPr>
    <w:r>
      <w:rPr>
        <w:rFonts w:ascii="Calibri" w:cs="Calibri" w:eastAsia="Calibri" w:hAnsi="Calibri"/>
        <w:color w:val="8A97A0"/>
        <w:spacing w:val="20"/>
        <w:sz w:val="14"/>
        <w:szCs w:val="14"/>
      </w:rPr>
      <w:t xml:space="preserve">PULSO INTELLIGENCE · WEEKLY IMPEACHMENT TRACKER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60" w:hanging="240"/>
      </w:pPr>
      <w:rPr>
        <w:color w:val="1587AB"/>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222B33"/>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Impeachment Sentiment White Paper — Wave 3</dc:title>
  <dc:creator>Pulso Intelligence</dc:creator>
  <dc:description>Week-on-week impeachment tracking and senator scorecard</dc:description>
  <cp:lastModifiedBy>Un-named</cp:lastModifiedBy>
  <cp:revision>1</cp:revision>
  <dcterms:created xsi:type="dcterms:W3CDTF">2026-09-04T06:16:54.218Z</dcterms:created>
  <dcterms:modified xsi:type="dcterms:W3CDTF">2026-09-04T06:16:54.233Z</dcterms:modified>
</cp:coreProperties>
</file>

<file path=docProps/custom.xml><?xml version="1.0" encoding="utf-8"?>
<Properties xmlns="http://schemas.openxmlformats.org/officeDocument/2006/custom-properties" xmlns:vt="http://schemas.openxmlformats.org/officeDocument/2006/docPropsVTypes"/>
</file>