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before="1800"/>
        <w:jc w:val="center"/>
      </w:pPr>
      <w:r>
        <w:drawing>
          <wp:inline distT="0" distB="0" distL="0" distR="0">
            <wp:extent cx="3238500"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0" cy="581025"/>
                    </a:xfrm>
                    <a:prstGeom prst="rect">
                      <a:avLst/>
                    </a:prstGeom>
                  </pic:spPr>
                </pic:pic>
              </a:graphicData>
            </a:graphic>
          </wp:inline>
        </w:drawing>
      </w:r>
    </w:p>
    <w:p>
      <w:pPr>
        <w:spacing w:after="60"/>
        <w:jc w:val="center"/>
      </w:pPr>
      <w:r>
        <w:rPr>
          <w:rFonts w:ascii="Calibri" w:cs="Calibri" w:eastAsia="Calibri" w:hAnsi="Calibri"/>
          <w:b/>
          <w:bCs/>
          <w:color w:val="16294D"/>
          <w:sz w:val="40"/>
          <w:szCs w:val="40"/>
        </w:rPr>
        <w:t xml:space="preserve">Website Legal Notices and Policies</w:t>
      </w:r>
    </w:p>
    <w:p>
      <w:pPr>
        <w:spacing w:after="400"/>
        <w:jc w:val="center"/>
      </w:pPr>
      <w:r>
        <w:rPr>
          <w:rFonts w:ascii="Calibri" w:cs="Calibri" w:eastAsia="Calibri" w:hAnsi="Calibri"/>
          <w:color w:val="7C828B"/>
          <w:sz w:val="26"/>
          <w:szCs w:val="26"/>
        </w:rPr>
        <w:t xml:space="preserve">Prime Catalyst, LLC</w:t>
      </w:r>
    </w:p>
    <w:p>
      <w:pPr>
        <w:spacing w:after="40"/>
        <w:jc w:val="center"/>
      </w:pPr>
      <w:r>
        <w:rPr>
          <w:rFonts w:ascii="Cambria" w:cs="Cambria" w:eastAsia="Cambria" w:hAnsi="Cambria"/>
          <w:color w:val="3A3A3A"/>
          <w:sz w:val="21"/>
          <w:szCs w:val="21"/>
        </w:rPr>
        <w:t xml:space="preserve">Privacy Policy  ·  Terms of Use  ·  Accessibility Statement</w:t>
      </w:r>
    </w:p>
    <w:p>
      <w:pPr>
        <w:spacing w:after="500"/>
        <w:jc w:val="center"/>
      </w:pPr>
      <w:r>
        <w:rPr>
          <w:rFonts w:ascii="Cambria" w:cs="Cambria" w:eastAsia="Cambria" w:hAnsi="Cambria"/>
          <w:color w:val="3A3A3A"/>
          <w:sz w:val="21"/>
          <w:szCs w:val="21"/>
        </w:rPr>
        <w:t xml:space="preserve">Cookie Policy and Cookie Settings  ·  Website and Investment Disclaimer</w:t>
      </w:r>
    </w:p>
    <w:p>
      <w:pPr>
        <w:pBdr>
          <w:top w:val="single" w:color="B28E50" w:sz="6" w:space="10"/>
        </w:pBdr>
        <w:spacing w:after="60"/>
        <w:jc w:val="center"/>
      </w:pPr>
      <w:r>
        <w:rPr>
          <w:rFonts w:ascii="Calibri" w:cs="Calibri" w:eastAsia="Calibri" w:hAnsi="Calibri"/>
          <w:b/>
          <w:bCs/>
          <w:color w:val="B28E50"/>
          <w:spacing w:val="20"/>
          <w:sz w:val="19"/>
          <w:szCs w:val="19"/>
        </w:rPr>
        <w:t xml:space="preserve">DRAFT — FOR REVIEW BY LEGAL COUNSEL</w:t>
      </w:r>
    </w:p>
    <w:p>
      <w:pPr>
        <w:jc w:val="center"/>
      </w:pPr>
      <w:r>
        <w:rPr>
          <w:rFonts w:ascii="Cambria" w:cs="Cambria" w:eastAsia="Cambria" w:hAnsi="Cambria"/>
          <w:i/>
          <w:iCs/>
          <w:color w:val="7C828B"/>
          <w:sz w:val="19"/>
          <w:szCs w:val="19"/>
        </w:rPr>
        <w:t xml:space="preserve">Prepared August 17, 2026</w:t>
      </w:r>
    </w:p>
    <w:p>
      <w:r>
        <w:br w:type="page"/>
      </w:r>
    </w:p>
    <w:p>
      <w:pPr>
        <w:pBdr>
          <w:bottom w:val="single" w:color="B28E50" w:sz="8" w:space="6"/>
        </w:pBdr>
        <w:spacing w:after="200"/>
      </w:pPr>
      <w:r>
        <w:rPr>
          <w:rFonts w:ascii="Calibri" w:cs="Calibri" w:eastAsia="Calibri" w:hAnsi="Calibri"/>
          <w:b/>
          <w:bCs/>
          <w:color w:val="16294D"/>
          <w:sz w:val="30"/>
          <w:szCs w:val="3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DRAFT FOR REVIEW BY LEGAL COUNSEL. This document was prepared as a working draft of standard website legal notices. It is not legal advice and has not been reviewed by an attorney. Prime Catalyst, LLC should have counsel review and tailor these materials before publication, particularly the securities-related disclaimers, the state privacy rights sections, and the dispute resolution provisions. Items in [BRACKETS] require confirmation before the policies go live — see the checklist at the end of this document.</w:t>
            </w:r>
          </w:p>
        </w:tc>
      </w:tr>
    </w:tbl>
    <w:p>
      <w:pPr>
        <w:spacing w:after="200"/>
      </w:pPr>
    </w:p>
    <w:p>
      <w:pPr>
        <w:spacing w:after="140" w:line="290"/>
        <w:jc w:val="both"/>
      </w:pPr>
      <w:r>
        <w:rPr>
          <w:rFonts w:ascii="Cambria" w:cs="Cambria" w:eastAsia="Cambria" w:hAnsi="Cambria"/>
          <w:color w:val="1A1A1A"/>
          <w:sz w:val="21"/>
          <w:szCs w:val="21"/>
        </w:rPr>
        <w:t xml:space="preserve">This document contains five separate items intended for publication on the Prime Catalyst, LLC website. Each is drafted to stand alone as its own page or footer element:</w:t>
      </w:r>
    </w:p>
    <w:p>
      <w:pPr>
        <w:pStyle w:val="ListParagraph"/>
        <w:numPr>
          <w:ilvl w:val="0"/>
          <w:numId w:val="2"/>
        </w:numPr>
        <w:spacing w:after="90" w:line="285"/>
        <w:jc w:val="both"/>
      </w:pPr>
      <w:r>
        <w:rPr>
          <w:rFonts w:ascii="Cambria" w:cs="Cambria" w:eastAsia="Cambria" w:hAnsi="Cambria"/>
          <w:color w:val="1A1A1A"/>
          <w:sz w:val="21"/>
          <w:szCs w:val="21"/>
        </w:rPr>
        <w:t xml:space="preserve">Privacy Policy — a standalone page, typically linked in the site footer.</w:t>
      </w:r>
    </w:p>
    <w:p>
      <w:pPr>
        <w:pStyle w:val="ListParagraph"/>
        <w:numPr>
          <w:ilvl w:val="0"/>
          <w:numId w:val="2"/>
        </w:numPr>
        <w:spacing w:after="90" w:line="285"/>
        <w:jc w:val="both"/>
      </w:pPr>
      <w:r>
        <w:rPr>
          <w:rFonts w:ascii="Cambria" w:cs="Cambria" w:eastAsia="Cambria" w:hAnsi="Cambria"/>
          <w:color w:val="1A1A1A"/>
          <w:sz w:val="21"/>
          <w:szCs w:val="21"/>
        </w:rPr>
        <w:t xml:space="preserve">Terms of Use — a standalone page, typically linked in the site footer.</w:t>
      </w:r>
    </w:p>
    <w:p>
      <w:pPr>
        <w:pStyle w:val="ListParagraph"/>
        <w:numPr>
          <w:ilvl w:val="0"/>
          <w:numId w:val="2"/>
        </w:numPr>
        <w:spacing w:after="90" w:line="285"/>
        <w:jc w:val="both"/>
      </w:pPr>
      <w:r>
        <w:rPr>
          <w:rFonts w:ascii="Cambria" w:cs="Cambria" w:eastAsia="Cambria" w:hAnsi="Cambria"/>
          <w:color w:val="1A1A1A"/>
          <w:sz w:val="21"/>
          <w:szCs w:val="21"/>
        </w:rPr>
        <w:t xml:space="preserve">Accessibility Statement — a standalone page, typically linked in the site footer.</w:t>
      </w:r>
    </w:p>
    <w:p>
      <w:pPr>
        <w:pStyle w:val="ListParagraph"/>
        <w:numPr>
          <w:ilvl w:val="0"/>
          <w:numId w:val="2"/>
        </w:numPr>
        <w:spacing w:after="90" w:line="285"/>
        <w:jc w:val="both"/>
      </w:pPr>
      <w:r>
        <w:rPr>
          <w:rFonts w:ascii="Cambria" w:cs="Cambria" w:eastAsia="Cambria" w:hAnsi="Cambria"/>
          <w:color w:val="1A1A1A"/>
          <w:sz w:val="21"/>
          <w:szCs w:val="21"/>
        </w:rPr>
        <w:t xml:space="preserve">Cookie Policy and Cookie Settings — a standalone policy page plus suggested interface copy for the consent banner and preference center.</w:t>
      </w:r>
    </w:p>
    <w:p>
      <w:pPr>
        <w:pStyle w:val="ListParagraph"/>
        <w:numPr>
          <w:ilvl w:val="0"/>
          <w:numId w:val="2"/>
        </w:numPr>
        <w:spacing w:after="90" w:line="285"/>
        <w:jc w:val="both"/>
      </w:pPr>
      <w:r>
        <w:rPr>
          <w:rFonts w:ascii="Cambria" w:cs="Cambria" w:eastAsia="Cambria" w:hAnsi="Cambria"/>
          <w:color w:val="1A1A1A"/>
          <w:sz w:val="21"/>
          <w:szCs w:val="21"/>
        </w:rPr>
        <w:t xml:space="preserve">Website and Investment Disclaimer — a standalone page, plus a short-form version for the site footer and a version for use beneath performance or portfolio content.</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I. Privacy Policy</w:t>
      </w:r>
    </w:p>
    <w:p>
      <w:pPr>
        <w:spacing w:after="140" w:line="290"/>
        <w:jc w:val="both"/>
      </w:pPr>
      <w:r>
        <w:rPr>
          <w:rFonts w:ascii="Cambria" w:cs="Cambria" w:eastAsia="Cambria" w:hAnsi="Cambria"/>
          <w:color w:val="1A1A1A"/>
          <w:sz w:val="21"/>
          <w:szCs w:val="21"/>
        </w:rPr>
        <w:t xml:space="preserve">Effective Date: [EFFECTIVE DATE]</w:t>
      </w:r>
    </w:p>
    <w:p>
      <w:pPr>
        <w:spacing w:after="140" w:line="290"/>
        <w:jc w:val="both"/>
      </w:pPr>
      <w:r>
        <w:rPr>
          <w:rFonts w:ascii="Cambria" w:cs="Cambria" w:eastAsia="Cambria" w:hAnsi="Cambria"/>
          <w:color w:val="1A1A1A"/>
          <w:sz w:val="21"/>
          <w:szCs w:val="21"/>
        </w:rPr>
        <w:t xml:space="preserve">Last Updated: [EFFECTIVE DATE]</w:t>
      </w:r>
    </w:p>
    <w:p>
      <w:pPr>
        <w:spacing w:after="140" w:line="290"/>
        <w:jc w:val="both"/>
      </w:pPr>
      <w:r>
        <w:rPr>
          <w:rFonts w:ascii="Cambria" w:cs="Cambria" w:eastAsia="Cambria" w:hAnsi="Cambria"/>
          <w:color w:val="1A1A1A"/>
          <w:sz w:val="21"/>
          <w:szCs w:val="21"/>
        </w:rPr>
        <w:t xml:space="preserve">Prime Catalyst, LLC ("Prime Catalyst," "we," "us," or "our") respects your privacy. This Privacy Policy explains what information we collect through [WEBSITE URL] (the "Site"), how we use and share that information, and the choices available to you.</w:t>
      </w:r>
    </w:p>
    <w:p>
      <w:pPr>
        <w:spacing w:after="140" w:line="290"/>
        <w:jc w:val="both"/>
      </w:pPr>
      <w:r>
        <w:rPr>
          <w:rFonts w:ascii="Cambria" w:cs="Cambria" w:eastAsia="Cambria" w:hAnsi="Cambria"/>
          <w:color w:val="1A1A1A"/>
          <w:sz w:val="21"/>
          <w:szCs w:val="21"/>
        </w:rPr>
        <w:t xml:space="preserve">By using the Site, you acknowledge that you have read and understood this Privacy Policy. If you do not agree with our practices, please do not use the Site.</w:t>
      </w:r>
    </w:p>
    <w:p>
      <w:pPr>
        <w:pStyle w:val="Heading2"/>
        <w:keepNext/>
        <w:spacing w:after="110" w:before="300"/>
      </w:pPr>
      <w:r>
        <w:rPr>
          <w:rFonts w:ascii="Calibri" w:cs="Calibri" w:eastAsia="Calibri" w:hAnsi="Calibri"/>
          <w:b/>
          <w:bCs/>
          <w:color w:val="16294D"/>
          <w:sz w:val="23"/>
          <w:szCs w:val="23"/>
        </w:rPr>
        <w:t xml:space="preserve">1. Scope of This Policy</w:t>
      </w:r>
    </w:p>
    <w:p>
      <w:pPr>
        <w:spacing w:after="140" w:line="290"/>
        <w:jc w:val="both"/>
      </w:pPr>
      <w:r>
        <w:rPr>
          <w:rFonts w:ascii="Cambria" w:cs="Cambria" w:eastAsia="Cambria" w:hAnsi="Cambria"/>
          <w:color w:val="1A1A1A"/>
          <w:sz w:val="21"/>
          <w:szCs w:val="21"/>
        </w:rPr>
        <w:t xml:space="preserve">This Privacy Policy applies to information collected through the Site and through email or other electronic communications between you and Prime Catalyst in connection with the Site. It does not apply to:</w:t>
      </w:r>
    </w:p>
    <w:p>
      <w:pPr>
        <w:pStyle w:val="ListParagraph"/>
        <w:numPr>
          <w:ilvl w:val="0"/>
          <w:numId w:val="2"/>
        </w:numPr>
        <w:spacing w:after="90" w:line="285"/>
        <w:jc w:val="both"/>
      </w:pPr>
      <w:r>
        <w:rPr>
          <w:rFonts w:ascii="Cambria" w:cs="Cambria" w:eastAsia="Cambria" w:hAnsi="Cambria"/>
          <w:color w:val="1A1A1A"/>
          <w:sz w:val="21"/>
          <w:szCs w:val="21"/>
        </w:rPr>
        <w:t xml:space="preserve">Information collected offline or through any other means, including in connection with any investment, transaction, or contractual relationship with Prime Catalyst or its affiliates;</w:t>
      </w:r>
    </w:p>
    <w:p>
      <w:pPr>
        <w:pStyle w:val="ListParagraph"/>
        <w:numPr>
          <w:ilvl w:val="0"/>
          <w:numId w:val="2"/>
        </w:numPr>
        <w:spacing w:after="90" w:line="285"/>
        <w:jc w:val="both"/>
      </w:pPr>
      <w:r>
        <w:rPr>
          <w:rFonts w:ascii="Cambria" w:cs="Cambria" w:eastAsia="Cambria" w:hAnsi="Cambria"/>
          <w:color w:val="1A1A1A"/>
          <w:sz w:val="21"/>
          <w:szCs w:val="21"/>
        </w:rPr>
        <w:t xml:space="preserve">Information collected by any third party, including through any application or content that may link to or be accessible from the Site; or</w:t>
      </w:r>
    </w:p>
    <w:p>
      <w:pPr>
        <w:pStyle w:val="ListParagraph"/>
        <w:numPr>
          <w:ilvl w:val="0"/>
          <w:numId w:val="2"/>
        </w:numPr>
        <w:spacing w:after="90" w:line="285"/>
        <w:jc w:val="both"/>
      </w:pPr>
      <w:r>
        <w:rPr>
          <w:rFonts w:ascii="Cambria" w:cs="Cambria" w:eastAsia="Cambria" w:hAnsi="Cambria"/>
          <w:color w:val="1A1A1A"/>
          <w:sz w:val="21"/>
          <w:szCs w:val="21"/>
        </w:rPr>
        <w:t xml:space="preserve">Information governed by a separate privacy notice, confidentiality agreement, or subscription document that we provide to you.</w:t>
      </w:r>
    </w:p>
    <w:p>
      <w:pPr>
        <w:pStyle w:val="Heading2"/>
        <w:keepNext/>
        <w:spacing w:after="110" w:before="300"/>
      </w:pPr>
      <w:r>
        <w:rPr>
          <w:rFonts w:ascii="Calibri" w:cs="Calibri" w:eastAsia="Calibri" w:hAnsi="Calibri"/>
          <w:b/>
          <w:bCs/>
          <w:color w:val="16294D"/>
          <w:sz w:val="23"/>
          <w:szCs w:val="23"/>
        </w:rPr>
        <w:t xml:space="preserve">2. Information We Collect</w:t>
      </w:r>
    </w:p>
    <w:p>
      <w:pPr>
        <w:pStyle w:val="Heading3"/>
        <w:keepNext/>
        <w:spacing w:after="90" w:before="220"/>
      </w:pPr>
      <w:r>
        <w:rPr>
          <w:rFonts w:ascii="Calibri" w:cs="Calibri" w:eastAsia="Calibri" w:hAnsi="Calibri"/>
          <w:b/>
          <w:bCs/>
          <w:color w:val="3A4A6B"/>
          <w:sz w:val="21"/>
          <w:szCs w:val="21"/>
        </w:rPr>
        <w:t xml:space="preserve">2.1 Information You Provide to Us</w:t>
      </w:r>
    </w:p>
    <w:p>
      <w:pPr>
        <w:spacing w:after="140" w:line="290"/>
        <w:jc w:val="both"/>
      </w:pPr>
      <w:r>
        <w:rPr>
          <w:rFonts w:ascii="Cambria" w:cs="Cambria" w:eastAsia="Cambria" w:hAnsi="Cambria"/>
          <w:color w:val="1A1A1A"/>
          <w:sz w:val="21"/>
          <w:szCs w:val="21"/>
        </w:rPr>
        <w:t xml:space="preserve">We collect information you voluntarily provide, which may include:</w:t>
      </w:r>
    </w:p>
    <w:p>
      <w:pPr>
        <w:pStyle w:val="ListParagraph"/>
        <w:numPr>
          <w:ilvl w:val="0"/>
          <w:numId w:val="2"/>
        </w:numPr>
        <w:spacing w:after="90" w:line="285"/>
        <w:jc w:val="both"/>
      </w:pPr>
      <w:r>
        <w:rPr>
          <w:rFonts w:ascii="Cambria" w:cs="Cambria" w:eastAsia="Cambria" w:hAnsi="Cambria"/>
          <w:color w:val="1A1A1A"/>
          <w:sz w:val="21"/>
          <w:szCs w:val="21"/>
        </w:rPr>
        <w:t xml:space="preserve">Contact information such as your name, company or organization, title, email address, telephone number, and mailing address;</w:t>
      </w:r>
    </w:p>
    <w:p>
      <w:pPr>
        <w:pStyle w:val="ListParagraph"/>
        <w:numPr>
          <w:ilvl w:val="0"/>
          <w:numId w:val="2"/>
        </w:numPr>
        <w:spacing w:after="90" w:line="285"/>
        <w:jc w:val="both"/>
      </w:pPr>
      <w:r>
        <w:rPr>
          <w:rFonts w:ascii="Cambria" w:cs="Cambria" w:eastAsia="Cambria" w:hAnsi="Cambria"/>
          <w:color w:val="1A1A1A"/>
          <w:sz w:val="21"/>
          <w:szCs w:val="21"/>
        </w:rPr>
        <w:t xml:space="preserve">The content of messages you send us through contact forms, email links, or other Site features;</w:t>
      </w:r>
    </w:p>
    <w:p>
      <w:pPr>
        <w:pStyle w:val="ListParagraph"/>
        <w:numPr>
          <w:ilvl w:val="0"/>
          <w:numId w:val="2"/>
        </w:numPr>
        <w:spacing w:after="90" w:line="285"/>
        <w:jc w:val="both"/>
      </w:pPr>
      <w:r>
        <w:rPr>
          <w:rFonts w:ascii="Cambria" w:cs="Cambria" w:eastAsia="Cambria" w:hAnsi="Cambria"/>
          <w:color w:val="1A1A1A"/>
          <w:sz w:val="21"/>
          <w:szCs w:val="21"/>
        </w:rPr>
        <w:t xml:space="preserve">Information you provide when subscribing to updates, newsletters, or other communications; and</w:t>
      </w:r>
    </w:p>
    <w:p>
      <w:pPr>
        <w:pStyle w:val="ListParagraph"/>
        <w:numPr>
          <w:ilvl w:val="0"/>
          <w:numId w:val="2"/>
        </w:numPr>
        <w:spacing w:after="90" w:line="285"/>
        <w:jc w:val="both"/>
      </w:pPr>
      <w:r>
        <w:rPr>
          <w:rFonts w:ascii="Cambria" w:cs="Cambria" w:eastAsia="Cambria" w:hAnsi="Cambria"/>
          <w:color w:val="1A1A1A"/>
          <w:sz w:val="21"/>
          <w:szCs w:val="21"/>
        </w:rPr>
        <w:t xml:space="preserve">Any other information you choose to submit through the Site.</w:t>
      </w:r>
    </w:p>
    <w:p>
      <w:pPr>
        <w:spacing w:after="140" w:line="290"/>
        <w:jc w:val="both"/>
      </w:pPr>
      <w:r>
        <w:rPr>
          <w:rFonts w:ascii="Cambria" w:cs="Cambria" w:eastAsia="Cambria" w:hAnsi="Cambria"/>
          <w:color w:val="1A1A1A"/>
          <w:sz w:val="21"/>
          <w:szCs w:val="21"/>
        </w:rPr>
        <w:t xml:space="preserve">We do not request or intend to collect sensitive personal information through the Site. Please do not submit account numbers, Social Security numbers, government identification numbers, financial account credentials, health information, or other sensitive data through Site forms or unencrypted email.</w:t>
      </w:r>
    </w:p>
    <w:p>
      <w:pPr>
        <w:pStyle w:val="Heading3"/>
        <w:keepNext/>
        <w:spacing w:after="90" w:before="220"/>
      </w:pPr>
      <w:r>
        <w:rPr>
          <w:rFonts w:ascii="Calibri" w:cs="Calibri" w:eastAsia="Calibri" w:hAnsi="Calibri"/>
          <w:b/>
          <w:bCs/>
          <w:color w:val="3A4A6B"/>
          <w:sz w:val="21"/>
          <w:szCs w:val="21"/>
        </w:rPr>
        <w:t xml:space="preserve">2.2 Information Collected Automatically</w:t>
      </w:r>
    </w:p>
    <w:p>
      <w:pPr>
        <w:spacing w:after="140" w:line="290"/>
        <w:jc w:val="both"/>
      </w:pPr>
      <w:r>
        <w:rPr>
          <w:rFonts w:ascii="Cambria" w:cs="Cambria" w:eastAsia="Cambria" w:hAnsi="Cambria"/>
          <w:color w:val="1A1A1A"/>
          <w:sz w:val="21"/>
          <w:szCs w:val="21"/>
        </w:rPr>
        <w:t xml:space="preserve">When you visit the Site, we and our service providers may automatically collect certain technical information, including:</w:t>
      </w:r>
    </w:p>
    <w:p>
      <w:pPr>
        <w:pStyle w:val="ListParagraph"/>
        <w:numPr>
          <w:ilvl w:val="0"/>
          <w:numId w:val="2"/>
        </w:numPr>
        <w:spacing w:after="90" w:line="285"/>
        <w:jc w:val="both"/>
      </w:pPr>
      <w:r>
        <w:rPr>
          <w:rFonts w:ascii="Cambria" w:cs="Cambria" w:eastAsia="Cambria" w:hAnsi="Cambria"/>
          <w:color w:val="1A1A1A"/>
          <w:sz w:val="21"/>
          <w:szCs w:val="21"/>
        </w:rPr>
        <w:t xml:space="preserve">Device and browser information, such as IP address, browser type and version, operating system, device type, screen resolution, and language settings;</w:t>
      </w:r>
    </w:p>
    <w:p>
      <w:pPr>
        <w:pStyle w:val="ListParagraph"/>
        <w:numPr>
          <w:ilvl w:val="0"/>
          <w:numId w:val="2"/>
        </w:numPr>
        <w:spacing w:after="90" w:line="285"/>
        <w:jc w:val="both"/>
      </w:pPr>
      <w:r>
        <w:rPr>
          <w:rFonts w:ascii="Cambria" w:cs="Cambria" w:eastAsia="Cambria" w:hAnsi="Cambria"/>
          <w:color w:val="1A1A1A"/>
          <w:sz w:val="21"/>
          <w:szCs w:val="21"/>
        </w:rPr>
        <w:t xml:space="preserve">Usage information, such as the pages you view, the date and time of your visit, the duration of your session, the links you click, the referring website or search term, and navigation paths through the Site; and</w:t>
      </w:r>
    </w:p>
    <w:p>
      <w:pPr>
        <w:pStyle w:val="ListParagraph"/>
        <w:numPr>
          <w:ilvl w:val="0"/>
          <w:numId w:val="2"/>
        </w:numPr>
        <w:spacing w:after="90" w:line="285"/>
        <w:jc w:val="both"/>
      </w:pPr>
      <w:r>
        <w:rPr>
          <w:rFonts w:ascii="Cambria" w:cs="Cambria" w:eastAsia="Cambria" w:hAnsi="Cambria"/>
          <w:color w:val="1A1A1A"/>
          <w:sz w:val="21"/>
          <w:szCs w:val="21"/>
        </w:rPr>
        <w:t xml:space="preserve">Information collected through cookies, pixels, web beacons, and similar technologies, as described in the Cookie Policy included in this document.</w:t>
      </w:r>
    </w:p>
    <w:p>
      <w:pPr>
        <w:spacing w:after="140" w:line="290"/>
        <w:jc w:val="both"/>
      </w:pPr>
      <w:r>
        <w:rPr>
          <w:rFonts w:ascii="Cambria" w:cs="Cambria" w:eastAsia="Cambria" w:hAnsi="Cambria"/>
          <w:color w:val="1A1A1A"/>
          <w:sz w:val="21"/>
          <w:szCs w:val="21"/>
        </w:rPr>
        <w:t xml:space="preserve">This information is generally collected in aggregate or pseudonymous form and is used to operate, secure, and improve the Site.</w:t>
      </w:r>
    </w:p>
    <w:p>
      <w:pPr>
        <w:pStyle w:val="Heading3"/>
        <w:keepNext/>
        <w:spacing w:after="90" w:before="220"/>
      </w:pPr>
      <w:r>
        <w:rPr>
          <w:rFonts w:ascii="Calibri" w:cs="Calibri" w:eastAsia="Calibri" w:hAnsi="Calibri"/>
          <w:b/>
          <w:bCs/>
          <w:color w:val="3A4A6B"/>
          <w:sz w:val="21"/>
          <w:szCs w:val="21"/>
        </w:rPr>
        <w:t xml:space="preserve">2.3 Information From Third Parties</w:t>
      </w:r>
    </w:p>
    <w:p>
      <w:pPr>
        <w:spacing w:after="140" w:line="290"/>
        <w:jc w:val="both"/>
      </w:pPr>
      <w:r>
        <w:rPr>
          <w:rFonts w:ascii="Cambria" w:cs="Cambria" w:eastAsia="Cambria" w:hAnsi="Cambria"/>
          <w:color w:val="1A1A1A"/>
          <w:sz w:val="21"/>
          <w:szCs w:val="21"/>
        </w:rPr>
        <w:t xml:space="preserve">We may receive information about you from third parties, including analytics providers, hosting and security providers, email service providers, and publicly available or commercially available sources. We may combine this information with information we collect directly from you.</w:t>
      </w:r>
    </w:p>
    <w:p>
      <w:pPr>
        <w:pStyle w:val="Heading2"/>
        <w:keepNext/>
        <w:spacing w:after="110" w:before="300"/>
      </w:pPr>
      <w:r>
        <w:rPr>
          <w:rFonts w:ascii="Calibri" w:cs="Calibri" w:eastAsia="Calibri" w:hAnsi="Calibri"/>
          <w:b/>
          <w:bCs/>
          <w:color w:val="16294D"/>
          <w:sz w:val="23"/>
          <w:szCs w:val="23"/>
        </w:rPr>
        <w:t xml:space="preserve">3. How We Use Information</w:t>
      </w:r>
    </w:p>
    <w:p>
      <w:pPr>
        <w:spacing w:after="140" w:line="290"/>
        <w:jc w:val="both"/>
      </w:pPr>
      <w:r>
        <w:rPr>
          <w:rFonts w:ascii="Cambria" w:cs="Cambria" w:eastAsia="Cambria" w:hAnsi="Cambria"/>
          <w:color w:val="1A1A1A"/>
          <w:sz w:val="21"/>
          <w:szCs w:val="21"/>
        </w:rPr>
        <w:t xml:space="preserve">We use the information we collect for the following purposes:</w:t>
      </w:r>
    </w:p>
    <w:p>
      <w:pPr>
        <w:pStyle w:val="ListParagraph"/>
        <w:numPr>
          <w:ilvl w:val="0"/>
          <w:numId w:val="2"/>
        </w:numPr>
        <w:spacing w:after="90" w:line="285"/>
        <w:jc w:val="both"/>
      </w:pPr>
      <w:r>
        <w:rPr>
          <w:rFonts w:ascii="Cambria" w:cs="Cambria" w:eastAsia="Cambria" w:hAnsi="Cambria"/>
          <w:color w:val="1A1A1A"/>
          <w:sz w:val="21"/>
          <w:szCs w:val="21"/>
        </w:rPr>
        <w:t xml:space="preserve">To operate, maintain, secure, and improve the Site and its features;</w:t>
      </w:r>
    </w:p>
    <w:p>
      <w:pPr>
        <w:pStyle w:val="ListParagraph"/>
        <w:numPr>
          <w:ilvl w:val="0"/>
          <w:numId w:val="2"/>
        </w:numPr>
        <w:spacing w:after="90" w:line="285"/>
        <w:jc w:val="both"/>
      </w:pPr>
      <w:r>
        <w:rPr>
          <w:rFonts w:ascii="Cambria" w:cs="Cambria" w:eastAsia="Cambria" w:hAnsi="Cambria"/>
          <w:color w:val="1A1A1A"/>
          <w:sz w:val="21"/>
          <w:szCs w:val="21"/>
        </w:rPr>
        <w:t xml:space="preserve">To respond to your inquiries, requests, and communications;</w:t>
      </w:r>
    </w:p>
    <w:p>
      <w:pPr>
        <w:pStyle w:val="ListParagraph"/>
        <w:numPr>
          <w:ilvl w:val="0"/>
          <w:numId w:val="2"/>
        </w:numPr>
        <w:spacing w:after="90" w:line="285"/>
        <w:jc w:val="both"/>
      </w:pPr>
      <w:r>
        <w:rPr>
          <w:rFonts w:ascii="Cambria" w:cs="Cambria" w:eastAsia="Cambria" w:hAnsi="Cambria"/>
          <w:color w:val="1A1A1A"/>
          <w:sz w:val="21"/>
          <w:szCs w:val="21"/>
        </w:rPr>
        <w:t xml:space="preserve">To send you updates, newsletters, or other communications you have requested, and to manage your preferences for those communications;</w:t>
      </w:r>
    </w:p>
    <w:p>
      <w:pPr>
        <w:pStyle w:val="ListParagraph"/>
        <w:numPr>
          <w:ilvl w:val="0"/>
          <w:numId w:val="2"/>
        </w:numPr>
        <w:spacing w:after="90" w:line="285"/>
        <w:jc w:val="both"/>
      </w:pPr>
      <w:r>
        <w:rPr>
          <w:rFonts w:ascii="Cambria" w:cs="Cambria" w:eastAsia="Cambria" w:hAnsi="Cambria"/>
          <w:color w:val="1A1A1A"/>
          <w:sz w:val="21"/>
          <w:szCs w:val="21"/>
        </w:rPr>
        <w:t xml:space="preserve">To analyze how visitors use the Site so we can improve its content, design, and performance;</w:t>
      </w:r>
    </w:p>
    <w:p>
      <w:pPr>
        <w:pStyle w:val="ListParagraph"/>
        <w:numPr>
          <w:ilvl w:val="0"/>
          <w:numId w:val="2"/>
        </w:numPr>
        <w:spacing w:after="90" w:line="285"/>
        <w:jc w:val="both"/>
      </w:pPr>
      <w:r>
        <w:rPr>
          <w:rFonts w:ascii="Cambria" w:cs="Cambria" w:eastAsia="Cambria" w:hAnsi="Cambria"/>
          <w:color w:val="1A1A1A"/>
          <w:sz w:val="21"/>
          <w:szCs w:val="21"/>
        </w:rPr>
        <w:t xml:space="preserve">To detect, prevent, investigate, and respond to fraud, security incidents, technical issues, and misuse of the Site;</w:t>
      </w:r>
    </w:p>
    <w:p>
      <w:pPr>
        <w:pStyle w:val="ListParagraph"/>
        <w:numPr>
          <w:ilvl w:val="0"/>
          <w:numId w:val="2"/>
        </w:numPr>
        <w:spacing w:after="90" w:line="285"/>
        <w:jc w:val="both"/>
      </w:pPr>
      <w:r>
        <w:rPr>
          <w:rFonts w:ascii="Cambria" w:cs="Cambria" w:eastAsia="Cambria" w:hAnsi="Cambria"/>
          <w:color w:val="1A1A1A"/>
          <w:sz w:val="21"/>
          <w:szCs w:val="21"/>
        </w:rPr>
        <w:t xml:space="preserve">To comply with applicable law, regulation, legal process, and governmental requests, and to establish, exercise, or defend legal claims; and</w:t>
      </w:r>
    </w:p>
    <w:p>
      <w:pPr>
        <w:pStyle w:val="ListParagraph"/>
        <w:numPr>
          <w:ilvl w:val="0"/>
          <w:numId w:val="2"/>
        </w:numPr>
        <w:spacing w:after="90" w:line="285"/>
        <w:jc w:val="both"/>
      </w:pPr>
      <w:r>
        <w:rPr>
          <w:rFonts w:ascii="Cambria" w:cs="Cambria" w:eastAsia="Cambria" w:hAnsi="Cambria"/>
          <w:color w:val="1A1A1A"/>
          <w:sz w:val="21"/>
          <w:szCs w:val="21"/>
        </w:rPr>
        <w:t xml:space="preserve">For any other purpose disclosed to you at the time we collect the information or with your consent.</w:t>
      </w:r>
    </w:p>
    <w:p>
      <w:pPr>
        <w:pStyle w:val="Heading2"/>
        <w:keepNext/>
        <w:spacing w:after="110" w:before="300"/>
      </w:pPr>
      <w:r>
        <w:rPr>
          <w:rFonts w:ascii="Calibri" w:cs="Calibri" w:eastAsia="Calibri" w:hAnsi="Calibri"/>
          <w:b/>
          <w:bCs/>
          <w:color w:val="16294D"/>
          <w:sz w:val="23"/>
          <w:szCs w:val="23"/>
        </w:rPr>
        <w:t xml:space="preserve">4. Legal Bases for Processing (Visitors in the EEA, UK, and Switzerland)</w:t>
      </w:r>
    </w:p>
    <w:p>
      <w:pPr>
        <w:spacing w:after="140" w:line="290"/>
        <w:jc w:val="both"/>
      </w:pPr>
      <w:r>
        <w:rPr>
          <w:rFonts w:ascii="Cambria" w:cs="Cambria" w:eastAsia="Cambria" w:hAnsi="Cambria"/>
          <w:color w:val="1A1A1A"/>
          <w:sz w:val="21"/>
          <w:szCs w:val="21"/>
        </w:rPr>
        <w:t xml:space="preserve">If you are located in the European Economic Area, the United Kingdom, or Switzerland, we process your personal data on the following legal bases:</w:t>
      </w:r>
    </w:p>
    <w:p>
      <w:pPr>
        <w:pStyle w:val="ListParagraph"/>
        <w:numPr>
          <w:ilvl w:val="0"/>
          <w:numId w:val="2"/>
        </w:numPr>
        <w:spacing w:after="90" w:line="285"/>
        <w:jc w:val="both"/>
      </w:pPr>
      <w:r>
        <w:rPr>
          <w:rFonts w:ascii="Cambria" w:cs="Cambria" w:eastAsia="Cambria" w:hAnsi="Cambria"/>
          <w:color w:val="1A1A1A"/>
          <w:sz w:val="21"/>
          <w:szCs w:val="21"/>
        </w:rPr>
        <w:t xml:space="preserve">Legitimate interests — to operate and secure the Site, to understand how it is used, to respond to your inquiries, and to protect our business and legal rights, where those interests are not overridden by your rights and freedoms;</w:t>
      </w:r>
    </w:p>
    <w:p>
      <w:pPr>
        <w:pStyle w:val="ListParagraph"/>
        <w:numPr>
          <w:ilvl w:val="0"/>
          <w:numId w:val="2"/>
        </w:numPr>
        <w:spacing w:after="90" w:line="285"/>
        <w:jc w:val="both"/>
      </w:pPr>
      <w:r>
        <w:rPr>
          <w:rFonts w:ascii="Cambria" w:cs="Cambria" w:eastAsia="Cambria" w:hAnsi="Cambria"/>
          <w:color w:val="1A1A1A"/>
          <w:sz w:val="21"/>
          <w:szCs w:val="21"/>
        </w:rPr>
        <w:t xml:space="preserve">Consent — where you have given consent, for example for non-essential cookies or marketing communications, which you may withdraw at any time;</w:t>
      </w:r>
    </w:p>
    <w:p>
      <w:pPr>
        <w:pStyle w:val="ListParagraph"/>
        <w:numPr>
          <w:ilvl w:val="0"/>
          <w:numId w:val="2"/>
        </w:numPr>
        <w:spacing w:after="90" w:line="285"/>
        <w:jc w:val="both"/>
      </w:pPr>
      <w:r>
        <w:rPr>
          <w:rFonts w:ascii="Cambria" w:cs="Cambria" w:eastAsia="Cambria" w:hAnsi="Cambria"/>
          <w:color w:val="1A1A1A"/>
          <w:sz w:val="21"/>
          <w:szCs w:val="21"/>
        </w:rPr>
        <w:t xml:space="preserve">Legal obligation — where processing is necessary to comply with a legal or regulatory obligation to which we are subject; and</w:t>
      </w:r>
    </w:p>
    <w:p>
      <w:pPr>
        <w:pStyle w:val="ListParagraph"/>
        <w:numPr>
          <w:ilvl w:val="0"/>
          <w:numId w:val="2"/>
        </w:numPr>
        <w:spacing w:after="90" w:line="285"/>
        <w:jc w:val="both"/>
      </w:pPr>
      <w:r>
        <w:rPr>
          <w:rFonts w:ascii="Cambria" w:cs="Cambria" w:eastAsia="Cambria" w:hAnsi="Cambria"/>
          <w:color w:val="1A1A1A"/>
          <w:sz w:val="21"/>
          <w:szCs w:val="21"/>
        </w:rPr>
        <w:t xml:space="preserve">Contract — where processing is necessary to take steps at your request prior to entering into a contract, or to perform a contract with you.</w:t>
      </w:r>
    </w:p>
    <w:p>
      <w:pPr>
        <w:pStyle w:val="Heading2"/>
        <w:keepNext/>
        <w:spacing w:after="110" w:before="300"/>
      </w:pPr>
      <w:r>
        <w:rPr>
          <w:rFonts w:ascii="Calibri" w:cs="Calibri" w:eastAsia="Calibri" w:hAnsi="Calibri"/>
          <w:b/>
          <w:bCs/>
          <w:color w:val="16294D"/>
          <w:sz w:val="23"/>
          <w:szCs w:val="23"/>
        </w:rPr>
        <w:t xml:space="preserve">5. How We Share Information</w:t>
      </w:r>
    </w:p>
    <w:p>
      <w:pPr>
        <w:spacing w:after="140" w:line="290"/>
        <w:jc w:val="both"/>
      </w:pPr>
      <w:r>
        <w:rPr>
          <w:rFonts w:ascii="Cambria" w:cs="Cambria" w:eastAsia="Cambria" w:hAnsi="Cambria"/>
          <w:color w:val="1A1A1A"/>
          <w:sz w:val="21"/>
          <w:szCs w:val="21"/>
        </w:rPr>
        <w:t xml:space="preserve">We do not sell your personal information, and we do not share your personal information for cross-context behavioral advertising as those terms are defined under applicable United States state privacy laws. We may disclose information as follows:</w:t>
      </w:r>
    </w:p>
    <w:p>
      <w:pPr>
        <w:pStyle w:val="ListParagraph"/>
        <w:numPr>
          <w:ilvl w:val="0"/>
          <w:numId w:val="2"/>
        </w:numPr>
        <w:spacing w:after="90" w:line="285"/>
        <w:jc w:val="both"/>
      </w:pPr>
      <w:r>
        <w:rPr>
          <w:rFonts w:ascii="Cambria" w:cs="Cambria" w:eastAsia="Cambria" w:hAnsi="Cambria"/>
          <w:color w:val="1A1A1A"/>
          <w:sz w:val="21"/>
          <w:szCs w:val="21"/>
        </w:rPr>
        <w:t xml:space="preserve">Service providers — with vendors that perform services on our behalf, such as website hosting, content delivery, security, email delivery, analytics, and technology support. These providers are permitted to use the information only to provide services to us.</w:t>
      </w:r>
    </w:p>
    <w:p>
      <w:pPr>
        <w:pStyle w:val="ListParagraph"/>
        <w:numPr>
          <w:ilvl w:val="0"/>
          <w:numId w:val="2"/>
        </w:numPr>
        <w:spacing w:after="90" w:line="285"/>
        <w:jc w:val="both"/>
      </w:pPr>
      <w:r>
        <w:rPr>
          <w:rFonts w:ascii="Cambria" w:cs="Cambria" w:eastAsia="Cambria" w:hAnsi="Cambria"/>
          <w:color w:val="1A1A1A"/>
          <w:sz w:val="21"/>
          <w:szCs w:val="21"/>
        </w:rPr>
        <w:t xml:space="preserve">Affiliates — with our parent, subsidiary, and affiliated entities, for the purposes described in this Privacy Policy.</w:t>
      </w:r>
    </w:p>
    <w:p>
      <w:pPr>
        <w:pStyle w:val="ListParagraph"/>
        <w:numPr>
          <w:ilvl w:val="0"/>
          <w:numId w:val="2"/>
        </w:numPr>
        <w:spacing w:after="90" w:line="285"/>
        <w:jc w:val="both"/>
      </w:pPr>
      <w:r>
        <w:rPr>
          <w:rFonts w:ascii="Cambria" w:cs="Cambria" w:eastAsia="Cambria" w:hAnsi="Cambria"/>
          <w:color w:val="1A1A1A"/>
          <w:sz w:val="21"/>
          <w:szCs w:val="21"/>
        </w:rPr>
        <w:t xml:space="preserve">Professional advisors — with our attorneys, accountants, auditors, insurers, and similar advisors, subject to duties of confidentiality.</w:t>
      </w:r>
    </w:p>
    <w:p>
      <w:pPr>
        <w:pStyle w:val="ListParagraph"/>
        <w:numPr>
          <w:ilvl w:val="0"/>
          <w:numId w:val="2"/>
        </w:numPr>
        <w:spacing w:after="90" w:line="285"/>
        <w:jc w:val="both"/>
      </w:pPr>
      <w:r>
        <w:rPr>
          <w:rFonts w:ascii="Cambria" w:cs="Cambria" w:eastAsia="Cambria" w:hAnsi="Cambria"/>
          <w:color w:val="1A1A1A"/>
          <w:sz w:val="21"/>
          <w:szCs w:val="21"/>
        </w:rPr>
        <w:t xml:space="preserve">Legal and safety — when we believe disclosure is required by applicable law, regulation, subpoena, court order, or other legal process, or is necessary to protect the rights, property, or safety of Prime Catalyst, our personnel, our investors, or others.</w:t>
      </w:r>
    </w:p>
    <w:p>
      <w:pPr>
        <w:pStyle w:val="ListParagraph"/>
        <w:numPr>
          <w:ilvl w:val="0"/>
          <w:numId w:val="2"/>
        </w:numPr>
        <w:spacing w:after="90" w:line="285"/>
        <w:jc w:val="both"/>
      </w:pPr>
      <w:r>
        <w:rPr>
          <w:rFonts w:ascii="Cambria" w:cs="Cambria" w:eastAsia="Cambria" w:hAnsi="Cambria"/>
          <w:color w:val="1A1A1A"/>
          <w:sz w:val="21"/>
          <w:szCs w:val="21"/>
        </w:rPr>
        <w:t xml:space="preserve">Business transfers — in connection with a merger, acquisition, financing, reorganization, sale of assets, or similar transaction, or in the course of due diligence for such a transaction.</w:t>
      </w:r>
    </w:p>
    <w:p>
      <w:pPr>
        <w:pStyle w:val="ListParagraph"/>
        <w:numPr>
          <w:ilvl w:val="0"/>
          <w:numId w:val="2"/>
        </w:numPr>
        <w:spacing w:after="90" w:line="285"/>
        <w:jc w:val="both"/>
      </w:pPr>
      <w:r>
        <w:rPr>
          <w:rFonts w:ascii="Cambria" w:cs="Cambria" w:eastAsia="Cambria" w:hAnsi="Cambria"/>
          <w:color w:val="1A1A1A"/>
          <w:sz w:val="21"/>
          <w:szCs w:val="21"/>
        </w:rPr>
        <w:t xml:space="preserve">With your direction or consent — in any other manner you authorize.</w:t>
      </w:r>
    </w:p>
    <w:p>
      <w:pPr>
        <w:pStyle w:val="Heading2"/>
        <w:keepNext/>
        <w:spacing w:after="110" w:before="300"/>
      </w:pPr>
      <w:r>
        <w:rPr>
          <w:rFonts w:ascii="Calibri" w:cs="Calibri" w:eastAsia="Calibri" w:hAnsi="Calibri"/>
          <w:b/>
          <w:bCs/>
          <w:color w:val="16294D"/>
          <w:sz w:val="23"/>
          <w:szCs w:val="23"/>
        </w:rPr>
        <w:t xml:space="preserve">6. Cookies and Similar Technologies</w:t>
      </w:r>
    </w:p>
    <w:p>
      <w:pPr>
        <w:spacing w:after="140" w:line="290"/>
        <w:jc w:val="both"/>
      </w:pPr>
      <w:r>
        <w:rPr>
          <w:rFonts w:ascii="Cambria" w:cs="Cambria" w:eastAsia="Cambria" w:hAnsi="Cambria"/>
          <w:color w:val="1A1A1A"/>
          <w:sz w:val="21"/>
          <w:szCs w:val="21"/>
        </w:rPr>
        <w:t xml:space="preserve">The Site uses cookies and similar technologies to function properly, to remember your preferences, and to help us understand how the Site is used. For a full description of the cookies we use and how to manage them, see the Cookie Policy included in this document and the Cookie Settings link available in the footer of the Site.</w:t>
      </w:r>
    </w:p>
    <w:p>
      <w:pPr>
        <w:pStyle w:val="Heading2"/>
        <w:keepNext/>
        <w:spacing w:after="110" w:before="300"/>
      </w:pPr>
      <w:r>
        <w:rPr>
          <w:rFonts w:ascii="Calibri" w:cs="Calibri" w:eastAsia="Calibri" w:hAnsi="Calibri"/>
          <w:b/>
          <w:bCs/>
          <w:color w:val="16294D"/>
          <w:sz w:val="23"/>
          <w:szCs w:val="23"/>
        </w:rPr>
        <w:t xml:space="preserve">7. Data Security</w:t>
      </w:r>
    </w:p>
    <w:p>
      <w:pPr>
        <w:spacing w:after="140" w:line="290"/>
        <w:jc w:val="both"/>
      </w:pPr>
      <w:r>
        <w:rPr>
          <w:rFonts w:ascii="Cambria" w:cs="Cambria" w:eastAsia="Cambria" w:hAnsi="Cambria"/>
          <w:color w:val="1A1A1A"/>
          <w:sz w:val="21"/>
          <w:szCs w:val="21"/>
        </w:rPr>
        <w:t xml:space="preserve">We maintain administrative, technical, and physical safeguards designed to protect information collected through the Site against accidental or unlawful destruction, loss, alteration, unauthorized disclosure, and unauthorized access. No method of transmission over the internet or method of electronic storage is completely secure, however, and we cannot guarantee the absolute security of any information. Any transmission of information to us is at your own risk.</w:t>
      </w:r>
    </w:p>
    <w:p>
      <w:pPr>
        <w:pStyle w:val="Heading2"/>
        <w:keepNext/>
        <w:spacing w:after="110" w:before="300"/>
      </w:pPr>
      <w:r>
        <w:rPr>
          <w:rFonts w:ascii="Calibri" w:cs="Calibri" w:eastAsia="Calibri" w:hAnsi="Calibri"/>
          <w:b/>
          <w:bCs/>
          <w:color w:val="16294D"/>
          <w:sz w:val="23"/>
          <w:szCs w:val="23"/>
        </w:rPr>
        <w:t xml:space="preserve">8. Data Retention</w:t>
      </w:r>
    </w:p>
    <w:p>
      <w:pPr>
        <w:spacing w:after="140" w:line="290"/>
        <w:jc w:val="both"/>
      </w:pPr>
      <w:r>
        <w:rPr>
          <w:rFonts w:ascii="Cambria" w:cs="Cambria" w:eastAsia="Cambria" w:hAnsi="Cambria"/>
          <w:color w:val="1A1A1A"/>
          <w:sz w:val="21"/>
          <w:szCs w:val="21"/>
        </w:rPr>
        <w:t xml:space="preserve">We retain personal information for as long as necessary to fulfill the purposes described in this Privacy Policy, unless a longer retention period is required or permitted by law. Criteria used to determine retention periods include the nature and sensitivity of the information, the purposes for which we process it, our legal and regulatory obligations, and applicable statutes of limitation. When information is no longer needed, we delete it or de-identify it.</w:t>
      </w:r>
    </w:p>
    <w:p>
      <w:pPr>
        <w:pStyle w:val="Heading2"/>
        <w:keepNext/>
        <w:spacing w:after="110" w:before="300"/>
      </w:pPr>
      <w:r>
        <w:rPr>
          <w:rFonts w:ascii="Calibri" w:cs="Calibri" w:eastAsia="Calibri" w:hAnsi="Calibri"/>
          <w:b/>
          <w:bCs/>
          <w:color w:val="16294D"/>
          <w:sz w:val="23"/>
          <w:szCs w:val="23"/>
        </w:rPr>
        <w:t xml:space="preserve">9. Your Choices</w:t>
      </w:r>
    </w:p>
    <w:p>
      <w:pPr>
        <w:pStyle w:val="ListParagraph"/>
        <w:numPr>
          <w:ilvl w:val="0"/>
          <w:numId w:val="2"/>
        </w:numPr>
        <w:spacing w:after="90" w:line="285"/>
        <w:jc w:val="both"/>
      </w:pPr>
      <w:r>
        <w:rPr>
          <w:rFonts w:ascii="Cambria" w:cs="Cambria" w:eastAsia="Cambria" w:hAnsi="Cambria"/>
          <w:color w:val="1A1A1A"/>
          <w:sz w:val="21"/>
          <w:szCs w:val="21"/>
        </w:rPr>
        <w:t xml:space="preserve">Email communications — you may unsubscribe from marketing or update emails at any time by using the unsubscribe link in the message or by contacting us at info@primecatalyst.com. We may still send you communications relating to an existing business relationship or as required by law.</w:t>
      </w:r>
    </w:p>
    <w:p>
      <w:pPr>
        <w:pStyle w:val="ListParagraph"/>
        <w:numPr>
          <w:ilvl w:val="0"/>
          <w:numId w:val="2"/>
        </w:numPr>
        <w:spacing w:after="90" w:line="285"/>
        <w:jc w:val="both"/>
      </w:pPr>
      <w:r>
        <w:rPr>
          <w:rFonts w:ascii="Cambria" w:cs="Cambria" w:eastAsia="Cambria" w:hAnsi="Cambria"/>
          <w:color w:val="1A1A1A"/>
          <w:sz w:val="21"/>
          <w:szCs w:val="21"/>
        </w:rPr>
        <w:t xml:space="preserve">Cookies — you may manage your cookie preferences through the Cookie Settings link in the Site footer and through your browser settings, as described in the Cookie Policy.</w:t>
      </w:r>
    </w:p>
    <w:p>
      <w:pPr>
        <w:pStyle w:val="ListParagraph"/>
        <w:numPr>
          <w:ilvl w:val="0"/>
          <w:numId w:val="2"/>
        </w:numPr>
        <w:spacing w:after="90" w:line="285"/>
        <w:jc w:val="both"/>
      </w:pPr>
      <w:r>
        <w:rPr>
          <w:rFonts w:ascii="Cambria" w:cs="Cambria" w:eastAsia="Cambria" w:hAnsi="Cambria"/>
          <w:color w:val="1A1A1A"/>
          <w:sz w:val="21"/>
          <w:szCs w:val="21"/>
        </w:rPr>
        <w:t xml:space="preserve">Access and correction — you may contact us to request access to, correction of, or deletion of information you have provided to us.</w:t>
      </w:r>
    </w:p>
    <w:p>
      <w:pPr>
        <w:pStyle w:val="Heading2"/>
        <w:keepNext/>
        <w:spacing w:after="110" w:before="300"/>
      </w:pPr>
      <w:r>
        <w:rPr>
          <w:rFonts w:ascii="Calibri" w:cs="Calibri" w:eastAsia="Calibri" w:hAnsi="Calibri"/>
          <w:b/>
          <w:bCs/>
          <w:color w:val="16294D"/>
          <w:sz w:val="23"/>
          <w:szCs w:val="23"/>
        </w:rPr>
        <w:t xml:space="preserve">10. Your Privacy Rights</w:t>
      </w:r>
    </w:p>
    <w:p>
      <w:pPr>
        <w:pStyle w:val="Heading3"/>
        <w:keepNext/>
        <w:spacing w:after="90" w:before="220"/>
      </w:pPr>
      <w:r>
        <w:rPr>
          <w:rFonts w:ascii="Calibri" w:cs="Calibri" w:eastAsia="Calibri" w:hAnsi="Calibri"/>
          <w:b/>
          <w:bCs/>
          <w:color w:val="3A4A6B"/>
          <w:sz w:val="21"/>
          <w:szCs w:val="21"/>
        </w:rPr>
        <w:t xml:space="preserve">10.1 United States State Privacy Rights</w:t>
      </w:r>
    </w:p>
    <w:p>
      <w:pPr>
        <w:spacing w:after="140" w:line="290"/>
        <w:jc w:val="both"/>
      </w:pPr>
      <w:r>
        <w:rPr>
          <w:rFonts w:ascii="Cambria" w:cs="Cambria" w:eastAsia="Cambria" w:hAnsi="Cambria"/>
          <w:color w:val="1A1A1A"/>
          <w:sz w:val="21"/>
          <w:szCs w:val="21"/>
        </w:rPr>
        <w:t xml:space="preserve">Residents of California, Colorado, Connecticut, Virginia, and other states with comprehensive privacy laws may have the right, subject to the exceptions and limitations in those laws, to:</w:t>
      </w:r>
    </w:p>
    <w:p>
      <w:pPr>
        <w:pStyle w:val="ListParagraph"/>
        <w:numPr>
          <w:ilvl w:val="0"/>
          <w:numId w:val="2"/>
        </w:numPr>
        <w:spacing w:after="90" w:line="285"/>
        <w:jc w:val="both"/>
      </w:pPr>
      <w:r>
        <w:rPr>
          <w:rFonts w:ascii="Cambria" w:cs="Cambria" w:eastAsia="Cambria" w:hAnsi="Cambria"/>
          <w:color w:val="1A1A1A"/>
          <w:sz w:val="21"/>
          <w:szCs w:val="21"/>
        </w:rPr>
        <w:t xml:space="preserve">Confirm whether we process personal information about them and access that information;</w:t>
      </w:r>
    </w:p>
    <w:p>
      <w:pPr>
        <w:pStyle w:val="ListParagraph"/>
        <w:numPr>
          <w:ilvl w:val="0"/>
          <w:numId w:val="2"/>
        </w:numPr>
        <w:spacing w:after="90" w:line="285"/>
        <w:jc w:val="both"/>
      </w:pPr>
      <w:r>
        <w:rPr>
          <w:rFonts w:ascii="Cambria" w:cs="Cambria" w:eastAsia="Cambria" w:hAnsi="Cambria"/>
          <w:color w:val="1A1A1A"/>
          <w:sz w:val="21"/>
          <w:szCs w:val="21"/>
        </w:rPr>
        <w:t xml:space="preserve">Obtain a copy of their personal information in a portable format;</w:t>
      </w:r>
    </w:p>
    <w:p>
      <w:pPr>
        <w:pStyle w:val="ListParagraph"/>
        <w:numPr>
          <w:ilvl w:val="0"/>
          <w:numId w:val="2"/>
        </w:numPr>
        <w:spacing w:after="90" w:line="285"/>
        <w:jc w:val="both"/>
      </w:pPr>
      <w:r>
        <w:rPr>
          <w:rFonts w:ascii="Cambria" w:cs="Cambria" w:eastAsia="Cambria" w:hAnsi="Cambria"/>
          <w:color w:val="1A1A1A"/>
          <w:sz w:val="21"/>
          <w:szCs w:val="21"/>
        </w:rPr>
        <w:t xml:space="preserve">Correct inaccuracies in their personal information;</w:t>
      </w:r>
    </w:p>
    <w:p>
      <w:pPr>
        <w:pStyle w:val="ListParagraph"/>
        <w:numPr>
          <w:ilvl w:val="0"/>
          <w:numId w:val="2"/>
        </w:numPr>
        <w:spacing w:after="90" w:line="285"/>
        <w:jc w:val="both"/>
      </w:pPr>
      <w:r>
        <w:rPr>
          <w:rFonts w:ascii="Cambria" w:cs="Cambria" w:eastAsia="Cambria" w:hAnsi="Cambria"/>
          <w:color w:val="1A1A1A"/>
          <w:sz w:val="21"/>
          <w:szCs w:val="21"/>
        </w:rPr>
        <w:t xml:space="preserve">Request deletion of their personal information;</w:t>
      </w:r>
    </w:p>
    <w:p>
      <w:pPr>
        <w:pStyle w:val="ListParagraph"/>
        <w:numPr>
          <w:ilvl w:val="0"/>
          <w:numId w:val="2"/>
        </w:numPr>
        <w:spacing w:after="90" w:line="285"/>
        <w:jc w:val="both"/>
      </w:pPr>
      <w:r>
        <w:rPr>
          <w:rFonts w:ascii="Cambria" w:cs="Cambria" w:eastAsia="Cambria" w:hAnsi="Cambria"/>
          <w:color w:val="1A1A1A"/>
          <w:sz w:val="21"/>
          <w:szCs w:val="21"/>
        </w:rPr>
        <w:t xml:space="preserve">Opt out of the sale of personal information, targeted advertising, and certain profiling. As noted above, we do not sell personal information or use it for targeted advertising; and</w:t>
      </w:r>
    </w:p>
    <w:p>
      <w:pPr>
        <w:pStyle w:val="ListParagraph"/>
        <w:numPr>
          <w:ilvl w:val="0"/>
          <w:numId w:val="2"/>
        </w:numPr>
        <w:spacing w:after="90" w:line="285"/>
        <w:jc w:val="both"/>
      </w:pPr>
      <w:r>
        <w:rPr>
          <w:rFonts w:ascii="Cambria" w:cs="Cambria" w:eastAsia="Cambria" w:hAnsi="Cambria"/>
          <w:color w:val="1A1A1A"/>
          <w:sz w:val="21"/>
          <w:szCs w:val="21"/>
        </w:rPr>
        <w:t xml:space="preserve">Not receive discriminatory treatment for exercising these rights.</w:t>
      </w:r>
    </w:p>
    <w:p>
      <w:pPr>
        <w:spacing w:after="140" w:line="290"/>
        <w:jc w:val="both"/>
      </w:pPr>
      <w:r>
        <w:rPr>
          <w:rFonts w:ascii="Cambria" w:cs="Cambria" w:eastAsia="Cambria" w:hAnsi="Cambria"/>
          <w:color w:val="1A1A1A"/>
          <w:sz w:val="21"/>
          <w:szCs w:val="21"/>
        </w:rPr>
        <w:t xml:space="preserve">California residents may also request disclosure of the categories of personal information we collected, the categories of sources, the business purposes for collection, and the categories of third parties to whom we disclosed personal information in the preceding twelve months. That information is described in Sections 2, 3, and 5 above.</w:t>
      </w:r>
    </w:p>
    <w:p>
      <w:pPr>
        <w:pStyle w:val="Heading3"/>
        <w:keepNext/>
        <w:spacing w:after="90" w:before="220"/>
      </w:pPr>
      <w:r>
        <w:rPr>
          <w:rFonts w:ascii="Calibri" w:cs="Calibri" w:eastAsia="Calibri" w:hAnsi="Calibri"/>
          <w:b/>
          <w:bCs/>
          <w:color w:val="3A4A6B"/>
          <w:sz w:val="21"/>
          <w:szCs w:val="21"/>
        </w:rPr>
        <w:t xml:space="preserve">10.2 EEA, UK, and Swiss Privacy Rights</w:t>
      </w:r>
    </w:p>
    <w:p>
      <w:pPr>
        <w:spacing w:after="140" w:line="290"/>
        <w:jc w:val="both"/>
      </w:pPr>
      <w:r>
        <w:rPr>
          <w:rFonts w:ascii="Cambria" w:cs="Cambria" w:eastAsia="Cambria" w:hAnsi="Cambria"/>
          <w:color w:val="1A1A1A"/>
          <w:sz w:val="21"/>
          <w:szCs w:val="21"/>
        </w:rPr>
        <w:t xml:space="preserve">If you are located in the EEA, the UK, or Switzerland, you may have the right to request access to, rectification of, or erasure of your personal data; to restrict or object to our processing; to data portability; and to withdraw consent where processing is based on consent. You also have the right to lodge a complaint with your local supervisory authority.</w:t>
      </w:r>
    </w:p>
    <w:p>
      <w:pPr>
        <w:pStyle w:val="Heading3"/>
        <w:keepNext/>
        <w:spacing w:after="90" w:before="220"/>
      </w:pPr>
      <w:r>
        <w:rPr>
          <w:rFonts w:ascii="Calibri" w:cs="Calibri" w:eastAsia="Calibri" w:hAnsi="Calibri"/>
          <w:b/>
          <w:bCs/>
          <w:color w:val="3A4A6B"/>
          <w:sz w:val="21"/>
          <w:szCs w:val="21"/>
        </w:rPr>
        <w:t xml:space="preserve">10.3 How to Exercise Your Rights</w:t>
      </w:r>
    </w:p>
    <w:p>
      <w:pPr>
        <w:spacing w:after="140" w:line="290"/>
        <w:jc w:val="both"/>
      </w:pPr>
      <w:r>
        <w:rPr>
          <w:rFonts w:ascii="Cambria" w:cs="Cambria" w:eastAsia="Cambria" w:hAnsi="Cambria"/>
          <w:color w:val="1A1A1A"/>
          <w:sz w:val="21"/>
          <w:szCs w:val="21"/>
        </w:rPr>
        <w:t xml:space="preserve">To exercise any of these rights, contact us at info@primecatalyst.com with the subject line "Privacy Request." We will verify your request by asking for information sufficient to confirm your identity, which we will use only for verification purposes. An authorized agent may submit a request on your behalf with proof of authorization. We will respond within the time period required by applicable law.</w:t>
      </w:r>
    </w:p>
    <w:p>
      <w:pPr>
        <w:pStyle w:val="Heading2"/>
        <w:keepNext/>
        <w:spacing w:after="110" w:before="300"/>
      </w:pPr>
      <w:r>
        <w:rPr>
          <w:rFonts w:ascii="Calibri" w:cs="Calibri" w:eastAsia="Calibri" w:hAnsi="Calibri"/>
          <w:b/>
          <w:bCs/>
          <w:color w:val="16294D"/>
          <w:sz w:val="23"/>
          <w:szCs w:val="23"/>
        </w:rPr>
        <w:t xml:space="preserve">11. Do Not Track and Global Privacy Control</w:t>
      </w:r>
    </w:p>
    <w:p>
      <w:pPr>
        <w:spacing w:after="140" w:line="290"/>
        <w:jc w:val="both"/>
      </w:pPr>
      <w:r>
        <w:rPr>
          <w:rFonts w:ascii="Cambria" w:cs="Cambria" w:eastAsia="Cambria" w:hAnsi="Cambria"/>
          <w:color w:val="1A1A1A"/>
          <w:sz w:val="21"/>
          <w:szCs w:val="21"/>
        </w:rPr>
        <w:t xml:space="preserve">Some browsers transmit "Do Not Track" signals. There is no common industry standard for how to respond to these signals, and the Site does not currently respond to them. Where required by applicable law, we honor opt-out preference signals such as the Global Privacy Control (GPC) transmitted by your browser or device.</w:t>
      </w:r>
    </w:p>
    <w:p>
      <w:pPr>
        <w:pStyle w:val="Heading2"/>
        <w:keepNext/>
        <w:spacing w:after="110" w:before="300"/>
      </w:pPr>
      <w:r>
        <w:rPr>
          <w:rFonts w:ascii="Calibri" w:cs="Calibri" w:eastAsia="Calibri" w:hAnsi="Calibri"/>
          <w:b/>
          <w:bCs/>
          <w:color w:val="16294D"/>
          <w:sz w:val="23"/>
          <w:szCs w:val="23"/>
        </w:rPr>
        <w:t xml:space="preserve">12. Children’s Privacy</w:t>
      </w:r>
    </w:p>
    <w:p>
      <w:pPr>
        <w:spacing w:after="140" w:line="290"/>
        <w:jc w:val="both"/>
      </w:pPr>
      <w:r>
        <w:rPr>
          <w:rFonts w:ascii="Cambria" w:cs="Cambria" w:eastAsia="Cambria" w:hAnsi="Cambria"/>
          <w:color w:val="1A1A1A"/>
          <w:sz w:val="21"/>
          <w:szCs w:val="21"/>
        </w:rPr>
        <w:t xml:space="preserve">The Site is intended for adults and is not directed to children. We do not knowingly collect personal information from anyone under the age of eighteen. If you believe a child has provided us with personal information, please contact us at info@primecatalyst.com and we will take appropriate steps to delete it.</w:t>
      </w:r>
    </w:p>
    <w:p>
      <w:pPr>
        <w:pStyle w:val="Heading2"/>
        <w:keepNext/>
        <w:spacing w:after="110" w:before="300"/>
      </w:pPr>
      <w:r>
        <w:rPr>
          <w:rFonts w:ascii="Calibri" w:cs="Calibri" w:eastAsia="Calibri" w:hAnsi="Calibri"/>
          <w:b/>
          <w:bCs/>
          <w:color w:val="16294D"/>
          <w:sz w:val="23"/>
          <w:szCs w:val="23"/>
        </w:rPr>
        <w:t xml:space="preserve">13. Third-Party Websites and Links</w:t>
      </w:r>
    </w:p>
    <w:p>
      <w:pPr>
        <w:spacing w:after="140" w:line="290"/>
        <w:jc w:val="both"/>
      </w:pPr>
      <w:r>
        <w:rPr>
          <w:rFonts w:ascii="Cambria" w:cs="Cambria" w:eastAsia="Cambria" w:hAnsi="Cambria"/>
          <w:color w:val="1A1A1A"/>
          <w:sz w:val="21"/>
          <w:szCs w:val="21"/>
        </w:rPr>
        <w:t xml:space="preserve">The Site may contain links to third-party websites, services, or resources. We are not responsible for the privacy practices or content of those third parties. We encourage you to review the privacy policy of any third-party site you visit.</w:t>
      </w:r>
    </w:p>
    <w:p>
      <w:pPr>
        <w:pStyle w:val="Heading2"/>
        <w:keepNext/>
        <w:spacing w:after="110" w:before="300"/>
      </w:pPr>
      <w:r>
        <w:rPr>
          <w:rFonts w:ascii="Calibri" w:cs="Calibri" w:eastAsia="Calibri" w:hAnsi="Calibri"/>
          <w:b/>
          <w:bCs/>
          <w:color w:val="16294D"/>
          <w:sz w:val="23"/>
          <w:szCs w:val="23"/>
        </w:rPr>
        <w:t xml:space="preserve">14. International Visitors</w:t>
      </w:r>
    </w:p>
    <w:p>
      <w:pPr>
        <w:spacing w:after="140" w:line="290"/>
        <w:jc w:val="both"/>
      </w:pPr>
      <w:r>
        <w:rPr>
          <w:rFonts w:ascii="Cambria" w:cs="Cambria" w:eastAsia="Cambria" w:hAnsi="Cambria"/>
          <w:color w:val="1A1A1A"/>
          <w:sz w:val="21"/>
          <w:szCs w:val="21"/>
        </w:rPr>
        <w:t xml:space="preserve">Prime Catalyst is based in the United States, and the Site is hosted and operated in the United States. If you access the Site from outside the United States, you understand that your information may be transferred to, stored, and processed in the United States and other countries where our service providers operate, and that the data protection laws of those countries may differ from those of your jurisdiction. Where required, we implement appropriate safeguards for such transfers.</w:t>
      </w:r>
    </w:p>
    <w:p>
      <w:pPr>
        <w:pStyle w:val="Heading2"/>
        <w:keepNext/>
        <w:spacing w:after="110" w:before="300"/>
      </w:pPr>
      <w:r>
        <w:rPr>
          <w:rFonts w:ascii="Calibri" w:cs="Calibri" w:eastAsia="Calibri" w:hAnsi="Calibri"/>
          <w:b/>
          <w:bCs/>
          <w:color w:val="16294D"/>
          <w:sz w:val="23"/>
          <w:szCs w:val="23"/>
        </w:rPr>
        <w:t xml:space="preserve">15. Changes to This Privacy Policy</w:t>
      </w:r>
    </w:p>
    <w:p>
      <w:pPr>
        <w:spacing w:after="140" w:line="290"/>
        <w:jc w:val="both"/>
      </w:pPr>
      <w:r>
        <w:rPr>
          <w:rFonts w:ascii="Cambria" w:cs="Cambria" w:eastAsia="Cambria" w:hAnsi="Cambria"/>
          <w:color w:val="1A1A1A"/>
          <w:sz w:val="21"/>
          <w:szCs w:val="21"/>
        </w:rPr>
        <w:t xml:space="preserve">We may update this Privacy Policy from time to time. When we do, we will revise the "Last Updated" date above and post the revised policy on the Site. If we make material changes, we will provide additional notice as required by applicable law. Your continued use of the Site after the revised policy is posted constitutes your acknowledgement of the changes.</w:t>
      </w:r>
    </w:p>
    <w:p>
      <w:pPr>
        <w:pStyle w:val="Heading2"/>
        <w:keepNext/>
        <w:spacing w:after="110" w:before="300"/>
      </w:pPr>
      <w:r>
        <w:rPr>
          <w:rFonts w:ascii="Calibri" w:cs="Calibri" w:eastAsia="Calibri" w:hAnsi="Calibri"/>
          <w:b/>
          <w:bCs/>
          <w:color w:val="16294D"/>
          <w:sz w:val="23"/>
          <w:szCs w:val="23"/>
        </w:rPr>
        <w:t xml:space="preserve">16. Contact Us</w:t>
      </w:r>
    </w:p>
    <w:p>
      <w:pPr>
        <w:spacing w:after="140" w:line="290"/>
        <w:jc w:val="both"/>
      </w:pPr>
      <w:r>
        <w:rPr>
          <w:rFonts w:ascii="Cambria" w:cs="Cambria" w:eastAsia="Cambria" w:hAnsi="Cambria"/>
          <w:color w:val="1A1A1A"/>
          <w:sz w:val="21"/>
          <w:szCs w:val="21"/>
        </w:rPr>
        <w:t xml:space="preserve">If you have questions or concerns about this Privacy Policy or our privacy practices, contact us at:</w:t>
      </w:r>
    </w:p>
    <w:p>
      <w:pPr>
        <w:spacing w:after="140" w:line="290"/>
        <w:jc w:val="both"/>
      </w:pPr>
      <w:r>
        <w:rPr>
          <w:rFonts w:ascii="Cambria" w:cs="Cambria" w:eastAsia="Cambria" w:hAnsi="Cambria"/>
          <w:color w:val="1A1A1A"/>
          <w:sz w:val="21"/>
          <w:szCs w:val="21"/>
        </w:rPr>
        <w:t xml:space="preserve">Prime Catalyst, LLC</w:t>
      </w:r>
    </w:p>
    <w:p>
      <w:pPr>
        <w:spacing w:after="140" w:line="290"/>
        <w:jc w:val="both"/>
      </w:pPr>
      <w:r>
        <w:rPr>
          <w:rFonts w:ascii="Cambria" w:cs="Cambria" w:eastAsia="Cambria" w:hAnsi="Cambria"/>
          <w:color w:val="1A1A1A"/>
          <w:sz w:val="21"/>
          <w:szCs w:val="21"/>
        </w:rPr>
        <w:t xml:space="preserve">[MAILING ADDRESS]</w:t>
      </w:r>
    </w:p>
    <w:p>
      <w:pPr>
        <w:spacing w:after="140" w:line="290"/>
        <w:jc w:val="both"/>
      </w:pPr>
      <w:r>
        <w:rPr>
          <w:rFonts w:ascii="Cambria" w:cs="Cambria" w:eastAsia="Cambria" w:hAnsi="Cambria"/>
          <w:color w:val="1A1A1A"/>
          <w:sz w:val="21"/>
          <w:szCs w:val="21"/>
        </w:rPr>
        <w:t xml:space="preserve">Email: info@primecatalyst.com</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II. Terms of Use</w:t>
      </w:r>
    </w:p>
    <w:p>
      <w:pPr>
        <w:spacing w:after="140" w:line="290"/>
        <w:jc w:val="both"/>
      </w:pPr>
      <w:r>
        <w:rPr>
          <w:rFonts w:ascii="Cambria" w:cs="Cambria" w:eastAsia="Cambria" w:hAnsi="Cambria"/>
          <w:color w:val="1A1A1A"/>
          <w:sz w:val="21"/>
          <w:szCs w:val="21"/>
        </w:rPr>
        <w:t xml:space="preserve">Effective Date: [EFFECTIVE DATE]</w:t>
      </w:r>
    </w:p>
    <w:p>
      <w:pPr>
        <w:spacing w:after="140" w:line="290"/>
        <w:jc w:val="both"/>
      </w:pPr>
      <w:r>
        <w:rPr>
          <w:rFonts w:ascii="Cambria" w:cs="Cambria" w:eastAsia="Cambria" w:hAnsi="Cambria"/>
          <w:color w:val="1A1A1A"/>
          <w:sz w:val="21"/>
          <w:szCs w:val="21"/>
        </w:rPr>
        <w:t xml:space="preserve">Last Updated: [EFFECTIVE DATE]</w:t>
      </w:r>
    </w:p>
    <w:p>
      <w:pPr>
        <w:spacing w:after="140" w:line="290"/>
        <w:jc w:val="both"/>
      </w:pPr>
      <w:r>
        <w:rPr>
          <w:rFonts w:ascii="Cambria" w:cs="Cambria" w:eastAsia="Cambria" w:hAnsi="Cambria"/>
          <w:color w:val="1A1A1A"/>
          <w:sz w:val="21"/>
          <w:szCs w:val="21"/>
        </w:rPr>
        <w:t xml:space="preserve">These Terms of Use ("Terms") govern your access to and use of [WEBSITE URL] and any content, functionality, and services offered on or through it (the "Site"), operated by Prime Catalyst, LLC ("Prime Catalyst," "we," "us," or "our").</w:t>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PLEASE READ THESE TERMS CAREFULLY. BY ACCESSING OR USING THE SITE, YOU AGREE TO BE BOUND BY THESE TERMS AND BY OUR PRIVACY POLICY. IF YOU DO NOT AGREE, DO NOT ACCESS OR USE THE SITE.</w:t>
            </w:r>
          </w:p>
        </w:tc>
      </w:tr>
    </w:tbl>
    <w:p>
      <w:pPr>
        <w:spacing w:after="200"/>
      </w:pPr>
    </w:p>
    <w:p>
      <w:pPr>
        <w:pStyle w:val="Heading2"/>
        <w:keepNext/>
        <w:spacing w:after="110" w:before="300"/>
      </w:pPr>
      <w:r>
        <w:rPr>
          <w:rFonts w:ascii="Calibri" w:cs="Calibri" w:eastAsia="Calibri" w:hAnsi="Calibri"/>
          <w:b/>
          <w:bCs/>
          <w:color w:val="16294D"/>
          <w:sz w:val="23"/>
          <w:szCs w:val="23"/>
        </w:rPr>
        <w:t xml:space="preserve">1. Acceptance and Eligibility</w:t>
      </w:r>
    </w:p>
    <w:p>
      <w:pPr>
        <w:spacing w:after="140" w:line="290"/>
        <w:jc w:val="both"/>
      </w:pPr>
      <w:r>
        <w:rPr>
          <w:rFonts w:ascii="Cambria" w:cs="Cambria" w:eastAsia="Cambria" w:hAnsi="Cambria"/>
          <w:color w:val="1A1A1A"/>
          <w:sz w:val="21"/>
          <w:szCs w:val="21"/>
        </w:rPr>
        <w:t xml:space="preserve">You represent that you are at least eighteen years of age and have the legal capacity to enter into these Terms. If you are accessing the Site on behalf of an entity, you represent that you are authorized to bind that entity to these Terms, and "you" refers to both you and that entity.</w:t>
      </w:r>
    </w:p>
    <w:p>
      <w:pPr>
        <w:spacing w:after="140" w:line="290"/>
        <w:jc w:val="both"/>
      </w:pPr>
      <w:r>
        <w:rPr>
          <w:rFonts w:ascii="Cambria" w:cs="Cambria" w:eastAsia="Cambria" w:hAnsi="Cambria"/>
          <w:color w:val="1A1A1A"/>
          <w:sz w:val="21"/>
          <w:szCs w:val="21"/>
        </w:rPr>
        <w:t xml:space="preserve">The Site is intended for access from within the United States. We make no representation that the Site or its content is appropriate or available for use in other jurisdictions. If you access the Site from outside the United States, you do so on your own initiative and are responsible for compliance with applicable local law.</w:t>
      </w:r>
    </w:p>
    <w:p>
      <w:pPr>
        <w:pStyle w:val="Heading2"/>
        <w:keepNext/>
        <w:spacing w:after="110" w:before="300"/>
      </w:pPr>
      <w:r>
        <w:rPr>
          <w:rFonts w:ascii="Calibri" w:cs="Calibri" w:eastAsia="Calibri" w:hAnsi="Calibri"/>
          <w:b/>
          <w:bCs/>
          <w:color w:val="16294D"/>
          <w:sz w:val="23"/>
          <w:szCs w:val="23"/>
        </w:rPr>
        <w:t xml:space="preserve">2. No Offer of Securities; No Advisory Relationship</w:t>
      </w:r>
    </w:p>
    <w:p>
      <w:pPr>
        <w:spacing w:after="140" w:line="290"/>
        <w:jc w:val="both"/>
      </w:pPr>
      <w:r>
        <w:rPr>
          <w:rFonts w:ascii="Cambria" w:cs="Cambria" w:eastAsia="Cambria" w:hAnsi="Cambria"/>
          <w:color w:val="1A1A1A"/>
          <w:sz w:val="21"/>
          <w:szCs w:val="21"/>
        </w:rPr>
        <w:t xml:space="preserve">The Site is provided for general informational purposes only. Nothing on the Site constitutes an offer to sell, or the solicitation of an offer to buy, any security or investment product, nor does anything on the Site constitute investment, legal, tax, or accounting advice. No advisory, fiduciary, or client relationship is created by your use of the Site or by any communication you send through it. These matters are addressed in full in the Website and Investment Disclaimer included in this document, which is incorporated into these Terms by reference.</w:t>
      </w:r>
    </w:p>
    <w:p>
      <w:pPr>
        <w:pStyle w:val="Heading2"/>
        <w:keepNext/>
        <w:spacing w:after="110" w:before="300"/>
      </w:pPr>
      <w:r>
        <w:rPr>
          <w:rFonts w:ascii="Calibri" w:cs="Calibri" w:eastAsia="Calibri" w:hAnsi="Calibri"/>
          <w:b/>
          <w:bCs/>
          <w:color w:val="16294D"/>
          <w:sz w:val="23"/>
          <w:szCs w:val="23"/>
        </w:rPr>
        <w:t xml:space="preserve">3. Limited License and Permitted Use</w:t>
      </w:r>
    </w:p>
    <w:p>
      <w:pPr>
        <w:spacing w:after="140" w:line="290"/>
        <w:jc w:val="both"/>
      </w:pPr>
      <w:r>
        <w:rPr>
          <w:rFonts w:ascii="Cambria" w:cs="Cambria" w:eastAsia="Cambria" w:hAnsi="Cambria"/>
          <w:color w:val="1A1A1A"/>
          <w:sz w:val="21"/>
          <w:szCs w:val="21"/>
        </w:rPr>
        <w:t xml:space="preserve">Subject to your compliance with these Terms, we grant you a limited, revocable, non-exclusive, non-transferable, non-sublicensable license to access and use the Site for your own personal, non-commercial, informational purposes. You may view and print individual pages for your personal reference, provided you do not remove or alter any copyright, trademark, or other proprietary notices.</w:t>
      </w:r>
    </w:p>
    <w:p>
      <w:pPr>
        <w:pStyle w:val="Heading2"/>
        <w:keepNext/>
        <w:spacing w:after="110" w:before="300"/>
      </w:pPr>
      <w:r>
        <w:rPr>
          <w:rFonts w:ascii="Calibri" w:cs="Calibri" w:eastAsia="Calibri" w:hAnsi="Calibri"/>
          <w:b/>
          <w:bCs/>
          <w:color w:val="16294D"/>
          <w:sz w:val="23"/>
          <w:szCs w:val="23"/>
        </w:rPr>
        <w:t xml:space="preserve">4. Prohibited Conduct</w:t>
      </w:r>
    </w:p>
    <w:p>
      <w:pPr>
        <w:spacing w:after="140" w:line="290"/>
        <w:jc w:val="both"/>
      </w:pPr>
      <w:r>
        <w:rPr>
          <w:rFonts w:ascii="Cambria" w:cs="Cambria" w:eastAsia="Cambria" w:hAnsi="Cambria"/>
          <w:color w:val="1A1A1A"/>
          <w:sz w:val="21"/>
          <w:szCs w:val="21"/>
        </w:rPr>
        <w:t xml:space="preserve">You agree that you will not, and will not permit any other person to:</w:t>
      </w:r>
    </w:p>
    <w:p>
      <w:pPr>
        <w:pStyle w:val="ListParagraph"/>
        <w:numPr>
          <w:ilvl w:val="0"/>
          <w:numId w:val="2"/>
        </w:numPr>
        <w:spacing w:after="90" w:line="285"/>
        <w:jc w:val="both"/>
      </w:pPr>
      <w:r>
        <w:rPr>
          <w:rFonts w:ascii="Cambria" w:cs="Cambria" w:eastAsia="Cambria" w:hAnsi="Cambria"/>
          <w:color w:val="1A1A1A"/>
          <w:sz w:val="21"/>
          <w:szCs w:val="21"/>
        </w:rPr>
        <w:t xml:space="preserve">Use the Site in any manner that violates applicable law or regulation, or that infringes or misappropriates the rights of any person;</w:t>
      </w:r>
    </w:p>
    <w:p>
      <w:pPr>
        <w:pStyle w:val="ListParagraph"/>
        <w:numPr>
          <w:ilvl w:val="0"/>
          <w:numId w:val="2"/>
        </w:numPr>
        <w:spacing w:after="90" w:line="285"/>
        <w:jc w:val="both"/>
      </w:pPr>
      <w:r>
        <w:rPr>
          <w:rFonts w:ascii="Cambria" w:cs="Cambria" w:eastAsia="Cambria" w:hAnsi="Cambria"/>
          <w:color w:val="1A1A1A"/>
          <w:sz w:val="21"/>
          <w:szCs w:val="21"/>
        </w:rPr>
        <w:t xml:space="preserve">Reproduce, duplicate, copy, sell, resell, republish, distribute, or otherwise exploit any portion of the Site or its content for any commercial purpose without our prior written consent;</w:t>
      </w:r>
    </w:p>
    <w:p>
      <w:pPr>
        <w:pStyle w:val="ListParagraph"/>
        <w:numPr>
          <w:ilvl w:val="0"/>
          <w:numId w:val="2"/>
        </w:numPr>
        <w:spacing w:after="90" w:line="285"/>
        <w:jc w:val="both"/>
      </w:pPr>
      <w:r>
        <w:rPr>
          <w:rFonts w:ascii="Cambria" w:cs="Cambria" w:eastAsia="Cambria" w:hAnsi="Cambria"/>
          <w:color w:val="1A1A1A"/>
          <w:sz w:val="21"/>
          <w:szCs w:val="21"/>
        </w:rPr>
        <w:t xml:space="preserve">Use any robot, spider, scraper, crawler, or other automated means to access the Site, or to collect, harvest, or extract data from the Site, except for search engine indexing consistent with our robots.txt file;</w:t>
      </w:r>
    </w:p>
    <w:p>
      <w:pPr>
        <w:pStyle w:val="ListParagraph"/>
        <w:numPr>
          <w:ilvl w:val="0"/>
          <w:numId w:val="2"/>
        </w:numPr>
        <w:spacing w:after="90" w:line="285"/>
        <w:jc w:val="both"/>
      </w:pPr>
      <w:r>
        <w:rPr>
          <w:rFonts w:ascii="Cambria" w:cs="Cambria" w:eastAsia="Cambria" w:hAnsi="Cambria"/>
          <w:color w:val="1A1A1A"/>
          <w:sz w:val="21"/>
          <w:szCs w:val="21"/>
        </w:rPr>
        <w:t xml:space="preserve">Use content from the Site to train, fine-tune, or otherwise develop any machine learning or artificial intelligence model without our prior written consent;</w:t>
      </w:r>
    </w:p>
    <w:p>
      <w:pPr>
        <w:pStyle w:val="ListParagraph"/>
        <w:numPr>
          <w:ilvl w:val="0"/>
          <w:numId w:val="2"/>
        </w:numPr>
        <w:spacing w:after="90" w:line="285"/>
        <w:jc w:val="both"/>
      </w:pPr>
      <w:r>
        <w:rPr>
          <w:rFonts w:ascii="Cambria" w:cs="Cambria" w:eastAsia="Cambria" w:hAnsi="Cambria"/>
          <w:color w:val="1A1A1A"/>
          <w:sz w:val="21"/>
          <w:szCs w:val="21"/>
        </w:rPr>
        <w:t xml:space="preserve">Attempt to gain unauthorized access to the Site, its servers, or any systems or networks connected to the Site, or attempt to probe, scan, or test the vulnerability of any such system;</w:t>
      </w:r>
    </w:p>
    <w:p>
      <w:pPr>
        <w:pStyle w:val="ListParagraph"/>
        <w:numPr>
          <w:ilvl w:val="0"/>
          <w:numId w:val="2"/>
        </w:numPr>
        <w:spacing w:after="90" w:line="285"/>
        <w:jc w:val="both"/>
      </w:pPr>
      <w:r>
        <w:rPr>
          <w:rFonts w:ascii="Cambria" w:cs="Cambria" w:eastAsia="Cambria" w:hAnsi="Cambria"/>
          <w:color w:val="1A1A1A"/>
          <w:sz w:val="21"/>
          <w:szCs w:val="21"/>
        </w:rPr>
        <w:t xml:space="preserve">Introduce any virus, malware, or other malicious or technologically harmful material, or take any action that imposes an unreasonable or disproportionately large load on our infrastructure;</w:t>
      </w:r>
    </w:p>
    <w:p>
      <w:pPr>
        <w:pStyle w:val="ListParagraph"/>
        <w:numPr>
          <w:ilvl w:val="0"/>
          <w:numId w:val="2"/>
        </w:numPr>
        <w:spacing w:after="90" w:line="285"/>
        <w:jc w:val="both"/>
      </w:pPr>
      <w:r>
        <w:rPr>
          <w:rFonts w:ascii="Cambria" w:cs="Cambria" w:eastAsia="Cambria" w:hAnsi="Cambria"/>
          <w:color w:val="1A1A1A"/>
          <w:sz w:val="21"/>
          <w:szCs w:val="21"/>
        </w:rPr>
        <w:t xml:space="preserve">Interfere with, disable, or circumvent any security, access control, or use limitation feature of the Site;</w:t>
      </w:r>
    </w:p>
    <w:p>
      <w:pPr>
        <w:pStyle w:val="ListParagraph"/>
        <w:numPr>
          <w:ilvl w:val="0"/>
          <w:numId w:val="2"/>
        </w:numPr>
        <w:spacing w:after="90" w:line="285"/>
        <w:jc w:val="both"/>
      </w:pPr>
      <w:r>
        <w:rPr>
          <w:rFonts w:ascii="Cambria" w:cs="Cambria" w:eastAsia="Cambria" w:hAnsi="Cambria"/>
          <w:color w:val="1A1A1A"/>
          <w:sz w:val="21"/>
          <w:szCs w:val="21"/>
        </w:rPr>
        <w:t xml:space="preserve">Frame, mirror, or otherwise incorporate any part of the Site into any other website or application without our prior written consent; or</w:t>
      </w:r>
    </w:p>
    <w:p>
      <w:pPr>
        <w:pStyle w:val="ListParagraph"/>
        <w:numPr>
          <w:ilvl w:val="0"/>
          <w:numId w:val="2"/>
        </w:numPr>
        <w:spacing w:after="90" w:line="285"/>
        <w:jc w:val="both"/>
      </w:pPr>
      <w:r>
        <w:rPr>
          <w:rFonts w:ascii="Cambria" w:cs="Cambria" w:eastAsia="Cambria" w:hAnsi="Cambria"/>
          <w:color w:val="1A1A1A"/>
          <w:sz w:val="21"/>
          <w:szCs w:val="21"/>
        </w:rPr>
        <w:t xml:space="preserve">Impersonate any person or misrepresent your affiliation with any person or entity.</w:t>
      </w:r>
    </w:p>
    <w:p>
      <w:pPr>
        <w:pStyle w:val="Heading2"/>
        <w:keepNext/>
        <w:spacing w:after="110" w:before="300"/>
      </w:pPr>
      <w:r>
        <w:rPr>
          <w:rFonts w:ascii="Calibri" w:cs="Calibri" w:eastAsia="Calibri" w:hAnsi="Calibri"/>
          <w:b/>
          <w:bCs/>
          <w:color w:val="16294D"/>
          <w:sz w:val="23"/>
          <w:szCs w:val="23"/>
        </w:rPr>
        <w:t xml:space="preserve">5. Intellectual Property</w:t>
      </w:r>
    </w:p>
    <w:p>
      <w:pPr>
        <w:spacing w:after="140" w:line="290"/>
        <w:jc w:val="both"/>
      </w:pPr>
      <w:r>
        <w:rPr>
          <w:rFonts w:ascii="Cambria" w:cs="Cambria" w:eastAsia="Cambria" w:hAnsi="Cambria"/>
          <w:color w:val="1A1A1A"/>
          <w:sz w:val="21"/>
          <w:szCs w:val="21"/>
        </w:rPr>
        <w:t xml:space="preserve">The Site and all content and materials on it — including text, graphics, logos, marks, images, photographs, video, audio, data compilations, software, and the selection, arrangement, and "look and feel" of the Site — are the property of Prime Catalyst or its licensors and are protected by United States and international copyright, trademark, trade dress, and other intellectual property laws.</w:t>
      </w:r>
    </w:p>
    <w:p>
      <w:pPr>
        <w:spacing w:after="140" w:line="290"/>
        <w:jc w:val="both"/>
      </w:pPr>
      <w:r>
        <w:rPr>
          <w:rFonts w:ascii="Cambria" w:cs="Cambria" w:eastAsia="Cambria" w:hAnsi="Cambria"/>
          <w:color w:val="1A1A1A"/>
          <w:sz w:val="21"/>
          <w:szCs w:val="21"/>
        </w:rPr>
        <w:t xml:space="preserve">"Prime Catalyst" and the Prime Catalyst logo are trademarks or service marks of Prime Catalyst, LLC. You may not use them without our prior written permission. Other names, logos, and marks appearing on the Site are the property of their respective owners, and their appearance does not imply any affiliation with or endorsement by those owners.</w:t>
      </w:r>
    </w:p>
    <w:p>
      <w:pPr>
        <w:spacing w:after="140" w:line="290"/>
        <w:jc w:val="both"/>
      </w:pPr>
      <w:r>
        <w:rPr>
          <w:rFonts w:ascii="Cambria" w:cs="Cambria" w:eastAsia="Cambria" w:hAnsi="Cambria"/>
          <w:color w:val="1A1A1A"/>
          <w:sz w:val="21"/>
          <w:szCs w:val="21"/>
        </w:rPr>
        <w:t xml:space="preserve">Except for the limited license granted in Section 3, no right, title, or interest in or to the Site or any content on it is transferred to you, and all rights not expressly granted are reserved.</w:t>
      </w:r>
    </w:p>
    <w:p>
      <w:pPr>
        <w:pStyle w:val="Heading2"/>
        <w:keepNext/>
        <w:spacing w:after="110" w:before="300"/>
      </w:pPr>
      <w:r>
        <w:rPr>
          <w:rFonts w:ascii="Calibri" w:cs="Calibri" w:eastAsia="Calibri" w:hAnsi="Calibri"/>
          <w:b/>
          <w:bCs/>
          <w:color w:val="16294D"/>
          <w:sz w:val="23"/>
          <w:szCs w:val="23"/>
        </w:rPr>
        <w:t xml:space="preserve">6. Feedback and Submissions</w:t>
      </w:r>
    </w:p>
    <w:p>
      <w:pPr>
        <w:spacing w:after="140" w:line="290"/>
        <w:jc w:val="both"/>
      </w:pPr>
      <w:r>
        <w:rPr>
          <w:rFonts w:ascii="Cambria" w:cs="Cambria" w:eastAsia="Cambria" w:hAnsi="Cambria"/>
          <w:color w:val="1A1A1A"/>
          <w:sz w:val="21"/>
          <w:szCs w:val="21"/>
        </w:rPr>
        <w:t xml:space="preserve">If you send us questions, comments, suggestions, or other feedback about the Site, you grant us a perpetual, irrevocable, worldwide, royalty-free, fully paid, sublicensable license to use, reproduce, modify, and otherwise exploit that feedback for any purpose without any obligation or compensation to you. Do not send us any confidential or proprietary information through the Site.</w:t>
      </w:r>
    </w:p>
    <w:p>
      <w:pPr>
        <w:pStyle w:val="Heading2"/>
        <w:keepNext/>
        <w:spacing w:after="110" w:before="300"/>
      </w:pPr>
      <w:r>
        <w:rPr>
          <w:rFonts w:ascii="Calibri" w:cs="Calibri" w:eastAsia="Calibri" w:hAnsi="Calibri"/>
          <w:b/>
          <w:bCs/>
          <w:color w:val="16294D"/>
          <w:sz w:val="23"/>
          <w:szCs w:val="23"/>
        </w:rPr>
        <w:t xml:space="preserve">7. Third-Party Content and Links</w:t>
      </w:r>
    </w:p>
    <w:p>
      <w:pPr>
        <w:spacing w:after="140" w:line="290"/>
        <w:jc w:val="both"/>
      </w:pPr>
      <w:r>
        <w:rPr>
          <w:rFonts w:ascii="Cambria" w:cs="Cambria" w:eastAsia="Cambria" w:hAnsi="Cambria"/>
          <w:color w:val="1A1A1A"/>
          <w:sz w:val="21"/>
          <w:szCs w:val="21"/>
        </w:rPr>
        <w:t xml:space="preserve">The Site may include content provided by third parties and links to third-party websites and resources. We do not control, endorse, or assume responsibility for any third-party content, website, or resource, and we make no representation as to its accuracy, completeness, or suitability. Your access to and use of any third-party website is at your own risk and subject to that third party’s terms and policies.</w:t>
      </w:r>
    </w:p>
    <w:p>
      <w:pPr>
        <w:pStyle w:val="Heading2"/>
        <w:keepNext/>
        <w:spacing w:after="110" w:before="300"/>
      </w:pPr>
      <w:r>
        <w:rPr>
          <w:rFonts w:ascii="Calibri" w:cs="Calibri" w:eastAsia="Calibri" w:hAnsi="Calibri"/>
          <w:b/>
          <w:bCs/>
          <w:color w:val="16294D"/>
          <w:sz w:val="23"/>
          <w:szCs w:val="23"/>
        </w:rPr>
        <w:t xml:space="preserve">8. Forward-Looking Statements</w:t>
      </w:r>
    </w:p>
    <w:p>
      <w:pPr>
        <w:spacing w:after="140" w:line="290"/>
        <w:jc w:val="both"/>
      </w:pPr>
      <w:r>
        <w:rPr>
          <w:rFonts w:ascii="Cambria" w:cs="Cambria" w:eastAsia="Cambria" w:hAnsi="Cambria"/>
          <w:color w:val="1A1A1A"/>
          <w:sz w:val="21"/>
          <w:szCs w:val="21"/>
        </w:rPr>
        <w:t xml:space="preserve">The Site may contain forward-looking statements, including statements about strategies, objectives, expectations, projections, targets, and anticipated results. Forward-looking statements are not statements of historical fact, are inherently uncertain, and are based on assumptions that may prove incorrect. Actual results may differ materially. We undertake no obligation to update any forward-looking statement, whether as a result of new information, future events, or otherwise, except as required by law.</w:t>
      </w:r>
    </w:p>
    <w:p>
      <w:pPr>
        <w:pStyle w:val="Heading2"/>
        <w:keepNext/>
        <w:spacing w:after="110" w:before="300"/>
      </w:pPr>
      <w:r>
        <w:rPr>
          <w:rFonts w:ascii="Calibri" w:cs="Calibri" w:eastAsia="Calibri" w:hAnsi="Calibri"/>
          <w:b/>
          <w:bCs/>
          <w:color w:val="16294D"/>
          <w:sz w:val="23"/>
          <w:szCs w:val="23"/>
        </w:rPr>
        <w:t xml:space="preserve">9. Accuracy and Availability</w:t>
      </w:r>
    </w:p>
    <w:p>
      <w:pPr>
        <w:spacing w:after="140" w:line="290"/>
        <w:jc w:val="both"/>
      </w:pPr>
      <w:r>
        <w:rPr>
          <w:rFonts w:ascii="Cambria" w:cs="Cambria" w:eastAsia="Cambria" w:hAnsi="Cambria"/>
          <w:color w:val="1A1A1A"/>
          <w:sz w:val="21"/>
          <w:szCs w:val="21"/>
        </w:rPr>
        <w:t xml:space="preserve">We may update content on the Site from time to time, but the content is not necessarily complete or current, and any material on the Site may be out of date at any given time. We are under no obligation to update any material on the Site. We reserve the right to withdraw, amend, suspend, or restrict access to the Site or any portion of it at any time, in our sole discretion and without notice. We will not be liable if all or any part of the Site is unavailable at any time or for any period.</w:t>
      </w:r>
    </w:p>
    <w:p>
      <w:pPr>
        <w:pStyle w:val="Heading2"/>
        <w:keepNext/>
        <w:spacing w:after="110" w:before="300"/>
      </w:pPr>
      <w:r>
        <w:rPr>
          <w:rFonts w:ascii="Calibri" w:cs="Calibri" w:eastAsia="Calibri" w:hAnsi="Calibri"/>
          <w:b/>
          <w:bCs/>
          <w:color w:val="16294D"/>
          <w:sz w:val="23"/>
          <w:szCs w:val="23"/>
        </w:rPr>
        <w:t xml:space="preserve">10. Privacy</w:t>
      </w:r>
    </w:p>
    <w:p>
      <w:pPr>
        <w:spacing w:after="140" w:line="290"/>
        <w:jc w:val="both"/>
      </w:pPr>
      <w:r>
        <w:rPr>
          <w:rFonts w:ascii="Cambria" w:cs="Cambria" w:eastAsia="Cambria" w:hAnsi="Cambria"/>
          <w:color w:val="1A1A1A"/>
          <w:sz w:val="21"/>
          <w:szCs w:val="21"/>
        </w:rPr>
        <w:t xml:space="preserve">Your use of the Site is also governed by our Privacy Policy and Cookie Policy, which are incorporated into these Terms by reference.</w:t>
      </w:r>
    </w:p>
    <w:p>
      <w:pPr>
        <w:pStyle w:val="Heading2"/>
        <w:keepNext/>
        <w:spacing w:after="110" w:before="300"/>
      </w:pPr>
      <w:r>
        <w:rPr>
          <w:rFonts w:ascii="Calibri" w:cs="Calibri" w:eastAsia="Calibri" w:hAnsi="Calibri"/>
          <w:b/>
          <w:bCs/>
          <w:color w:val="16294D"/>
          <w:sz w:val="23"/>
          <w:szCs w:val="23"/>
        </w:rPr>
        <w:t xml:space="preserve">11. Disclaimer of Warranties</w:t>
      </w:r>
    </w:p>
    <w:p>
      <w:pPr>
        <w:spacing w:after="140" w:line="290"/>
        <w:jc w:val="both"/>
      </w:pPr>
      <w:r>
        <w:rPr>
          <w:rFonts w:ascii="Cambria" w:cs="Cambria" w:eastAsia="Cambria" w:hAnsi="Cambria"/>
          <w:color w:val="1A1A1A"/>
          <w:sz w:val="21"/>
          <w:szCs w:val="21"/>
        </w:rPr>
        <w:t xml:space="preserve">THE SITE AND ALL CONTENT, MATERIALS, AND SERVICES MADE AVAILABLE THROUGH IT ARE PROVIDED "AS IS" AND "AS AVAILABLE," WITHOUT WARRANTY OF ANY KIND, EITHER EXPRESS OR IMPLIED. TO THE FULLEST EXTENT PERMITTED BY LAW, PRIME CATALYST DISCLAIMS ALL WARRANTIES, INCLUDING IMPLIED WARRANTIES OF MERCHANTABILITY, FITNESS FOR A PARTICULAR PURPOSE, TITLE, AND NON-INFRINGEMENT.</w:t>
      </w:r>
    </w:p>
    <w:p>
      <w:pPr>
        <w:spacing w:after="140" w:line="290"/>
        <w:jc w:val="both"/>
      </w:pPr>
      <w:r>
        <w:rPr>
          <w:rFonts w:ascii="Cambria" w:cs="Cambria" w:eastAsia="Cambria" w:hAnsi="Cambria"/>
          <w:color w:val="1A1A1A"/>
          <w:sz w:val="21"/>
          <w:szCs w:val="21"/>
        </w:rPr>
        <w:t xml:space="preserve">WITHOUT LIMITING THE FOREGOING, PRIME CATALYST DOES NOT WARRANT THAT THE SITE WILL BE UNINTERRUPTED, SECURE, OR ERROR-FREE; THAT DEFECTS WILL BE CORRECTED; THAT THE SITE OR THE SERVERS THAT MAKE IT AVAILABLE ARE FREE OF VIRUSES OR OTHER HARMFUL COMPONENTS; OR THAT THE SITE OR ANY CONTENT ON IT IS ACCURATE, COMPLETE, RELIABLE, CURRENT, OR SUITABLE FOR ANY PARTICULAR PURPOSE. SOME JURISDICTIONS DO NOT ALLOW THE EXCLUSION OF CERTAIN WARRANTIES, SO SOME OF THE ABOVE EXCLUSIONS MAY NOT APPLY TO YOU.</w:t>
      </w:r>
    </w:p>
    <w:p>
      <w:pPr>
        <w:pStyle w:val="Heading2"/>
        <w:keepNext/>
        <w:spacing w:after="110" w:before="300"/>
      </w:pPr>
      <w:r>
        <w:rPr>
          <w:rFonts w:ascii="Calibri" w:cs="Calibri" w:eastAsia="Calibri" w:hAnsi="Calibri"/>
          <w:b/>
          <w:bCs/>
          <w:color w:val="16294D"/>
          <w:sz w:val="23"/>
          <w:szCs w:val="23"/>
        </w:rPr>
        <w:t xml:space="preserve">12. Limitation of Liability</w:t>
      </w:r>
    </w:p>
    <w:p>
      <w:pPr>
        <w:spacing w:after="140" w:line="290"/>
        <w:jc w:val="both"/>
      </w:pPr>
      <w:r>
        <w:rPr>
          <w:rFonts w:ascii="Cambria" w:cs="Cambria" w:eastAsia="Cambria" w:hAnsi="Cambria"/>
          <w:color w:val="1A1A1A"/>
          <w:sz w:val="21"/>
          <w:szCs w:val="21"/>
        </w:rPr>
        <w:t xml:space="preserve">TO THE FULLEST EXTENT PERMITTED BY LAW, IN NO EVENT WILL PRIME CATALYST OR ITS AFFILIATES, OR THEIR RESPECTIVE MEMBERS, MANAGERS, OFFICERS, DIRECTORS, EMPLOYEES, AGENTS, OR SERVICE PROVIDERS, BE LIABLE FOR ANY INDIRECT, INCIDENTAL, SPECIAL, CONSEQUENTIAL, EXEMPLARY, OR PUNITIVE DAMAGES, OR FOR ANY LOSS OF PROFITS, REVENUE, DATA, GOODWILL, OR INVESTMENT OPPORTUNITY, ARISING OUT OF OR RELATING TO YOUR ACCESS TO OR USE OF, OR INABILITY TO ACCESS OR USE, THE SITE OR ANY CONTENT ON IT, WHETHER BASED ON WARRANTY, CONTRACT, TORT, STATUTE, OR ANY OTHER LEGAL THEORY, AND WHETHER OR NOT WE HAVE BEEN ADVISED OF THE POSSIBILITY OF SUCH DAMAGES.</w:t>
      </w:r>
    </w:p>
    <w:p>
      <w:pPr>
        <w:spacing w:after="140" w:line="290"/>
        <w:jc w:val="both"/>
      </w:pPr>
      <w:r>
        <w:rPr>
          <w:rFonts w:ascii="Cambria" w:cs="Cambria" w:eastAsia="Cambria" w:hAnsi="Cambria"/>
          <w:color w:val="1A1A1A"/>
          <w:sz w:val="21"/>
          <w:szCs w:val="21"/>
        </w:rPr>
        <w:t xml:space="preserve">TO THE FULLEST EXTENT PERMITTED BY LAW, THE TOTAL AGGREGATE LIABILITY OF PRIME CATALYST AND THE PARTIES LISTED ABOVE ARISING OUT OF OR RELATING TO THE SITE WILL NOT EXCEED ONE HUNDRED U.S. DOLLARS ($100). SOME JURISDICTIONS DO NOT ALLOW THE EXCLUSION OR LIMITATION OF CERTAIN DAMAGES, SO SOME OF THE ABOVE MAY NOT APPLY TO YOU.</w:t>
      </w:r>
    </w:p>
    <w:p>
      <w:pPr>
        <w:pStyle w:val="Heading2"/>
        <w:keepNext/>
        <w:spacing w:after="110" w:before="300"/>
      </w:pPr>
      <w:r>
        <w:rPr>
          <w:rFonts w:ascii="Calibri" w:cs="Calibri" w:eastAsia="Calibri" w:hAnsi="Calibri"/>
          <w:b/>
          <w:bCs/>
          <w:color w:val="16294D"/>
          <w:sz w:val="23"/>
          <w:szCs w:val="23"/>
        </w:rPr>
        <w:t xml:space="preserve">13. Indemnification</w:t>
      </w:r>
    </w:p>
    <w:p>
      <w:pPr>
        <w:spacing w:after="140" w:line="290"/>
        <w:jc w:val="both"/>
      </w:pPr>
      <w:r>
        <w:rPr>
          <w:rFonts w:ascii="Cambria" w:cs="Cambria" w:eastAsia="Cambria" w:hAnsi="Cambria"/>
          <w:color w:val="1A1A1A"/>
          <w:sz w:val="21"/>
          <w:szCs w:val="21"/>
        </w:rPr>
        <w:t xml:space="preserve">You agree to defend, indemnify, and hold harmless Prime Catalyst and its affiliates, and their respective members, managers, officers, directors, employees, agents, and service providers, from and against any claims, liabilities, damages, judgments, awards, losses, costs, and expenses (including reasonable attorneys’ fees) arising out of or relating to your violation of these Terms or your use of the Site, including any use of Site content other than as expressly authorized.</w:t>
      </w:r>
    </w:p>
    <w:p>
      <w:pPr>
        <w:pStyle w:val="Heading2"/>
        <w:keepNext/>
        <w:spacing w:after="110" w:before="300"/>
      </w:pPr>
      <w:r>
        <w:rPr>
          <w:rFonts w:ascii="Calibri" w:cs="Calibri" w:eastAsia="Calibri" w:hAnsi="Calibri"/>
          <w:b/>
          <w:bCs/>
          <w:color w:val="16294D"/>
          <w:sz w:val="23"/>
          <w:szCs w:val="23"/>
        </w:rPr>
        <w:t xml:space="preserve">14. Governing Law and Venue</w:t>
      </w:r>
    </w:p>
    <w:p>
      <w:pPr>
        <w:spacing w:after="140" w:line="290"/>
        <w:jc w:val="both"/>
      </w:pPr>
      <w:r>
        <w:rPr>
          <w:rFonts w:ascii="Cambria" w:cs="Cambria" w:eastAsia="Cambria" w:hAnsi="Cambria"/>
          <w:color w:val="1A1A1A"/>
          <w:sz w:val="21"/>
          <w:szCs w:val="21"/>
        </w:rPr>
        <w:t xml:space="preserve">These Terms and any dispute arising out of or relating to them or to the Site are governed by the laws of the State of Delaware, without regard to its conflict of law principles. You agree that any legal action or proceeding arising out of or relating to these Terms or the Site will be brought exclusively in the state or federal courts located in the State of Delaware, and you consent to the personal jurisdiction of those courts and waive any objection to venue or forum non conveniens.</w:t>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OPTIONAL — DISCUSS WITH COUNSEL: If Prime Catalyst wishes to require binding arbitration and waive class actions for website disputes, an arbitration provision and class action waiver would be added here. This draft intentionally does not include one, because arbitration clauses carry enforceability requirements that vary by state and should be drafted deliberately rather than adopted by default.</w:t>
            </w:r>
          </w:p>
        </w:tc>
      </w:tr>
    </w:tbl>
    <w:p>
      <w:pPr>
        <w:spacing w:after="200"/>
      </w:pPr>
    </w:p>
    <w:p>
      <w:pPr>
        <w:pStyle w:val="Heading2"/>
        <w:keepNext/>
        <w:spacing w:after="110" w:before="300"/>
      </w:pPr>
      <w:r>
        <w:rPr>
          <w:rFonts w:ascii="Calibri" w:cs="Calibri" w:eastAsia="Calibri" w:hAnsi="Calibri"/>
          <w:b/>
          <w:bCs/>
          <w:color w:val="16294D"/>
          <w:sz w:val="23"/>
          <w:szCs w:val="23"/>
        </w:rPr>
        <w:t xml:space="preserve">15. Termination</w:t>
      </w:r>
    </w:p>
    <w:p>
      <w:pPr>
        <w:spacing w:after="140" w:line="290"/>
        <w:jc w:val="both"/>
      </w:pPr>
      <w:r>
        <w:rPr>
          <w:rFonts w:ascii="Cambria" w:cs="Cambria" w:eastAsia="Cambria" w:hAnsi="Cambria"/>
          <w:color w:val="1A1A1A"/>
          <w:sz w:val="21"/>
          <w:szCs w:val="21"/>
        </w:rPr>
        <w:t xml:space="preserve">We may terminate or suspend your access to the Site at any time, without notice and for any reason, including for any breach of these Terms. Sections 5, 6, 11, 12, 13, 14, and 16 survive any termination.</w:t>
      </w:r>
    </w:p>
    <w:p>
      <w:pPr>
        <w:pStyle w:val="Heading2"/>
        <w:keepNext/>
        <w:spacing w:after="110" w:before="300"/>
      </w:pPr>
      <w:r>
        <w:rPr>
          <w:rFonts w:ascii="Calibri" w:cs="Calibri" w:eastAsia="Calibri" w:hAnsi="Calibri"/>
          <w:b/>
          <w:bCs/>
          <w:color w:val="16294D"/>
          <w:sz w:val="23"/>
          <w:szCs w:val="23"/>
        </w:rPr>
        <w:t xml:space="preserve">16. General Provisions</w:t>
      </w:r>
    </w:p>
    <w:p>
      <w:pPr>
        <w:pStyle w:val="ListParagraph"/>
        <w:numPr>
          <w:ilvl w:val="0"/>
          <w:numId w:val="2"/>
        </w:numPr>
        <w:spacing w:after="90" w:line="285"/>
        <w:jc w:val="both"/>
      </w:pPr>
      <w:r>
        <w:rPr>
          <w:rFonts w:ascii="Cambria" w:cs="Cambria" w:eastAsia="Cambria" w:hAnsi="Cambria"/>
          <w:color w:val="1A1A1A"/>
          <w:sz w:val="21"/>
          <w:szCs w:val="21"/>
        </w:rPr>
        <w:t xml:space="preserve">Entire agreement — these Terms, together with the Privacy Policy, Cookie Policy, and Website and Investment Disclaimer, constitute the entire agreement between you and Prime Catalyst regarding the Site and supersede all prior understandings regarding the same subject matter.</w:t>
      </w:r>
    </w:p>
    <w:p>
      <w:pPr>
        <w:pStyle w:val="ListParagraph"/>
        <w:numPr>
          <w:ilvl w:val="0"/>
          <w:numId w:val="2"/>
        </w:numPr>
        <w:spacing w:after="90" w:line="285"/>
        <w:jc w:val="both"/>
      </w:pPr>
      <w:r>
        <w:rPr>
          <w:rFonts w:ascii="Cambria" w:cs="Cambria" w:eastAsia="Cambria" w:hAnsi="Cambria"/>
          <w:color w:val="1A1A1A"/>
          <w:sz w:val="21"/>
          <w:szCs w:val="21"/>
        </w:rPr>
        <w:t xml:space="preserve">Severability — if any provision of these Terms is held invalid or unenforceable, that provision will be limited or eliminated to the minimum extent necessary, and the remaining provisions will remain in full force and effect.</w:t>
      </w:r>
    </w:p>
    <w:p>
      <w:pPr>
        <w:pStyle w:val="ListParagraph"/>
        <w:numPr>
          <w:ilvl w:val="0"/>
          <w:numId w:val="2"/>
        </w:numPr>
        <w:spacing w:after="90" w:line="285"/>
        <w:jc w:val="both"/>
      </w:pPr>
      <w:r>
        <w:rPr>
          <w:rFonts w:ascii="Cambria" w:cs="Cambria" w:eastAsia="Cambria" w:hAnsi="Cambria"/>
          <w:color w:val="1A1A1A"/>
          <w:sz w:val="21"/>
          <w:szCs w:val="21"/>
        </w:rPr>
        <w:t xml:space="preserve">No waiver — our failure to enforce any provision of these Terms is not a waiver of that provision or of any other provision.</w:t>
      </w:r>
    </w:p>
    <w:p>
      <w:pPr>
        <w:pStyle w:val="ListParagraph"/>
        <w:numPr>
          <w:ilvl w:val="0"/>
          <w:numId w:val="2"/>
        </w:numPr>
        <w:spacing w:after="90" w:line="285"/>
        <w:jc w:val="both"/>
      </w:pPr>
      <w:r>
        <w:rPr>
          <w:rFonts w:ascii="Cambria" w:cs="Cambria" w:eastAsia="Cambria" w:hAnsi="Cambria"/>
          <w:color w:val="1A1A1A"/>
          <w:sz w:val="21"/>
          <w:szCs w:val="21"/>
        </w:rPr>
        <w:t xml:space="preserve">Assignment — you may not assign or transfer these Terms or any rights under them without our prior written consent. We may assign these Terms freely.</w:t>
      </w:r>
    </w:p>
    <w:p>
      <w:pPr>
        <w:pStyle w:val="ListParagraph"/>
        <w:numPr>
          <w:ilvl w:val="0"/>
          <w:numId w:val="2"/>
        </w:numPr>
        <w:spacing w:after="90" w:line="285"/>
        <w:jc w:val="both"/>
      </w:pPr>
      <w:r>
        <w:rPr>
          <w:rFonts w:ascii="Cambria" w:cs="Cambria" w:eastAsia="Cambria" w:hAnsi="Cambria"/>
          <w:color w:val="1A1A1A"/>
          <w:sz w:val="21"/>
          <w:szCs w:val="21"/>
        </w:rPr>
        <w:t xml:space="preserve">No third-party beneficiaries — except for the indemnified parties identified in Section 13, these Terms do not confer any rights on any third party.</w:t>
      </w:r>
    </w:p>
    <w:p>
      <w:pPr>
        <w:pStyle w:val="ListParagraph"/>
        <w:numPr>
          <w:ilvl w:val="0"/>
          <w:numId w:val="2"/>
        </w:numPr>
        <w:spacing w:after="90" w:line="285"/>
        <w:jc w:val="both"/>
      </w:pPr>
      <w:r>
        <w:rPr>
          <w:rFonts w:ascii="Cambria" w:cs="Cambria" w:eastAsia="Cambria" w:hAnsi="Cambria"/>
          <w:color w:val="1A1A1A"/>
          <w:sz w:val="21"/>
          <w:szCs w:val="21"/>
        </w:rPr>
        <w:t xml:space="preserve">Headings — headings are for convenience only and do not affect interpretation.</w:t>
      </w:r>
    </w:p>
    <w:p>
      <w:pPr>
        <w:pStyle w:val="Heading2"/>
        <w:keepNext/>
        <w:spacing w:after="110" w:before="300"/>
      </w:pPr>
      <w:r>
        <w:rPr>
          <w:rFonts w:ascii="Calibri" w:cs="Calibri" w:eastAsia="Calibri" w:hAnsi="Calibri"/>
          <w:b/>
          <w:bCs/>
          <w:color w:val="16294D"/>
          <w:sz w:val="23"/>
          <w:szCs w:val="23"/>
        </w:rPr>
        <w:t xml:space="preserve">17. Changes to These Terms</w:t>
      </w:r>
    </w:p>
    <w:p>
      <w:pPr>
        <w:spacing w:after="140" w:line="290"/>
        <w:jc w:val="both"/>
      </w:pPr>
      <w:r>
        <w:rPr>
          <w:rFonts w:ascii="Cambria" w:cs="Cambria" w:eastAsia="Cambria" w:hAnsi="Cambria"/>
          <w:color w:val="1A1A1A"/>
          <w:sz w:val="21"/>
          <w:szCs w:val="21"/>
        </w:rPr>
        <w:t xml:space="preserve">We may revise these Terms at any time by posting an updated version on the Site and revising the "Last Updated" date. Changes are effective when posted. Your continued use of the Site after changes are posted constitutes acceptance of the revised Terms. We encourage you to review these Terms periodically.</w:t>
      </w:r>
    </w:p>
    <w:p>
      <w:pPr>
        <w:pStyle w:val="Heading2"/>
        <w:keepNext/>
        <w:spacing w:after="110" w:before="300"/>
      </w:pPr>
      <w:r>
        <w:rPr>
          <w:rFonts w:ascii="Calibri" w:cs="Calibri" w:eastAsia="Calibri" w:hAnsi="Calibri"/>
          <w:b/>
          <w:bCs/>
          <w:color w:val="16294D"/>
          <w:sz w:val="23"/>
          <w:szCs w:val="23"/>
        </w:rPr>
        <w:t xml:space="preserve">18. Contact</w:t>
      </w:r>
    </w:p>
    <w:p>
      <w:pPr>
        <w:spacing w:after="140" w:line="290"/>
        <w:jc w:val="both"/>
      </w:pPr>
      <w:r>
        <w:rPr>
          <w:rFonts w:ascii="Cambria" w:cs="Cambria" w:eastAsia="Cambria" w:hAnsi="Cambria"/>
          <w:color w:val="1A1A1A"/>
          <w:sz w:val="21"/>
          <w:szCs w:val="21"/>
        </w:rPr>
        <w:t xml:space="preserve">Questions about these Terms may be directed to info@primecatalyst.com or to Prime Catalyst, LLC, [MAILING ADDRESS].</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III. Accessibility Statement</w:t>
      </w:r>
    </w:p>
    <w:p>
      <w:pPr>
        <w:spacing w:after="140" w:line="290"/>
        <w:jc w:val="both"/>
      </w:pPr>
      <w:r>
        <w:rPr>
          <w:rFonts w:ascii="Cambria" w:cs="Cambria" w:eastAsia="Cambria" w:hAnsi="Cambria"/>
          <w:color w:val="1A1A1A"/>
          <w:sz w:val="21"/>
          <w:szCs w:val="21"/>
        </w:rPr>
        <w:t xml:space="preserve">Last Updated: [EFFECTIVE DATE]</w:t>
      </w:r>
    </w:p>
    <w:p>
      <w:pPr>
        <w:pStyle w:val="Heading2"/>
        <w:keepNext/>
        <w:spacing w:after="110" w:before="300"/>
      </w:pPr>
      <w:r>
        <w:rPr>
          <w:rFonts w:ascii="Calibri" w:cs="Calibri" w:eastAsia="Calibri" w:hAnsi="Calibri"/>
          <w:b/>
          <w:bCs/>
          <w:color w:val="16294D"/>
          <w:sz w:val="23"/>
          <w:szCs w:val="23"/>
        </w:rPr>
        <w:t xml:space="preserve">1. Our Commitment</w:t>
      </w:r>
    </w:p>
    <w:p>
      <w:pPr>
        <w:spacing w:after="140" w:line="290"/>
        <w:jc w:val="both"/>
      </w:pPr>
      <w:r>
        <w:rPr>
          <w:rFonts w:ascii="Cambria" w:cs="Cambria" w:eastAsia="Cambria" w:hAnsi="Cambria"/>
          <w:color w:val="1A1A1A"/>
          <w:sz w:val="21"/>
          <w:szCs w:val="21"/>
        </w:rPr>
        <w:t xml:space="preserve">Prime Catalyst, LLC is committed to making its website accessible to the widest possible audience, including people with disabilities. We believe that everyone should be able to access information about our firm easily and independently, and we are working to ensure that [WEBSITE URL] meets or exceeds recognized accessibility standards.</w:t>
      </w:r>
    </w:p>
    <w:p>
      <w:pPr>
        <w:pStyle w:val="Heading2"/>
        <w:keepNext/>
        <w:spacing w:after="110" w:before="300"/>
      </w:pPr>
      <w:r>
        <w:rPr>
          <w:rFonts w:ascii="Calibri" w:cs="Calibri" w:eastAsia="Calibri" w:hAnsi="Calibri"/>
          <w:b/>
          <w:bCs/>
          <w:color w:val="16294D"/>
          <w:sz w:val="23"/>
          <w:szCs w:val="23"/>
        </w:rPr>
        <w:t xml:space="preserve">2. Conformance Standard</w:t>
      </w:r>
    </w:p>
    <w:p>
      <w:pPr>
        <w:spacing w:after="140" w:line="290"/>
        <w:jc w:val="both"/>
      </w:pPr>
      <w:r>
        <w:rPr>
          <w:rFonts w:ascii="Cambria" w:cs="Cambria" w:eastAsia="Cambria" w:hAnsi="Cambria"/>
          <w:color w:val="1A1A1A"/>
          <w:sz w:val="21"/>
          <w:szCs w:val="21"/>
        </w:rPr>
        <w:t xml:space="preserve">We are working toward conformance with the Web Content Accessibility Guidelines (WCAG) 2.1, Level AA, published by the World Wide Web Consortium. These guidelines explain how to make web content more accessible to people with a wide range of disabilities, including visual, auditory, physical, speech, cognitive, and neurological disabilities.</w:t>
      </w:r>
    </w:p>
    <w:p>
      <w:pPr>
        <w:spacing w:after="140" w:line="290"/>
        <w:jc w:val="both"/>
      </w:pPr>
      <w:r>
        <w:rPr>
          <w:rFonts w:ascii="Cambria" w:cs="Cambria" w:eastAsia="Cambria" w:hAnsi="Cambria"/>
          <w:color w:val="1A1A1A"/>
          <w:sz w:val="21"/>
          <w:szCs w:val="21"/>
        </w:rPr>
        <w:t xml:space="preserve">Our current conformance status is partially conformant with WCAG 2.1 Level AA, which means that some parts of the content may not yet fully conform to the standard. We are actively working to identify and remediate any remaining issues.</w:t>
      </w:r>
    </w:p>
    <w:p>
      <w:pPr>
        <w:pStyle w:val="Heading2"/>
        <w:keepNext/>
        <w:spacing w:after="110" w:before="300"/>
      </w:pPr>
      <w:r>
        <w:rPr>
          <w:rFonts w:ascii="Calibri" w:cs="Calibri" w:eastAsia="Calibri" w:hAnsi="Calibri"/>
          <w:b/>
          <w:bCs/>
          <w:color w:val="16294D"/>
          <w:sz w:val="23"/>
          <w:szCs w:val="23"/>
        </w:rPr>
        <w:t xml:space="preserve">3. Measures We Take</w:t>
      </w:r>
    </w:p>
    <w:p>
      <w:pPr>
        <w:spacing w:after="140" w:line="290"/>
        <w:jc w:val="both"/>
      </w:pPr>
      <w:r>
        <w:rPr>
          <w:rFonts w:ascii="Cambria" w:cs="Cambria" w:eastAsia="Cambria" w:hAnsi="Cambria"/>
          <w:color w:val="1A1A1A"/>
          <w:sz w:val="21"/>
          <w:szCs w:val="21"/>
        </w:rPr>
        <w:t xml:space="preserve">To support accessibility, we take the following measures:</w:t>
      </w:r>
    </w:p>
    <w:p>
      <w:pPr>
        <w:pStyle w:val="ListParagraph"/>
        <w:numPr>
          <w:ilvl w:val="0"/>
          <w:numId w:val="2"/>
        </w:numPr>
        <w:spacing w:after="90" w:line="285"/>
        <w:jc w:val="both"/>
      </w:pPr>
      <w:r>
        <w:rPr>
          <w:rFonts w:ascii="Cambria" w:cs="Cambria" w:eastAsia="Cambria" w:hAnsi="Cambria"/>
          <w:color w:val="1A1A1A"/>
          <w:sz w:val="21"/>
          <w:szCs w:val="21"/>
        </w:rPr>
        <w:t xml:space="preserve">Design and develop the Site with accessibility considerations as part of our standard process;</w:t>
      </w:r>
    </w:p>
    <w:p>
      <w:pPr>
        <w:pStyle w:val="ListParagraph"/>
        <w:numPr>
          <w:ilvl w:val="0"/>
          <w:numId w:val="2"/>
        </w:numPr>
        <w:spacing w:after="90" w:line="285"/>
        <w:jc w:val="both"/>
      </w:pPr>
      <w:r>
        <w:rPr>
          <w:rFonts w:ascii="Cambria" w:cs="Cambria" w:eastAsia="Cambria" w:hAnsi="Cambria"/>
          <w:color w:val="1A1A1A"/>
          <w:sz w:val="21"/>
          <w:szCs w:val="21"/>
        </w:rPr>
        <w:t xml:space="preserve">Use semantic HTML structure and appropriate heading hierarchy so the Site can be navigated with assistive technology;</w:t>
      </w:r>
    </w:p>
    <w:p>
      <w:pPr>
        <w:pStyle w:val="ListParagraph"/>
        <w:numPr>
          <w:ilvl w:val="0"/>
          <w:numId w:val="2"/>
        </w:numPr>
        <w:spacing w:after="90" w:line="285"/>
        <w:jc w:val="both"/>
      </w:pPr>
      <w:r>
        <w:rPr>
          <w:rFonts w:ascii="Cambria" w:cs="Cambria" w:eastAsia="Cambria" w:hAnsi="Cambria"/>
          <w:color w:val="1A1A1A"/>
          <w:sz w:val="21"/>
          <w:szCs w:val="21"/>
        </w:rPr>
        <w:t xml:space="preserve">Provide text alternatives for meaningful images and non-text content;</w:t>
      </w:r>
    </w:p>
    <w:p>
      <w:pPr>
        <w:pStyle w:val="ListParagraph"/>
        <w:numPr>
          <w:ilvl w:val="0"/>
          <w:numId w:val="2"/>
        </w:numPr>
        <w:spacing w:after="90" w:line="285"/>
        <w:jc w:val="both"/>
      </w:pPr>
      <w:r>
        <w:rPr>
          <w:rFonts w:ascii="Cambria" w:cs="Cambria" w:eastAsia="Cambria" w:hAnsi="Cambria"/>
          <w:color w:val="1A1A1A"/>
          <w:sz w:val="21"/>
          <w:szCs w:val="21"/>
        </w:rPr>
        <w:t xml:space="preserve">Aim for sufficient color contrast between text and background, and avoid conveying information by color alone;</w:t>
      </w:r>
    </w:p>
    <w:p>
      <w:pPr>
        <w:pStyle w:val="ListParagraph"/>
        <w:numPr>
          <w:ilvl w:val="0"/>
          <w:numId w:val="2"/>
        </w:numPr>
        <w:spacing w:after="90" w:line="285"/>
        <w:jc w:val="both"/>
      </w:pPr>
      <w:r>
        <w:rPr>
          <w:rFonts w:ascii="Cambria" w:cs="Cambria" w:eastAsia="Cambria" w:hAnsi="Cambria"/>
          <w:color w:val="1A1A1A"/>
          <w:sz w:val="21"/>
          <w:szCs w:val="21"/>
        </w:rPr>
        <w:t xml:space="preserve">Support keyboard-only navigation with a visible focus indicator;</w:t>
      </w:r>
    </w:p>
    <w:p>
      <w:pPr>
        <w:pStyle w:val="ListParagraph"/>
        <w:numPr>
          <w:ilvl w:val="0"/>
          <w:numId w:val="2"/>
        </w:numPr>
        <w:spacing w:after="90" w:line="285"/>
        <w:jc w:val="both"/>
      </w:pPr>
      <w:r>
        <w:rPr>
          <w:rFonts w:ascii="Cambria" w:cs="Cambria" w:eastAsia="Cambria" w:hAnsi="Cambria"/>
          <w:color w:val="1A1A1A"/>
          <w:sz w:val="21"/>
          <w:szCs w:val="21"/>
        </w:rPr>
        <w:t xml:space="preserve">Provide descriptive link text and clear form labels; and</w:t>
      </w:r>
    </w:p>
    <w:p>
      <w:pPr>
        <w:pStyle w:val="ListParagraph"/>
        <w:numPr>
          <w:ilvl w:val="0"/>
          <w:numId w:val="2"/>
        </w:numPr>
        <w:spacing w:after="90" w:line="285"/>
        <w:jc w:val="both"/>
      </w:pPr>
      <w:r>
        <w:rPr>
          <w:rFonts w:ascii="Cambria" w:cs="Cambria" w:eastAsia="Cambria" w:hAnsi="Cambria"/>
          <w:color w:val="1A1A1A"/>
          <w:sz w:val="21"/>
          <w:szCs w:val="21"/>
        </w:rPr>
        <w:t xml:space="preserve">Review the Site periodically and after significant updates, using a combination of automated testing tools and manual review.</w:t>
      </w:r>
    </w:p>
    <w:p>
      <w:pPr>
        <w:pStyle w:val="Heading2"/>
        <w:keepNext/>
        <w:spacing w:after="110" w:before="300"/>
      </w:pPr>
      <w:r>
        <w:rPr>
          <w:rFonts w:ascii="Calibri" w:cs="Calibri" w:eastAsia="Calibri" w:hAnsi="Calibri"/>
          <w:b/>
          <w:bCs/>
          <w:color w:val="16294D"/>
          <w:sz w:val="23"/>
          <w:szCs w:val="23"/>
        </w:rPr>
        <w:t xml:space="preserve">4. Known Limitations</w:t>
      </w:r>
    </w:p>
    <w:p>
      <w:pPr>
        <w:spacing w:after="140" w:line="290"/>
        <w:jc w:val="both"/>
      </w:pPr>
      <w:r>
        <w:rPr>
          <w:rFonts w:ascii="Cambria" w:cs="Cambria" w:eastAsia="Cambria" w:hAnsi="Cambria"/>
          <w:color w:val="1A1A1A"/>
          <w:sz w:val="21"/>
          <w:szCs w:val="21"/>
        </w:rPr>
        <w:t xml:space="preserve">Despite our efforts, some limitations may remain. Areas where accessibility issues are most likely to occur include:</w:t>
      </w:r>
    </w:p>
    <w:p>
      <w:pPr>
        <w:pStyle w:val="ListParagraph"/>
        <w:numPr>
          <w:ilvl w:val="0"/>
          <w:numId w:val="2"/>
        </w:numPr>
        <w:spacing w:after="90" w:line="285"/>
        <w:jc w:val="both"/>
      </w:pPr>
      <w:r>
        <w:rPr>
          <w:rFonts w:ascii="Cambria" w:cs="Cambria" w:eastAsia="Cambria" w:hAnsi="Cambria"/>
          <w:color w:val="1A1A1A"/>
          <w:sz w:val="21"/>
          <w:szCs w:val="21"/>
        </w:rPr>
        <w:t xml:space="preserve">Documents such as PDFs, which may not be fully tagged for screen reader use, particularly older documents. We will provide an accessible alternative format on request;</w:t>
      </w:r>
    </w:p>
    <w:p>
      <w:pPr>
        <w:pStyle w:val="ListParagraph"/>
        <w:numPr>
          <w:ilvl w:val="0"/>
          <w:numId w:val="2"/>
        </w:numPr>
        <w:spacing w:after="90" w:line="285"/>
        <w:jc w:val="both"/>
      </w:pPr>
      <w:r>
        <w:rPr>
          <w:rFonts w:ascii="Cambria" w:cs="Cambria" w:eastAsia="Cambria" w:hAnsi="Cambria"/>
          <w:color w:val="1A1A1A"/>
          <w:sz w:val="21"/>
          <w:szCs w:val="21"/>
        </w:rPr>
        <w:t xml:space="preserve">Third-party content and embedded features, such as maps, video players, or forms hosted by outside providers, over which we have limited control; and</w:t>
      </w:r>
    </w:p>
    <w:p>
      <w:pPr>
        <w:pStyle w:val="ListParagraph"/>
        <w:numPr>
          <w:ilvl w:val="0"/>
          <w:numId w:val="2"/>
        </w:numPr>
        <w:spacing w:after="90" w:line="285"/>
        <w:jc w:val="both"/>
      </w:pPr>
      <w:r>
        <w:rPr>
          <w:rFonts w:ascii="Cambria" w:cs="Cambria" w:eastAsia="Cambria" w:hAnsi="Cambria"/>
          <w:color w:val="1A1A1A"/>
          <w:sz w:val="21"/>
          <w:szCs w:val="21"/>
        </w:rPr>
        <w:t xml:space="preserve">Recently added or updated content, which may not yet have completed accessibility review.</w:t>
      </w:r>
    </w:p>
    <w:p>
      <w:pPr>
        <w:spacing w:after="140" w:line="290"/>
        <w:jc w:val="both"/>
      </w:pPr>
      <w:r>
        <w:rPr>
          <w:rFonts w:ascii="Cambria" w:cs="Cambria" w:eastAsia="Cambria" w:hAnsi="Cambria"/>
          <w:color w:val="1A1A1A"/>
          <w:sz w:val="21"/>
          <w:szCs w:val="21"/>
        </w:rPr>
        <w:t xml:space="preserve">If you encounter any of these limitations, please contact us and we will provide the information you need in an alternative format.</w:t>
      </w:r>
    </w:p>
    <w:p>
      <w:pPr>
        <w:pStyle w:val="Heading2"/>
        <w:keepNext/>
        <w:spacing w:after="110" w:before="300"/>
      </w:pPr>
      <w:r>
        <w:rPr>
          <w:rFonts w:ascii="Calibri" w:cs="Calibri" w:eastAsia="Calibri" w:hAnsi="Calibri"/>
          <w:b/>
          <w:bCs/>
          <w:color w:val="16294D"/>
          <w:sz w:val="23"/>
          <w:szCs w:val="23"/>
        </w:rPr>
        <w:t xml:space="preserve">5. Feedback and Requesting Assistance</w:t>
      </w:r>
    </w:p>
    <w:p>
      <w:pPr>
        <w:spacing w:after="140" w:line="290"/>
        <w:jc w:val="both"/>
      </w:pPr>
      <w:r>
        <w:rPr>
          <w:rFonts w:ascii="Cambria" w:cs="Cambria" w:eastAsia="Cambria" w:hAnsi="Cambria"/>
          <w:color w:val="1A1A1A"/>
          <w:sz w:val="21"/>
          <w:szCs w:val="21"/>
        </w:rPr>
        <w:t xml:space="preserve">We welcome your feedback on the accessibility of our website. If you encounter an accessibility barrier, need information in an alternative format, or require assistance using any part of the Site, please contact us:</w:t>
      </w:r>
    </w:p>
    <w:p>
      <w:pPr>
        <w:spacing w:after="140" w:line="290"/>
        <w:jc w:val="both"/>
      </w:pPr>
      <w:r>
        <w:rPr>
          <w:rFonts w:ascii="Cambria" w:cs="Cambria" w:eastAsia="Cambria" w:hAnsi="Cambria"/>
          <w:color w:val="1A1A1A"/>
          <w:sz w:val="21"/>
          <w:szCs w:val="21"/>
        </w:rPr>
        <w:t xml:space="preserve">Email: info@primecatalyst.com</w:t>
      </w:r>
    </w:p>
    <w:p>
      <w:pPr>
        <w:spacing w:after="140" w:line="290"/>
        <w:jc w:val="both"/>
      </w:pPr>
      <w:r>
        <w:rPr>
          <w:rFonts w:ascii="Cambria" w:cs="Cambria" w:eastAsia="Cambria" w:hAnsi="Cambria"/>
          <w:color w:val="1A1A1A"/>
          <w:sz w:val="21"/>
          <w:szCs w:val="21"/>
        </w:rPr>
        <w:t xml:space="preserve">Mail: Prime Catalyst, LLC, [MAILING ADDRESS]</w:t>
      </w:r>
    </w:p>
    <w:p>
      <w:pPr>
        <w:spacing w:after="140" w:line="290"/>
        <w:jc w:val="both"/>
      </w:pPr>
      <w:r>
        <w:rPr>
          <w:rFonts w:ascii="Cambria" w:cs="Cambria" w:eastAsia="Cambria" w:hAnsi="Cambria"/>
          <w:color w:val="1A1A1A"/>
          <w:sz w:val="21"/>
          <w:szCs w:val="21"/>
        </w:rPr>
        <w:t xml:space="preserve">Please include the web address of the page, a description of the problem you encountered, and the assistive technology or browser you were using, if applicable. We aim to acknowledge accessibility feedback within [3] business days and to respond substantively within [10] business days.</w:t>
      </w:r>
    </w:p>
    <w:p>
      <w:pPr>
        <w:pStyle w:val="Heading2"/>
        <w:keepNext/>
        <w:spacing w:after="110" w:before="300"/>
      </w:pPr>
      <w:r>
        <w:rPr>
          <w:rFonts w:ascii="Calibri" w:cs="Calibri" w:eastAsia="Calibri" w:hAnsi="Calibri"/>
          <w:b/>
          <w:bCs/>
          <w:color w:val="16294D"/>
          <w:sz w:val="23"/>
          <w:szCs w:val="23"/>
        </w:rPr>
        <w:t xml:space="preserve">6. Assessment Approach</w:t>
      </w:r>
    </w:p>
    <w:p>
      <w:pPr>
        <w:spacing w:after="140" w:line="290"/>
        <w:jc w:val="both"/>
      </w:pPr>
      <w:r>
        <w:rPr>
          <w:rFonts w:ascii="Cambria" w:cs="Cambria" w:eastAsia="Cambria" w:hAnsi="Cambria"/>
          <w:color w:val="1A1A1A"/>
          <w:sz w:val="21"/>
          <w:szCs w:val="21"/>
        </w:rPr>
        <w:t xml:space="preserve">Prime Catalyst assessed the accessibility of the Site by [self-evaluation / evaluation by an external accessibility consultant — CONFIRM]. This statement was last reviewed on [EFFECTIVE DATE] and will be reviewed at least annually and whenever the Site undergoes a significant redesign.</w:t>
      </w:r>
    </w:p>
    <w:p>
      <w:pPr>
        <w:pStyle w:val="Heading2"/>
        <w:keepNext/>
        <w:spacing w:after="110" w:before="300"/>
      </w:pPr>
      <w:r>
        <w:rPr>
          <w:rFonts w:ascii="Calibri" w:cs="Calibri" w:eastAsia="Calibri" w:hAnsi="Calibri"/>
          <w:b/>
          <w:bCs/>
          <w:color w:val="16294D"/>
          <w:sz w:val="23"/>
          <w:szCs w:val="23"/>
        </w:rPr>
        <w:t xml:space="preserve">7. Continuing Efforts</w:t>
      </w:r>
    </w:p>
    <w:p>
      <w:pPr>
        <w:spacing w:after="140" w:line="290"/>
        <w:jc w:val="both"/>
      </w:pPr>
      <w:r>
        <w:rPr>
          <w:rFonts w:ascii="Cambria" w:cs="Cambria" w:eastAsia="Cambria" w:hAnsi="Cambria"/>
          <w:color w:val="1A1A1A"/>
          <w:sz w:val="21"/>
          <w:szCs w:val="21"/>
        </w:rPr>
        <w:t xml:space="preserve">Accessibility is an ongoing effort rather than a one-time project. We continue to review our website, train the people responsible for its content, and improve the experience for all visitors. If we become aware of an issue we cannot promptly resolve, we will work with the affected visitor to provide the information or service through an alternative means.</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IV. Cookie Policy and Cookie Settings</w:t>
      </w:r>
    </w:p>
    <w:p>
      <w:pPr>
        <w:spacing w:after="140" w:line="290"/>
        <w:jc w:val="both"/>
      </w:pPr>
      <w:r>
        <w:rPr>
          <w:rFonts w:ascii="Cambria" w:cs="Cambria" w:eastAsia="Cambria" w:hAnsi="Cambria"/>
          <w:color w:val="1A1A1A"/>
          <w:sz w:val="21"/>
          <w:szCs w:val="21"/>
        </w:rPr>
        <w:t xml:space="preserve">Effective Date: [EFFECTIVE DATE]</w:t>
      </w:r>
    </w:p>
    <w:p>
      <w:pPr>
        <w:spacing w:after="140" w:line="290"/>
        <w:jc w:val="both"/>
      </w:pPr>
      <w:r>
        <w:rPr>
          <w:rFonts w:ascii="Cambria" w:cs="Cambria" w:eastAsia="Cambria" w:hAnsi="Cambria"/>
          <w:color w:val="1A1A1A"/>
          <w:sz w:val="21"/>
          <w:szCs w:val="21"/>
        </w:rPr>
        <w:t xml:space="preserve">Last Updated: [EFFECTIVE DATE]</w:t>
      </w:r>
    </w:p>
    <w:p>
      <w:pPr>
        <w:spacing w:after="140" w:line="290"/>
        <w:jc w:val="both"/>
      </w:pPr>
      <w:r>
        <w:rPr>
          <w:rFonts w:ascii="Cambria" w:cs="Cambria" w:eastAsia="Cambria" w:hAnsi="Cambria"/>
          <w:color w:val="1A1A1A"/>
          <w:sz w:val="21"/>
          <w:szCs w:val="21"/>
        </w:rPr>
        <w:t xml:space="preserve">This Cookie Policy explains how Prime Catalyst, LLC uses cookies and similar technologies on [WEBSITE URL] (the "Site"), and how you can control them. It supplements our Privacy Policy.</w:t>
      </w:r>
    </w:p>
    <w:p>
      <w:pPr>
        <w:pStyle w:val="Heading2"/>
        <w:keepNext/>
        <w:spacing w:after="110" w:before="300"/>
      </w:pPr>
      <w:r>
        <w:rPr>
          <w:rFonts w:ascii="Calibri" w:cs="Calibri" w:eastAsia="Calibri" w:hAnsi="Calibri"/>
          <w:b/>
          <w:bCs/>
          <w:color w:val="16294D"/>
          <w:sz w:val="23"/>
          <w:szCs w:val="23"/>
        </w:rPr>
        <w:t xml:space="preserve">1. What Cookies Are</w:t>
      </w:r>
    </w:p>
    <w:p>
      <w:pPr>
        <w:spacing w:after="140" w:line="290"/>
        <w:jc w:val="both"/>
      </w:pPr>
      <w:r>
        <w:rPr>
          <w:rFonts w:ascii="Cambria" w:cs="Cambria" w:eastAsia="Cambria" w:hAnsi="Cambria"/>
          <w:color w:val="1A1A1A"/>
          <w:sz w:val="21"/>
          <w:szCs w:val="21"/>
        </w:rPr>
        <w:t xml:space="preserve">A cookie is a small text file that a website places on your device when you visit. Cookies allow the website to recognize your device, remember your preferences, and understand how the site is being used. We also use similar technologies such as pixels, web beacons, local storage, and software development kits, all of which we refer to collectively as "cookies" in this policy.</w:t>
      </w:r>
    </w:p>
    <w:p>
      <w:pPr>
        <w:spacing w:after="140" w:line="290"/>
        <w:jc w:val="both"/>
      </w:pPr>
      <w:r>
        <w:rPr>
          <w:rFonts w:ascii="Cambria" w:cs="Cambria" w:eastAsia="Cambria" w:hAnsi="Cambria"/>
          <w:color w:val="1A1A1A"/>
          <w:sz w:val="21"/>
          <w:szCs w:val="21"/>
        </w:rPr>
        <w:t xml:space="preserve">Cookies may be "session" cookies, which are deleted when you close your browser, or "persistent" cookies, which remain on your device until they expire or you delete them. Cookies set by Prime Catalyst are "first-party" cookies; cookies set by a service provider on our behalf are "third-party" cookies.</w:t>
      </w:r>
    </w:p>
    <w:p>
      <w:pPr>
        <w:pStyle w:val="Heading2"/>
        <w:keepNext/>
        <w:spacing w:after="110" w:before="300"/>
      </w:pPr>
      <w:r>
        <w:rPr>
          <w:rFonts w:ascii="Calibri" w:cs="Calibri" w:eastAsia="Calibri" w:hAnsi="Calibri"/>
          <w:b/>
          <w:bCs/>
          <w:color w:val="16294D"/>
          <w:sz w:val="23"/>
          <w:szCs w:val="23"/>
        </w:rPr>
        <w:t xml:space="preserve">2. Categories of Cookies We Use</w:t>
      </w:r>
    </w:p>
    <w:p>
      <w:pPr>
        <w:spacing w:after="140" w:line="290"/>
        <w:jc w:val="both"/>
      </w:pPr>
      <w:r>
        <w:rPr>
          <w:rFonts w:ascii="Cambria" w:cs="Cambria" w:eastAsia="Cambria" w:hAnsi="Cambria"/>
          <w:color w:val="1A1A1A"/>
          <w:sz w:val="21"/>
          <w:szCs w:val="21"/>
        </w:rPr>
        <w:t xml:space="preserve">The table below describes the categories of cookies used on the Site. The specific cookies within each category may change as we update the Site.</w:t>
      </w:r>
    </w:p>
    <w:tbl>
      <w:tblPr>
        <w:tblW w:type="dxa" w:w="9360"/>
        <w:tblBorders>
          <w:top w:val="single" w:color="C9C9C9" w:sz="2"/>
          <w:left w:val="single" w:color="C9C9C9" w:sz="2"/>
          <w:bottom w:val="single" w:color="C9C9C9" w:sz="2"/>
          <w:right w:val="single" w:color="C9C9C9" w:sz="2"/>
          <w:insideH w:val="single" w:color="C9C9C9" w:sz="2"/>
          <w:insideV w:val="single" w:color="C9C9C9" w:sz="2"/>
        </w:tblBorders>
      </w:tblPr>
      <w:tblGrid>
        <w:gridCol w:w="1800"/>
        <w:gridCol w:w="5460"/>
        <w:gridCol w:w="2100"/>
      </w:tblGrid>
      <w:tr>
        <w:trPr>
          <w:tblHeader/>
        </w:trPr>
        <w:tc>
          <w:tcPr>
            <w:tcW w:type="dxa" w:w="180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Category</w:t>
            </w:r>
          </w:p>
        </w:tc>
        <w:tc>
          <w:tcPr>
            <w:tcW w:type="dxa" w:w="546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Purpose</w:t>
            </w:r>
          </w:p>
        </w:tc>
        <w:tc>
          <w:tcPr>
            <w:tcW w:type="dxa" w:w="210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Can it be disabled?</w:t>
            </w:r>
          </w:p>
        </w:tc>
      </w:tr>
      <w:tr>
        <w:tc>
          <w:tcPr>
            <w:tcW w:type="dxa" w:w="1800"/>
            <w:tcMar>
              <w:top w:type="dxa" w:w="90"/>
              <w:left w:type="dxa" w:w="130"/>
              <w:bottom w:type="dxa" w:w="90"/>
              <w:right w:type="dxa" w:w="130"/>
            </w:tcMar>
          </w:tcPr>
          <w:p>
            <w:pPr>
              <w:spacing w:line="250"/>
            </w:pPr>
            <w:r>
              <w:rPr>
                <w:rFonts w:ascii="Cambria" w:cs="Cambria" w:eastAsia="Cambria" w:hAnsi="Cambria"/>
                <w:color w:val="1A1A1A"/>
                <w:sz w:val="18"/>
                <w:szCs w:val="18"/>
              </w:rPr>
              <w:t xml:space="preserve">Strictly Necessary</w:t>
            </w:r>
          </w:p>
        </w:tc>
        <w:tc>
          <w:tcPr>
            <w:tcW w:type="dxa" w:w="5460"/>
            <w:tcMar>
              <w:top w:type="dxa" w:w="90"/>
              <w:left w:type="dxa" w:w="130"/>
              <w:bottom w:type="dxa" w:w="90"/>
              <w:right w:type="dxa" w:w="130"/>
            </w:tcMar>
          </w:tcPr>
          <w:p>
            <w:pPr>
              <w:spacing w:line="250"/>
            </w:pPr>
            <w:r>
              <w:rPr>
                <w:rFonts w:ascii="Cambria" w:cs="Cambria" w:eastAsia="Cambria" w:hAnsi="Cambria"/>
                <w:color w:val="1A1A1A"/>
                <w:sz w:val="18"/>
                <w:szCs w:val="18"/>
              </w:rPr>
              <w:t xml:space="preserve">Required for the Site to function and to be secure. These enable core features such as page navigation, load balancing, security and fraud prevention, and remembering your cookie consent choices. The Site cannot function properly without them.</w:t>
            </w:r>
          </w:p>
        </w:tc>
        <w:tc>
          <w:tcPr>
            <w:tcW w:type="dxa" w:w="2100"/>
            <w:tcMar>
              <w:top w:type="dxa" w:w="90"/>
              <w:left w:type="dxa" w:w="130"/>
              <w:bottom w:type="dxa" w:w="90"/>
              <w:right w:type="dxa" w:w="130"/>
            </w:tcMar>
          </w:tcPr>
          <w:p>
            <w:pPr>
              <w:spacing w:line="250"/>
            </w:pPr>
            <w:r>
              <w:rPr>
                <w:rFonts w:ascii="Cambria" w:cs="Cambria" w:eastAsia="Cambria" w:hAnsi="Cambria"/>
                <w:color w:val="1A1A1A"/>
                <w:sz w:val="18"/>
                <w:szCs w:val="18"/>
              </w:rPr>
              <w:t xml:space="preserve">No — these are set on the basis of our legitimate interest in operating a secure website and do not require consent.</w:t>
            </w:r>
          </w:p>
        </w:tc>
      </w:tr>
      <w:tr>
        <w:tc>
          <w:tcPr>
            <w:tcW w:type="dxa" w:w="18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Performance and Analytics</w:t>
            </w:r>
          </w:p>
        </w:tc>
        <w:tc>
          <w:tcPr>
            <w:tcW w:type="dxa" w:w="546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Help us understand how visitors find and use the Site — which pages are visited, how long visitors stay, which links are clicked, and whether errors occur. This information is aggregated and used to improve the Site. Example provider: [Google Analytics 4 — CONFIRM].</w:t>
            </w:r>
          </w:p>
        </w:tc>
        <w:tc>
          <w:tcPr>
            <w:tcW w:type="dxa" w:w="21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Yes — via the Cookie Settings link in the Site footer.</w:t>
            </w:r>
          </w:p>
        </w:tc>
      </w:tr>
      <w:tr>
        <w:tc>
          <w:tcPr>
            <w:tcW w:type="dxa" w:w="1800"/>
            <w:tcMar>
              <w:top w:type="dxa" w:w="90"/>
              <w:left w:type="dxa" w:w="130"/>
              <w:bottom w:type="dxa" w:w="90"/>
              <w:right w:type="dxa" w:w="130"/>
            </w:tcMar>
          </w:tcPr>
          <w:p>
            <w:pPr>
              <w:spacing w:line="250"/>
            </w:pPr>
            <w:r>
              <w:rPr>
                <w:rFonts w:ascii="Cambria" w:cs="Cambria" w:eastAsia="Cambria" w:hAnsi="Cambria"/>
                <w:color w:val="1A1A1A"/>
                <w:sz w:val="18"/>
                <w:szCs w:val="18"/>
              </w:rPr>
              <w:t xml:space="preserve">Functional</w:t>
            </w:r>
          </w:p>
        </w:tc>
        <w:tc>
          <w:tcPr>
            <w:tcW w:type="dxa" w:w="5460"/>
            <w:tcMar>
              <w:top w:type="dxa" w:w="90"/>
              <w:left w:type="dxa" w:w="130"/>
              <w:bottom w:type="dxa" w:w="90"/>
              <w:right w:type="dxa" w:w="130"/>
            </w:tcMar>
          </w:tcPr>
          <w:p>
            <w:pPr>
              <w:spacing w:line="250"/>
            </w:pPr>
            <w:r>
              <w:rPr>
                <w:rFonts w:ascii="Cambria" w:cs="Cambria" w:eastAsia="Cambria" w:hAnsi="Cambria"/>
                <w:color w:val="1A1A1A"/>
                <w:sz w:val="18"/>
                <w:szCs w:val="18"/>
              </w:rPr>
              <w:t xml:space="preserve">Remember choices you make, such as language, region, or display preferences, so the Site can offer a more personalized experience.</w:t>
            </w:r>
          </w:p>
        </w:tc>
        <w:tc>
          <w:tcPr>
            <w:tcW w:type="dxa" w:w="2100"/>
            <w:tcMar>
              <w:top w:type="dxa" w:w="90"/>
              <w:left w:type="dxa" w:w="130"/>
              <w:bottom w:type="dxa" w:w="90"/>
              <w:right w:type="dxa" w:w="130"/>
            </w:tcMar>
          </w:tcPr>
          <w:p>
            <w:pPr>
              <w:spacing w:line="250"/>
            </w:pPr>
            <w:r>
              <w:rPr>
                <w:rFonts w:ascii="Cambria" w:cs="Cambria" w:eastAsia="Cambria" w:hAnsi="Cambria"/>
                <w:color w:val="1A1A1A"/>
                <w:sz w:val="18"/>
                <w:szCs w:val="18"/>
              </w:rPr>
              <w:t xml:space="preserve">Yes — via the Cookie Settings link in the Site footer. Disabling them may reduce Site functionality.</w:t>
            </w:r>
          </w:p>
        </w:tc>
      </w:tr>
      <w:tr>
        <w:tc>
          <w:tcPr>
            <w:tcW w:type="dxa" w:w="18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Targeting and Advertising</w:t>
            </w:r>
          </w:p>
        </w:tc>
        <w:tc>
          <w:tcPr>
            <w:tcW w:type="dxa" w:w="546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Used to deliver advertising relevant to you and to measure advertising campaigns. Prime Catalyst does not currently use advertising cookies on the Site. If this changes, we will update this policy and obtain consent where required.</w:t>
            </w:r>
          </w:p>
        </w:tc>
        <w:tc>
          <w:tcPr>
            <w:tcW w:type="dxa" w:w="21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Yes — via the Cookie Settings link in the Site footer.</w:t>
            </w:r>
          </w:p>
        </w:tc>
      </w:tr>
    </w:tbl>
    <w:p>
      <w:pPr>
        <w:spacing w:after="220"/>
      </w:pPr>
    </w:p>
    <w:p>
      <w:pPr>
        <w:pStyle w:val="Heading2"/>
        <w:keepNext/>
        <w:spacing w:after="110" w:before="300"/>
      </w:pPr>
      <w:r>
        <w:rPr>
          <w:rFonts w:ascii="Calibri" w:cs="Calibri" w:eastAsia="Calibri" w:hAnsi="Calibri"/>
          <w:b/>
          <w:bCs/>
          <w:color w:val="16294D"/>
          <w:sz w:val="23"/>
          <w:szCs w:val="23"/>
        </w:rPr>
        <w:t xml:space="preserve">3. Why We Use Cookies</w:t>
      </w:r>
    </w:p>
    <w:p>
      <w:pPr>
        <w:pStyle w:val="ListParagraph"/>
        <w:numPr>
          <w:ilvl w:val="0"/>
          <w:numId w:val="2"/>
        </w:numPr>
        <w:spacing w:after="90" w:line="285"/>
        <w:jc w:val="both"/>
      </w:pPr>
      <w:r>
        <w:rPr>
          <w:rFonts w:ascii="Cambria" w:cs="Cambria" w:eastAsia="Cambria" w:hAnsi="Cambria"/>
          <w:color w:val="1A1A1A"/>
          <w:sz w:val="21"/>
          <w:szCs w:val="21"/>
        </w:rPr>
        <w:t xml:space="preserve">To operate the Site and keep it secure;</w:t>
      </w:r>
    </w:p>
    <w:p>
      <w:pPr>
        <w:pStyle w:val="ListParagraph"/>
        <w:numPr>
          <w:ilvl w:val="0"/>
          <w:numId w:val="2"/>
        </w:numPr>
        <w:spacing w:after="90" w:line="285"/>
        <w:jc w:val="both"/>
      </w:pPr>
      <w:r>
        <w:rPr>
          <w:rFonts w:ascii="Cambria" w:cs="Cambria" w:eastAsia="Cambria" w:hAnsi="Cambria"/>
          <w:color w:val="1A1A1A"/>
          <w:sz w:val="21"/>
          <w:szCs w:val="21"/>
        </w:rPr>
        <w:t xml:space="preserve">To remember your preferences and consent choices;</w:t>
      </w:r>
    </w:p>
    <w:p>
      <w:pPr>
        <w:pStyle w:val="ListParagraph"/>
        <w:numPr>
          <w:ilvl w:val="0"/>
          <w:numId w:val="2"/>
        </w:numPr>
        <w:spacing w:after="90" w:line="285"/>
        <w:jc w:val="both"/>
      </w:pPr>
      <w:r>
        <w:rPr>
          <w:rFonts w:ascii="Cambria" w:cs="Cambria" w:eastAsia="Cambria" w:hAnsi="Cambria"/>
          <w:color w:val="1A1A1A"/>
          <w:sz w:val="21"/>
          <w:szCs w:val="21"/>
        </w:rPr>
        <w:t xml:space="preserve">To measure and analyze how the Site is used so we can improve its content and performance; and</w:t>
      </w:r>
    </w:p>
    <w:p>
      <w:pPr>
        <w:pStyle w:val="ListParagraph"/>
        <w:numPr>
          <w:ilvl w:val="0"/>
          <w:numId w:val="2"/>
        </w:numPr>
        <w:spacing w:after="90" w:line="285"/>
        <w:jc w:val="both"/>
      </w:pPr>
      <w:r>
        <w:rPr>
          <w:rFonts w:ascii="Cambria" w:cs="Cambria" w:eastAsia="Cambria" w:hAnsi="Cambria"/>
          <w:color w:val="1A1A1A"/>
          <w:sz w:val="21"/>
          <w:szCs w:val="21"/>
        </w:rPr>
        <w:t xml:space="preserve">To diagnose technical problems and detect misuse.</w:t>
      </w:r>
    </w:p>
    <w:p>
      <w:pPr>
        <w:pStyle w:val="Heading2"/>
        <w:keepNext/>
        <w:spacing w:after="110" w:before="300"/>
      </w:pPr>
      <w:r>
        <w:rPr>
          <w:rFonts w:ascii="Calibri" w:cs="Calibri" w:eastAsia="Calibri" w:hAnsi="Calibri"/>
          <w:b/>
          <w:bCs/>
          <w:color w:val="16294D"/>
          <w:sz w:val="23"/>
          <w:szCs w:val="23"/>
        </w:rPr>
        <w:t xml:space="preserve">4. Managing Your Cookie Preferences</w:t>
      </w:r>
    </w:p>
    <w:p>
      <w:pPr>
        <w:pStyle w:val="Heading3"/>
        <w:keepNext/>
        <w:spacing w:after="90" w:before="220"/>
      </w:pPr>
      <w:r>
        <w:rPr>
          <w:rFonts w:ascii="Calibri" w:cs="Calibri" w:eastAsia="Calibri" w:hAnsi="Calibri"/>
          <w:b/>
          <w:bCs/>
          <w:color w:val="3A4A6B"/>
          <w:sz w:val="21"/>
          <w:szCs w:val="21"/>
        </w:rPr>
        <w:t xml:space="preserve">4.1 Cookie Settings on the Site</w:t>
      </w:r>
    </w:p>
    <w:p>
      <w:pPr>
        <w:spacing w:after="140" w:line="290"/>
        <w:jc w:val="both"/>
      </w:pPr>
      <w:r>
        <w:rPr>
          <w:rFonts w:ascii="Cambria" w:cs="Cambria" w:eastAsia="Cambria" w:hAnsi="Cambria"/>
          <w:color w:val="1A1A1A"/>
          <w:sz w:val="21"/>
          <w:szCs w:val="21"/>
        </w:rPr>
        <w:t xml:space="preserve">You can review and change your cookie preferences at any time by selecting "Cookie Settings" in the footer of any page of the Site. Your choices are stored in a consent cookie on your device. If you clear your cookies or use a different browser or device, you will be asked for your preferences again.</w:t>
      </w:r>
    </w:p>
    <w:p>
      <w:pPr>
        <w:pStyle w:val="Heading3"/>
        <w:keepNext/>
        <w:spacing w:after="90" w:before="220"/>
      </w:pPr>
      <w:r>
        <w:rPr>
          <w:rFonts w:ascii="Calibri" w:cs="Calibri" w:eastAsia="Calibri" w:hAnsi="Calibri"/>
          <w:b/>
          <w:bCs/>
          <w:color w:val="3A4A6B"/>
          <w:sz w:val="21"/>
          <w:szCs w:val="21"/>
        </w:rPr>
        <w:t xml:space="preserve">4.2 Browser Controls</w:t>
      </w:r>
    </w:p>
    <w:p>
      <w:pPr>
        <w:spacing w:after="140" w:line="290"/>
        <w:jc w:val="both"/>
      </w:pPr>
      <w:r>
        <w:rPr>
          <w:rFonts w:ascii="Cambria" w:cs="Cambria" w:eastAsia="Cambria" w:hAnsi="Cambria"/>
          <w:color w:val="1A1A1A"/>
          <w:sz w:val="21"/>
          <w:szCs w:val="21"/>
        </w:rPr>
        <w:t xml:space="preserve">Most browsers allow you to refuse or delete cookies through their settings menu. The location of these controls varies by browser; the "Help" menu of your browser will explain how to change your cookie settings. Please note that blocking all cookies, including strictly necessary cookies, may prevent parts of the Site from working correctly.</w:t>
      </w:r>
    </w:p>
    <w:p>
      <w:pPr>
        <w:pStyle w:val="Heading3"/>
        <w:keepNext/>
        <w:spacing w:after="90" w:before="220"/>
      </w:pPr>
      <w:r>
        <w:rPr>
          <w:rFonts w:ascii="Calibri" w:cs="Calibri" w:eastAsia="Calibri" w:hAnsi="Calibri"/>
          <w:b/>
          <w:bCs/>
          <w:color w:val="3A4A6B"/>
          <w:sz w:val="21"/>
          <w:szCs w:val="21"/>
        </w:rPr>
        <w:t xml:space="preserve">4.3 Analytics Opt-Out</w:t>
      </w:r>
    </w:p>
    <w:p>
      <w:pPr>
        <w:spacing w:after="140" w:line="290"/>
        <w:jc w:val="both"/>
      </w:pPr>
      <w:r>
        <w:rPr>
          <w:rFonts w:ascii="Cambria" w:cs="Cambria" w:eastAsia="Cambria" w:hAnsi="Cambria"/>
          <w:color w:val="1A1A1A"/>
          <w:sz w:val="21"/>
          <w:szCs w:val="21"/>
        </w:rPr>
        <w:t xml:space="preserve">If the Site uses Google Analytics, you may opt out of Google Analytics across all websites by installing the Google Analytics Opt-out Browser Add-on available from Google. [CONFIRM ANALYTICS PROVIDER AND UPDATE THIS PARAGRAPH ACCORDINGLY.]</w:t>
      </w:r>
    </w:p>
    <w:p>
      <w:pPr>
        <w:pStyle w:val="Heading3"/>
        <w:keepNext/>
        <w:spacing w:after="90" w:before="220"/>
      </w:pPr>
      <w:r>
        <w:rPr>
          <w:rFonts w:ascii="Calibri" w:cs="Calibri" w:eastAsia="Calibri" w:hAnsi="Calibri"/>
          <w:b/>
          <w:bCs/>
          <w:color w:val="3A4A6B"/>
          <w:sz w:val="21"/>
          <w:szCs w:val="21"/>
        </w:rPr>
        <w:t xml:space="preserve">4.4 Do Not Track and Global Privacy Control</w:t>
      </w:r>
    </w:p>
    <w:p>
      <w:pPr>
        <w:spacing w:after="140" w:line="290"/>
        <w:jc w:val="both"/>
      </w:pPr>
      <w:r>
        <w:rPr>
          <w:rFonts w:ascii="Cambria" w:cs="Cambria" w:eastAsia="Cambria" w:hAnsi="Cambria"/>
          <w:color w:val="1A1A1A"/>
          <w:sz w:val="21"/>
          <w:szCs w:val="21"/>
        </w:rPr>
        <w:t xml:space="preserve">There is no uniform industry standard for responding to browser "Do Not Track" signals, and the Site does not currently respond to them. Where required by applicable law, we honor opt-out preference signals such as the Global Privacy Control.</w:t>
      </w:r>
    </w:p>
    <w:p>
      <w:pPr>
        <w:pStyle w:val="Heading2"/>
        <w:keepNext/>
        <w:spacing w:after="110" w:before="300"/>
      </w:pPr>
      <w:r>
        <w:rPr>
          <w:rFonts w:ascii="Calibri" w:cs="Calibri" w:eastAsia="Calibri" w:hAnsi="Calibri"/>
          <w:b/>
          <w:bCs/>
          <w:color w:val="16294D"/>
          <w:sz w:val="23"/>
          <w:szCs w:val="23"/>
        </w:rPr>
        <w:t xml:space="preserve">5. Suggested Interface Copy for the Cookie Banner</w:t>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The following is suggested copy for the consent banner and preference center. Your web developer or consent management platform will implement it; the exact wording may need to change to match the platform’s field structure.</w:t>
            </w:r>
          </w:p>
        </w:tc>
      </w:tr>
    </w:tbl>
    <w:p>
      <w:pPr>
        <w:spacing w:after="200"/>
      </w:pPr>
    </w:p>
    <w:p>
      <w:pPr>
        <w:pStyle w:val="Heading3"/>
        <w:keepNext/>
        <w:spacing w:after="90" w:before="220"/>
      </w:pPr>
      <w:r>
        <w:rPr>
          <w:rFonts w:ascii="Calibri" w:cs="Calibri" w:eastAsia="Calibri" w:hAnsi="Calibri"/>
          <w:b/>
          <w:bCs/>
          <w:color w:val="3A4A6B"/>
          <w:sz w:val="21"/>
          <w:szCs w:val="21"/>
        </w:rPr>
        <w:t xml:space="preserve">5.1 Banner</w:t>
      </w:r>
    </w:p>
    <w:p>
      <w:pPr>
        <w:spacing w:after="140" w:line="290"/>
        <w:jc w:val="both"/>
      </w:pPr>
      <w:r>
        <w:rPr>
          <w:rFonts w:ascii="Cambria" w:cs="Cambria" w:eastAsia="Cambria" w:hAnsi="Cambria"/>
          <w:color w:val="1A1A1A"/>
          <w:sz w:val="21"/>
          <w:szCs w:val="21"/>
        </w:rPr>
        <w:t xml:space="preserve">Heading: "We use cookies."</w:t>
      </w:r>
    </w:p>
    <w:p>
      <w:pPr>
        <w:spacing w:after="140" w:line="290"/>
        <w:jc w:val="both"/>
      </w:pPr>
      <w:r>
        <w:rPr>
          <w:rFonts w:ascii="Cambria" w:cs="Cambria" w:eastAsia="Cambria" w:hAnsi="Cambria"/>
          <w:color w:val="1A1A1A"/>
          <w:sz w:val="21"/>
          <w:szCs w:val="21"/>
        </w:rPr>
        <w:t xml:space="preserve">Body: "We use strictly necessary cookies to make our site work, and — with your permission — analytics cookies to understand how the site is used so we can improve it. You can change your choices at any time using the Cookie Settings link in our footer. See our Cookie Policy for details."</w:t>
      </w:r>
    </w:p>
    <w:p>
      <w:pPr>
        <w:spacing w:after="140" w:line="290"/>
        <w:jc w:val="both"/>
      </w:pPr>
      <w:r>
        <w:rPr>
          <w:rFonts w:ascii="Cambria" w:cs="Cambria" w:eastAsia="Cambria" w:hAnsi="Cambria"/>
          <w:color w:val="1A1A1A"/>
          <w:sz w:val="21"/>
          <w:szCs w:val="21"/>
        </w:rPr>
        <w:t xml:space="preserve">Buttons: "Accept All"  |  "Reject Non-Essential"  |  "Cookie Settings"</w:t>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Give the "Reject Non-Essential" button the same visual prominence as "Accept All." Regulators in several jurisdictions treat a hidden or de-emphasized reject option as invalid consent.</w:t>
            </w:r>
          </w:p>
        </w:tc>
      </w:tr>
    </w:tbl>
    <w:p>
      <w:pPr>
        <w:spacing w:after="200"/>
      </w:pPr>
    </w:p>
    <w:p>
      <w:pPr>
        <w:pStyle w:val="Heading3"/>
        <w:keepNext/>
        <w:spacing w:after="90" w:before="220"/>
      </w:pPr>
      <w:r>
        <w:rPr>
          <w:rFonts w:ascii="Calibri" w:cs="Calibri" w:eastAsia="Calibri" w:hAnsi="Calibri"/>
          <w:b/>
          <w:bCs/>
          <w:color w:val="3A4A6B"/>
          <w:sz w:val="21"/>
          <w:szCs w:val="21"/>
        </w:rPr>
        <w:t xml:space="preserve">5.2 Preference Center — Cookie Settings</w:t>
      </w:r>
    </w:p>
    <w:p>
      <w:pPr>
        <w:spacing w:after="140" w:line="290"/>
        <w:jc w:val="both"/>
      </w:pPr>
      <w:r>
        <w:rPr>
          <w:rFonts w:ascii="Cambria" w:cs="Cambria" w:eastAsia="Cambria" w:hAnsi="Cambria"/>
          <w:color w:val="1A1A1A"/>
          <w:sz w:val="21"/>
          <w:szCs w:val="21"/>
        </w:rPr>
        <w:t xml:space="preserve">Heading: "Cookie Settings"</w:t>
      </w:r>
    </w:p>
    <w:p>
      <w:pPr>
        <w:spacing w:after="140" w:line="290"/>
        <w:jc w:val="both"/>
      </w:pPr>
      <w:r>
        <w:rPr>
          <w:rFonts w:ascii="Cambria" w:cs="Cambria" w:eastAsia="Cambria" w:hAnsi="Cambria"/>
          <w:color w:val="1A1A1A"/>
          <w:sz w:val="21"/>
          <w:szCs w:val="21"/>
        </w:rPr>
        <w:t xml:space="preserve">Intro: "Choose which categories of cookies you allow. Strictly necessary cookies are always on because the site cannot function without them. Your choices are saved to this browser."</w:t>
      </w:r>
    </w:p>
    <w:p>
      <w:pPr>
        <w:spacing w:after="140" w:line="290"/>
        <w:jc w:val="both"/>
      </w:pPr>
      <w:r>
        <w:rPr>
          <w:rFonts w:ascii="Cambria" w:cs="Cambria" w:eastAsia="Cambria" w:hAnsi="Cambria"/>
          <w:color w:val="1A1A1A"/>
          <w:sz w:val="21"/>
          <w:szCs w:val="21"/>
        </w:rPr>
        <w:t xml:space="preserve">Toggle 1 — Strictly Necessary (always on, disabled control): "Required for site navigation, security, and remembering your cookie choices."</w:t>
      </w:r>
    </w:p>
    <w:p>
      <w:pPr>
        <w:spacing w:after="140" w:line="290"/>
        <w:jc w:val="both"/>
      </w:pPr>
      <w:r>
        <w:rPr>
          <w:rFonts w:ascii="Cambria" w:cs="Cambria" w:eastAsia="Cambria" w:hAnsi="Cambria"/>
          <w:color w:val="1A1A1A"/>
          <w:sz w:val="21"/>
          <w:szCs w:val="21"/>
        </w:rPr>
        <w:t xml:space="preserve">Toggle 2 — Performance and Analytics (default off): "Help us understand how visitors use the site so we can improve it. All information is aggregated."</w:t>
      </w:r>
    </w:p>
    <w:p>
      <w:pPr>
        <w:spacing w:after="140" w:line="290"/>
        <w:jc w:val="both"/>
      </w:pPr>
      <w:r>
        <w:rPr>
          <w:rFonts w:ascii="Cambria" w:cs="Cambria" w:eastAsia="Cambria" w:hAnsi="Cambria"/>
          <w:color w:val="1A1A1A"/>
          <w:sz w:val="21"/>
          <w:szCs w:val="21"/>
        </w:rPr>
        <w:t xml:space="preserve">Toggle 3 — Functional (default off): "Remember your preferences, such as display and language settings."</w:t>
      </w:r>
    </w:p>
    <w:p>
      <w:pPr>
        <w:spacing w:after="140" w:line="290"/>
        <w:jc w:val="both"/>
      </w:pPr>
      <w:r>
        <w:rPr>
          <w:rFonts w:ascii="Cambria" w:cs="Cambria" w:eastAsia="Cambria" w:hAnsi="Cambria"/>
          <w:color w:val="1A1A1A"/>
          <w:sz w:val="21"/>
          <w:szCs w:val="21"/>
        </w:rPr>
        <w:t xml:space="preserve">Toggle 4 — Targeting and Advertising (default off, may be hidden if unused): "Used to deliver and measure advertising. Prime Catalyst does not currently use these."</w:t>
      </w:r>
    </w:p>
    <w:p>
      <w:pPr>
        <w:spacing w:after="140" w:line="290"/>
        <w:jc w:val="both"/>
      </w:pPr>
      <w:r>
        <w:rPr>
          <w:rFonts w:ascii="Cambria" w:cs="Cambria" w:eastAsia="Cambria" w:hAnsi="Cambria"/>
          <w:color w:val="1A1A1A"/>
          <w:sz w:val="21"/>
          <w:szCs w:val="21"/>
        </w:rPr>
        <w:t xml:space="preserve">Buttons: "Save Preferences"  |  "Accept All"  |  "Reject Non-Essential"</w:t>
      </w:r>
    </w:p>
    <w:p>
      <w:pPr>
        <w:spacing w:after="140" w:line="290"/>
        <w:jc w:val="both"/>
      </w:pPr>
      <w:r>
        <w:rPr>
          <w:rFonts w:ascii="Cambria" w:cs="Cambria" w:eastAsia="Cambria" w:hAnsi="Cambria"/>
          <w:color w:val="1A1A1A"/>
          <w:sz w:val="21"/>
          <w:szCs w:val="21"/>
        </w:rPr>
        <w:t xml:space="preserve">Footer link: "Read our Cookie Policy" and "Read our Privacy Policy"</w:t>
      </w:r>
    </w:p>
    <w:p>
      <w:pPr>
        <w:pStyle w:val="Heading2"/>
        <w:keepNext/>
        <w:spacing w:after="110" w:before="300"/>
      </w:pPr>
      <w:r>
        <w:rPr>
          <w:rFonts w:ascii="Calibri" w:cs="Calibri" w:eastAsia="Calibri" w:hAnsi="Calibri"/>
          <w:b/>
          <w:bCs/>
          <w:color w:val="16294D"/>
          <w:sz w:val="23"/>
          <w:szCs w:val="23"/>
        </w:rPr>
        <w:t xml:space="preserve">6. Changes to This Cookie Policy</w:t>
      </w:r>
    </w:p>
    <w:p>
      <w:pPr>
        <w:spacing w:after="140" w:line="290"/>
        <w:jc w:val="both"/>
      </w:pPr>
      <w:r>
        <w:rPr>
          <w:rFonts w:ascii="Cambria" w:cs="Cambria" w:eastAsia="Cambria" w:hAnsi="Cambria"/>
          <w:color w:val="1A1A1A"/>
          <w:sz w:val="21"/>
          <w:szCs w:val="21"/>
        </w:rPr>
        <w:t xml:space="preserve">We may update this Cookie Policy to reflect changes in the cookies we use or for operational, legal, or regulatory reasons. When we do, we will revise the "Last Updated" date above. We encourage you to review this policy periodically.</w:t>
      </w:r>
    </w:p>
    <w:p>
      <w:pPr>
        <w:pStyle w:val="Heading2"/>
        <w:keepNext/>
        <w:spacing w:after="110" w:before="300"/>
      </w:pPr>
      <w:r>
        <w:rPr>
          <w:rFonts w:ascii="Calibri" w:cs="Calibri" w:eastAsia="Calibri" w:hAnsi="Calibri"/>
          <w:b/>
          <w:bCs/>
          <w:color w:val="16294D"/>
          <w:sz w:val="23"/>
          <w:szCs w:val="23"/>
        </w:rPr>
        <w:t xml:space="preserve">7. Contact</w:t>
      </w:r>
    </w:p>
    <w:p>
      <w:pPr>
        <w:spacing w:after="140" w:line="290"/>
        <w:jc w:val="both"/>
      </w:pPr>
      <w:r>
        <w:rPr>
          <w:rFonts w:ascii="Cambria" w:cs="Cambria" w:eastAsia="Cambria" w:hAnsi="Cambria"/>
          <w:color w:val="1A1A1A"/>
          <w:sz w:val="21"/>
          <w:szCs w:val="21"/>
        </w:rPr>
        <w:t xml:space="preserve">Questions about our use of cookies may be directed to info@primecatalyst.com.</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V. Website and Investment Disclaimer</w:t>
      </w:r>
    </w:p>
    <w:p>
      <w:pPr>
        <w:spacing w:after="140" w:line="290"/>
        <w:jc w:val="both"/>
      </w:pPr>
      <w:r>
        <w:rPr>
          <w:rFonts w:ascii="Cambria" w:cs="Cambria" w:eastAsia="Cambria" w:hAnsi="Cambria"/>
          <w:color w:val="1A1A1A"/>
          <w:sz w:val="21"/>
          <w:szCs w:val="21"/>
        </w:rPr>
        <w:t xml:space="preserve">Last Updated: [EFFECTIVE DATE]</w:t>
      </w:r>
    </w:p>
    <w:p>
      <w:pPr>
        <w:pStyle w:val="Heading2"/>
        <w:keepNext/>
        <w:spacing w:after="110" w:before="300"/>
      </w:pPr>
      <w:r>
        <w:rPr>
          <w:rFonts w:ascii="Calibri" w:cs="Calibri" w:eastAsia="Calibri" w:hAnsi="Calibri"/>
          <w:b/>
          <w:bCs/>
          <w:color w:val="16294D"/>
          <w:sz w:val="23"/>
          <w:szCs w:val="23"/>
        </w:rPr>
        <w:t xml:space="preserve">1. Informational Purposes Only</w:t>
      </w:r>
    </w:p>
    <w:p>
      <w:pPr>
        <w:spacing w:after="140" w:line="290"/>
        <w:jc w:val="both"/>
      </w:pPr>
      <w:r>
        <w:rPr>
          <w:rFonts w:ascii="Cambria" w:cs="Cambria" w:eastAsia="Cambria" w:hAnsi="Cambria"/>
          <w:color w:val="1A1A1A"/>
          <w:sz w:val="21"/>
          <w:szCs w:val="21"/>
        </w:rPr>
        <w:t xml:space="preserve">The information on [WEBSITE URL] (the "Site") is provided by Prime Catalyst, LLC ("Prime Catalyst") for general informational purposes only. It is not intended to be, and should not be relied upon as, investment, financial, legal, tax, accounting, or other professional advice. You should consult your own advisors before making any decision.</w:t>
      </w:r>
    </w:p>
    <w:p>
      <w:pPr>
        <w:pStyle w:val="Heading2"/>
        <w:keepNext/>
        <w:spacing w:after="110" w:before="300"/>
      </w:pPr>
      <w:r>
        <w:rPr>
          <w:rFonts w:ascii="Calibri" w:cs="Calibri" w:eastAsia="Calibri" w:hAnsi="Calibri"/>
          <w:b/>
          <w:bCs/>
          <w:color w:val="16294D"/>
          <w:sz w:val="23"/>
          <w:szCs w:val="23"/>
        </w:rPr>
        <w:t xml:space="preserve">2. No Offer or Solicitation</w:t>
      </w:r>
    </w:p>
    <w:p>
      <w:pPr>
        <w:spacing w:after="140" w:line="290"/>
        <w:jc w:val="both"/>
      </w:pPr>
      <w:r>
        <w:rPr>
          <w:rFonts w:ascii="Cambria" w:cs="Cambria" w:eastAsia="Cambria" w:hAnsi="Cambria"/>
          <w:color w:val="1A1A1A"/>
          <w:sz w:val="21"/>
          <w:szCs w:val="21"/>
        </w:rPr>
        <w:t xml:space="preserve">Nothing on the Site constitutes an offer to sell, or a solicitation of an offer to buy, any security, investment product, or interest in any fund, vehicle, or entity managed or sponsored by Prime Catalyst or any of its affiliates, nor does it constitute a recommendation regarding any security or investment strategy. Any such offer or solicitation would be made only to qualified investors, only in jurisdictions where lawful, and only by means of definitive offering documents — such as a private placement memorandum, limited partnership or operating agreement, and subscription agreement — that contain material information not set forth on the Site, including risk factors, conflicts of interest, and fee and expense disclosures. In the event of any conflict between the Site and such definitive offering documents, the offering documents govern.</w:t>
      </w:r>
    </w:p>
    <w:p>
      <w:pPr>
        <w:spacing w:after="140" w:line="290"/>
        <w:jc w:val="both"/>
      </w:pPr>
      <w:r>
        <w:rPr>
          <w:rFonts w:ascii="Cambria" w:cs="Cambria" w:eastAsia="Cambria" w:hAnsi="Cambria"/>
          <w:color w:val="1A1A1A"/>
          <w:sz w:val="21"/>
          <w:szCs w:val="21"/>
        </w:rPr>
        <w:t xml:space="preserve">Any securities referenced on the Site have not been registered under the Securities Act of 1933, as amended, or under the securities laws of any state, and are offered, if at all, in reliance on exemptions from registration. They have not been approved or disapproved by the Securities and Exchange Commission or any state securities regulator, nor has any such authority passed upon the accuracy or adequacy of any information on the Site. Any representation to the contrary is a criminal offense.</w:t>
      </w:r>
    </w:p>
    <w:p>
      <w:pPr>
        <w:pStyle w:val="Heading2"/>
        <w:keepNext/>
        <w:spacing w:after="110" w:before="300"/>
      </w:pPr>
      <w:r>
        <w:rPr>
          <w:rFonts w:ascii="Calibri" w:cs="Calibri" w:eastAsia="Calibri" w:hAnsi="Calibri"/>
          <w:b/>
          <w:bCs/>
          <w:color w:val="16294D"/>
          <w:sz w:val="23"/>
          <w:szCs w:val="23"/>
        </w:rPr>
        <w:t xml:space="preserve">3. No Advisory or Fiduciary Relationship</w:t>
      </w:r>
    </w:p>
    <w:p>
      <w:pPr>
        <w:spacing w:after="140" w:line="290"/>
        <w:jc w:val="both"/>
      </w:pPr>
      <w:r>
        <w:rPr>
          <w:rFonts w:ascii="Cambria" w:cs="Cambria" w:eastAsia="Cambria" w:hAnsi="Cambria"/>
          <w:color w:val="1A1A1A"/>
          <w:sz w:val="21"/>
          <w:szCs w:val="21"/>
        </w:rPr>
        <w:t xml:space="preserve">Your access to or use of the Site, and any communication you send to Prime Catalyst through the Site, does not create an investment advisory, fiduciary, brokerage, agency, or other professional relationship between you and Prime Catalyst. Prime Catalyst does not provide personalized investment advice through the Site and does not take into account the investment objectives, financial situation, or particular needs of any person viewing the Site.</w:t>
      </w:r>
    </w:p>
    <w:p>
      <w:pPr>
        <w:pStyle w:val="Heading2"/>
        <w:keepNext/>
        <w:spacing w:after="110" w:before="300"/>
      </w:pPr>
      <w:r>
        <w:rPr>
          <w:rFonts w:ascii="Calibri" w:cs="Calibri" w:eastAsia="Calibri" w:hAnsi="Calibri"/>
          <w:b/>
          <w:bCs/>
          <w:color w:val="16294D"/>
          <w:sz w:val="23"/>
          <w:szCs w:val="23"/>
        </w:rPr>
        <w:t xml:space="preserve">4. Registration Status</w:t>
      </w:r>
    </w:p>
    <w:p>
      <w:pPr>
        <w:spacing w:after="140" w:line="290"/>
        <w:jc w:val="both"/>
      </w:pPr>
      <w:r>
        <w:rPr>
          <w:rFonts w:ascii="Cambria" w:cs="Cambria" w:eastAsia="Cambria" w:hAnsi="Cambria"/>
          <w:color w:val="1A1A1A"/>
          <w:sz w:val="21"/>
          <w:szCs w:val="21"/>
        </w:rPr>
        <w:t xml:space="preserve">Prime Catalyst, LLC is a private investment and holding company. It is not registered with the Securities and Exchange Commission as an investment adviser or broker-dealer, is not registered as a broker-dealer with the Financial Industry Regulatory Authority, and is not a member of FINRA or the Securities Investor Protection Corporation. Prime Catalyst does not act as a placement agent, underwriter, or finder, and does not receive transaction-based compensation for the offer or sale of securities.</w:t>
      </w:r>
    </w:p>
    <w:tbl>
      <w:tblPr>
        <w:tblW w:type="dxa" w:w="9360"/>
        <w:tblBorders>
          <w:top w:val="single" w:color="B28E50" w:sz="4"/>
          <w:left w:val="single" w:color="B28E50" w:sz="18"/>
          <w:bottom w:val="single" w:color="B28E50" w:sz="4"/>
          <w:right w:val="single" w:color="B28E50" w:sz="4"/>
          <w:insideH w:val="none" w:color="FFFFFF" w:sz="0"/>
          <w:insideV w:val="none" w:color="FFFFFF" w:sz="0"/>
        </w:tblBorders>
      </w:tblPr>
      <w:tblGrid>
        <w:gridCol w:w="9360"/>
      </w:tblGrid>
      <w:tr>
        <w:tc>
          <w:tcPr>
            <w:tcW w:type="dxa" w:w="9360"/>
            <w:shd w:fill="F2F1EE" w:color="auto" w:val="clear"/>
            <w:tcMar>
              <w:top w:type="dxa" w:w="160"/>
              <w:left w:type="dxa" w:w="200"/>
              <w:bottom w:type="dxa" w:w="160"/>
              <w:right w:type="dxa" w:w="200"/>
            </w:tcMar>
          </w:tcPr>
          <w:p>
            <w:pPr>
              <w:spacing w:line="280"/>
            </w:pPr>
            <w:r>
              <w:rPr>
                <w:rFonts w:ascii="Cambria" w:cs="Cambria" w:eastAsia="Cambria" w:hAnsi="Cambria"/>
                <w:i/>
                <w:iCs/>
                <w:color w:val="3A3A3A"/>
                <w:sz w:val="19"/>
                <w:szCs w:val="19"/>
              </w:rPr>
              <w:t xml:space="preserve">CONFIRM WITH COUNSEL: The paragraph above should be verified against Prime Catalyst’s actual regulatory posture, including whether any exemption from investment adviser registration is being relied upon and whether any state notice filings apply. If the firm ever advises third-party capital for compensation, this paragraph and Section 3 must be revisited.</w:t>
            </w:r>
          </w:p>
        </w:tc>
      </w:tr>
    </w:tbl>
    <w:p>
      <w:pPr>
        <w:spacing w:after="200"/>
      </w:pPr>
    </w:p>
    <w:p>
      <w:pPr>
        <w:pStyle w:val="Heading2"/>
        <w:keepNext/>
        <w:spacing w:after="110" w:before="300"/>
      </w:pPr>
      <w:r>
        <w:rPr>
          <w:rFonts w:ascii="Calibri" w:cs="Calibri" w:eastAsia="Calibri" w:hAnsi="Calibri"/>
          <w:b/>
          <w:bCs/>
          <w:color w:val="16294D"/>
          <w:sz w:val="23"/>
          <w:szCs w:val="23"/>
        </w:rPr>
        <w:t xml:space="preserve">5. No Guarantee; Risk of Loss</w:t>
      </w:r>
    </w:p>
    <w:p>
      <w:pPr>
        <w:spacing w:after="140" w:line="290"/>
        <w:jc w:val="both"/>
      </w:pPr>
      <w:r>
        <w:rPr>
          <w:rFonts w:ascii="Cambria" w:cs="Cambria" w:eastAsia="Cambria" w:hAnsi="Cambria"/>
          <w:color w:val="1A1A1A"/>
          <w:sz w:val="21"/>
          <w:szCs w:val="21"/>
        </w:rPr>
        <w:t xml:space="preserve">All investments involve risk, including the possible loss of the entire amount invested. Private investments in particular are speculative, are illiquid, involve a high degree of risk, are not suitable for all investors, and are subject to restrictions on transfer. There is no guarantee that any investment objective will be achieved or that any strategy described on the Site will be successful. Nothing on the Site should be construed as a guarantee, promise, or assurance of any particular outcome.</w:t>
      </w:r>
    </w:p>
    <w:p>
      <w:pPr>
        <w:pStyle w:val="Heading2"/>
        <w:keepNext/>
        <w:spacing w:after="110" w:before="300"/>
      </w:pPr>
      <w:r>
        <w:rPr>
          <w:rFonts w:ascii="Calibri" w:cs="Calibri" w:eastAsia="Calibri" w:hAnsi="Calibri"/>
          <w:b/>
          <w:bCs/>
          <w:color w:val="16294D"/>
          <w:sz w:val="23"/>
          <w:szCs w:val="23"/>
        </w:rPr>
        <w:t xml:space="preserve">6. Past Performance</w:t>
      </w:r>
    </w:p>
    <w:p>
      <w:pPr>
        <w:spacing w:after="140" w:line="290"/>
        <w:jc w:val="both"/>
      </w:pPr>
      <w:r>
        <w:rPr>
          <w:rFonts w:ascii="Cambria" w:cs="Cambria" w:eastAsia="Cambria" w:hAnsi="Cambria"/>
          <w:color w:val="1A1A1A"/>
          <w:sz w:val="21"/>
          <w:szCs w:val="21"/>
        </w:rPr>
        <w:t xml:space="preserve">Past performance is not indicative of, and is no guarantee of, future results. Any performance information, target returns, or historical results referenced on the Site are provided for illustrative purposes only, may be unaudited or based on estimates, and may reflect assumptions that are subject to change. Different methodologies for calculating returns can produce materially different results. Individual investor results may differ materially from any figures shown.</w:t>
      </w:r>
    </w:p>
    <w:p>
      <w:pPr>
        <w:pStyle w:val="Heading2"/>
        <w:keepNext/>
        <w:spacing w:after="110" w:before="300"/>
      </w:pPr>
      <w:r>
        <w:rPr>
          <w:rFonts w:ascii="Calibri" w:cs="Calibri" w:eastAsia="Calibri" w:hAnsi="Calibri"/>
          <w:b/>
          <w:bCs/>
          <w:color w:val="16294D"/>
          <w:sz w:val="23"/>
          <w:szCs w:val="23"/>
        </w:rPr>
        <w:t xml:space="preserve">7. Forward-Looking Statements</w:t>
      </w:r>
    </w:p>
    <w:p>
      <w:pPr>
        <w:spacing w:after="140" w:line="290"/>
        <w:jc w:val="both"/>
      </w:pPr>
      <w:r>
        <w:rPr>
          <w:rFonts w:ascii="Cambria" w:cs="Cambria" w:eastAsia="Cambria" w:hAnsi="Cambria"/>
          <w:color w:val="1A1A1A"/>
          <w:sz w:val="21"/>
          <w:szCs w:val="21"/>
        </w:rPr>
        <w:t xml:space="preserve">The Site may contain forward-looking statements — including statements regarding strategy, plans, objectives, targets, projections, pipeline, expected performance, and market conditions — that can often be identified by words such as "may," "will," "expect," "anticipate," "believe," "estimate," "intend," "target," "project," "seek," or similar expressions. Forward-looking statements are not historical facts, are based on assumptions and expectations that may prove incorrect, and are subject to risks and uncertainties, many of which are outside Prime Catalyst’s control. Actual results may differ materially from those expressed or implied. Prime Catalyst undertakes no obligation to update or revise any forward-looking statement, whether as a result of new information, future events, or otherwise.</w:t>
      </w:r>
    </w:p>
    <w:p>
      <w:pPr>
        <w:pStyle w:val="Heading2"/>
        <w:keepNext/>
        <w:spacing w:after="110" w:before="300"/>
      </w:pPr>
      <w:r>
        <w:rPr>
          <w:rFonts w:ascii="Calibri" w:cs="Calibri" w:eastAsia="Calibri" w:hAnsi="Calibri"/>
          <w:b/>
          <w:bCs/>
          <w:color w:val="16294D"/>
          <w:sz w:val="23"/>
          <w:szCs w:val="23"/>
        </w:rPr>
        <w:t xml:space="preserve">8. Portfolio Companies, Case Studies, and Examples</w:t>
      </w:r>
    </w:p>
    <w:p>
      <w:pPr>
        <w:spacing w:after="140" w:line="290"/>
        <w:jc w:val="both"/>
      </w:pPr>
      <w:r>
        <w:rPr>
          <w:rFonts w:ascii="Cambria" w:cs="Cambria" w:eastAsia="Cambria" w:hAnsi="Cambria"/>
          <w:color w:val="1A1A1A"/>
          <w:sz w:val="21"/>
          <w:szCs w:val="21"/>
        </w:rPr>
        <w:t xml:space="preserve">References on the Site to specific companies, transactions, investments, or case studies are provided for illustrative purposes only, to describe Prime Catalyst’s approach and areas of activity. They are not representative of all investments, do not reflect all investments made, and should not be assumed to have been or to be profitable. Nothing on the Site should be construed as a recommendation to buy, sell, or hold any security or to pursue any particular investment strategy. Inclusion of a company name or logo does not imply an endorsement of Prime Catalyst by that company.</w:t>
      </w:r>
    </w:p>
    <w:p>
      <w:pPr>
        <w:pStyle w:val="Heading2"/>
        <w:keepNext/>
        <w:spacing w:after="110" w:before="300"/>
      </w:pPr>
      <w:r>
        <w:rPr>
          <w:rFonts w:ascii="Calibri" w:cs="Calibri" w:eastAsia="Calibri" w:hAnsi="Calibri"/>
          <w:b/>
          <w:bCs/>
          <w:color w:val="16294D"/>
          <w:sz w:val="23"/>
          <w:szCs w:val="23"/>
        </w:rPr>
        <w:t xml:space="preserve">9. Third-Party Information</w:t>
      </w:r>
    </w:p>
    <w:p>
      <w:pPr>
        <w:spacing w:after="140" w:line="290"/>
        <w:jc w:val="both"/>
      </w:pPr>
      <w:r>
        <w:rPr>
          <w:rFonts w:ascii="Cambria" w:cs="Cambria" w:eastAsia="Cambria" w:hAnsi="Cambria"/>
          <w:color w:val="1A1A1A"/>
          <w:sz w:val="21"/>
          <w:szCs w:val="21"/>
        </w:rPr>
        <w:t xml:space="preserve">Certain information on the Site has been obtained from third-party sources believed to be reliable. Prime Catalyst has not independently verified such information and makes no representation or warranty, express or implied, as to its accuracy, completeness, timeliness, or fitness for any purpose. Market data, industry statistics, and similar information reflect conditions as of the date indicated and are subject to change without notice.</w:t>
      </w:r>
    </w:p>
    <w:p>
      <w:pPr>
        <w:pStyle w:val="Heading2"/>
        <w:keepNext/>
        <w:spacing w:after="110" w:before="300"/>
      </w:pPr>
      <w:r>
        <w:rPr>
          <w:rFonts w:ascii="Calibri" w:cs="Calibri" w:eastAsia="Calibri" w:hAnsi="Calibri"/>
          <w:b/>
          <w:bCs/>
          <w:color w:val="16294D"/>
          <w:sz w:val="23"/>
          <w:szCs w:val="23"/>
        </w:rPr>
        <w:t xml:space="preserve">10. Testimonials and Endorsements</w:t>
      </w:r>
    </w:p>
    <w:p>
      <w:pPr>
        <w:spacing w:after="140" w:line="290"/>
        <w:jc w:val="both"/>
      </w:pPr>
      <w:r>
        <w:rPr>
          <w:rFonts w:ascii="Cambria" w:cs="Cambria" w:eastAsia="Cambria" w:hAnsi="Cambria"/>
          <w:color w:val="1A1A1A"/>
          <w:sz w:val="21"/>
          <w:szCs w:val="21"/>
        </w:rPr>
        <w:t xml:space="preserve">Any statements from clients, partners, or other third parties appearing on the Site are individual experiences, reflect the views of the person making them, and are not necessarily representative of the experience of others. Such statements are not a guarantee of future performance or success and should not be construed as an endorsement of any investment. [CONFIRM WHETHER ANY COMPENSATION WAS PROVIDED FOR SUCH STATEMENTS, AS THIS MAY REQUIRE ADDITIONAL DISCLOSURE.]</w:t>
      </w:r>
    </w:p>
    <w:p>
      <w:pPr>
        <w:pStyle w:val="Heading2"/>
        <w:keepNext/>
        <w:spacing w:after="110" w:before="300"/>
      </w:pPr>
      <w:r>
        <w:rPr>
          <w:rFonts w:ascii="Calibri" w:cs="Calibri" w:eastAsia="Calibri" w:hAnsi="Calibri"/>
          <w:b/>
          <w:bCs/>
          <w:color w:val="16294D"/>
          <w:sz w:val="23"/>
          <w:szCs w:val="23"/>
        </w:rPr>
        <w:t xml:space="preserve">11. No Reliance; No Duty to Update</w:t>
      </w:r>
    </w:p>
    <w:p>
      <w:pPr>
        <w:spacing w:after="140" w:line="290"/>
        <w:jc w:val="both"/>
      </w:pPr>
      <w:r>
        <w:rPr>
          <w:rFonts w:ascii="Cambria" w:cs="Cambria" w:eastAsia="Cambria" w:hAnsi="Cambria"/>
          <w:color w:val="1A1A1A"/>
          <w:sz w:val="21"/>
          <w:szCs w:val="21"/>
        </w:rPr>
        <w:t xml:space="preserve">The information on the Site speaks only as of the date posted and may become outdated. Prime Catalyst has no obligation to update, correct, or supplement any information on the Site, and reserves the right to modify or remove any content at any time without notice. You should not rely on the Site as the sole basis for any decision.</w:t>
      </w:r>
    </w:p>
    <w:p>
      <w:pPr>
        <w:pStyle w:val="Heading2"/>
        <w:keepNext/>
        <w:spacing w:after="110" w:before="300"/>
      </w:pPr>
      <w:r>
        <w:rPr>
          <w:rFonts w:ascii="Calibri" w:cs="Calibri" w:eastAsia="Calibri" w:hAnsi="Calibri"/>
          <w:b/>
          <w:bCs/>
          <w:color w:val="16294D"/>
          <w:sz w:val="23"/>
          <w:szCs w:val="23"/>
        </w:rPr>
        <w:t xml:space="preserve">12. Jurisdiction and Distribution Restrictions</w:t>
      </w:r>
    </w:p>
    <w:p>
      <w:pPr>
        <w:spacing w:after="140" w:line="290"/>
        <w:jc w:val="both"/>
      </w:pPr>
      <w:r>
        <w:rPr>
          <w:rFonts w:ascii="Cambria" w:cs="Cambria" w:eastAsia="Cambria" w:hAnsi="Cambria"/>
          <w:color w:val="1A1A1A"/>
          <w:sz w:val="21"/>
          <w:szCs w:val="21"/>
        </w:rPr>
        <w:t xml:space="preserve">The Site is directed only at persons in jurisdictions where its content and any investments referenced may lawfully be made available. It is not directed at, and is not intended for distribution to or use by, any person in any jurisdiction where such distribution or use would be contrary to law or regulation or would subject Prime Catalyst to any registration or licensing requirement. Persons accessing the Site are responsible for observing all applicable laws and regulations in their jurisdiction.</w:t>
      </w:r>
    </w:p>
    <w:p>
      <w:pPr>
        <w:pStyle w:val="Heading2"/>
        <w:keepNext/>
        <w:spacing w:after="110" w:before="300"/>
      </w:pPr>
      <w:r>
        <w:rPr>
          <w:rFonts w:ascii="Calibri" w:cs="Calibri" w:eastAsia="Calibri" w:hAnsi="Calibri"/>
          <w:b/>
          <w:bCs/>
          <w:color w:val="16294D"/>
          <w:sz w:val="23"/>
          <w:szCs w:val="23"/>
        </w:rPr>
        <w:t xml:space="preserve">13. Limitation of Liability</w:t>
      </w:r>
    </w:p>
    <w:p>
      <w:pPr>
        <w:spacing w:after="140" w:line="290"/>
        <w:jc w:val="both"/>
      </w:pPr>
      <w:r>
        <w:rPr>
          <w:rFonts w:ascii="Cambria" w:cs="Cambria" w:eastAsia="Cambria" w:hAnsi="Cambria"/>
          <w:color w:val="1A1A1A"/>
          <w:sz w:val="21"/>
          <w:szCs w:val="21"/>
        </w:rPr>
        <w:t xml:space="preserve">To the fullest extent permitted by law, neither Prime Catalyst nor any of its affiliates, members, managers, officers, employees, or agents accepts any liability for any loss or damage arising from any use of, or reliance on, the Site or any information contained on it. This Section does not limit any liability that cannot be excluded under applicable law. Additional disclaimers and limitations of liability applicable to your use of the Site are set forth in the Terms of Use.</w:t>
      </w:r>
    </w:p>
    <w:p>
      <w:pPr>
        <w:pStyle w:val="Heading2"/>
        <w:keepNext/>
        <w:spacing w:after="110" w:before="300"/>
      </w:pPr>
      <w:r>
        <w:rPr>
          <w:rFonts w:ascii="Calibri" w:cs="Calibri" w:eastAsia="Calibri" w:hAnsi="Calibri"/>
          <w:b/>
          <w:bCs/>
          <w:color w:val="16294D"/>
          <w:sz w:val="23"/>
          <w:szCs w:val="23"/>
        </w:rPr>
        <w:t xml:space="preserve">14. Contact</w:t>
      </w:r>
    </w:p>
    <w:p>
      <w:pPr>
        <w:spacing w:after="140" w:line="290"/>
        <w:jc w:val="both"/>
      </w:pPr>
      <w:r>
        <w:rPr>
          <w:rFonts w:ascii="Cambria" w:cs="Cambria" w:eastAsia="Cambria" w:hAnsi="Cambria"/>
          <w:color w:val="1A1A1A"/>
          <w:sz w:val="21"/>
          <w:szCs w:val="21"/>
        </w:rPr>
        <w:t xml:space="preserve">Questions regarding this Disclaimer may be directed to info@primecatalyst.com.</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Appendix A: Short-Form Disclaimers</w:t>
      </w:r>
    </w:p>
    <w:p>
      <w:pPr>
        <w:spacing w:after="140" w:line="290"/>
        <w:jc w:val="both"/>
      </w:pPr>
      <w:r>
        <w:rPr>
          <w:rFonts w:ascii="Cambria" w:cs="Cambria" w:eastAsia="Cambria" w:hAnsi="Cambria"/>
          <w:color w:val="1A1A1A"/>
          <w:sz w:val="21"/>
          <w:szCs w:val="21"/>
        </w:rPr>
        <w:t xml:space="preserve">The full disclaimer above is intended to live on its own page. The shorter versions below are for use elsewhere on the Site.</w:t>
      </w:r>
    </w:p>
    <w:p>
      <w:pPr>
        <w:pStyle w:val="Heading2"/>
        <w:keepNext/>
        <w:spacing w:after="110" w:before="300"/>
      </w:pPr>
      <w:r>
        <w:rPr>
          <w:rFonts w:ascii="Calibri" w:cs="Calibri" w:eastAsia="Calibri" w:hAnsi="Calibri"/>
          <w:b/>
          <w:bCs/>
          <w:color w:val="16294D"/>
          <w:sz w:val="23"/>
          <w:szCs w:val="23"/>
        </w:rPr>
        <w:t xml:space="preserve">A-1. Site Footer (every page)</w:t>
      </w:r>
    </w:p>
    <w:p>
      <w:pPr>
        <w:spacing w:after="140" w:line="290"/>
        <w:jc w:val="both"/>
      </w:pPr>
      <w:r>
        <w:rPr>
          <w:rFonts w:ascii="Cambria" w:cs="Cambria" w:eastAsia="Cambria" w:hAnsi="Cambria"/>
          <w:color w:val="1A1A1A"/>
          <w:sz w:val="21"/>
          <w:szCs w:val="21"/>
        </w:rPr>
        <w:t xml:space="preserve">Prime Catalyst, LLC is a private investment and holding company. The information on this website is provided for general informational purposes only and does not constitute investment, legal, tax, or accounting advice, nor an offer to sell or a solicitation of an offer to buy any security. Any such offer would be made only through definitive offering documents to qualified investors. All investments involve risk, including loss of principal. Past performance is not indicative of future results. See our full Disclaimer, Terms of Use, and Privacy Policy.</w:t>
      </w:r>
    </w:p>
    <w:p>
      <w:pPr>
        <w:pStyle w:val="Heading2"/>
        <w:keepNext/>
        <w:spacing w:after="110" w:before="300"/>
      </w:pPr>
      <w:r>
        <w:rPr>
          <w:rFonts w:ascii="Calibri" w:cs="Calibri" w:eastAsia="Calibri" w:hAnsi="Calibri"/>
          <w:b/>
          <w:bCs/>
          <w:color w:val="16294D"/>
          <w:sz w:val="23"/>
          <w:szCs w:val="23"/>
        </w:rPr>
        <w:t xml:space="preserve">A-2. Beneath Performance, Target, or Track Record Content</w:t>
      </w:r>
    </w:p>
    <w:p>
      <w:pPr>
        <w:spacing w:after="140" w:line="290"/>
        <w:jc w:val="both"/>
      </w:pPr>
      <w:r>
        <w:rPr>
          <w:rFonts w:ascii="Cambria" w:cs="Cambria" w:eastAsia="Cambria" w:hAnsi="Cambria"/>
          <w:color w:val="1A1A1A"/>
          <w:sz w:val="21"/>
          <w:szCs w:val="21"/>
        </w:rPr>
        <w:t xml:space="preserve">The information shown is provided for illustrative purposes only. Past performance is not indicative of and is no guarantee of future results. Targets and projections are estimates based on assumptions that may not be realized and are not a promise of future performance. Investments referenced are not necessarily representative of all investments made, and it should not be assumed that any investment was or will be profitable. All investments involve risk, including the possible loss of the entire amount invested.</w:t>
      </w:r>
    </w:p>
    <w:p>
      <w:pPr>
        <w:pStyle w:val="Heading2"/>
        <w:keepNext/>
        <w:spacing w:after="110" w:before="300"/>
      </w:pPr>
      <w:r>
        <w:rPr>
          <w:rFonts w:ascii="Calibri" w:cs="Calibri" w:eastAsia="Calibri" w:hAnsi="Calibri"/>
          <w:b/>
          <w:bCs/>
          <w:color w:val="16294D"/>
          <w:sz w:val="23"/>
          <w:szCs w:val="23"/>
        </w:rPr>
        <w:t xml:space="preserve">A-3. Beneath Forward-Looking or Strategy Content</w:t>
      </w:r>
    </w:p>
    <w:p>
      <w:pPr>
        <w:spacing w:after="140" w:line="290"/>
        <w:jc w:val="both"/>
      </w:pPr>
      <w:r>
        <w:rPr>
          <w:rFonts w:ascii="Cambria" w:cs="Cambria" w:eastAsia="Cambria" w:hAnsi="Cambria"/>
          <w:color w:val="1A1A1A"/>
          <w:sz w:val="21"/>
          <w:szCs w:val="21"/>
        </w:rPr>
        <w:t xml:space="preserve">This page contains forward-looking statements that reflect current expectations and are subject to risks and uncertainties. Actual results may differ materially. Prime Catalyst undertakes no obligation to update any forward-looking statement.</w:t>
      </w:r>
    </w:p>
    <w:p>
      <w:pPr>
        <w:pStyle w:val="Heading2"/>
        <w:keepNext/>
        <w:spacing w:after="110" w:before="300"/>
      </w:pPr>
      <w:r>
        <w:rPr>
          <w:rFonts w:ascii="Calibri" w:cs="Calibri" w:eastAsia="Calibri" w:hAnsi="Calibri"/>
          <w:b/>
          <w:bCs/>
          <w:color w:val="16294D"/>
          <w:sz w:val="23"/>
          <w:szCs w:val="23"/>
        </w:rPr>
        <w:t xml:space="preserve">A-4. Contact Form Notice</w:t>
      </w:r>
    </w:p>
    <w:p>
      <w:pPr>
        <w:spacing w:after="140" w:line="290"/>
        <w:jc w:val="both"/>
      </w:pPr>
      <w:r>
        <w:rPr>
          <w:rFonts w:ascii="Cambria" w:cs="Cambria" w:eastAsia="Cambria" w:hAnsi="Cambria"/>
          <w:color w:val="1A1A1A"/>
          <w:sz w:val="21"/>
          <w:szCs w:val="21"/>
        </w:rPr>
        <w:t xml:space="preserve">Submitting this form does not create an investment advisory, fiduciary, or client relationship with Prime Catalyst, LLC, and does not constitute an offer or a commitment of any kind. Please do not send confidential or sensitive information through this form. See our Privacy Policy for how we handle information you provide.</w:t>
      </w:r>
    </w:p>
    <w:p>
      <w:r>
        <w:br w:type="page"/>
      </w:r>
    </w:p>
    <w:p>
      <w:pPr>
        <w:pStyle w:val="Heading1"/>
        <w:pBdr>
          <w:bottom w:val="single" w:color="B28E50" w:sz="8" w:space="6"/>
        </w:pBdr>
        <w:spacing w:after="200" w:before="320"/>
      </w:pPr>
      <w:r>
        <w:rPr>
          <w:rFonts w:ascii="Calibri" w:cs="Calibri" w:eastAsia="Calibri" w:hAnsi="Calibri"/>
          <w:b/>
          <w:bCs/>
          <w:color w:val="16294D"/>
          <w:sz w:val="30"/>
          <w:szCs w:val="30"/>
        </w:rPr>
        <w:t xml:space="preserve">Appendix B: Pre-Publication Checklist</w:t>
      </w:r>
    </w:p>
    <w:p>
      <w:pPr>
        <w:spacing w:after="140" w:line="290"/>
        <w:jc w:val="both"/>
      </w:pPr>
      <w:r>
        <w:rPr>
          <w:rFonts w:ascii="Cambria" w:cs="Cambria" w:eastAsia="Cambria" w:hAnsi="Cambria"/>
          <w:color w:val="1A1A1A"/>
          <w:sz w:val="21"/>
          <w:szCs w:val="21"/>
        </w:rPr>
        <w:t xml:space="preserve">Confirm each item below before these pages go live.</w:t>
      </w:r>
    </w:p>
    <w:tbl>
      <w:tblPr>
        <w:tblW w:type="dxa" w:w="9360"/>
        <w:tblBorders>
          <w:top w:val="single" w:color="C9C9C9" w:sz="2"/>
          <w:left w:val="single" w:color="C9C9C9" w:sz="2"/>
          <w:bottom w:val="single" w:color="C9C9C9" w:sz="2"/>
          <w:right w:val="single" w:color="C9C9C9" w:sz="2"/>
          <w:insideH w:val="single" w:color="C9C9C9" w:sz="2"/>
          <w:insideV w:val="single" w:color="C9C9C9" w:sz="2"/>
        </w:tblBorders>
      </w:tblPr>
      <w:tblGrid>
        <w:gridCol w:w="640"/>
        <w:gridCol w:w="5400"/>
        <w:gridCol w:w="3320"/>
      </w:tblGrid>
      <w:tr>
        <w:trPr>
          <w:tblHeader/>
        </w:trPr>
        <w:tc>
          <w:tcPr>
            <w:tcW w:type="dxa" w:w="64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w:t>
            </w:r>
          </w:p>
        </w:tc>
        <w:tc>
          <w:tcPr>
            <w:tcW w:type="dxa" w:w="540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Item to confirm</w:t>
            </w:r>
          </w:p>
        </w:tc>
        <w:tc>
          <w:tcPr>
            <w:tcW w:type="dxa" w:w="3320"/>
            <w:shd w:fill="16294D" w:color="auto" w:val="clear"/>
            <w:tcMar>
              <w:top w:type="dxa" w:w="90"/>
              <w:left w:type="dxa" w:w="130"/>
              <w:bottom w:type="dxa" w:w="90"/>
              <w:right w:type="dxa" w:w="130"/>
            </w:tcMar>
          </w:tcPr>
          <w:p>
            <w:r>
              <w:rPr>
                <w:rFonts w:ascii="Calibri" w:cs="Calibri" w:eastAsia="Calibri" w:hAnsi="Calibri"/>
                <w:b/>
                <w:bCs/>
                <w:color w:val="FFFFFF"/>
                <w:sz w:val="19"/>
                <w:szCs w:val="19"/>
              </w:rPr>
              <w:t xml:space="preserve">Where it appears</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1</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Effective Date / Last Updated date for each policy</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All five documents</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2</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Full website URL (with or without "www")</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All five documents</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3</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Mailing address for Prime Catalyst, LLC</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Privacy Policy §16; Terms §18; Accessibility §5</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4</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info@primecatalyst.com is monitored, and decide whether privacy requests should route to a separate alias</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All five documents</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5</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the analytics provider actually deployed (Google Analytics 4, Plausible, Fathom, none)</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Cookie Policy §2, §4.3</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6</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whether any advertising or retargeting pixels are deployed (e.g., LinkedIn Insight Tag, Meta Pixel)</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Cookie Policy §2; Privacy Policy §5</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7</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the "we do not sell personal information" statement is accurate given all deployed trackers</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Privacy Policy §5</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8</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whether the site targets or reaches EEA/UK visitors; if so, confirm consent banner blocks non-essential cookies before consent</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Privacy Policy §4; Cookie Policy §5</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9</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Decide whether to include an arbitration clause and class action waiver</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Terms §14</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10</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the $100 liability cap is acceptable and enforceable as drafted</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Terms §12</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11</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Delaware governing law and venue are correct for the operating entity</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Terms §14</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12</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Verify regulatory status language — adviser/broker-dealer registration, exemptions, state notice filings</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Disclaimer §4</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13</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whether any performance figures, targets, or track record appear on the site; if so, confirm calculation methodology disclosure</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Disclaimer §6; Appendix A-2</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14</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whether portfolio company names or logos are used, and that permission was obtained where required</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Disclaimer §8</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15</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accessibility assessment method (self-assessment vs. third-party audit) and response timeframes</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Accessibility §5, §6</w:t>
            </w:r>
          </w:p>
        </w:tc>
      </w:tr>
      <w:tr>
        <w:tc>
          <w:tcPr>
            <w:tcW w:type="dxa" w:w="64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16</w:t>
            </w:r>
          </w:p>
        </w:tc>
        <w:tc>
          <w:tcPr>
            <w:tcW w:type="dxa" w:w="540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Confirm all five pages are linked in the site footer, including a "Cookie Settings" control that reopens the preference center</w:t>
            </w:r>
          </w:p>
        </w:tc>
        <w:tc>
          <w:tcPr>
            <w:tcW w:type="dxa" w:w="3320"/>
            <w:shd w:fill="F7F7F5" w:color="auto" w:val="clear"/>
            <w:tcMar>
              <w:top w:type="dxa" w:w="90"/>
              <w:left w:type="dxa" w:w="130"/>
              <w:bottom w:type="dxa" w:w="90"/>
              <w:right w:type="dxa" w:w="130"/>
            </w:tcMar>
          </w:tcPr>
          <w:p>
            <w:pPr>
              <w:spacing w:line="250"/>
            </w:pPr>
            <w:r>
              <w:rPr>
                <w:rFonts w:ascii="Cambria" w:cs="Cambria" w:eastAsia="Cambria" w:hAnsi="Cambria"/>
                <w:color w:val="1A1A1A"/>
                <w:sz w:val="18"/>
                <w:szCs w:val="18"/>
              </w:rPr>
              <w:t xml:space="preserve">Site footer</w:t>
            </w:r>
          </w:p>
        </w:tc>
      </w:tr>
      <w:tr>
        <w:tc>
          <w:tcPr>
            <w:tcW w:type="dxa" w:w="640"/>
            <w:tcMar>
              <w:top w:type="dxa" w:w="90"/>
              <w:left w:type="dxa" w:w="130"/>
              <w:bottom w:type="dxa" w:w="90"/>
              <w:right w:type="dxa" w:w="130"/>
            </w:tcMar>
          </w:tcPr>
          <w:p>
            <w:pPr>
              <w:spacing w:line="250"/>
            </w:pPr>
            <w:r>
              <w:rPr>
                <w:rFonts w:ascii="Cambria" w:cs="Cambria" w:eastAsia="Cambria" w:hAnsi="Cambria"/>
                <w:color w:val="1A1A1A"/>
                <w:sz w:val="18"/>
                <w:szCs w:val="18"/>
              </w:rPr>
              <w:t xml:space="preserve">17</w:t>
            </w:r>
          </w:p>
        </w:tc>
        <w:tc>
          <w:tcPr>
            <w:tcW w:type="dxa" w:w="5400"/>
            <w:tcMar>
              <w:top w:type="dxa" w:w="90"/>
              <w:left w:type="dxa" w:w="130"/>
              <w:bottom w:type="dxa" w:w="90"/>
              <w:right w:type="dxa" w:w="130"/>
            </w:tcMar>
          </w:tcPr>
          <w:p>
            <w:pPr>
              <w:spacing w:line="250"/>
            </w:pPr>
            <w:r>
              <w:rPr>
                <w:rFonts w:ascii="Cambria" w:cs="Cambria" w:eastAsia="Cambria" w:hAnsi="Cambria"/>
                <w:color w:val="1A1A1A"/>
                <w:sz w:val="18"/>
                <w:szCs w:val="18"/>
              </w:rPr>
              <w:t xml:space="preserve">Attorney review of the complete set</w:t>
            </w:r>
          </w:p>
        </w:tc>
        <w:tc>
          <w:tcPr>
            <w:tcW w:type="dxa" w:w="3320"/>
            <w:tcMar>
              <w:top w:type="dxa" w:w="90"/>
              <w:left w:type="dxa" w:w="130"/>
              <w:bottom w:type="dxa" w:w="90"/>
              <w:right w:type="dxa" w:w="130"/>
            </w:tcMar>
          </w:tcPr>
          <w:p>
            <w:pPr>
              <w:spacing w:line="250"/>
            </w:pPr>
            <w:r>
              <w:rPr>
                <w:rFonts w:ascii="Cambria" w:cs="Cambria" w:eastAsia="Cambria" w:hAnsi="Cambria"/>
                <w:color w:val="1A1A1A"/>
                <w:sz w:val="18"/>
                <w:szCs w:val="18"/>
              </w:rPr>
              <w:t xml:space="preserve">All</w:t>
            </w:r>
          </w:p>
        </w:tc>
      </w:tr>
    </w:tbl>
    <w:p>
      <w:pPr>
        <w:spacing w:after="220"/>
      </w:pPr>
    </w:p>
    <w:sectPr>
      <w:headerReference w:type="default" r:id="rId7"/>
      <w:headerReference w:type="first" r:id="rId8"/>
      <w:footerReference w:type="default" r:id="rId9"/>
      <w:footerReference w:type="first" r:id="rId10"/>
      <w:pgSz w:w="12240" w:h="15840" w:orient="portrait"/>
      <w:pgMar w:top="1440" w:right="1440" w:bottom="1440" w:left="1440" w:header="720" w:footer="62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Calibri" w:cs="Calibri" w:eastAsia="Calibri" w:hAnsi="Calibri"/>
        <w:i/>
        <w:iCs/>
        <w:color w:val="7C828B"/>
        <w:sz w:val="15"/>
        <w:szCs w:val="15"/>
      </w:rPr>
      <w:t xml:space="preserve">Draft for review by legal counsel — not legal advice</w:t>
    </w:r>
    <w:r>
      <w:rPr>
        <w:rFonts w:ascii="Calibri" w:cs="Calibri" w:eastAsia="Calibri" w:hAnsi="Calibri"/>
        <w:color w:val="7C828B"/>
        <w:sz w:val="16"/>
        <w:szCs w:val="16"/>
      </w:rPr>
      <w:t xml:space="preserve">	Page </w:t>
    </w:r>
    <w:r>
      <w:rPr>
        <w:rFonts w:ascii="Calibri" w:cs="Calibri" w:eastAsia="Calibri" w:hAnsi="Calibri"/>
        <w:color w:val="7C828B"/>
        <w:sz w:val="16"/>
        <w:szCs w:val="16"/>
      </w:rPr>
      <w:fldChar w:fldCharType="begin"/>
      <w:instrText xml:space="preserve">PAGE</w:instrText>
      <w:fldChar w:fldCharType="separate"/>
      <w:fldChar w:fldCharType="end"/>
    </w:r>
    <w:r>
      <w:rPr>
        <w:rFonts w:ascii="Calibri" w:cs="Calibri" w:eastAsia="Calibri" w:hAnsi="Calibri"/>
        <w:color w:val="7C828B"/>
        <w:sz w:val="16"/>
        <w:szCs w:val="16"/>
      </w:rPr>
      <w:t xml:space="preserve"> of </w:t>
    </w:r>
    <w:r>
      <w:rPr>
        <w:rFonts w:ascii="Calibri" w:cs="Calibri" w:eastAsia="Calibri" w:hAnsi="Calibri"/>
        <w:color w:val="7C828B"/>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5D5D5" w:sz="4" w:space="4"/>
      </w:pBdr>
      <w:tabs>
        <w:tab w:val="right" w:pos="9360"/>
      </w:tabs>
      <w:spacing w:after="60"/>
    </w:pPr>
    <w:r>
      <w:rPr>
        <w:rFonts w:ascii="Calibri" w:cs="Calibri" w:eastAsia="Calibri" w:hAnsi="Calibri"/>
        <w:b/>
        <w:bCs/>
        <w:color w:val="16294D"/>
        <w:sz w:val="17"/>
        <w:szCs w:val="17"/>
      </w:rPr>
      <w:t xml:space="preserve">Prime Catalyst, LLC</w:t>
    </w:r>
    <w:r>
      <w:rPr>
        <w:rFonts w:ascii="Calibri" w:cs="Calibri" w:eastAsia="Calibri" w:hAnsi="Calibri"/>
        <w:color w:val="7C828B"/>
        <w:sz w:val="17"/>
        <w:szCs w:val="17"/>
      </w:rPr>
      <w:t xml:space="preserve">	Website Legal Notices and Policies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b544024e1d2733a68f5d987d83346bf46891a9f.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 Catalyst, LLC — Website Legal Notices and Policies</dc:title>
  <dc:creator>Prime Catalyst, LLC</dc:creator>
  <dc:description>Privacy Policy, Terms of Use, Accessibility Statement, Cookie Policy and Cookie Settings, and Website and Investment Disclaimer.</dc:description>
  <cp:lastModifiedBy>Un-named</cp:lastModifiedBy>
  <cp:revision>1</cp:revision>
  <dcterms:created xsi:type="dcterms:W3CDTF">2026-08-17T12:58:15.443Z</dcterms:created>
  <dcterms:modified xsi:type="dcterms:W3CDTF">2026-08-17T12:58:15.454Z</dcterms:modified>
</cp:coreProperties>
</file>

<file path=docProps/custom.xml><?xml version="1.0" encoding="utf-8"?>
<Properties xmlns="http://schemas.openxmlformats.org/officeDocument/2006/custom-properties" xmlns:vt="http://schemas.openxmlformats.org/officeDocument/2006/docPropsVTypes"/>
</file>