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3F2A18" w14:textId="77777777" w:rsidR="00C473DB" w:rsidRDefault="00C473DB" w:rsidP="0040343E"/>
    <w:p w14:paraId="7E3EBD65" w14:textId="77777777" w:rsidR="007107B6" w:rsidRPr="0040343E" w:rsidRDefault="24107D75" w:rsidP="0040343E">
      <w:pPr>
        <w:rPr>
          <w:b/>
          <w:bCs/>
          <w:sz w:val="32"/>
          <w:szCs w:val="32"/>
        </w:rPr>
      </w:pPr>
      <w:proofErr w:type="spellStart"/>
      <w:r>
        <w:rPr>
          <w:b/>
          <w:bCs/>
          <w:sz w:val="32"/>
          <w:szCs w:val="32"/>
        </w:rPr>
        <w:t>MalVax</w:t>
      </w:r>
      <w:proofErr w:type="spellEnd"/>
      <w:r>
        <w:rPr>
          <w:b/>
          <w:bCs/>
          <w:sz w:val="32"/>
          <w:szCs w:val="32"/>
        </w:rPr>
        <w:t xml:space="preserve"> Alliance Frequently Asked Questions (FAQs)</w:t>
      </w:r>
    </w:p>
    <w:p w14:paraId="1683B341" w14:textId="77777777" w:rsidR="00E4460F" w:rsidRPr="00E4460F" w:rsidRDefault="00E4460F" w:rsidP="000A286D">
      <w:pPr>
        <w:pStyle w:val="Heading1"/>
      </w:pPr>
      <w:r>
        <w:t>General – origins and mission</w:t>
      </w:r>
    </w:p>
    <w:p w14:paraId="55807252" w14:textId="77777777" w:rsidR="64CFC220" w:rsidRPr="0040343E" w:rsidRDefault="08F0DF1E" w:rsidP="000A286D">
      <w:pPr>
        <w:pStyle w:val="Heading2"/>
      </w:pPr>
      <w:r>
        <w:t>What is the Malaria Vaccine Alliance?</w:t>
      </w:r>
    </w:p>
    <w:p w14:paraId="3BAE85FC" w14:textId="3B5C403B" w:rsidR="007F2300" w:rsidRPr="001370BA" w:rsidRDefault="4BA0C406" w:rsidP="001370BA">
      <w:pPr>
        <w:spacing w:after="160" w:line="276" w:lineRule="auto"/>
        <w:rPr>
          <w:rFonts w:ascii="Aptos" w:eastAsia="Aptos" w:hAnsi="Aptos" w:cs="Aptos"/>
          <w:lang w:val="en-US"/>
        </w:rPr>
      </w:pPr>
      <w:r>
        <w:t xml:space="preserve">The Malaria Vaccine Alliance, known as the </w:t>
      </w:r>
      <w:proofErr w:type="spellStart"/>
      <w:r>
        <w:t>MalVax</w:t>
      </w:r>
      <w:proofErr w:type="spellEnd"/>
      <w:r>
        <w:t xml:space="preserve"> Alliance</w:t>
      </w:r>
      <w:r w:rsidR="3F2775B6">
        <w:t>,</w:t>
      </w:r>
      <w:r>
        <w:t xml:space="preserve"> is an initiative that emerged from the malaria vaccine R&amp;D community. It brings together representatives from academia, industry, funding agencies, policy and implementation with the simple purpose to share timely knowledge, coordinate efforts, and support progress in malaria vaccine development for the </w:t>
      </w:r>
      <w:proofErr w:type="gramStart"/>
      <w:r>
        <w:t>next</w:t>
      </w:r>
      <w:r w:rsidR="7BF71587">
        <w:t>-</w:t>
      </w:r>
      <w:r>
        <w:t>generation</w:t>
      </w:r>
      <w:proofErr w:type="gramEnd"/>
      <w:r>
        <w:t xml:space="preserve"> of malaria vaccines.</w:t>
      </w:r>
      <w:r w:rsidR="19DB00EC">
        <w:t xml:space="preserve"> Our vision is:</w:t>
      </w:r>
      <w:r w:rsidR="00851619">
        <w:t xml:space="preserve"> </w:t>
      </w:r>
      <w:r w:rsidR="19DB00EC">
        <w:t>“</w:t>
      </w:r>
      <w:r w:rsidR="19DB00EC" w:rsidRPr="19DB00EC">
        <w:rPr>
          <w:rFonts w:ascii="Aptos" w:eastAsia="Aptos" w:hAnsi="Aptos" w:cs="Aptos"/>
          <w:lang w:val="en-US"/>
        </w:rPr>
        <w:t>Accelerating the development of better vaccines for a malaria free future”.</w:t>
      </w:r>
    </w:p>
    <w:p w14:paraId="3156F85A" w14:textId="77777777" w:rsidR="64CFC220" w:rsidRDefault="55E41116" w:rsidP="0040343E">
      <w:pPr>
        <w:pStyle w:val="Heading2"/>
      </w:pPr>
      <w:r>
        <w:t>Why was it created?</w:t>
      </w:r>
    </w:p>
    <w:p w14:paraId="70826C6F" w14:textId="4AB7CCEB" w:rsidR="00A7375D" w:rsidRPr="000A286D" w:rsidRDefault="205E2B08" w:rsidP="4F0483F2">
      <w:pPr>
        <w:rPr>
          <w:lang w:val="en-US"/>
        </w:rPr>
      </w:pPr>
      <w:r>
        <w:t xml:space="preserve">The </w:t>
      </w:r>
      <w:proofErr w:type="spellStart"/>
      <w:r>
        <w:t>MalVax</w:t>
      </w:r>
      <w:proofErr w:type="spellEnd"/>
      <w:r>
        <w:t xml:space="preserve"> Alliance was created as an outcome of </w:t>
      </w:r>
      <w:r w:rsidR="00851619">
        <w:t>two stakeholder</w:t>
      </w:r>
      <w:r>
        <w:t xml:space="preserve"> consultation meetings held in 2024 and 2025 on the sidelines of the ASTMH annual meetings. The two stakeholder meetings helped to identify key barriers and opportunities in the development of next-generation malaria vaccines. Meeting participants highlighted that progress on next-generation malaria vaccines could be accelerated by coordination and inclusive community-led solutions to the challenges identified. This strong support and sense of urgency motivated the creation of a community-led Malaria Vaccine Alliance – providing a structure and central platform for stronger collaboration and engagement across partners working to advance malaria vaccine research and development. </w:t>
      </w:r>
    </w:p>
    <w:p w14:paraId="5686D310" w14:textId="13105535" w:rsidR="55E41116" w:rsidRPr="0040343E" w:rsidRDefault="205E2B08" w:rsidP="0040343E">
      <w:pPr>
        <w:pStyle w:val="Heading2"/>
      </w:pPr>
      <w:r>
        <w:t xml:space="preserve">Who initiated </w:t>
      </w:r>
      <w:proofErr w:type="spellStart"/>
      <w:r>
        <w:t>MalVax</w:t>
      </w:r>
      <w:proofErr w:type="spellEnd"/>
      <w:r>
        <w:t>?</w:t>
      </w:r>
    </w:p>
    <w:p w14:paraId="0D5BE681" w14:textId="47CE4981" w:rsidR="00BB7EB2" w:rsidRDefault="205E2B08" w:rsidP="0040343E">
      <w:r>
        <w:t xml:space="preserve">Many individuals have contributed to the early vision behind the </w:t>
      </w:r>
      <w:proofErr w:type="spellStart"/>
      <w:r>
        <w:t>MalVax</w:t>
      </w:r>
      <w:proofErr w:type="spellEnd"/>
      <w:r>
        <w:t xml:space="preserve"> Alliance. The 2024 and 2025 stakeholder meetings included over 80 people. These events were organised and convened by a small group of malaria vaccine researchers and funding was provided by Coefficient Giving.  </w:t>
      </w:r>
      <w:r w:rsidR="0089528F" w:rsidRPr="0089528F">
        <w:t xml:space="preserve">The three </w:t>
      </w:r>
      <w:proofErr w:type="spellStart"/>
      <w:r w:rsidR="0089528F" w:rsidRPr="0089528F">
        <w:t>MalVax</w:t>
      </w:r>
      <w:proofErr w:type="spellEnd"/>
      <w:r w:rsidR="0089528F" w:rsidRPr="0089528F">
        <w:t xml:space="preserve"> Executive Committee members were all part of this early group of organisers</w:t>
      </w:r>
      <w:r>
        <w:t xml:space="preserve">. </w:t>
      </w:r>
    </w:p>
    <w:p w14:paraId="19A6A69A" w14:textId="20F63E27" w:rsidR="64CFC220" w:rsidRDefault="1E38D7B3" w:rsidP="0040343E">
      <w:pPr>
        <w:pStyle w:val="Heading2"/>
      </w:pPr>
      <w:r>
        <w:t xml:space="preserve">What does the </w:t>
      </w:r>
      <w:proofErr w:type="spellStart"/>
      <w:r w:rsidR="441065BE">
        <w:t>MalVax</w:t>
      </w:r>
      <w:proofErr w:type="spellEnd"/>
      <w:r w:rsidR="441065BE">
        <w:t xml:space="preserve"> </w:t>
      </w:r>
      <w:r>
        <w:t>Alliance do? What is its mission?</w:t>
      </w:r>
    </w:p>
    <w:p w14:paraId="45471F4D" w14:textId="3012F590" w:rsidR="0040343E" w:rsidRDefault="0040343E" w:rsidP="00A963A8">
      <w:r>
        <w:t xml:space="preserve">The </w:t>
      </w:r>
      <w:proofErr w:type="spellStart"/>
      <w:r>
        <w:t>MalVax</w:t>
      </w:r>
      <w:proofErr w:type="spellEnd"/>
      <w:r>
        <w:t xml:space="preserve"> Alliance unites the malaria vaccine R&amp;D community to drive evidence and innovation from lab to policy faster, so better vaccines reach the people who need them sooner. </w:t>
      </w:r>
      <w:r w:rsidR="00A963A8">
        <w:t xml:space="preserve"> </w:t>
      </w:r>
      <w:r>
        <w:t>It coordinates action around shared priorities by:</w:t>
      </w:r>
    </w:p>
    <w:p w14:paraId="54889BCC" w14:textId="77777777" w:rsidR="000F5656" w:rsidRDefault="0040343E" w:rsidP="000A286D">
      <w:pPr>
        <w:pStyle w:val="ListParagraph"/>
        <w:numPr>
          <w:ilvl w:val="0"/>
          <w:numId w:val="9"/>
        </w:numPr>
        <w:spacing w:after="0" w:line="240" w:lineRule="auto"/>
        <w:ind w:left="1439" w:hanging="357"/>
      </w:pPr>
      <w:r>
        <w:t xml:space="preserve">strengthening innovation and clinical investigation through shared </w:t>
      </w:r>
      <w:proofErr w:type="gramStart"/>
      <w:r>
        <w:t>frameworks;</w:t>
      </w:r>
      <w:proofErr w:type="gramEnd"/>
    </w:p>
    <w:p w14:paraId="17CDBE3F" w14:textId="77777777" w:rsidR="000F5656" w:rsidRDefault="0040343E" w:rsidP="000A286D">
      <w:pPr>
        <w:pStyle w:val="ListParagraph"/>
        <w:numPr>
          <w:ilvl w:val="0"/>
          <w:numId w:val="9"/>
        </w:numPr>
        <w:spacing w:after="0" w:line="240" w:lineRule="auto"/>
        <w:ind w:left="1439" w:hanging="357"/>
      </w:pPr>
      <w:r>
        <w:t xml:space="preserve">improving the quality and comparability of research evidence; and </w:t>
      </w:r>
    </w:p>
    <w:p w14:paraId="4B084842" w14:textId="77777777" w:rsidR="00BB7EB2" w:rsidRDefault="0040343E" w:rsidP="000A286D">
      <w:pPr>
        <w:pStyle w:val="ListParagraph"/>
        <w:numPr>
          <w:ilvl w:val="0"/>
          <w:numId w:val="9"/>
        </w:numPr>
        <w:spacing w:line="240" w:lineRule="auto"/>
        <w:ind w:left="1439" w:hanging="357"/>
      </w:pPr>
      <w:r>
        <w:lastRenderedPageBreak/>
        <w:t>accelerating the translation of that evidence into regulatory and policy decisions.</w:t>
      </w:r>
    </w:p>
    <w:p w14:paraId="17C8EFDC" w14:textId="567683A7" w:rsidR="64CFC220" w:rsidRDefault="055B784A" w:rsidP="0040343E">
      <w:pPr>
        <w:pStyle w:val="Heading2"/>
      </w:pPr>
      <w:r>
        <w:t xml:space="preserve">Why is </w:t>
      </w:r>
      <w:proofErr w:type="spellStart"/>
      <w:r w:rsidR="3B0633A7">
        <w:t>MalVax</w:t>
      </w:r>
      <w:proofErr w:type="spellEnd"/>
      <w:r>
        <w:t xml:space="preserve"> important?</w:t>
      </w:r>
    </w:p>
    <w:p w14:paraId="12A68345" w14:textId="1BA58A51" w:rsidR="00E00BC0" w:rsidRDefault="15213FB1">
      <w:r>
        <w:t xml:space="preserve">Malaria vaccine research takes place across many institutions and different geographies, making it difficult to coordinate efforts. </w:t>
      </w:r>
      <w:proofErr w:type="spellStart"/>
      <w:r w:rsidR="10E1B945">
        <w:t>MalVax</w:t>
      </w:r>
      <w:proofErr w:type="spellEnd"/>
      <w:r>
        <w:t xml:space="preserve"> connects these efforts so partners can align priorities, design and share research frameworks, avoid duplicating work, and move faster toward effective vaccines that can have a greater impact on reducing the burden of malaria and save more lives.</w:t>
      </w:r>
    </w:p>
    <w:p w14:paraId="1906B853" w14:textId="77777777" w:rsidR="00DD0FA1" w:rsidRPr="000D4E4B" w:rsidRDefault="009B0CC6">
      <w:pPr>
        <w:pStyle w:val="Heading2"/>
      </w:pPr>
      <w:r>
        <w:t xml:space="preserve">Is the </w:t>
      </w:r>
      <w:proofErr w:type="spellStart"/>
      <w:r>
        <w:t>MalVax</w:t>
      </w:r>
      <w:proofErr w:type="spellEnd"/>
      <w:r>
        <w:t xml:space="preserve"> Alliance a legal entity?</w:t>
      </w:r>
    </w:p>
    <w:p w14:paraId="31D9FBDB" w14:textId="45A2CBDC" w:rsidR="00DD0FA1" w:rsidRDefault="30082D8B">
      <w:r>
        <w:t xml:space="preserve">No. The </w:t>
      </w:r>
      <w:proofErr w:type="spellStart"/>
      <w:r>
        <w:t>MalVax</w:t>
      </w:r>
      <w:proofErr w:type="spellEnd"/>
      <w:r>
        <w:t xml:space="preserve"> Alliance is not a separate legal entity. During this establishment year</w:t>
      </w:r>
      <w:r w:rsidR="30EC98A9">
        <w:t xml:space="preserve"> (2026-27)</w:t>
      </w:r>
      <w:r>
        <w:t>, it operates as a community-led initiative coordinated by a Support Unit at Bridges to Development. Formal hosting or legal arrangements for the</w:t>
      </w:r>
      <w:r w:rsidR="2498750B">
        <w:t xml:space="preserve"> </w:t>
      </w:r>
      <w:proofErr w:type="spellStart"/>
      <w:r w:rsidR="2498750B">
        <w:t>MalVax</w:t>
      </w:r>
      <w:proofErr w:type="spellEnd"/>
      <w:r>
        <w:t xml:space="preserve"> Alliance’s longer-term structure have not yet been established.</w:t>
      </w:r>
    </w:p>
    <w:p w14:paraId="129FC0C6" w14:textId="68D03BD7" w:rsidR="00DD0FA1" w:rsidRPr="000D4E4B" w:rsidRDefault="30082D8B">
      <w:pPr>
        <w:pStyle w:val="Heading2"/>
      </w:pPr>
      <w:r>
        <w:t>How is the</w:t>
      </w:r>
      <w:r w:rsidR="0A98A0C7">
        <w:t xml:space="preserve"> </w:t>
      </w:r>
      <w:proofErr w:type="spellStart"/>
      <w:r w:rsidR="0A98A0C7">
        <w:t>MalVax</w:t>
      </w:r>
      <w:proofErr w:type="spellEnd"/>
      <w:r>
        <w:t xml:space="preserve"> Alliance funded?</w:t>
      </w:r>
    </w:p>
    <w:p w14:paraId="15B338F5" w14:textId="2CF94266" w:rsidR="00DD0FA1" w:rsidRDefault="30082D8B">
      <w:r>
        <w:t>The stakeholder meetings that led to the formation</w:t>
      </w:r>
      <w:r w:rsidR="3364BD13">
        <w:t xml:space="preserve"> of </w:t>
      </w:r>
      <w:proofErr w:type="spellStart"/>
      <w:r w:rsidR="3364BD13">
        <w:t>MalVax</w:t>
      </w:r>
      <w:proofErr w:type="spellEnd"/>
      <w:r>
        <w:t xml:space="preserve">, and </w:t>
      </w:r>
      <w:r w:rsidR="788E9FC7">
        <w:t>its</w:t>
      </w:r>
      <w:r>
        <w:t xml:space="preserve"> establishment year, have been funded by Coefficient Giving.</w:t>
      </w:r>
    </w:p>
    <w:p w14:paraId="179CDE5B" w14:textId="77777777" w:rsidR="000F5656" w:rsidRPr="000A286D" w:rsidRDefault="000F5656" w:rsidP="000A286D">
      <w:pPr>
        <w:pStyle w:val="Heading1"/>
      </w:pPr>
      <w:proofErr w:type="spellStart"/>
      <w:r>
        <w:t>MalVax</w:t>
      </w:r>
      <w:proofErr w:type="spellEnd"/>
      <w:r>
        <w:t xml:space="preserve"> Alliance governance and structure</w:t>
      </w:r>
    </w:p>
    <w:p w14:paraId="780B0A3E" w14:textId="77777777" w:rsidR="000F5656" w:rsidRDefault="000F5656" w:rsidP="000F5656">
      <w:pPr>
        <w:pStyle w:val="Heading2"/>
      </w:pPr>
      <w:r>
        <w:t xml:space="preserve">How is </w:t>
      </w:r>
      <w:proofErr w:type="spellStart"/>
      <w:r>
        <w:t>MalVax</w:t>
      </w:r>
      <w:proofErr w:type="spellEnd"/>
      <w:r>
        <w:t xml:space="preserve"> governed?</w:t>
      </w:r>
    </w:p>
    <w:p w14:paraId="5A94EDC6" w14:textId="71751C84" w:rsidR="00AF2912" w:rsidRDefault="15213FB1" w:rsidP="000D4E4B">
      <w:r>
        <w:t xml:space="preserve">The </w:t>
      </w:r>
      <w:proofErr w:type="spellStart"/>
      <w:r>
        <w:t>MalVax</w:t>
      </w:r>
      <w:proofErr w:type="spellEnd"/>
      <w:r>
        <w:t xml:space="preserve"> Alliance is in its early stages of formation. For this establishment year</w:t>
      </w:r>
      <w:r w:rsidR="728914C8">
        <w:t xml:space="preserve"> (2026-27)</w:t>
      </w:r>
      <w:r>
        <w:t>, a three-member Executive Committee leads the work and takes decisions on how best to design a fit for purpose structure aligned to community vision. A nine-member Advisory Group, drawn from diverse sectors and institutions working in malaria vaccine</w:t>
      </w:r>
      <w:r w:rsidR="1CD8A4B2">
        <w:t xml:space="preserve"> R&amp;D</w:t>
      </w:r>
      <w:r>
        <w:t xml:space="preserve">, provides expert advice, insights and recommendations to support the early operationalization of the new </w:t>
      </w:r>
      <w:proofErr w:type="spellStart"/>
      <w:r>
        <w:t>MalVax</w:t>
      </w:r>
      <w:proofErr w:type="spellEnd"/>
      <w:r>
        <w:t xml:space="preserve"> Alliance. The Advisory Group is </w:t>
      </w:r>
      <w:r w:rsidR="001B1134">
        <w:t>time</w:t>
      </w:r>
      <w:r w:rsidR="001B1134" w:rsidRPr="4F0483F2">
        <w:rPr>
          <w:rFonts w:ascii="Cambria Math" w:hAnsi="Cambria Math" w:cs="Cambria Math"/>
        </w:rPr>
        <w:t xml:space="preserve"> </w:t>
      </w:r>
      <w:r w:rsidR="001B1134">
        <w:t>limited</w:t>
      </w:r>
      <w:r>
        <w:t xml:space="preserve">, focused on the establishment year. Its members will advise on the design of a more permanent governing body to be installed in 2027. You can find more information on these committees on the website: </w:t>
      </w:r>
      <w:hyperlink r:id="rId11">
        <w:r w:rsidRPr="4F0483F2">
          <w:rPr>
            <w:rStyle w:val="Hyperlink"/>
          </w:rPr>
          <w:t>www.MalVax.org</w:t>
        </w:r>
      </w:hyperlink>
    </w:p>
    <w:p w14:paraId="35BA4AF9" w14:textId="77777777" w:rsidR="002B358F" w:rsidRPr="000D4E4B" w:rsidRDefault="002B358F" w:rsidP="002B358F">
      <w:pPr>
        <w:pStyle w:val="Heading2"/>
      </w:pPr>
      <w:r>
        <w:t>What will the permanent governing structure look like after the establishment year, and when will it be decided?</w:t>
      </w:r>
    </w:p>
    <w:p w14:paraId="46DB0D92" w14:textId="053096E4" w:rsidR="002B358F" w:rsidRDefault="62549E06" w:rsidP="002B358F">
      <w:r>
        <w:t>The Executive Committee and Advisory Group are using this establishment year to design a more permanent governance structure for the</w:t>
      </w:r>
      <w:r w:rsidR="41814BA1">
        <w:t xml:space="preserve"> </w:t>
      </w:r>
      <w:proofErr w:type="spellStart"/>
      <w:r w:rsidR="41814BA1">
        <w:t>MalVax</w:t>
      </w:r>
      <w:proofErr w:type="spellEnd"/>
      <w:r>
        <w:t xml:space="preserve"> Alliance, informed by community input. This structure is expected to be installed in 2027. </w:t>
      </w:r>
    </w:p>
    <w:p w14:paraId="1E72AB82" w14:textId="77777777" w:rsidR="005B1BA2" w:rsidRDefault="005B1BA2" w:rsidP="005B1BA2">
      <w:pPr>
        <w:pStyle w:val="Heading2"/>
      </w:pPr>
      <w:r>
        <w:lastRenderedPageBreak/>
        <w:t xml:space="preserve">Is there a </w:t>
      </w:r>
      <w:proofErr w:type="spellStart"/>
      <w:r>
        <w:t>MalVax</w:t>
      </w:r>
      <w:proofErr w:type="spellEnd"/>
      <w:r>
        <w:t xml:space="preserve"> Secretariat?</w:t>
      </w:r>
    </w:p>
    <w:p w14:paraId="302A6741" w14:textId="4F79057E" w:rsidR="005B1BA2" w:rsidRPr="000F5656" w:rsidRDefault="1DF6B85B" w:rsidP="00AF2912">
      <w:r>
        <w:t>A small Support Unit at Bridges to Development, with offices in Geneva</w:t>
      </w:r>
      <w:r w:rsidR="7359E2C2">
        <w:t>,</w:t>
      </w:r>
      <w:r>
        <w:t xml:space="preserve"> Switzerland and Seattle, Washington</w:t>
      </w:r>
      <w:r w:rsidR="19DB00EC">
        <w:t>,</w:t>
      </w:r>
      <w:r>
        <w:t xml:space="preserve"> USA, is serving in this role during the establishment year 2026-27.  You can reach the Support Unit by email at </w:t>
      </w:r>
      <w:hyperlink r:id="rId12">
        <w:r w:rsidRPr="4F0483F2">
          <w:rPr>
            <w:rStyle w:val="Hyperlink"/>
          </w:rPr>
          <w:t>info@malvax.org</w:t>
        </w:r>
      </w:hyperlink>
      <w:r>
        <w:t>.</w:t>
      </w:r>
    </w:p>
    <w:p w14:paraId="7A2533BD" w14:textId="77777777" w:rsidR="00BB7EB2" w:rsidRDefault="00E4460F" w:rsidP="000A286D">
      <w:pPr>
        <w:pStyle w:val="Heading1"/>
      </w:pPr>
      <w:r>
        <w:t xml:space="preserve">Joining the </w:t>
      </w:r>
      <w:proofErr w:type="spellStart"/>
      <w:r>
        <w:t>MalVax</w:t>
      </w:r>
      <w:proofErr w:type="spellEnd"/>
      <w:r>
        <w:t xml:space="preserve"> Alliance</w:t>
      </w:r>
    </w:p>
    <w:p w14:paraId="072E7CA9" w14:textId="77777777" w:rsidR="00D61447" w:rsidRDefault="00D61447" w:rsidP="00D61447">
      <w:pPr>
        <w:pStyle w:val="Heading2"/>
      </w:pPr>
      <w:r>
        <w:t xml:space="preserve">Who exactly can join the </w:t>
      </w:r>
      <w:proofErr w:type="spellStart"/>
      <w:r>
        <w:t>MalVax</w:t>
      </w:r>
      <w:proofErr w:type="spellEnd"/>
      <w:r>
        <w:t xml:space="preserve"> Alliance? Is there a membership fee?</w:t>
      </w:r>
    </w:p>
    <w:p w14:paraId="1D710888" w14:textId="77777777" w:rsidR="00D61447" w:rsidRDefault="00D61447" w:rsidP="00D61447">
      <w:r>
        <w:t xml:space="preserve">Anyone from the malaria vaccine community who wishes to actively contribute or simply stay informed about </w:t>
      </w:r>
      <w:proofErr w:type="spellStart"/>
      <w:r>
        <w:t>MalVax</w:t>
      </w:r>
      <w:proofErr w:type="spellEnd"/>
      <w:r>
        <w:t xml:space="preserve"> news and progress can join the </w:t>
      </w:r>
      <w:proofErr w:type="spellStart"/>
      <w:r>
        <w:t>MalVax</w:t>
      </w:r>
      <w:proofErr w:type="spellEnd"/>
      <w:r>
        <w:t xml:space="preserve"> Alliance mailing list. There is no membership fee to sign up to join the </w:t>
      </w:r>
      <w:proofErr w:type="spellStart"/>
      <w:r>
        <w:t>MalVax</w:t>
      </w:r>
      <w:proofErr w:type="spellEnd"/>
      <w:r>
        <w:t xml:space="preserve"> Alliance.</w:t>
      </w:r>
    </w:p>
    <w:p w14:paraId="14611889" w14:textId="77777777" w:rsidR="00D61447" w:rsidRDefault="00D61447" w:rsidP="00D61447">
      <w:pPr>
        <w:pStyle w:val="Heading2"/>
      </w:pPr>
      <w:r>
        <w:t xml:space="preserve">How does one join the </w:t>
      </w:r>
      <w:proofErr w:type="spellStart"/>
      <w:r>
        <w:t>MalVax</w:t>
      </w:r>
      <w:proofErr w:type="spellEnd"/>
      <w:r>
        <w:t xml:space="preserve"> Alliance?</w:t>
      </w:r>
    </w:p>
    <w:p w14:paraId="6BF6EC0D" w14:textId="3717E808" w:rsidR="00D61447" w:rsidRDefault="00D61447" w:rsidP="00D61447">
      <w:pPr>
        <w:pStyle w:val="ListParagraph"/>
        <w:ind w:left="360"/>
      </w:pPr>
      <w:r>
        <w:t xml:space="preserve">You can sign up to register your interest </w:t>
      </w:r>
      <w:r w:rsidR="001370BA">
        <w:t>and join</w:t>
      </w:r>
      <w:r>
        <w:t xml:space="preserve"> the </w:t>
      </w:r>
      <w:proofErr w:type="spellStart"/>
      <w:r>
        <w:t>MalVax</w:t>
      </w:r>
      <w:proofErr w:type="spellEnd"/>
      <w:r>
        <w:t xml:space="preserve"> Alliance by completing </w:t>
      </w:r>
      <w:r w:rsidR="00055343">
        <w:t>the contact form</w:t>
      </w:r>
      <w:r>
        <w:t xml:space="preserve"> here: </w:t>
      </w:r>
      <w:hyperlink r:id="rId13" w:history="1">
        <w:proofErr w:type="spellStart"/>
        <w:r w:rsidR="00A41F1F" w:rsidRPr="00A41F1F">
          <w:rPr>
            <w:rStyle w:val="Hyperlink"/>
          </w:rPr>
          <w:t>MalVax</w:t>
        </w:r>
        <w:proofErr w:type="spellEnd"/>
        <w:r w:rsidR="00A41F1F" w:rsidRPr="00A41F1F">
          <w:rPr>
            <w:rStyle w:val="Hyperlink"/>
          </w:rPr>
          <w:t xml:space="preserve"> Engagement Form</w:t>
        </w:r>
      </w:hyperlink>
    </w:p>
    <w:p w14:paraId="35E66FB0" w14:textId="77777777" w:rsidR="00D61447" w:rsidRDefault="00D61447" w:rsidP="00D61447">
      <w:pPr>
        <w:pStyle w:val="Heading2"/>
      </w:pPr>
      <w:r>
        <w:t>Is industry, including vaccine developers and manufacturers, welcome to participate?</w:t>
      </w:r>
    </w:p>
    <w:p w14:paraId="64578AD4" w14:textId="77777777" w:rsidR="00D61447" w:rsidRDefault="00D61447" w:rsidP="00D61447">
      <w:r>
        <w:t xml:space="preserve">Yes. Industry representatives, including vaccine developers and manufacturers, are among the </w:t>
      </w:r>
      <w:proofErr w:type="spellStart"/>
      <w:r>
        <w:t>MalVax</w:t>
      </w:r>
      <w:proofErr w:type="spellEnd"/>
      <w:r>
        <w:t xml:space="preserve"> Alliance’s stakeholders and have roles within the Advisory Group, Scientific Conference Committee and Working Groups. Given the </w:t>
      </w:r>
      <w:proofErr w:type="spellStart"/>
      <w:r>
        <w:t>MalVax</w:t>
      </w:r>
      <w:proofErr w:type="spellEnd"/>
      <w:r>
        <w:t xml:space="preserve"> Alliance’s product-agnostic approach, industry participants are as welcome as anyone else to participate. </w:t>
      </w:r>
    </w:p>
    <w:p w14:paraId="745294AC" w14:textId="50232AC4" w:rsidR="00A963A8" w:rsidRDefault="205E2B08" w:rsidP="00A963A8">
      <w:pPr>
        <w:pStyle w:val="Heading2"/>
      </w:pPr>
      <w:r>
        <w:t xml:space="preserve">What opportunities exist to engage with </w:t>
      </w:r>
      <w:proofErr w:type="spellStart"/>
      <w:r>
        <w:t>MalVax</w:t>
      </w:r>
      <w:proofErr w:type="spellEnd"/>
      <w:r>
        <w:t>?</w:t>
      </w:r>
    </w:p>
    <w:p w14:paraId="76ACEC05" w14:textId="39321615" w:rsidR="00733637" w:rsidRDefault="205E2B08" w:rsidP="00F91F2A">
      <w:r>
        <w:t xml:space="preserve">Opportunities for malaria vaccine R&amp;D community members to engage with </w:t>
      </w:r>
      <w:proofErr w:type="spellStart"/>
      <w:r>
        <w:t>MalVax</w:t>
      </w:r>
      <w:proofErr w:type="spellEnd"/>
      <w:r>
        <w:t xml:space="preserve"> will take different forms and continue to evolve as the </w:t>
      </w:r>
      <w:proofErr w:type="spellStart"/>
      <w:r>
        <w:t>MalVax</w:t>
      </w:r>
      <w:proofErr w:type="spellEnd"/>
      <w:r>
        <w:t xml:space="preserve"> Alliance takes shape during this first establishment year (2026-27). The three initial technical Working Groups (see Section D) will create opportunities for engagement with community members. These may include webinars around specific topics, or invitations to feedback on draft outputs as these become available. In February 2027, all community members are invited to the First Global Malaria Vaccine Alliance R&amp;D Conference in Kuala Lumpur (see Section E) for scientific exchange, interaction with </w:t>
      </w:r>
      <w:r w:rsidR="001537A3">
        <w:t>W</w:t>
      </w:r>
      <w:r>
        <w:t xml:space="preserve">orking </w:t>
      </w:r>
      <w:r w:rsidR="001537A3">
        <w:t>G</w:t>
      </w:r>
      <w:r>
        <w:t xml:space="preserve">roups, and dialogue to advance next-generation malaria vaccine development. </w:t>
      </w:r>
    </w:p>
    <w:p w14:paraId="6D34F6D6" w14:textId="77777777" w:rsidR="0068304A" w:rsidRDefault="0068304A" w:rsidP="0068304A">
      <w:pPr>
        <w:pStyle w:val="Heading2"/>
      </w:pPr>
      <w:r>
        <w:t>I want to receive your Newsletters. How can I join your mailing list?</w:t>
      </w:r>
    </w:p>
    <w:p w14:paraId="23EE7079" w14:textId="298B989C" w:rsidR="0068304A" w:rsidRDefault="1B6C225E" w:rsidP="0068304A">
      <w:r>
        <w:t xml:space="preserve">Please sign up to our mailing list by completing a short engagement survey, accessible here: </w:t>
      </w:r>
      <w:hyperlink r:id="rId14">
        <w:r w:rsidRPr="4F0483F2">
          <w:rPr>
            <w:rStyle w:val="Hyperlink"/>
          </w:rPr>
          <w:t>MalVax Engagement Survey</w:t>
        </w:r>
      </w:hyperlink>
      <w:r>
        <w:t xml:space="preserve">. You can also reach out to </w:t>
      </w:r>
      <w:hyperlink r:id="rId15" w:history="1">
        <w:r w:rsidRPr="4F0483F2">
          <w:rPr>
            <w:rStyle w:val="Hyperlink"/>
          </w:rPr>
          <w:t>info@malvax.org</w:t>
        </w:r>
      </w:hyperlink>
      <w:r>
        <w:t xml:space="preserve"> at any time.</w:t>
      </w:r>
    </w:p>
    <w:p w14:paraId="0D5D87AF" w14:textId="77777777" w:rsidR="0068304A" w:rsidRDefault="0068304A" w:rsidP="0068304A">
      <w:pPr>
        <w:pStyle w:val="Heading2"/>
      </w:pPr>
      <w:r>
        <w:lastRenderedPageBreak/>
        <w:t>Who should I contact for more information?</w:t>
      </w:r>
    </w:p>
    <w:p w14:paraId="2D6DED4A" w14:textId="0AF184BF" w:rsidR="0068304A" w:rsidRDefault="1B6C225E" w:rsidP="00BA6D43">
      <w:r>
        <w:t xml:space="preserve">If you have further questions or need information not already available on the website, please reach out to the Bridges to Development Support unit at </w:t>
      </w:r>
      <w:hyperlink r:id="rId16" w:history="1">
        <w:r w:rsidRPr="4F0483F2">
          <w:rPr>
            <w:rStyle w:val="Hyperlink"/>
          </w:rPr>
          <w:t>info@malvax.org</w:t>
        </w:r>
      </w:hyperlink>
      <w:r>
        <w:t>.</w:t>
      </w:r>
    </w:p>
    <w:p w14:paraId="495ABD56" w14:textId="3A601832" w:rsidR="00E4460F" w:rsidRDefault="00E4460F" w:rsidP="000A286D">
      <w:pPr>
        <w:pStyle w:val="Heading1"/>
      </w:pPr>
      <w:r>
        <w:t>Technical Working Groups</w:t>
      </w:r>
    </w:p>
    <w:p w14:paraId="1E46C6F8" w14:textId="25F12810" w:rsidR="000D4E4B" w:rsidRPr="000D4E4B" w:rsidRDefault="437A5B86" w:rsidP="000D4E4B">
      <w:pPr>
        <w:pStyle w:val="Heading2"/>
      </w:pPr>
      <w:r>
        <w:t xml:space="preserve">What are the </w:t>
      </w:r>
      <w:proofErr w:type="spellStart"/>
      <w:r>
        <w:t>MalVax</w:t>
      </w:r>
      <w:proofErr w:type="spellEnd"/>
      <w:r>
        <w:t xml:space="preserve"> Working Groups and what do they focus on?</w:t>
      </w:r>
    </w:p>
    <w:p w14:paraId="4D7861A5" w14:textId="6E0515D3" w:rsidR="000D4E4B" w:rsidRDefault="205E2B08" w:rsidP="205E2B08">
      <w:pPr>
        <w:rPr>
          <w:rStyle w:val="Hyperlink"/>
        </w:rPr>
      </w:pPr>
      <w:r>
        <w:t xml:space="preserve">The </w:t>
      </w:r>
      <w:proofErr w:type="spellStart"/>
      <w:r>
        <w:t>MalVax</w:t>
      </w:r>
      <w:proofErr w:type="spellEnd"/>
      <w:r>
        <w:t xml:space="preserve"> Alliance has established three initial technical Working Groups. Working Group 1 focuses on Clinical Trial Design &amp; Endpoints, working to harmonise how trials are designed and how outcomes are measured. Working Group 2 focuses on Assays, working to improve the quality and comparability of laboratory assays used across the field. Working Group 3 focuses on Modelling, working to strengthen the modelling approaches used to inform vaccine development and policy decisions. </w:t>
      </w:r>
      <w:r w:rsidR="00DD4BC6">
        <w:t xml:space="preserve">The WHO Technical Advisory Group </w:t>
      </w:r>
      <w:r w:rsidR="00137CD5">
        <w:t xml:space="preserve">(TAG) </w:t>
      </w:r>
      <w:r w:rsidR="00DD4BC6">
        <w:t>on malaria vaccines</w:t>
      </w:r>
      <w:r w:rsidR="00A351C6">
        <w:t xml:space="preserve"> R&amp;D</w:t>
      </w:r>
      <w:r w:rsidR="00DD4BC6">
        <w:t xml:space="preserve">, currently being </w:t>
      </w:r>
      <w:r w:rsidR="00BF545D">
        <w:t>set up</w:t>
      </w:r>
      <w:r w:rsidR="00187FC3">
        <w:t>,</w:t>
      </w:r>
      <w:r w:rsidR="00DA7E8F">
        <w:t xml:space="preserve"> will be embedded as a fourth Working Group</w:t>
      </w:r>
      <w:r w:rsidR="00BE1695">
        <w:t xml:space="preserve">, although governed </w:t>
      </w:r>
      <w:r w:rsidR="00656D6E">
        <w:t>by WHO.</w:t>
      </w:r>
      <w:r w:rsidR="00187FC3">
        <w:t xml:space="preserve"> </w:t>
      </w:r>
      <w:r w:rsidR="00DD4BC6">
        <w:t xml:space="preserve"> </w:t>
      </w:r>
      <w:r>
        <w:t xml:space="preserve">For more information on the Working Groups and to download the Technical Scopes for each one, please visit the website at </w:t>
      </w:r>
      <w:hyperlink r:id="rId17">
        <w:r w:rsidRPr="205E2B08">
          <w:rPr>
            <w:rStyle w:val="Hyperlink"/>
          </w:rPr>
          <w:t>www.MalVax.org</w:t>
        </w:r>
      </w:hyperlink>
    </w:p>
    <w:p w14:paraId="63DD607A" w14:textId="18188CEC" w:rsidR="00972E7E" w:rsidRPr="00972E7E" w:rsidRDefault="205E2B08" w:rsidP="00972E7E">
      <w:pPr>
        <w:pStyle w:val="Heading2"/>
      </w:pPr>
      <w:r>
        <w:t>How were the Working Group Chairs and members selected?</w:t>
      </w:r>
    </w:p>
    <w:p w14:paraId="16969785" w14:textId="789A9678" w:rsidR="6701E4FA" w:rsidRPr="008C7AAE" w:rsidRDefault="205E2B08" w:rsidP="205E2B08">
      <w:pPr>
        <w:rPr>
          <w:rFonts w:eastAsiaTheme="minorEastAsia"/>
        </w:rPr>
      </w:pPr>
      <w:r>
        <w:t xml:space="preserve">Membership and </w:t>
      </w:r>
      <w:r w:rsidR="0062526B">
        <w:t>C</w:t>
      </w:r>
      <w:r>
        <w:t>o-</w:t>
      </w:r>
      <w:r w:rsidR="0062526B">
        <w:t>C</w:t>
      </w:r>
      <w:r>
        <w:t xml:space="preserve">hairs of the </w:t>
      </w:r>
      <w:proofErr w:type="spellStart"/>
      <w:r>
        <w:t>MalVax</w:t>
      </w:r>
      <w:proofErr w:type="spellEnd"/>
      <w:r>
        <w:t xml:space="preserve"> </w:t>
      </w:r>
      <w:r w:rsidR="0062526B">
        <w:t>W</w:t>
      </w:r>
      <w:r>
        <w:t xml:space="preserve">orking </w:t>
      </w:r>
      <w:r w:rsidR="0062526B">
        <w:t>G</w:t>
      </w:r>
      <w:r>
        <w:t xml:space="preserve">roups will change over time. Initial </w:t>
      </w:r>
      <w:r w:rsidR="00CA32A9">
        <w:t>W</w:t>
      </w:r>
      <w:r>
        <w:t xml:space="preserve">orking Group Co-Chairs were selected by the Executive Committee </w:t>
      </w:r>
      <w:r w:rsidRPr="205E2B08">
        <w:rPr>
          <w:rFonts w:eastAsiaTheme="minorEastAsia"/>
        </w:rPr>
        <w:t>drawing on interested stakeholders from the engagement survey as well as recommendations from the Advisory Group</w:t>
      </w:r>
      <w:r>
        <w:t xml:space="preserve">, using consistent criteria across all three </w:t>
      </w:r>
      <w:proofErr w:type="spellStart"/>
      <w:r>
        <w:t>MalVax</w:t>
      </w:r>
      <w:proofErr w:type="spellEnd"/>
      <w:r>
        <w:t xml:space="preserve"> Alliance Working Groups. The selected Co-Chairs are recognised, credible experts in malaria vaccine R&amp;D, able to lead diverse stakeholder groups towards practical outputs, and committed to ensuring their Working Group remains community-led and product-agnostic. Selection of Working Group members was made by the WG Co-Chairs and </w:t>
      </w:r>
      <w:r w:rsidRPr="205E2B08">
        <w:rPr>
          <w:rFonts w:ascii="Aptos" w:eastAsia="Aptos" w:hAnsi="Aptos" w:cs="Aptos"/>
        </w:rPr>
        <w:t>Executive Committee</w:t>
      </w:r>
      <w:r>
        <w:t>,</w:t>
      </w:r>
      <w:r w:rsidRPr="205E2B08">
        <w:rPr>
          <w:rFonts w:eastAsiaTheme="minorEastAsia"/>
        </w:rPr>
        <w:t xml:space="preserve"> with recommendations from the Advisory Group, drawing on interested stakeholders from the engagement survey as well as targeted invites to expand representation. To the extent possible, this selection process was designed to ensure </w:t>
      </w:r>
      <w:r w:rsidR="006D36AE">
        <w:rPr>
          <w:rFonts w:eastAsiaTheme="minorEastAsia"/>
        </w:rPr>
        <w:t xml:space="preserve">the Working Group is a manageable size and benefits from </w:t>
      </w:r>
      <w:r w:rsidRPr="205E2B08">
        <w:rPr>
          <w:rFonts w:eastAsiaTheme="minorEastAsia"/>
        </w:rPr>
        <w:t>representation from diverse and relevant experts, demonstrated interest, geographic and institutional diversity, and gender balance.</w:t>
      </w:r>
    </w:p>
    <w:p w14:paraId="793568E4" w14:textId="71ACD982" w:rsidR="6701E4FA" w:rsidRDefault="6701E4FA" w:rsidP="6701E4FA">
      <w:pPr>
        <w:spacing w:before="240"/>
        <w:rPr>
          <w:rFonts w:ascii="Helvetica" w:eastAsia="Helvetica" w:hAnsi="Helvetica" w:cs="Helvetica"/>
          <w:sz w:val="27"/>
          <w:szCs w:val="27"/>
        </w:rPr>
      </w:pPr>
    </w:p>
    <w:p w14:paraId="4886AB0A" w14:textId="2E5F1FBC" w:rsidR="6701E4FA" w:rsidRDefault="6701E4FA" w:rsidP="6701E4FA">
      <w:pPr>
        <w:spacing w:before="240"/>
        <w:ind w:left="0"/>
        <w:rPr>
          <w:rFonts w:ascii="Helvetica" w:eastAsia="Helvetica" w:hAnsi="Helvetica" w:cs="Helvetica"/>
          <w:sz w:val="27"/>
          <w:szCs w:val="27"/>
        </w:rPr>
      </w:pPr>
    </w:p>
    <w:p w14:paraId="6D613B04" w14:textId="2BF86BBA" w:rsidR="6701E4FA" w:rsidRDefault="6701E4FA" w:rsidP="6701E4FA">
      <w:pPr>
        <w:spacing w:after="0"/>
        <w:rPr>
          <w:rFonts w:ascii="Helvetica" w:eastAsia="Helvetica" w:hAnsi="Helvetica" w:cs="Helvetica"/>
          <w:b/>
          <w:bCs/>
          <w:color w:val="252525"/>
          <w:sz w:val="27"/>
          <w:szCs w:val="27"/>
        </w:rPr>
      </w:pPr>
    </w:p>
    <w:p w14:paraId="54EEF4F3" w14:textId="4DBF6D6E" w:rsidR="000D4E4B" w:rsidRDefault="000D4E4B" w:rsidP="000D4E4B"/>
    <w:p w14:paraId="75379162" w14:textId="77777777" w:rsidR="000D4E4B" w:rsidRPr="000D4E4B" w:rsidRDefault="000D4E4B" w:rsidP="000D4E4B"/>
    <w:p w14:paraId="67EC4778" w14:textId="1BBEF609" w:rsidR="000D4E4B" w:rsidRDefault="437A5B86" w:rsidP="000D4E4B">
      <w:pPr>
        <w:pStyle w:val="Heading2"/>
      </w:pPr>
      <w:r>
        <w:lastRenderedPageBreak/>
        <w:t>How can I be considered for a Working Group in a future term, once current two-year terms end?</w:t>
      </w:r>
    </w:p>
    <w:p w14:paraId="6E7EC299" w14:textId="41B172A5" w:rsidR="000D4E4B" w:rsidRDefault="205E2B08" w:rsidP="000D4E4B">
      <w:r>
        <w:t>Current Working Group members were selected to serve an initial two-year term. B</w:t>
      </w:r>
      <w:r w:rsidR="00C621DF">
        <w:t>a</w:t>
      </w:r>
      <w:r>
        <w:t xml:space="preserve">sed on the final </w:t>
      </w:r>
      <w:r w:rsidR="00F9022F">
        <w:t>g</w:t>
      </w:r>
      <w:r>
        <w:t xml:space="preserve">overnance structure and Advisory </w:t>
      </w:r>
      <w:r w:rsidR="00F9022F">
        <w:t>G</w:t>
      </w:r>
      <w:r>
        <w:t xml:space="preserve">roup inputs, as terms come up for renewal or if additional members are being considered, the </w:t>
      </w:r>
      <w:proofErr w:type="spellStart"/>
      <w:r>
        <w:t>MalVax</w:t>
      </w:r>
      <w:proofErr w:type="spellEnd"/>
      <w:r>
        <w:t xml:space="preserve"> Alliance will share information on how interested community members can put themselves forward for consideration. Such opportunities will be communicated through the </w:t>
      </w:r>
      <w:proofErr w:type="spellStart"/>
      <w:r>
        <w:t>MalVax</w:t>
      </w:r>
      <w:proofErr w:type="spellEnd"/>
      <w:r>
        <w:t xml:space="preserve"> Newsletter and website.</w:t>
      </w:r>
    </w:p>
    <w:p w14:paraId="7BEEEC5D" w14:textId="77777777" w:rsidR="001F5242" w:rsidRDefault="205E2B08">
      <w:pPr>
        <w:pStyle w:val="Heading2"/>
      </w:pPr>
      <w:r>
        <w:t>If I'm not on a Working Group, can I still get involved?</w:t>
      </w:r>
    </w:p>
    <w:p w14:paraId="17EEB309" w14:textId="580EF089" w:rsidR="001F5242" w:rsidRDefault="205E2B08">
      <w:r>
        <w:t>Yes. Working Group membership is one form of involvement, but it isn't the only one. Community touchpoints, that include webinars, public consultation on circulated documents, and the conference itself, will offer other ways to contribute. Not being on a Working Group now doesn't preclude other involvement later.</w:t>
      </w:r>
    </w:p>
    <w:p w14:paraId="391E73CB" w14:textId="263834B7" w:rsidR="00E4460F" w:rsidRDefault="644866F1" w:rsidP="0040343E">
      <w:pPr>
        <w:pStyle w:val="Heading2"/>
      </w:pPr>
      <w:r>
        <w:t xml:space="preserve">Is </w:t>
      </w:r>
      <w:proofErr w:type="spellStart"/>
      <w:r>
        <w:t>MalVax</w:t>
      </w:r>
      <w:proofErr w:type="spellEnd"/>
      <w:r>
        <w:t xml:space="preserve"> only for stakeholders working on </w:t>
      </w:r>
      <w:r w:rsidR="0C5F1431" w:rsidRPr="009C7E17">
        <w:rPr>
          <w:i/>
          <w:iCs/>
        </w:rPr>
        <w:t>P.</w:t>
      </w:r>
      <w:r>
        <w:t xml:space="preserve"> </w:t>
      </w:r>
      <w:r w:rsidR="4CDC008F" w:rsidRPr="4F0483F2">
        <w:rPr>
          <w:i/>
          <w:iCs/>
        </w:rPr>
        <w:t>F</w:t>
      </w:r>
      <w:r w:rsidRPr="4F0483F2">
        <w:rPr>
          <w:i/>
          <w:iCs/>
        </w:rPr>
        <w:t>alciparum</w:t>
      </w:r>
      <w:r w:rsidR="4CDC008F" w:rsidRPr="009C7E17">
        <w:t xml:space="preserve"> malaria</w:t>
      </w:r>
      <w:r>
        <w:t xml:space="preserve"> vaccine</w:t>
      </w:r>
      <w:r w:rsidR="7585BC24">
        <w:t>s</w:t>
      </w:r>
      <w:r>
        <w:t>?</w:t>
      </w:r>
    </w:p>
    <w:p w14:paraId="371E5790" w14:textId="299E23EC" w:rsidR="002821C4" w:rsidRDefault="205E2B08" w:rsidP="004A3E38">
      <w:r>
        <w:t xml:space="preserve">The </w:t>
      </w:r>
      <w:proofErr w:type="spellStart"/>
      <w:r>
        <w:t>MalVax</w:t>
      </w:r>
      <w:proofErr w:type="spellEnd"/>
      <w:r>
        <w:t xml:space="preserve"> Alliance's current focus is on </w:t>
      </w:r>
      <w:r w:rsidRPr="205E2B08">
        <w:rPr>
          <w:i/>
          <w:iCs/>
        </w:rPr>
        <w:t>Plasmodium falciparum</w:t>
      </w:r>
      <w:r>
        <w:t xml:space="preserve"> vaccines</w:t>
      </w:r>
      <w:r w:rsidR="00BA0D42">
        <w:t>.</w:t>
      </w:r>
      <w:r>
        <w:t xml:space="preserve"> However, stakeholders working on </w:t>
      </w:r>
      <w:r w:rsidRPr="205E2B08">
        <w:rPr>
          <w:i/>
          <w:iCs/>
        </w:rPr>
        <w:t>Plasmodium vivax</w:t>
      </w:r>
      <w:r>
        <w:t xml:space="preserve"> or </w:t>
      </w:r>
      <w:r w:rsidRPr="009C7E17">
        <w:t>multi-</w:t>
      </w:r>
      <w:r w:rsidRPr="205E2B08">
        <w:rPr>
          <w:i/>
          <w:iCs/>
        </w:rPr>
        <w:t>Plasmodium</w:t>
      </w:r>
      <w:r>
        <w:t xml:space="preserve"> species vaccines are also welcome to join the </w:t>
      </w:r>
      <w:proofErr w:type="spellStart"/>
      <w:r>
        <w:t>MalVax</w:t>
      </w:r>
      <w:proofErr w:type="spellEnd"/>
      <w:r>
        <w:t xml:space="preserve"> Alliance to exchange experiences and help address shared challenges.</w:t>
      </w:r>
    </w:p>
    <w:p w14:paraId="619E36B8" w14:textId="3B974ECE" w:rsidR="002821C4" w:rsidRDefault="002821C4" w:rsidP="00EE3D83">
      <w:pPr>
        <w:pStyle w:val="Heading2"/>
      </w:pPr>
      <w:r>
        <w:t xml:space="preserve">How </w:t>
      </w:r>
      <w:r w:rsidR="00EE3D83">
        <w:t xml:space="preserve">can I propose a Working Group workstream, </w:t>
      </w:r>
      <w:proofErr w:type="gramStart"/>
      <w:r w:rsidR="00EE3D83">
        <w:t>particular output</w:t>
      </w:r>
      <w:proofErr w:type="gramEnd"/>
      <w:r w:rsidR="00EE3D83">
        <w:t>, or a new Working Group altogether?</w:t>
      </w:r>
    </w:p>
    <w:p w14:paraId="30D78F09" w14:textId="72FD8615" w:rsidR="00EE3D83" w:rsidRPr="00EE3D83" w:rsidRDefault="00035529" w:rsidP="004A3E38">
      <w:r>
        <w:t xml:space="preserve">Community members are welcome to </w:t>
      </w:r>
      <w:r w:rsidR="003E6D4D">
        <w:t xml:space="preserve">reach out to the relevant Working Group Co-Chair to provide feedback on </w:t>
      </w:r>
      <w:r w:rsidR="00E3107B">
        <w:t xml:space="preserve">current </w:t>
      </w:r>
      <w:r w:rsidR="003E6D4D">
        <w:t>workplan</w:t>
      </w:r>
      <w:r w:rsidR="004A3E38">
        <w:t xml:space="preserve">s and </w:t>
      </w:r>
      <w:r w:rsidR="00E3107B">
        <w:t xml:space="preserve">share ideas for additional </w:t>
      </w:r>
      <w:r w:rsidR="004A3E38">
        <w:t xml:space="preserve">outputs. </w:t>
      </w:r>
      <w:r>
        <w:t>New W</w:t>
      </w:r>
      <w:r w:rsidR="004A3E38">
        <w:t xml:space="preserve">orking </w:t>
      </w:r>
      <w:r>
        <w:t>G</w:t>
      </w:r>
      <w:r w:rsidR="004A3E38">
        <w:t>roup</w:t>
      </w:r>
      <w:r>
        <w:t>s may be proposed by community members and are considered by the Executive Committee in consultation with the Advisory Group. A proposal should include a rationale, draft scope of work, and suggested initial deliverables.</w:t>
      </w:r>
    </w:p>
    <w:p w14:paraId="08970F4B" w14:textId="722622DF" w:rsidR="00FA482F" w:rsidRPr="00E6682F" w:rsidRDefault="00FA482F" w:rsidP="009C7E17">
      <w:pPr>
        <w:pStyle w:val="Heading2"/>
        <w:spacing w:before="120"/>
        <w:ind w:left="357" w:hanging="357"/>
        <w:rPr>
          <w:color w:val="000000" w:themeColor="text1"/>
        </w:rPr>
      </w:pPr>
      <w:r w:rsidRPr="00E6682F">
        <w:rPr>
          <w:color w:val="000000" w:themeColor="text1"/>
        </w:rPr>
        <w:t>Are Controlled Human Malaria Infection (CHMI) endpoints part of Working Group 1's scope?</w:t>
      </w:r>
    </w:p>
    <w:p w14:paraId="76E35978" w14:textId="3A7AA94D" w:rsidR="00FA482F" w:rsidRPr="00E6682F" w:rsidRDefault="00FA482F" w:rsidP="009C7E17">
      <w:pPr>
        <w:rPr>
          <w:color w:val="000000" w:themeColor="text1"/>
        </w:rPr>
      </w:pPr>
      <w:r w:rsidRPr="00E6682F">
        <w:rPr>
          <w:color w:val="000000" w:themeColor="text1"/>
        </w:rPr>
        <w:t xml:space="preserve">Not in Year 1. The Working Group's Technical Scope explicitly </w:t>
      </w:r>
      <w:r w:rsidR="000D7EC5" w:rsidRPr="00E6682F">
        <w:rPr>
          <w:color w:val="000000" w:themeColor="text1"/>
        </w:rPr>
        <w:t xml:space="preserve">states </w:t>
      </w:r>
      <w:r w:rsidRPr="00E6682F">
        <w:rPr>
          <w:color w:val="000000" w:themeColor="text1"/>
        </w:rPr>
        <w:t>that endpoints and trial design for CHMI studies, while valuable for vaccine development, are out of scope for Working Group 1 in its first year, which is instead focused on endpoints for Phase 1–3 field trials. CHMI is identified as a priority area for the Working Group to expand into after the February 2027 conference, alongside other groups such as pregnant women and immunocompromised individuals, once its initial guidance document is complete.</w:t>
      </w:r>
      <w:r w:rsidR="00951C57" w:rsidRPr="00E6682F">
        <w:rPr>
          <w:color w:val="000000" w:themeColor="text1"/>
        </w:rPr>
        <w:t xml:space="preserve"> In the meantime, CHMI research remains welcome across the Alliance, including as an accepted abstract theme at the </w:t>
      </w:r>
      <w:proofErr w:type="spellStart"/>
      <w:r w:rsidR="00951C57" w:rsidRPr="00E6682F">
        <w:rPr>
          <w:color w:val="000000" w:themeColor="text1"/>
        </w:rPr>
        <w:t>MalVax</w:t>
      </w:r>
      <w:proofErr w:type="spellEnd"/>
      <w:r w:rsidR="00951C57" w:rsidRPr="00E6682F">
        <w:rPr>
          <w:color w:val="000000" w:themeColor="text1"/>
        </w:rPr>
        <w:t xml:space="preserve"> 2027 conference.</w:t>
      </w:r>
    </w:p>
    <w:p w14:paraId="0AEC5106" w14:textId="77777777" w:rsidR="00FA482F" w:rsidRPr="00E6682F" w:rsidRDefault="00FA482F" w:rsidP="00FA482F">
      <w:pPr>
        <w:pStyle w:val="Heading2"/>
        <w:rPr>
          <w:color w:val="000000" w:themeColor="text1"/>
        </w:rPr>
      </w:pPr>
      <w:r w:rsidRPr="00E6682F">
        <w:rPr>
          <w:color w:val="000000" w:themeColor="text1"/>
        </w:rPr>
        <w:lastRenderedPageBreak/>
        <w:t>Does Working Group 1's scope currently include endpoints for pregnant women (malaria in pregnancy)?</w:t>
      </w:r>
    </w:p>
    <w:p w14:paraId="0B275314" w14:textId="2E8E1FE2" w:rsidR="00540B18" w:rsidRPr="00E6682F" w:rsidRDefault="000F19ED" w:rsidP="00E6682F">
      <w:pPr>
        <w:rPr>
          <w:color w:val="000000" w:themeColor="text1"/>
        </w:rPr>
      </w:pPr>
      <w:r w:rsidRPr="00E6682F">
        <w:rPr>
          <w:color w:val="000000" w:themeColor="text1"/>
        </w:rPr>
        <w:t xml:space="preserve">Not in Year 1. Working Group 1's initial work is organised around two subthemes — vaccines that provide personal protection for infants and children. and adults, and vaccines that primarily target reduction transmission/provide community protection — and doesn't currently include a dedicated pregnancy stream. The Technical Scope identifies pregnant women and immunocompromised individuals, alongside CHMI, as a priority for expansion after February 2027.  This reflects both current stakeholder input and the added scientific and ethical complexity of trial design in this population. In the meantime, malaria-in-pregnancy research remains welcome across the Alliance, including as an accepted abstract theme at the </w:t>
      </w:r>
      <w:proofErr w:type="spellStart"/>
      <w:r w:rsidRPr="00E6682F">
        <w:rPr>
          <w:color w:val="000000" w:themeColor="text1"/>
        </w:rPr>
        <w:t>MalVax</w:t>
      </w:r>
      <w:proofErr w:type="spellEnd"/>
      <w:r w:rsidRPr="00E6682F">
        <w:rPr>
          <w:color w:val="000000" w:themeColor="text1"/>
        </w:rPr>
        <w:t xml:space="preserve"> 2027 conference.</w:t>
      </w:r>
    </w:p>
    <w:p w14:paraId="0710E65B" w14:textId="49432780" w:rsidR="00DD0FA1" w:rsidRDefault="30082D8B" w:rsidP="00540B18">
      <w:pPr>
        <w:pStyle w:val="Heading2"/>
      </w:pPr>
      <w:r>
        <w:t xml:space="preserve">What types of next-generation malaria vaccines are included in </w:t>
      </w:r>
      <w:proofErr w:type="spellStart"/>
      <w:r>
        <w:t>MalVax</w:t>
      </w:r>
      <w:proofErr w:type="spellEnd"/>
      <w:r>
        <w:t>?</w:t>
      </w:r>
    </w:p>
    <w:p w14:paraId="2E61F71E" w14:textId="6AB633A9" w:rsidR="00DD0FA1" w:rsidRDefault="30082D8B">
      <w:r>
        <w:t>The</w:t>
      </w:r>
      <w:r w:rsidR="0F1A0ABF">
        <w:t xml:space="preserve"> </w:t>
      </w:r>
      <w:proofErr w:type="spellStart"/>
      <w:r w:rsidR="0F1A0ABF">
        <w:t>MalVax</w:t>
      </w:r>
      <w:proofErr w:type="spellEnd"/>
      <w:r>
        <w:t xml:space="preserve"> Alliance’s work</w:t>
      </w:r>
      <w:r w:rsidR="4591BC58">
        <w:t xml:space="preserve"> is product </w:t>
      </w:r>
      <w:r w:rsidR="005E3266">
        <w:t>agnostic and</w:t>
      </w:r>
      <w:r>
        <w:t xml:space="preserve"> spans the range of next-generation malaria vaccine approaches, including pre-erythrocytic vaccines (PEV), blood-stage vaccines (BSV), transmission-blocking vaccines (TBV)</w:t>
      </w:r>
      <w:r w:rsidR="1E45F056">
        <w:t xml:space="preserve"> and multi-stage vaccines</w:t>
      </w:r>
      <w:r>
        <w:t>.</w:t>
      </w:r>
    </w:p>
    <w:p w14:paraId="7F520D5D" w14:textId="416A9BD1" w:rsidR="008C52F2" w:rsidRDefault="58EAC91A" w:rsidP="008C52F2">
      <w:pPr>
        <w:pStyle w:val="Heading2"/>
      </w:pPr>
      <w:r>
        <w:t xml:space="preserve">Is the </w:t>
      </w:r>
      <w:proofErr w:type="spellStart"/>
      <w:r w:rsidR="445AB02B">
        <w:t>MalVax</w:t>
      </w:r>
      <w:proofErr w:type="spellEnd"/>
      <w:r w:rsidR="445AB02B">
        <w:t xml:space="preserve"> </w:t>
      </w:r>
      <w:r>
        <w:t>Alliance product-agnostic, or does it endorse specific vaccines or vaccine developers?</w:t>
      </w:r>
    </w:p>
    <w:p w14:paraId="6FED4510" w14:textId="1F47DDDE" w:rsidR="00CA09E7" w:rsidRDefault="5DD4EF34" w:rsidP="00CA09E7">
      <w:r>
        <w:t>T</w:t>
      </w:r>
      <w:r w:rsidR="58EAC91A">
        <w:t>he</w:t>
      </w:r>
      <w:r w:rsidR="339CC518">
        <w:t xml:space="preserve"> </w:t>
      </w:r>
      <w:proofErr w:type="spellStart"/>
      <w:r w:rsidR="339CC518">
        <w:t>MalVax</w:t>
      </w:r>
      <w:proofErr w:type="spellEnd"/>
      <w:r w:rsidR="58EAC91A">
        <w:t xml:space="preserve"> Alliance is product-agnostic. It does not endorse, favour, or fund any </w:t>
      </w:r>
      <w:proofErr w:type="gramStart"/>
      <w:r w:rsidR="58EAC91A">
        <w:t>particular vaccine</w:t>
      </w:r>
      <w:proofErr w:type="gramEnd"/>
      <w:r w:rsidR="58EAC91A">
        <w:t xml:space="preserve"> candidate or developer. Its role is to </w:t>
      </w:r>
      <w:r w:rsidR="6701E4FA">
        <w:t xml:space="preserve">unite the malaria vaccine R&amp;D community to drive evidence and innovation from lab to policy faster, so better vaccines reach the people who need them sooner. </w:t>
      </w:r>
    </w:p>
    <w:p w14:paraId="3CD29691" w14:textId="58953138" w:rsidR="00CA09E7" w:rsidRDefault="00CA09E7" w:rsidP="00CA09E7">
      <w:pPr>
        <w:pStyle w:val="Heading2"/>
      </w:pPr>
      <w:r>
        <w:t xml:space="preserve">Where can I find information about the </w:t>
      </w:r>
      <w:proofErr w:type="spellStart"/>
      <w:r>
        <w:t>MalVax</w:t>
      </w:r>
      <w:proofErr w:type="spellEnd"/>
      <w:r>
        <w:t xml:space="preserve"> 2027 Conference? </w:t>
      </w:r>
    </w:p>
    <w:p w14:paraId="5D385A40" w14:textId="30C2CCAF" w:rsidR="00CA09E7" w:rsidRPr="00CA09E7" w:rsidRDefault="00CA09E7" w:rsidP="00CA09E7">
      <w:r>
        <w:t>You can find information about the conference on our website or view the FAQ document that is specific to the conference.</w:t>
      </w:r>
    </w:p>
    <w:sectPr w:rsidR="00CA09E7" w:rsidRPr="00CA09E7" w:rsidSect="00C473DB">
      <w:footerReference w:type="even" r:id="rId18"/>
      <w:footerReference w:type="default" r:id="rId19"/>
      <w:headerReference w:type="first" r:id="rId20"/>
      <w:pgSz w:w="12240" w:h="15840"/>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568CD1" w14:textId="77777777" w:rsidR="00506347" w:rsidRDefault="00506347" w:rsidP="0040343E">
      <w:r>
        <w:separator/>
      </w:r>
    </w:p>
  </w:endnote>
  <w:endnote w:type="continuationSeparator" w:id="0">
    <w:p w14:paraId="7B4A5C87" w14:textId="77777777" w:rsidR="00506347" w:rsidRDefault="00506347" w:rsidP="004034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795593132"/>
      <w:docPartObj>
        <w:docPartGallery w:val="Page Numbers (Bottom of Page)"/>
        <w:docPartUnique/>
      </w:docPartObj>
    </w:sdtPr>
    <w:sdtContent>
      <w:p w14:paraId="1208F906" w14:textId="0747CB31" w:rsidR="0068304A" w:rsidRDefault="006830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8153E6E" w14:textId="77777777" w:rsidR="0068304A" w:rsidRDefault="0068304A" w:rsidP="0068304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976865679"/>
      <w:docPartObj>
        <w:docPartGallery w:val="Page Numbers (Bottom of Page)"/>
        <w:docPartUnique/>
      </w:docPartObj>
    </w:sdtPr>
    <w:sdtContent>
      <w:p w14:paraId="2C80BF9A" w14:textId="2345ECF4" w:rsidR="0068304A" w:rsidRDefault="0068304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sdtContent>
  </w:sdt>
  <w:p w14:paraId="33B11BB5" w14:textId="77777777" w:rsidR="0068304A" w:rsidRDefault="0068304A" w:rsidP="0068304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2F9F8" w14:textId="77777777" w:rsidR="00506347" w:rsidRDefault="00506347" w:rsidP="0040343E">
      <w:r>
        <w:separator/>
      </w:r>
    </w:p>
  </w:footnote>
  <w:footnote w:type="continuationSeparator" w:id="0">
    <w:p w14:paraId="1B50AEAD" w14:textId="77777777" w:rsidR="00506347" w:rsidRDefault="00506347" w:rsidP="004034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0E59" w14:textId="77777777" w:rsidR="00C473DB" w:rsidRDefault="00C473DB" w:rsidP="0040343E">
    <w:pPr>
      <w:pStyle w:val="Header"/>
    </w:pPr>
    <w:r w:rsidRPr="00A064A5">
      <w:rPr>
        <w:noProof/>
      </w:rPr>
      <w:drawing>
        <wp:anchor distT="0" distB="0" distL="114300" distR="114300" simplePos="0" relativeHeight="251658240" behindDoc="0" locked="0" layoutInCell="1" allowOverlap="1" wp14:anchorId="7BD3D6DF" wp14:editId="330BA3C2">
          <wp:simplePos x="0" y="0"/>
          <wp:positionH relativeFrom="column">
            <wp:posOffset>58723</wp:posOffset>
          </wp:positionH>
          <wp:positionV relativeFrom="paragraph">
            <wp:posOffset>-201743</wp:posOffset>
          </wp:positionV>
          <wp:extent cx="1798820" cy="578275"/>
          <wp:effectExtent l="0" t="0" r="5080" b="6350"/>
          <wp:wrapSquare wrapText="bothSides"/>
          <wp:docPr id="2" name="Picture 1" descr="A black background with a black square&#10;&#10;Description automatically generated with medium confidence">
            <a:extLst xmlns:a="http://schemas.openxmlformats.org/drawingml/2006/main">
              <a:ext uri="{FF2B5EF4-FFF2-40B4-BE49-F238E27FC236}">
                <a16:creationId xmlns:a16="http://schemas.microsoft.com/office/drawing/2014/main" id="{4624A437-C99A-619E-5EFC-2CD5675085E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A black background with a black square&#10;&#10;Description automatically generated with medium confidence">
                    <a:extLst>
                      <a:ext uri="{FF2B5EF4-FFF2-40B4-BE49-F238E27FC236}">
                        <a16:creationId xmlns:a16="http://schemas.microsoft.com/office/drawing/2014/main" id="{4624A437-C99A-619E-5EFC-2CD5675085E8}"/>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798820" cy="57827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550BE"/>
    <w:multiLevelType w:val="hybridMultilevel"/>
    <w:tmpl w:val="8332BA82"/>
    <w:lvl w:ilvl="0" w:tplc="871246FC">
      <w:start w:val="1"/>
      <w:numFmt w:val="bullet"/>
      <w:lvlText w:val="-"/>
      <w:lvlJc w:val="left"/>
      <w:pPr>
        <w:ind w:left="720" w:hanging="360"/>
      </w:pPr>
      <w:rPr>
        <w:rFonts w:ascii="Aptos" w:eastAsiaTheme="minorHAnsi" w:hAnsi="Apto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2C3FC6"/>
    <w:multiLevelType w:val="hybridMultilevel"/>
    <w:tmpl w:val="FFFFFFFF"/>
    <w:lvl w:ilvl="0" w:tplc="2CD8C402">
      <w:start w:val="1"/>
      <w:numFmt w:val="bullet"/>
      <w:lvlText w:val="-"/>
      <w:lvlJc w:val="left"/>
      <w:pPr>
        <w:ind w:left="644" w:hanging="360"/>
      </w:pPr>
      <w:rPr>
        <w:rFonts w:ascii="Aptos" w:hAnsi="Aptos" w:hint="default"/>
      </w:rPr>
    </w:lvl>
    <w:lvl w:ilvl="1" w:tplc="0F98ACC2">
      <w:start w:val="1"/>
      <w:numFmt w:val="bullet"/>
      <w:lvlText w:val="o"/>
      <w:lvlJc w:val="left"/>
      <w:pPr>
        <w:ind w:left="1364" w:hanging="360"/>
      </w:pPr>
      <w:rPr>
        <w:rFonts w:ascii="Courier New" w:hAnsi="Courier New" w:hint="default"/>
      </w:rPr>
    </w:lvl>
    <w:lvl w:ilvl="2" w:tplc="FDAEC456">
      <w:start w:val="1"/>
      <w:numFmt w:val="bullet"/>
      <w:lvlText w:val=""/>
      <w:lvlJc w:val="left"/>
      <w:pPr>
        <w:ind w:left="2084" w:hanging="360"/>
      </w:pPr>
      <w:rPr>
        <w:rFonts w:ascii="Wingdings" w:hAnsi="Wingdings" w:hint="default"/>
      </w:rPr>
    </w:lvl>
    <w:lvl w:ilvl="3" w:tplc="9C388A62">
      <w:start w:val="1"/>
      <w:numFmt w:val="bullet"/>
      <w:lvlText w:val=""/>
      <w:lvlJc w:val="left"/>
      <w:pPr>
        <w:ind w:left="2804" w:hanging="360"/>
      </w:pPr>
      <w:rPr>
        <w:rFonts w:ascii="Symbol" w:hAnsi="Symbol" w:hint="default"/>
      </w:rPr>
    </w:lvl>
    <w:lvl w:ilvl="4" w:tplc="4F7E0D70">
      <w:start w:val="1"/>
      <w:numFmt w:val="bullet"/>
      <w:lvlText w:val="o"/>
      <w:lvlJc w:val="left"/>
      <w:pPr>
        <w:ind w:left="3524" w:hanging="360"/>
      </w:pPr>
      <w:rPr>
        <w:rFonts w:ascii="Courier New" w:hAnsi="Courier New" w:hint="default"/>
      </w:rPr>
    </w:lvl>
    <w:lvl w:ilvl="5" w:tplc="C6B49DC6">
      <w:start w:val="1"/>
      <w:numFmt w:val="bullet"/>
      <w:lvlText w:val=""/>
      <w:lvlJc w:val="left"/>
      <w:pPr>
        <w:ind w:left="4244" w:hanging="360"/>
      </w:pPr>
      <w:rPr>
        <w:rFonts w:ascii="Wingdings" w:hAnsi="Wingdings" w:hint="default"/>
      </w:rPr>
    </w:lvl>
    <w:lvl w:ilvl="6" w:tplc="288E533A">
      <w:start w:val="1"/>
      <w:numFmt w:val="bullet"/>
      <w:lvlText w:val=""/>
      <w:lvlJc w:val="left"/>
      <w:pPr>
        <w:ind w:left="4964" w:hanging="360"/>
      </w:pPr>
      <w:rPr>
        <w:rFonts w:ascii="Symbol" w:hAnsi="Symbol" w:hint="default"/>
      </w:rPr>
    </w:lvl>
    <w:lvl w:ilvl="7" w:tplc="2D4648BA">
      <w:start w:val="1"/>
      <w:numFmt w:val="bullet"/>
      <w:lvlText w:val="o"/>
      <w:lvlJc w:val="left"/>
      <w:pPr>
        <w:ind w:left="5684" w:hanging="360"/>
      </w:pPr>
      <w:rPr>
        <w:rFonts w:ascii="Courier New" w:hAnsi="Courier New" w:hint="default"/>
      </w:rPr>
    </w:lvl>
    <w:lvl w:ilvl="8" w:tplc="6980D316">
      <w:start w:val="1"/>
      <w:numFmt w:val="bullet"/>
      <w:lvlText w:val=""/>
      <w:lvlJc w:val="left"/>
      <w:pPr>
        <w:ind w:left="6404" w:hanging="360"/>
      </w:pPr>
      <w:rPr>
        <w:rFonts w:ascii="Wingdings" w:hAnsi="Wingdings" w:hint="default"/>
      </w:rPr>
    </w:lvl>
  </w:abstractNum>
  <w:abstractNum w:abstractNumId="2" w15:restartNumberingAfterBreak="0">
    <w:nsid w:val="139F1ACE"/>
    <w:multiLevelType w:val="hybridMultilevel"/>
    <w:tmpl w:val="FFFFFFFF"/>
    <w:lvl w:ilvl="0" w:tplc="FC9CA960">
      <w:start w:val="1"/>
      <w:numFmt w:val="bullet"/>
      <w:lvlText w:val="-"/>
      <w:lvlJc w:val="left"/>
      <w:pPr>
        <w:ind w:left="644" w:hanging="360"/>
      </w:pPr>
      <w:rPr>
        <w:rFonts w:ascii="Aptos" w:hAnsi="Aptos" w:hint="default"/>
      </w:rPr>
    </w:lvl>
    <w:lvl w:ilvl="1" w:tplc="7C868446">
      <w:start w:val="1"/>
      <w:numFmt w:val="bullet"/>
      <w:lvlText w:val="o"/>
      <w:lvlJc w:val="left"/>
      <w:pPr>
        <w:ind w:left="1364" w:hanging="360"/>
      </w:pPr>
      <w:rPr>
        <w:rFonts w:ascii="Courier New" w:hAnsi="Courier New" w:hint="default"/>
      </w:rPr>
    </w:lvl>
    <w:lvl w:ilvl="2" w:tplc="14429D14">
      <w:start w:val="1"/>
      <w:numFmt w:val="bullet"/>
      <w:lvlText w:val=""/>
      <w:lvlJc w:val="left"/>
      <w:pPr>
        <w:ind w:left="2084" w:hanging="360"/>
      </w:pPr>
      <w:rPr>
        <w:rFonts w:ascii="Wingdings" w:hAnsi="Wingdings" w:hint="default"/>
      </w:rPr>
    </w:lvl>
    <w:lvl w:ilvl="3" w:tplc="79589372">
      <w:start w:val="1"/>
      <w:numFmt w:val="bullet"/>
      <w:lvlText w:val=""/>
      <w:lvlJc w:val="left"/>
      <w:pPr>
        <w:ind w:left="2804" w:hanging="360"/>
      </w:pPr>
      <w:rPr>
        <w:rFonts w:ascii="Symbol" w:hAnsi="Symbol" w:hint="default"/>
      </w:rPr>
    </w:lvl>
    <w:lvl w:ilvl="4" w:tplc="F058E7C0">
      <w:start w:val="1"/>
      <w:numFmt w:val="bullet"/>
      <w:lvlText w:val="o"/>
      <w:lvlJc w:val="left"/>
      <w:pPr>
        <w:ind w:left="3524" w:hanging="360"/>
      </w:pPr>
      <w:rPr>
        <w:rFonts w:ascii="Courier New" w:hAnsi="Courier New" w:hint="default"/>
      </w:rPr>
    </w:lvl>
    <w:lvl w:ilvl="5" w:tplc="33721DFC">
      <w:start w:val="1"/>
      <w:numFmt w:val="bullet"/>
      <w:lvlText w:val=""/>
      <w:lvlJc w:val="left"/>
      <w:pPr>
        <w:ind w:left="4244" w:hanging="360"/>
      </w:pPr>
      <w:rPr>
        <w:rFonts w:ascii="Wingdings" w:hAnsi="Wingdings" w:hint="default"/>
      </w:rPr>
    </w:lvl>
    <w:lvl w:ilvl="6" w:tplc="BCBE5682">
      <w:start w:val="1"/>
      <w:numFmt w:val="bullet"/>
      <w:lvlText w:val=""/>
      <w:lvlJc w:val="left"/>
      <w:pPr>
        <w:ind w:left="4964" w:hanging="360"/>
      </w:pPr>
      <w:rPr>
        <w:rFonts w:ascii="Symbol" w:hAnsi="Symbol" w:hint="default"/>
      </w:rPr>
    </w:lvl>
    <w:lvl w:ilvl="7" w:tplc="2392DF0C">
      <w:start w:val="1"/>
      <w:numFmt w:val="bullet"/>
      <w:lvlText w:val="o"/>
      <w:lvlJc w:val="left"/>
      <w:pPr>
        <w:ind w:left="5684" w:hanging="360"/>
      </w:pPr>
      <w:rPr>
        <w:rFonts w:ascii="Courier New" w:hAnsi="Courier New" w:hint="default"/>
      </w:rPr>
    </w:lvl>
    <w:lvl w:ilvl="8" w:tplc="48BA678A">
      <w:start w:val="1"/>
      <w:numFmt w:val="bullet"/>
      <w:lvlText w:val=""/>
      <w:lvlJc w:val="left"/>
      <w:pPr>
        <w:ind w:left="6404" w:hanging="360"/>
      </w:pPr>
      <w:rPr>
        <w:rFonts w:ascii="Wingdings" w:hAnsi="Wingdings" w:hint="default"/>
      </w:rPr>
    </w:lvl>
  </w:abstractNum>
  <w:abstractNum w:abstractNumId="3" w15:restartNumberingAfterBreak="0">
    <w:nsid w:val="1C37198F"/>
    <w:multiLevelType w:val="hybridMultilevel"/>
    <w:tmpl w:val="F12E321E"/>
    <w:lvl w:ilvl="0" w:tplc="A2F4DFE4">
      <w:start w:val="1"/>
      <w:numFmt w:val="decimal"/>
      <w:pStyle w:val="Heading2"/>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2C992AAF"/>
    <w:multiLevelType w:val="hybridMultilevel"/>
    <w:tmpl w:val="FFFFFFFF"/>
    <w:lvl w:ilvl="0" w:tplc="CF46697C">
      <w:start w:val="1"/>
      <w:numFmt w:val="bullet"/>
      <w:lvlText w:val="-"/>
      <w:lvlJc w:val="left"/>
      <w:pPr>
        <w:ind w:left="644" w:hanging="360"/>
      </w:pPr>
      <w:rPr>
        <w:rFonts w:ascii="Aptos" w:hAnsi="Aptos" w:hint="default"/>
      </w:rPr>
    </w:lvl>
    <w:lvl w:ilvl="1" w:tplc="229E7E3E">
      <w:start w:val="1"/>
      <w:numFmt w:val="bullet"/>
      <w:lvlText w:val="o"/>
      <w:lvlJc w:val="left"/>
      <w:pPr>
        <w:ind w:left="1364" w:hanging="360"/>
      </w:pPr>
      <w:rPr>
        <w:rFonts w:ascii="Courier New" w:hAnsi="Courier New" w:hint="default"/>
      </w:rPr>
    </w:lvl>
    <w:lvl w:ilvl="2" w:tplc="AE50C5C4">
      <w:start w:val="1"/>
      <w:numFmt w:val="bullet"/>
      <w:lvlText w:val=""/>
      <w:lvlJc w:val="left"/>
      <w:pPr>
        <w:ind w:left="2084" w:hanging="360"/>
      </w:pPr>
      <w:rPr>
        <w:rFonts w:ascii="Wingdings" w:hAnsi="Wingdings" w:hint="default"/>
      </w:rPr>
    </w:lvl>
    <w:lvl w:ilvl="3" w:tplc="72A0CDE4">
      <w:start w:val="1"/>
      <w:numFmt w:val="bullet"/>
      <w:lvlText w:val=""/>
      <w:lvlJc w:val="left"/>
      <w:pPr>
        <w:ind w:left="2804" w:hanging="360"/>
      </w:pPr>
      <w:rPr>
        <w:rFonts w:ascii="Symbol" w:hAnsi="Symbol" w:hint="default"/>
      </w:rPr>
    </w:lvl>
    <w:lvl w:ilvl="4" w:tplc="1966DB58">
      <w:start w:val="1"/>
      <w:numFmt w:val="bullet"/>
      <w:lvlText w:val="o"/>
      <w:lvlJc w:val="left"/>
      <w:pPr>
        <w:ind w:left="3524" w:hanging="360"/>
      </w:pPr>
      <w:rPr>
        <w:rFonts w:ascii="Courier New" w:hAnsi="Courier New" w:hint="default"/>
      </w:rPr>
    </w:lvl>
    <w:lvl w:ilvl="5" w:tplc="6082B20E">
      <w:start w:val="1"/>
      <w:numFmt w:val="bullet"/>
      <w:lvlText w:val=""/>
      <w:lvlJc w:val="left"/>
      <w:pPr>
        <w:ind w:left="4244" w:hanging="360"/>
      </w:pPr>
      <w:rPr>
        <w:rFonts w:ascii="Wingdings" w:hAnsi="Wingdings" w:hint="default"/>
      </w:rPr>
    </w:lvl>
    <w:lvl w:ilvl="6" w:tplc="4EB25EBA">
      <w:start w:val="1"/>
      <w:numFmt w:val="bullet"/>
      <w:lvlText w:val=""/>
      <w:lvlJc w:val="left"/>
      <w:pPr>
        <w:ind w:left="4964" w:hanging="360"/>
      </w:pPr>
      <w:rPr>
        <w:rFonts w:ascii="Symbol" w:hAnsi="Symbol" w:hint="default"/>
      </w:rPr>
    </w:lvl>
    <w:lvl w:ilvl="7" w:tplc="A4643184">
      <w:start w:val="1"/>
      <w:numFmt w:val="bullet"/>
      <w:lvlText w:val="o"/>
      <w:lvlJc w:val="left"/>
      <w:pPr>
        <w:ind w:left="5684" w:hanging="360"/>
      </w:pPr>
      <w:rPr>
        <w:rFonts w:ascii="Courier New" w:hAnsi="Courier New" w:hint="default"/>
      </w:rPr>
    </w:lvl>
    <w:lvl w:ilvl="8" w:tplc="E4F4FF6A">
      <w:start w:val="1"/>
      <w:numFmt w:val="bullet"/>
      <w:lvlText w:val=""/>
      <w:lvlJc w:val="left"/>
      <w:pPr>
        <w:ind w:left="6404" w:hanging="360"/>
      </w:pPr>
      <w:rPr>
        <w:rFonts w:ascii="Wingdings" w:hAnsi="Wingdings" w:hint="default"/>
      </w:rPr>
    </w:lvl>
  </w:abstractNum>
  <w:abstractNum w:abstractNumId="5" w15:restartNumberingAfterBreak="0">
    <w:nsid w:val="330869C2"/>
    <w:multiLevelType w:val="multilevel"/>
    <w:tmpl w:val="0B9CA9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8235360"/>
    <w:multiLevelType w:val="hybridMultilevel"/>
    <w:tmpl w:val="C55C034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E3FEE4C"/>
    <w:multiLevelType w:val="hybridMultilevel"/>
    <w:tmpl w:val="FFFFFFFF"/>
    <w:lvl w:ilvl="0" w:tplc="CEB21384">
      <w:start w:val="1"/>
      <w:numFmt w:val="bullet"/>
      <w:lvlText w:val="-"/>
      <w:lvlJc w:val="left"/>
      <w:pPr>
        <w:ind w:left="644" w:hanging="360"/>
      </w:pPr>
      <w:rPr>
        <w:rFonts w:ascii="Aptos" w:hAnsi="Aptos" w:hint="default"/>
      </w:rPr>
    </w:lvl>
    <w:lvl w:ilvl="1" w:tplc="09A8CEB4">
      <w:start w:val="1"/>
      <w:numFmt w:val="bullet"/>
      <w:lvlText w:val="o"/>
      <w:lvlJc w:val="left"/>
      <w:pPr>
        <w:ind w:left="1364" w:hanging="360"/>
      </w:pPr>
      <w:rPr>
        <w:rFonts w:ascii="Courier New" w:hAnsi="Courier New" w:hint="default"/>
      </w:rPr>
    </w:lvl>
    <w:lvl w:ilvl="2" w:tplc="754659B0">
      <w:start w:val="1"/>
      <w:numFmt w:val="bullet"/>
      <w:lvlText w:val=""/>
      <w:lvlJc w:val="left"/>
      <w:pPr>
        <w:ind w:left="2084" w:hanging="360"/>
      </w:pPr>
      <w:rPr>
        <w:rFonts w:ascii="Wingdings" w:hAnsi="Wingdings" w:hint="default"/>
      </w:rPr>
    </w:lvl>
    <w:lvl w:ilvl="3" w:tplc="36AE0A08">
      <w:start w:val="1"/>
      <w:numFmt w:val="bullet"/>
      <w:lvlText w:val=""/>
      <w:lvlJc w:val="left"/>
      <w:pPr>
        <w:ind w:left="2804" w:hanging="360"/>
      </w:pPr>
      <w:rPr>
        <w:rFonts w:ascii="Symbol" w:hAnsi="Symbol" w:hint="default"/>
      </w:rPr>
    </w:lvl>
    <w:lvl w:ilvl="4" w:tplc="1DD036BC">
      <w:start w:val="1"/>
      <w:numFmt w:val="bullet"/>
      <w:lvlText w:val="o"/>
      <w:lvlJc w:val="left"/>
      <w:pPr>
        <w:ind w:left="3524" w:hanging="360"/>
      </w:pPr>
      <w:rPr>
        <w:rFonts w:ascii="Courier New" w:hAnsi="Courier New" w:hint="default"/>
      </w:rPr>
    </w:lvl>
    <w:lvl w:ilvl="5" w:tplc="34A277B0">
      <w:start w:val="1"/>
      <w:numFmt w:val="bullet"/>
      <w:lvlText w:val=""/>
      <w:lvlJc w:val="left"/>
      <w:pPr>
        <w:ind w:left="4244" w:hanging="360"/>
      </w:pPr>
      <w:rPr>
        <w:rFonts w:ascii="Wingdings" w:hAnsi="Wingdings" w:hint="default"/>
      </w:rPr>
    </w:lvl>
    <w:lvl w:ilvl="6" w:tplc="252C74B2">
      <w:start w:val="1"/>
      <w:numFmt w:val="bullet"/>
      <w:lvlText w:val=""/>
      <w:lvlJc w:val="left"/>
      <w:pPr>
        <w:ind w:left="4964" w:hanging="360"/>
      </w:pPr>
      <w:rPr>
        <w:rFonts w:ascii="Symbol" w:hAnsi="Symbol" w:hint="default"/>
      </w:rPr>
    </w:lvl>
    <w:lvl w:ilvl="7" w:tplc="4CD4C796">
      <w:start w:val="1"/>
      <w:numFmt w:val="bullet"/>
      <w:lvlText w:val="o"/>
      <w:lvlJc w:val="left"/>
      <w:pPr>
        <w:ind w:left="5684" w:hanging="360"/>
      </w:pPr>
      <w:rPr>
        <w:rFonts w:ascii="Courier New" w:hAnsi="Courier New" w:hint="default"/>
      </w:rPr>
    </w:lvl>
    <w:lvl w:ilvl="8" w:tplc="5F0EF2D2">
      <w:start w:val="1"/>
      <w:numFmt w:val="bullet"/>
      <w:lvlText w:val=""/>
      <w:lvlJc w:val="left"/>
      <w:pPr>
        <w:ind w:left="6404" w:hanging="360"/>
      </w:pPr>
      <w:rPr>
        <w:rFonts w:ascii="Wingdings" w:hAnsi="Wingdings" w:hint="default"/>
      </w:rPr>
    </w:lvl>
  </w:abstractNum>
  <w:abstractNum w:abstractNumId="8" w15:restartNumberingAfterBreak="0">
    <w:nsid w:val="3FE62C0C"/>
    <w:multiLevelType w:val="hybridMultilevel"/>
    <w:tmpl w:val="1EBA4E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1A20592"/>
    <w:multiLevelType w:val="hybridMultilevel"/>
    <w:tmpl w:val="15D03FCA"/>
    <w:lvl w:ilvl="0" w:tplc="8FE0E5C4">
      <w:start w:val="1"/>
      <w:numFmt w:val="decimal"/>
      <w:lvlText w:val="%1."/>
      <w:lvlJc w:val="left"/>
      <w:pPr>
        <w:ind w:left="360" w:hanging="360"/>
      </w:pPr>
    </w:lvl>
    <w:lvl w:ilvl="1" w:tplc="4E36E246">
      <w:start w:val="1"/>
      <w:numFmt w:val="lowerLetter"/>
      <w:lvlText w:val="%2."/>
      <w:lvlJc w:val="left"/>
      <w:pPr>
        <w:ind w:left="1080" w:hanging="360"/>
      </w:pPr>
    </w:lvl>
    <w:lvl w:ilvl="2" w:tplc="3A2AD672">
      <w:start w:val="1"/>
      <w:numFmt w:val="lowerRoman"/>
      <w:lvlText w:val="%3."/>
      <w:lvlJc w:val="right"/>
      <w:pPr>
        <w:ind w:left="1800" w:hanging="180"/>
      </w:pPr>
    </w:lvl>
    <w:lvl w:ilvl="3" w:tplc="7DA49C72">
      <w:start w:val="1"/>
      <w:numFmt w:val="decimal"/>
      <w:lvlText w:val="%4."/>
      <w:lvlJc w:val="left"/>
      <w:pPr>
        <w:ind w:left="2520" w:hanging="360"/>
      </w:pPr>
    </w:lvl>
    <w:lvl w:ilvl="4" w:tplc="50D4245E">
      <w:start w:val="1"/>
      <w:numFmt w:val="lowerLetter"/>
      <w:lvlText w:val="%5."/>
      <w:lvlJc w:val="left"/>
      <w:pPr>
        <w:ind w:left="3240" w:hanging="360"/>
      </w:pPr>
    </w:lvl>
    <w:lvl w:ilvl="5" w:tplc="7A707F58">
      <w:start w:val="1"/>
      <w:numFmt w:val="lowerRoman"/>
      <w:lvlText w:val="%6."/>
      <w:lvlJc w:val="right"/>
      <w:pPr>
        <w:ind w:left="3960" w:hanging="180"/>
      </w:pPr>
    </w:lvl>
    <w:lvl w:ilvl="6" w:tplc="BB4257EC">
      <w:start w:val="1"/>
      <w:numFmt w:val="decimal"/>
      <w:lvlText w:val="%7."/>
      <w:lvlJc w:val="left"/>
      <w:pPr>
        <w:ind w:left="4680" w:hanging="360"/>
      </w:pPr>
    </w:lvl>
    <w:lvl w:ilvl="7" w:tplc="4F1419AE">
      <w:start w:val="1"/>
      <w:numFmt w:val="lowerLetter"/>
      <w:lvlText w:val="%8."/>
      <w:lvlJc w:val="left"/>
      <w:pPr>
        <w:ind w:left="5400" w:hanging="360"/>
      </w:pPr>
    </w:lvl>
    <w:lvl w:ilvl="8" w:tplc="8084ACEC">
      <w:start w:val="1"/>
      <w:numFmt w:val="lowerRoman"/>
      <w:lvlText w:val="%9."/>
      <w:lvlJc w:val="right"/>
      <w:pPr>
        <w:ind w:left="6120" w:hanging="180"/>
      </w:pPr>
    </w:lvl>
  </w:abstractNum>
  <w:abstractNum w:abstractNumId="10" w15:restartNumberingAfterBreak="0">
    <w:nsid w:val="41A50749"/>
    <w:multiLevelType w:val="multilevel"/>
    <w:tmpl w:val="7B9C77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upperLetter"/>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2C42A35"/>
    <w:multiLevelType w:val="hybridMultilevel"/>
    <w:tmpl w:val="EB5E32F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4B1D0475"/>
    <w:multiLevelType w:val="hybridMultilevel"/>
    <w:tmpl w:val="FFFFFFFF"/>
    <w:lvl w:ilvl="0" w:tplc="E3CEE8A6">
      <w:start w:val="1"/>
      <w:numFmt w:val="bullet"/>
      <w:lvlText w:val="-"/>
      <w:lvlJc w:val="left"/>
      <w:pPr>
        <w:ind w:left="644" w:hanging="360"/>
      </w:pPr>
      <w:rPr>
        <w:rFonts w:ascii="Aptos" w:hAnsi="Aptos" w:hint="default"/>
      </w:rPr>
    </w:lvl>
    <w:lvl w:ilvl="1" w:tplc="C3B0B5C8">
      <w:start w:val="1"/>
      <w:numFmt w:val="bullet"/>
      <w:lvlText w:val="o"/>
      <w:lvlJc w:val="left"/>
      <w:pPr>
        <w:ind w:left="1364" w:hanging="360"/>
      </w:pPr>
      <w:rPr>
        <w:rFonts w:ascii="Courier New" w:hAnsi="Courier New" w:hint="default"/>
      </w:rPr>
    </w:lvl>
    <w:lvl w:ilvl="2" w:tplc="702249D4">
      <w:start w:val="1"/>
      <w:numFmt w:val="bullet"/>
      <w:lvlText w:val=""/>
      <w:lvlJc w:val="left"/>
      <w:pPr>
        <w:ind w:left="2084" w:hanging="360"/>
      </w:pPr>
      <w:rPr>
        <w:rFonts w:ascii="Wingdings" w:hAnsi="Wingdings" w:hint="default"/>
      </w:rPr>
    </w:lvl>
    <w:lvl w:ilvl="3" w:tplc="CBD8B3F6">
      <w:start w:val="1"/>
      <w:numFmt w:val="bullet"/>
      <w:lvlText w:val=""/>
      <w:lvlJc w:val="left"/>
      <w:pPr>
        <w:ind w:left="2804" w:hanging="360"/>
      </w:pPr>
      <w:rPr>
        <w:rFonts w:ascii="Symbol" w:hAnsi="Symbol" w:hint="default"/>
      </w:rPr>
    </w:lvl>
    <w:lvl w:ilvl="4" w:tplc="53C4E22C">
      <w:start w:val="1"/>
      <w:numFmt w:val="bullet"/>
      <w:lvlText w:val="o"/>
      <w:lvlJc w:val="left"/>
      <w:pPr>
        <w:ind w:left="3524" w:hanging="360"/>
      </w:pPr>
      <w:rPr>
        <w:rFonts w:ascii="Courier New" w:hAnsi="Courier New" w:hint="default"/>
      </w:rPr>
    </w:lvl>
    <w:lvl w:ilvl="5" w:tplc="564616BA">
      <w:start w:val="1"/>
      <w:numFmt w:val="bullet"/>
      <w:lvlText w:val=""/>
      <w:lvlJc w:val="left"/>
      <w:pPr>
        <w:ind w:left="4244" w:hanging="360"/>
      </w:pPr>
      <w:rPr>
        <w:rFonts w:ascii="Wingdings" w:hAnsi="Wingdings" w:hint="default"/>
      </w:rPr>
    </w:lvl>
    <w:lvl w:ilvl="6" w:tplc="24066C36">
      <w:start w:val="1"/>
      <w:numFmt w:val="bullet"/>
      <w:lvlText w:val=""/>
      <w:lvlJc w:val="left"/>
      <w:pPr>
        <w:ind w:left="4964" w:hanging="360"/>
      </w:pPr>
      <w:rPr>
        <w:rFonts w:ascii="Symbol" w:hAnsi="Symbol" w:hint="default"/>
      </w:rPr>
    </w:lvl>
    <w:lvl w:ilvl="7" w:tplc="F3B06C68">
      <w:start w:val="1"/>
      <w:numFmt w:val="bullet"/>
      <w:lvlText w:val="o"/>
      <w:lvlJc w:val="left"/>
      <w:pPr>
        <w:ind w:left="5684" w:hanging="360"/>
      </w:pPr>
      <w:rPr>
        <w:rFonts w:ascii="Courier New" w:hAnsi="Courier New" w:hint="default"/>
      </w:rPr>
    </w:lvl>
    <w:lvl w:ilvl="8" w:tplc="7062E420">
      <w:start w:val="1"/>
      <w:numFmt w:val="bullet"/>
      <w:lvlText w:val=""/>
      <w:lvlJc w:val="left"/>
      <w:pPr>
        <w:ind w:left="6404" w:hanging="360"/>
      </w:pPr>
      <w:rPr>
        <w:rFonts w:ascii="Wingdings" w:hAnsi="Wingdings" w:hint="default"/>
      </w:rPr>
    </w:lvl>
  </w:abstractNum>
  <w:abstractNum w:abstractNumId="13" w15:restartNumberingAfterBreak="0">
    <w:nsid w:val="4DF7315D"/>
    <w:multiLevelType w:val="hybridMultilevel"/>
    <w:tmpl w:val="6DB432C8"/>
    <w:lvl w:ilvl="0" w:tplc="34343688">
      <w:start w:val="2"/>
      <w:numFmt w:val="bullet"/>
      <w:lvlText w:val="-"/>
      <w:lvlJc w:val="left"/>
      <w:pPr>
        <w:ind w:left="720" w:hanging="360"/>
      </w:pPr>
      <w:rPr>
        <w:rFonts w:ascii="Aptos" w:eastAsiaTheme="minorHAnsi" w:hAnsi="Aptos"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1FCF28E"/>
    <w:multiLevelType w:val="hybridMultilevel"/>
    <w:tmpl w:val="FFFFFFFF"/>
    <w:lvl w:ilvl="0" w:tplc="C0087DB6">
      <w:start w:val="1"/>
      <w:numFmt w:val="bullet"/>
      <w:lvlText w:val="-"/>
      <w:lvlJc w:val="left"/>
      <w:pPr>
        <w:ind w:left="644" w:hanging="360"/>
      </w:pPr>
      <w:rPr>
        <w:rFonts w:ascii="Aptos" w:hAnsi="Aptos" w:hint="default"/>
      </w:rPr>
    </w:lvl>
    <w:lvl w:ilvl="1" w:tplc="0FE06D42">
      <w:start w:val="1"/>
      <w:numFmt w:val="bullet"/>
      <w:lvlText w:val="o"/>
      <w:lvlJc w:val="left"/>
      <w:pPr>
        <w:ind w:left="1364" w:hanging="360"/>
      </w:pPr>
      <w:rPr>
        <w:rFonts w:ascii="Courier New" w:hAnsi="Courier New" w:hint="default"/>
      </w:rPr>
    </w:lvl>
    <w:lvl w:ilvl="2" w:tplc="1F541F96">
      <w:start w:val="1"/>
      <w:numFmt w:val="bullet"/>
      <w:lvlText w:val=""/>
      <w:lvlJc w:val="left"/>
      <w:pPr>
        <w:ind w:left="2084" w:hanging="360"/>
      </w:pPr>
      <w:rPr>
        <w:rFonts w:ascii="Wingdings" w:hAnsi="Wingdings" w:hint="default"/>
      </w:rPr>
    </w:lvl>
    <w:lvl w:ilvl="3" w:tplc="18FE2B6A">
      <w:start w:val="1"/>
      <w:numFmt w:val="bullet"/>
      <w:lvlText w:val=""/>
      <w:lvlJc w:val="left"/>
      <w:pPr>
        <w:ind w:left="2804" w:hanging="360"/>
      </w:pPr>
      <w:rPr>
        <w:rFonts w:ascii="Symbol" w:hAnsi="Symbol" w:hint="default"/>
      </w:rPr>
    </w:lvl>
    <w:lvl w:ilvl="4" w:tplc="E85246C8">
      <w:start w:val="1"/>
      <w:numFmt w:val="bullet"/>
      <w:lvlText w:val="o"/>
      <w:lvlJc w:val="left"/>
      <w:pPr>
        <w:ind w:left="3524" w:hanging="360"/>
      </w:pPr>
      <w:rPr>
        <w:rFonts w:ascii="Courier New" w:hAnsi="Courier New" w:hint="default"/>
      </w:rPr>
    </w:lvl>
    <w:lvl w:ilvl="5" w:tplc="B3F89ED0">
      <w:start w:val="1"/>
      <w:numFmt w:val="bullet"/>
      <w:lvlText w:val=""/>
      <w:lvlJc w:val="left"/>
      <w:pPr>
        <w:ind w:left="4244" w:hanging="360"/>
      </w:pPr>
      <w:rPr>
        <w:rFonts w:ascii="Wingdings" w:hAnsi="Wingdings" w:hint="default"/>
      </w:rPr>
    </w:lvl>
    <w:lvl w:ilvl="6" w:tplc="2228BC02">
      <w:start w:val="1"/>
      <w:numFmt w:val="bullet"/>
      <w:lvlText w:val=""/>
      <w:lvlJc w:val="left"/>
      <w:pPr>
        <w:ind w:left="4964" w:hanging="360"/>
      </w:pPr>
      <w:rPr>
        <w:rFonts w:ascii="Symbol" w:hAnsi="Symbol" w:hint="default"/>
      </w:rPr>
    </w:lvl>
    <w:lvl w:ilvl="7" w:tplc="12FA66CA">
      <w:start w:val="1"/>
      <w:numFmt w:val="bullet"/>
      <w:lvlText w:val="o"/>
      <w:lvlJc w:val="left"/>
      <w:pPr>
        <w:ind w:left="5684" w:hanging="360"/>
      </w:pPr>
      <w:rPr>
        <w:rFonts w:ascii="Courier New" w:hAnsi="Courier New" w:hint="default"/>
      </w:rPr>
    </w:lvl>
    <w:lvl w:ilvl="8" w:tplc="D0BC75B6">
      <w:start w:val="1"/>
      <w:numFmt w:val="bullet"/>
      <w:lvlText w:val=""/>
      <w:lvlJc w:val="left"/>
      <w:pPr>
        <w:ind w:left="6404" w:hanging="360"/>
      </w:pPr>
      <w:rPr>
        <w:rFonts w:ascii="Wingdings" w:hAnsi="Wingdings" w:hint="default"/>
      </w:rPr>
    </w:lvl>
  </w:abstractNum>
  <w:abstractNum w:abstractNumId="15" w15:restartNumberingAfterBreak="0">
    <w:nsid w:val="54453136"/>
    <w:multiLevelType w:val="hybridMultilevel"/>
    <w:tmpl w:val="4644F44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6" w15:restartNumberingAfterBreak="0">
    <w:nsid w:val="586E29D7"/>
    <w:multiLevelType w:val="hybridMultilevel"/>
    <w:tmpl w:val="FFFFFFFF"/>
    <w:lvl w:ilvl="0" w:tplc="66703AD0">
      <w:start w:val="1"/>
      <w:numFmt w:val="bullet"/>
      <w:lvlText w:val="-"/>
      <w:lvlJc w:val="left"/>
      <w:pPr>
        <w:ind w:left="644" w:hanging="360"/>
      </w:pPr>
      <w:rPr>
        <w:rFonts w:ascii="Aptos" w:hAnsi="Aptos" w:hint="default"/>
      </w:rPr>
    </w:lvl>
    <w:lvl w:ilvl="1" w:tplc="C754826E">
      <w:start w:val="1"/>
      <w:numFmt w:val="bullet"/>
      <w:lvlText w:val="o"/>
      <w:lvlJc w:val="left"/>
      <w:pPr>
        <w:ind w:left="1364" w:hanging="360"/>
      </w:pPr>
      <w:rPr>
        <w:rFonts w:ascii="Courier New" w:hAnsi="Courier New" w:hint="default"/>
      </w:rPr>
    </w:lvl>
    <w:lvl w:ilvl="2" w:tplc="1E04FCFA">
      <w:start w:val="1"/>
      <w:numFmt w:val="bullet"/>
      <w:lvlText w:val=""/>
      <w:lvlJc w:val="left"/>
      <w:pPr>
        <w:ind w:left="2084" w:hanging="360"/>
      </w:pPr>
      <w:rPr>
        <w:rFonts w:ascii="Wingdings" w:hAnsi="Wingdings" w:hint="default"/>
      </w:rPr>
    </w:lvl>
    <w:lvl w:ilvl="3" w:tplc="C826F6D4">
      <w:start w:val="1"/>
      <w:numFmt w:val="bullet"/>
      <w:lvlText w:val=""/>
      <w:lvlJc w:val="left"/>
      <w:pPr>
        <w:ind w:left="2804" w:hanging="360"/>
      </w:pPr>
      <w:rPr>
        <w:rFonts w:ascii="Symbol" w:hAnsi="Symbol" w:hint="default"/>
      </w:rPr>
    </w:lvl>
    <w:lvl w:ilvl="4" w:tplc="B914EC26">
      <w:start w:val="1"/>
      <w:numFmt w:val="bullet"/>
      <w:lvlText w:val="o"/>
      <w:lvlJc w:val="left"/>
      <w:pPr>
        <w:ind w:left="3524" w:hanging="360"/>
      </w:pPr>
      <w:rPr>
        <w:rFonts w:ascii="Courier New" w:hAnsi="Courier New" w:hint="default"/>
      </w:rPr>
    </w:lvl>
    <w:lvl w:ilvl="5" w:tplc="10B8E05A">
      <w:start w:val="1"/>
      <w:numFmt w:val="bullet"/>
      <w:lvlText w:val=""/>
      <w:lvlJc w:val="left"/>
      <w:pPr>
        <w:ind w:left="4244" w:hanging="360"/>
      </w:pPr>
      <w:rPr>
        <w:rFonts w:ascii="Wingdings" w:hAnsi="Wingdings" w:hint="default"/>
      </w:rPr>
    </w:lvl>
    <w:lvl w:ilvl="6" w:tplc="5D283E4C">
      <w:start w:val="1"/>
      <w:numFmt w:val="bullet"/>
      <w:lvlText w:val=""/>
      <w:lvlJc w:val="left"/>
      <w:pPr>
        <w:ind w:left="4964" w:hanging="360"/>
      </w:pPr>
      <w:rPr>
        <w:rFonts w:ascii="Symbol" w:hAnsi="Symbol" w:hint="default"/>
      </w:rPr>
    </w:lvl>
    <w:lvl w:ilvl="7" w:tplc="33AE24BA">
      <w:start w:val="1"/>
      <w:numFmt w:val="bullet"/>
      <w:lvlText w:val="o"/>
      <w:lvlJc w:val="left"/>
      <w:pPr>
        <w:ind w:left="5684" w:hanging="360"/>
      </w:pPr>
      <w:rPr>
        <w:rFonts w:ascii="Courier New" w:hAnsi="Courier New" w:hint="default"/>
      </w:rPr>
    </w:lvl>
    <w:lvl w:ilvl="8" w:tplc="5EFA0F18">
      <w:start w:val="1"/>
      <w:numFmt w:val="bullet"/>
      <w:lvlText w:val=""/>
      <w:lvlJc w:val="left"/>
      <w:pPr>
        <w:ind w:left="6404" w:hanging="360"/>
      </w:pPr>
      <w:rPr>
        <w:rFonts w:ascii="Wingdings" w:hAnsi="Wingdings" w:hint="default"/>
      </w:rPr>
    </w:lvl>
  </w:abstractNum>
  <w:abstractNum w:abstractNumId="17" w15:restartNumberingAfterBreak="0">
    <w:nsid w:val="5E5D549B"/>
    <w:multiLevelType w:val="hybridMultilevel"/>
    <w:tmpl w:val="006EE4AA"/>
    <w:lvl w:ilvl="0" w:tplc="F86E1DFA">
      <w:start w:val="1"/>
      <w:numFmt w:val="upperLetter"/>
      <w:pStyle w:val="Heading1"/>
      <w:lvlText w:val="%1."/>
      <w:lvlJc w:val="left"/>
      <w:pPr>
        <w:ind w:left="360" w:hanging="360"/>
      </w:pPr>
      <w:rPr>
        <w:rFonts w:hint="default"/>
        <w:b/>
        <w:bCs/>
        <w:color w:val="0070C0"/>
        <w:sz w:val="28"/>
        <w:szCs w:val="28"/>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6AFA4432"/>
    <w:multiLevelType w:val="hybridMultilevel"/>
    <w:tmpl w:val="C5721E4A"/>
    <w:lvl w:ilvl="0" w:tplc="C234E702">
      <w:start w:val="1"/>
      <w:numFmt w:val="bullet"/>
      <w:lvlText w:val="•"/>
      <w:lvlJc w:val="left"/>
      <w:pPr>
        <w:ind w:left="1004" w:hanging="360"/>
      </w:pPr>
    </w:lvl>
    <w:lvl w:ilvl="1" w:tplc="08090003" w:tentative="1">
      <w:start w:val="1"/>
      <w:numFmt w:val="bullet"/>
      <w:lvlText w:val="o"/>
      <w:lvlJc w:val="left"/>
      <w:pPr>
        <w:ind w:left="1724" w:hanging="360"/>
      </w:pPr>
      <w:rPr>
        <w:rFonts w:ascii="Courier New" w:hAnsi="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9" w15:restartNumberingAfterBreak="0">
    <w:nsid w:val="78FC4703"/>
    <w:multiLevelType w:val="hybridMultilevel"/>
    <w:tmpl w:val="FFFFFFFF"/>
    <w:lvl w:ilvl="0" w:tplc="C64CF5CC">
      <w:start w:val="1"/>
      <w:numFmt w:val="bullet"/>
      <w:lvlText w:val="-"/>
      <w:lvlJc w:val="left"/>
      <w:pPr>
        <w:ind w:left="644" w:hanging="360"/>
      </w:pPr>
      <w:rPr>
        <w:rFonts w:ascii="Aptos" w:hAnsi="Aptos" w:hint="default"/>
      </w:rPr>
    </w:lvl>
    <w:lvl w:ilvl="1" w:tplc="3D9ABF56">
      <w:start w:val="1"/>
      <w:numFmt w:val="bullet"/>
      <w:lvlText w:val="o"/>
      <w:lvlJc w:val="left"/>
      <w:pPr>
        <w:ind w:left="1364" w:hanging="360"/>
      </w:pPr>
      <w:rPr>
        <w:rFonts w:ascii="Courier New" w:hAnsi="Courier New" w:hint="default"/>
      </w:rPr>
    </w:lvl>
    <w:lvl w:ilvl="2" w:tplc="FA74FE6C">
      <w:start w:val="1"/>
      <w:numFmt w:val="bullet"/>
      <w:lvlText w:val=""/>
      <w:lvlJc w:val="left"/>
      <w:pPr>
        <w:ind w:left="2084" w:hanging="360"/>
      </w:pPr>
      <w:rPr>
        <w:rFonts w:ascii="Wingdings" w:hAnsi="Wingdings" w:hint="default"/>
      </w:rPr>
    </w:lvl>
    <w:lvl w:ilvl="3" w:tplc="15D276DC">
      <w:start w:val="1"/>
      <w:numFmt w:val="bullet"/>
      <w:lvlText w:val=""/>
      <w:lvlJc w:val="left"/>
      <w:pPr>
        <w:ind w:left="2804" w:hanging="360"/>
      </w:pPr>
      <w:rPr>
        <w:rFonts w:ascii="Symbol" w:hAnsi="Symbol" w:hint="default"/>
      </w:rPr>
    </w:lvl>
    <w:lvl w:ilvl="4" w:tplc="64F0D84E">
      <w:start w:val="1"/>
      <w:numFmt w:val="bullet"/>
      <w:lvlText w:val="o"/>
      <w:lvlJc w:val="left"/>
      <w:pPr>
        <w:ind w:left="3524" w:hanging="360"/>
      </w:pPr>
      <w:rPr>
        <w:rFonts w:ascii="Courier New" w:hAnsi="Courier New" w:hint="default"/>
      </w:rPr>
    </w:lvl>
    <w:lvl w:ilvl="5" w:tplc="A970A060">
      <w:start w:val="1"/>
      <w:numFmt w:val="bullet"/>
      <w:lvlText w:val=""/>
      <w:lvlJc w:val="left"/>
      <w:pPr>
        <w:ind w:left="4244" w:hanging="360"/>
      </w:pPr>
      <w:rPr>
        <w:rFonts w:ascii="Wingdings" w:hAnsi="Wingdings" w:hint="default"/>
      </w:rPr>
    </w:lvl>
    <w:lvl w:ilvl="6" w:tplc="1E46D254">
      <w:start w:val="1"/>
      <w:numFmt w:val="bullet"/>
      <w:lvlText w:val=""/>
      <w:lvlJc w:val="left"/>
      <w:pPr>
        <w:ind w:left="4964" w:hanging="360"/>
      </w:pPr>
      <w:rPr>
        <w:rFonts w:ascii="Symbol" w:hAnsi="Symbol" w:hint="default"/>
      </w:rPr>
    </w:lvl>
    <w:lvl w:ilvl="7" w:tplc="730C06A6">
      <w:start w:val="1"/>
      <w:numFmt w:val="bullet"/>
      <w:lvlText w:val="o"/>
      <w:lvlJc w:val="left"/>
      <w:pPr>
        <w:ind w:left="5684" w:hanging="360"/>
      </w:pPr>
      <w:rPr>
        <w:rFonts w:ascii="Courier New" w:hAnsi="Courier New" w:hint="default"/>
      </w:rPr>
    </w:lvl>
    <w:lvl w:ilvl="8" w:tplc="867003A4">
      <w:start w:val="1"/>
      <w:numFmt w:val="bullet"/>
      <w:lvlText w:val=""/>
      <w:lvlJc w:val="left"/>
      <w:pPr>
        <w:ind w:left="6404" w:hanging="360"/>
      </w:pPr>
      <w:rPr>
        <w:rFonts w:ascii="Wingdings" w:hAnsi="Wingdings" w:hint="default"/>
      </w:rPr>
    </w:lvl>
  </w:abstractNum>
  <w:num w:numId="1" w16cid:durableId="1251278987">
    <w:abstractNumId w:val="9"/>
  </w:num>
  <w:num w:numId="2" w16cid:durableId="2117938882">
    <w:abstractNumId w:val="8"/>
  </w:num>
  <w:num w:numId="3" w16cid:durableId="1045567437">
    <w:abstractNumId w:val="0"/>
  </w:num>
  <w:num w:numId="4" w16cid:durableId="555511815">
    <w:abstractNumId w:val="13"/>
  </w:num>
  <w:num w:numId="5" w16cid:durableId="1388726157">
    <w:abstractNumId w:val="11"/>
  </w:num>
  <w:num w:numId="6" w16cid:durableId="393819089">
    <w:abstractNumId w:val="17"/>
  </w:num>
  <w:num w:numId="7" w16cid:durableId="1003044412">
    <w:abstractNumId w:val="3"/>
  </w:num>
  <w:num w:numId="8" w16cid:durableId="494761767">
    <w:abstractNumId w:val="3"/>
  </w:num>
  <w:num w:numId="9" w16cid:durableId="1367220458">
    <w:abstractNumId w:val="18"/>
  </w:num>
  <w:num w:numId="10" w16cid:durableId="1941526882">
    <w:abstractNumId w:val="3"/>
  </w:num>
  <w:num w:numId="11" w16cid:durableId="987906463">
    <w:abstractNumId w:val="3"/>
  </w:num>
  <w:num w:numId="12" w16cid:durableId="460271146">
    <w:abstractNumId w:val="6"/>
  </w:num>
  <w:num w:numId="13" w16cid:durableId="1025638904">
    <w:abstractNumId w:val="10"/>
  </w:num>
  <w:num w:numId="14" w16cid:durableId="1933737719">
    <w:abstractNumId w:val="5"/>
  </w:num>
  <w:num w:numId="15" w16cid:durableId="332341917">
    <w:abstractNumId w:val="16"/>
  </w:num>
  <w:num w:numId="16" w16cid:durableId="652947907">
    <w:abstractNumId w:val="2"/>
  </w:num>
  <w:num w:numId="17" w16cid:durableId="1061054871">
    <w:abstractNumId w:val="4"/>
  </w:num>
  <w:num w:numId="18" w16cid:durableId="536162940">
    <w:abstractNumId w:val="12"/>
  </w:num>
  <w:num w:numId="19" w16cid:durableId="992877692">
    <w:abstractNumId w:val="19"/>
  </w:num>
  <w:num w:numId="20" w16cid:durableId="758454400">
    <w:abstractNumId w:val="7"/>
  </w:num>
  <w:num w:numId="21" w16cid:durableId="1443718870">
    <w:abstractNumId w:val="14"/>
  </w:num>
  <w:num w:numId="22" w16cid:durableId="1629705900">
    <w:abstractNumId w:val="1"/>
  </w:num>
  <w:num w:numId="23" w16cid:durableId="1559826054">
    <w:abstractNumId w:val="15"/>
  </w:num>
  <w:num w:numId="24" w16cid:durableId="31819616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6EA0"/>
    <w:rsid w:val="00015FB7"/>
    <w:rsid w:val="00017A52"/>
    <w:rsid w:val="00025877"/>
    <w:rsid w:val="00031311"/>
    <w:rsid w:val="00035529"/>
    <w:rsid w:val="00053DC2"/>
    <w:rsid w:val="00055343"/>
    <w:rsid w:val="00057344"/>
    <w:rsid w:val="000633DA"/>
    <w:rsid w:val="0008256C"/>
    <w:rsid w:val="0008628C"/>
    <w:rsid w:val="000A286D"/>
    <w:rsid w:val="000D4E4B"/>
    <w:rsid w:val="000D7EC5"/>
    <w:rsid w:val="000F19ED"/>
    <w:rsid w:val="000F5656"/>
    <w:rsid w:val="00101CEA"/>
    <w:rsid w:val="00120429"/>
    <w:rsid w:val="00125E53"/>
    <w:rsid w:val="00126B4B"/>
    <w:rsid w:val="001370BA"/>
    <w:rsid w:val="00137234"/>
    <w:rsid w:val="00137CD5"/>
    <w:rsid w:val="00141600"/>
    <w:rsid w:val="001537A3"/>
    <w:rsid w:val="0015CE4A"/>
    <w:rsid w:val="0017210B"/>
    <w:rsid w:val="00187EF7"/>
    <w:rsid w:val="00187FC3"/>
    <w:rsid w:val="0019121E"/>
    <w:rsid w:val="001B1134"/>
    <w:rsid w:val="001C21AF"/>
    <w:rsid w:val="001E794C"/>
    <w:rsid w:val="001F5242"/>
    <w:rsid w:val="001F60FF"/>
    <w:rsid w:val="0021529B"/>
    <w:rsid w:val="002314D3"/>
    <w:rsid w:val="00234F88"/>
    <w:rsid w:val="00245650"/>
    <w:rsid w:val="002821C4"/>
    <w:rsid w:val="00292A0D"/>
    <w:rsid w:val="002931C3"/>
    <w:rsid w:val="002B358F"/>
    <w:rsid w:val="002C77CF"/>
    <w:rsid w:val="002D282F"/>
    <w:rsid w:val="002D3334"/>
    <w:rsid w:val="0032453A"/>
    <w:rsid w:val="00333CC9"/>
    <w:rsid w:val="00335686"/>
    <w:rsid w:val="00357797"/>
    <w:rsid w:val="00360FB9"/>
    <w:rsid w:val="0036325D"/>
    <w:rsid w:val="00381778"/>
    <w:rsid w:val="0039161F"/>
    <w:rsid w:val="00394EE2"/>
    <w:rsid w:val="003B4E81"/>
    <w:rsid w:val="003C71BC"/>
    <w:rsid w:val="003D3C74"/>
    <w:rsid w:val="003E4BAC"/>
    <w:rsid w:val="003E6D4D"/>
    <w:rsid w:val="0040343E"/>
    <w:rsid w:val="004140AD"/>
    <w:rsid w:val="004633C9"/>
    <w:rsid w:val="004657AB"/>
    <w:rsid w:val="004A230A"/>
    <w:rsid w:val="004A3E38"/>
    <w:rsid w:val="004A42F7"/>
    <w:rsid w:val="004C0234"/>
    <w:rsid w:val="004E662F"/>
    <w:rsid w:val="004F69BD"/>
    <w:rsid w:val="00506347"/>
    <w:rsid w:val="00510DDB"/>
    <w:rsid w:val="005172FE"/>
    <w:rsid w:val="00540B18"/>
    <w:rsid w:val="00580240"/>
    <w:rsid w:val="00586152"/>
    <w:rsid w:val="0059233B"/>
    <w:rsid w:val="00596D39"/>
    <w:rsid w:val="005A62B1"/>
    <w:rsid w:val="005B1BA2"/>
    <w:rsid w:val="005B1F93"/>
    <w:rsid w:val="005B35E9"/>
    <w:rsid w:val="005D3DAE"/>
    <w:rsid w:val="005E3266"/>
    <w:rsid w:val="005E4AC1"/>
    <w:rsid w:val="0062526B"/>
    <w:rsid w:val="00626671"/>
    <w:rsid w:val="006315A3"/>
    <w:rsid w:val="00645FA4"/>
    <w:rsid w:val="00656D6E"/>
    <w:rsid w:val="0065707E"/>
    <w:rsid w:val="00681C00"/>
    <w:rsid w:val="0068304A"/>
    <w:rsid w:val="006902F9"/>
    <w:rsid w:val="006908EE"/>
    <w:rsid w:val="006A1DE3"/>
    <w:rsid w:val="006A63C3"/>
    <w:rsid w:val="006A750A"/>
    <w:rsid w:val="006B1163"/>
    <w:rsid w:val="006B4683"/>
    <w:rsid w:val="006D36AE"/>
    <w:rsid w:val="006D6857"/>
    <w:rsid w:val="006F215C"/>
    <w:rsid w:val="00701988"/>
    <w:rsid w:val="007107B6"/>
    <w:rsid w:val="00714E33"/>
    <w:rsid w:val="007259E0"/>
    <w:rsid w:val="00733637"/>
    <w:rsid w:val="0073646B"/>
    <w:rsid w:val="0074536A"/>
    <w:rsid w:val="0074691B"/>
    <w:rsid w:val="00757D90"/>
    <w:rsid w:val="00761A5D"/>
    <w:rsid w:val="007C532F"/>
    <w:rsid w:val="007E33F0"/>
    <w:rsid w:val="007F0C90"/>
    <w:rsid w:val="007F0ED4"/>
    <w:rsid w:val="007F2300"/>
    <w:rsid w:val="00823DD7"/>
    <w:rsid w:val="00851619"/>
    <w:rsid w:val="00862A66"/>
    <w:rsid w:val="0088190A"/>
    <w:rsid w:val="00894D5D"/>
    <w:rsid w:val="0089528F"/>
    <w:rsid w:val="008A487E"/>
    <w:rsid w:val="008B494D"/>
    <w:rsid w:val="008B5829"/>
    <w:rsid w:val="008B62D6"/>
    <w:rsid w:val="008C52F2"/>
    <w:rsid w:val="008C7AAE"/>
    <w:rsid w:val="009026ED"/>
    <w:rsid w:val="00914507"/>
    <w:rsid w:val="00916B5F"/>
    <w:rsid w:val="009239B3"/>
    <w:rsid w:val="00951C57"/>
    <w:rsid w:val="009535C3"/>
    <w:rsid w:val="00956ED6"/>
    <w:rsid w:val="00960F8C"/>
    <w:rsid w:val="00972E7E"/>
    <w:rsid w:val="00977FCC"/>
    <w:rsid w:val="00982EC6"/>
    <w:rsid w:val="00997B02"/>
    <w:rsid w:val="009A3DA3"/>
    <w:rsid w:val="009B0CC6"/>
    <w:rsid w:val="009B5103"/>
    <w:rsid w:val="009B7BDE"/>
    <w:rsid w:val="009C6B2C"/>
    <w:rsid w:val="009C7457"/>
    <w:rsid w:val="009C7E17"/>
    <w:rsid w:val="009D49D3"/>
    <w:rsid w:val="009E037D"/>
    <w:rsid w:val="00A25C74"/>
    <w:rsid w:val="00A31BA8"/>
    <w:rsid w:val="00A351C6"/>
    <w:rsid w:val="00A413E5"/>
    <w:rsid w:val="00A41F1F"/>
    <w:rsid w:val="00A44976"/>
    <w:rsid w:val="00A5114A"/>
    <w:rsid w:val="00A7375D"/>
    <w:rsid w:val="00A73E4B"/>
    <w:rsid w:val="00A963A8"/>
    <w:rsid w:val="00AB5975"/>
    <w:rsid w:val="00AC31D8"/>
    <w:rsid w:val="00AF2912"/>
    <w:rsid w:val="00B07CF6"/>
    <w:rsid w:val="00B25739"/>
    <w:rsid w:val="00B571E8"/>
    <w:rsid w:val="00B70219"/>
    <w:rsid w:val="00B81C0A"/>
    <w:rsid w:val="00B82054"/>
    <w:rsid w:val="00B96BE4"/>
    <w:rsid w:val="00BA0D42"/>
    <w:rsid w:val="00BA37F3"/>
    <w:rsid w:val="00BA6D43"/>
    <w:rsid w:val="00BB2554"/>
    <w:rsid w:val="00BB5AE0"/>
    <w:rsid w:val="00BB6A0D"/>
    <w:rsid w:val="00BB7EB2"/>
    <w:rsid w:val="00BE1695"/>
    <w:rsid w:val="00BE275F"/>
    <w:rsid w:val="00BE6C28"/>
    <w:rsid w:val="00BF195D"/>
    <w:rsid w:val="00BF418E"/>
    <w:rsid w:val="00BF545D"/>
    <w:rsid w:val="00C17088"/>
    <w:rsid w:val="00C2172E"/>
    <w:rsid w:val="00C3083E"/>
    <w:rsid w:val="00C311E3"/>
    <w:rsid w:val="00C35365"/>
    <w:rsid w:val="00C473DB"/>
    <w:rsid w:val="00C56EA0"/>
    <w:rsid w:val="00C621DF"/>
    <w:rsid w:val="00C70646"/>
    <w:rsid w:val="00C70A6F"/>
    <w:rsid w:val="00C862E5"/>
    <w:rsid w:val="00C86738"/>
    <w:rsid w:val="00C8798E"/>
    <w:rsid w:val="00CA09E7"/>
    <w:rsid w:val="00CA32A9"/>
    <w:rsid w:val="00CA3599"/>
    <w:rsid w:val="00CB1309"/>
    <w:rsid w:val="00CD4333"/>
    <w:rsid w:val="00CE1758"/>
    <w:rsid w:val="00CF1F21"/>
    <w:rsid w:val="00D14422"/>
    <w:rsid w:val="00D32A29"/>
    <w:rsid w:val="00D34989"/>
    <w:rsid w:val="00D43C5F"/>
    <w:rsid w:val="00D61447"/>
    <w:rsid w:val="00D8386B"/>
    <w:rsid w:val="00D906FE"/>
    <w:rsid w:val="00D94838"/>
    <w:rsid w:val="00DA7E8F"/>
    <w:rsid w:val="00DB415B"/>
    <w:rsid w:val="00DB547A"/>
    <w:rsid w:val="00DB5F1C"/>
    <w:rsid w:val="00DC4838"/>
    <w:rsid w:val="00DD0FA1"/>
    <w:rsid w:val="00DD4BC6"/>
    <w:rsid w:val="00DF670E"/>
    <w:rsid w:val="00E00BC0"/>
    <w:rsid w:val="00E01218"/>
    <w:rsid w:val="00E17205"/>
    <w:rsid w:val="00E22C4D"/>
    <w:rsid w:val="00E3107B"/>
    <w:rsid w:val="00E32791"/>
    <w:rsid w:val="00E3425A"/>
    <w:rsid w:val="00E41B45"/>
    <w:rsid w:val="00E4460F"/>
    <w:rsid w:val="00E44F35"/>
    <w:rsid w:val="00E53D27"/>
    <w:rsid w:val="00E562BD"/>
    <w:rsid w:val="00E642B0"/>
    <w:rsid w:val="00E6682F"/>
    <w:rsid w:val="00E72CDA"/>
    <w:rsid w:val="00E857BD"/>
    <w:rsid w:val="00E91D31"/>
    <w:rsid w:val="00E94A9C"/>
    <w:rsid w:val="00E961CF"/>
    <w:rsid w:val="00EA0A46"/>
    <w:rsid w:val="00EE3D83"/>
    <w:rsid w:val="00F024EB"/>
    <w:rsid w:val="00F44F1B"/>
    <w:rsid w:val="00F55A37"/>
    <w:rsid w:val="00F70F90"/>
    <w:rsid w:val="00F72D86"/>
    <w:rsid w:val="00F822FE"/>
    <w:rsid w:val="00F83125"/>
    <w:rsid w:val="00F9022F"/>
    <w:rsid w:val="00F91F2A"/>
    <w:rsid w:val="00FA4364"/>
    <w:rsid w:val="00FA482F"/>
    <w:rsid w:val="00FB5E25"/>
    <w:rsid w:val="00FB7D64"/>
    <w:rsid w:val="00FC020D"/>
    <w:rsid w:val="00FD742A"/>
    <w:rsid w:val="00FE47C8"/>
    <w:rsid w:val="016BF7CD"/>
    <w:rsid w:val="026EF627"/>
    <w:rsid w:val="03101198"/>
    <w:rsid w:val="035F6704"/>
    <w:rsid w:val="03F5C1C5"/>
    <w:rsid w:val="0446A686"/>
    <w:rsid w:val="04EB59C9"/>
    <w:rsid w:val="05260994"/>
    <w:rsid w:val="055B784A"/>
    <w:rsid w:val="066B3768"/>
    <w:rsid w:val="06E1E1BB"/>
    <w:rsid w:val="07EEC2A5"/>
    <w:rsid w:val="08463193"/>
    <w:rsid w:val="084FB8B6"/>
    <w:rsid w:val="08F0DF1E"/>
    <w:rsid w:val="091BC170"/>
    <w:rsid w:val="0A1697FC"/>
    <w:rsid w:val="0A98A0C7"/>
    <w:rsid w:val="0B78D462"/>
    <w:rsid w:val="0C5F1431"/>
    <w:rsid w:val="0F1A0ABF"/>
    <w:rsid w:val="10E1B945"/>
    <w:rsid w:val="14B3ECF0"/>
    <w:rsid w:val="15213FB1"/>
    <w:rsid w:val="1532A8CC"/>
    <w:rsid w:val="176E9BF1"/>
    <w:rsid w:val="17BF6707"/>
    <w:rsid w:val="181CD0CC"/>
    <w:rsid w:val="19DB00EC"/>
    <w:rsid w:val="1B6C225E"/>
    <w:rsid w:val="1C5D082E"/>
    <w:rsid w:val="1CD8A4B2"/>
    <w:rsid w:val="1D8969A6"/>
    <w:rsid w:val="1DF6B85B"/>
    <w:rsid w:val="1E38D7B3"/>
    <w:rsid w:val="1E45F056"/>
    <w:rsid w:val="1F490D0B"/>
    <w:rsid w:val="1F9C348A"/>
    <w:rsid w:val="205E2B08"/>
    <w:rsid w:val="2113A280"/>
    <w:rsid w:val="226DFFB0"/>
    <w:rsid w:val="22E2C5F9"/>
    <w:rsid w:val="23D9685F"/>
    <w:rsid w:val="24107D75"/>
    <w:rsid w:val="24903CF4"/>
    <w:rsid w:val="2498750B"/>
    <w:rsid w:val="24BCD039"/>
    <w:rsid w:val="27F61790"/>
    <w:rsid w:val="280071C6"/>
    <w:rsid w:val="28F761D6"/>
    <w:rsid w:val="29B35E5F"/>
    <w:rsid w:val="2BB64CB2"/>
    <w:rsid w:val="2DCD6419"/>
    <w:rsid w:val="2F3A58F4"/>
    <w:rsid w:val="30082D8B"/>
    <w:rsid w:val="301BE178"/>
    <w:rsid w:val="301F5367"/>
    <w:rsid w:val="30ACDD90"/>
    <w:rsid w:val="30EC98A9"/>
    <w:rsid w:val="313FA840"/>
    <w:rsid w:val="32E81FEB"/>
    <w:rsid w:val="3364BD13"/>
    <w:rsid w:val="339BEACC"/>
    <w:rsid w:val="339CC518"/>
    <w:rsid w:val="365838D8"/>
    <w:rsid w:val="37DE6BA8"/>
    <w:rsid w:val="37E1B919"/>
    <w:rsid w:val="3A75311D"/>
    <w:rsid w:val="3B0633A7"/>
    <w:rsid w:val="3B6B2EA9"/>
    <w:rsid w:val="3DFF9259"/>
    <w:rsid w:val="3F2775B6"/>
    <w:rsid w:val="3FF4203F"/>
    <w:rsid w:val="402131AE"/>
    <w:rsid w:val="41814BA1"/>
    <w:rsid w:val="42E36BDB"/>
    <w:rsid w:val="437A5B86"/>
    <w:rsid w:val="43A64802"/>
    <w:rsid w:val="441065BE"/>
    <w:rsid w:val="445AB02B"/>
    <w:rsid w:val="4591BC58"/>
    <w:rsid w:val="49521DBA"/>
    <w:rsid w:val="4A84D9B0"/>
    <w:rsid w:val="4BA0C406"/>
    <w:rsid w:val="4CB49952"/>
    <w:rsid w:val="4CDC008F"/>
    <w:rsid w:val="4F0483F2"/>
    <w:rsid w:val="4F61BC4A"/>
    <w:rsid w:val="4FD3BE37"/>
    <w:rsid w:val="4FE987CB"/>
    <w:rsid w:val="54D8292A"/>
    <w:rsid w:val="5534BACA"/>
    <w:rsid w:val="55E41116"/>
    <w:rsid w:val="5632E3CB"/>
    <w:rsid w:val="57EE97EC"/>
    <w:rsid w:val="58969E90"/>
    <w:rsid w:val="58E6F40A"/>
    <w:rsid w:val="58EAC91A"/>
    <w:rsid w:val="59A5C8AF"/>
    <w:rsid w:val="5AB526DD"/>
    <w:rsid w:val="5C6D2770"/>
    <w:rsid w:val="5CBA90A5"/>
    <w:rsid w:val="5DD4EF34"/>
    <w:rsid w:val="5F2F61A5"/>
    <w:rsid w:val="612BDE2A"/>
    <w:rsid w:val="61B20991"/>
    <w:rsid w:val="62549E06"/>
    <w:rsid w:val="63ACA0AA"/>
    <w:rsid w:val="644866F1"/>
    <w:rsid w:val="64CFC220"/>
    <w:rsid w:val="664C0659"/>
    <w:rsid w:val="66D2DCD5"/>
    <w:rsid w:val="6701E4FA"/>
    <w:rsid w:val="68547A00"/>
    <w:rsid w:val="6B0FF173"/>
    <w:rsid w:val="6E11888A"/>
    <w:rsid w:val="6E655E74"/>
    <w:rsid w:val="6F3FE9BA"/>
    <w:rsid w:val="6FA65A02"/>
    <w:rsid w:val="7167E629"/>
    <w:rsid w:val="723ACE3D"/>
    <w:rsid w:val="728914C8"/>
    <w:rsid w:val="7359E2C2"/>
    <w:rsid w:val="73CDCF84"/>
    <w:rsid w:val="747D5432"/>
    <w:rsid w:val="7489E45D"/>
    <w:rsid w:val="752031B5"/>
    <w:rsid w:val="7585BC24"/>
    <w:rsid w:val="77CD3642"/>
    <w:rsid w:val="788E9FC7"/>
    <w:rsid w:val="78E628D5"/>
    <w:rsid w:val="7AE626F4"/>
    <w:rsid w:val="7BF71587"/>
    <w:rsid w:val="7CB4A29F"/>
    <w:rsid w:val="7CBA5F29"/>
    <w:rsid w:val="7D541754"/>
    <w:rsid w:val="7F6AFAC5"/>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0112B"/>
  <w15:chartTrackingRefBased/>
  <w15:docId w15:val="{648FD0D6-7B1A-4E49-845E-9041CD008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343E"/>
    <w:pPr>
      <w:spacing w:after="240"/>
      <w:ind w:left="284"/>
      <w:contextualSpacing/>
    </w:pPr>
    <w:rPr>
      <w:lang w:val="en-GB"/>
    </w:rPr>
  </w:style>
  <w:style w:type="paragraph" w:styleId="Heading1">
    <w:name w:val="heading 1"/>
    <w:basedOn w:val="ListParagraph"/>
    <w:next w:val="Normal"/>
    <w:link w:val="Heading1Char"/>
    <w:uiPriority w:val="9"/>
    <w:qFormat/>
    <w:rsid w:val="000A286D"/>
    <w:pPr>
      <w:numPr>
        <w:numId w:val="6"/>
      </w:numPr>
      <w:spacing w:before="480"/>
      <w:ind w:left="357" w:hanging="357"/>
      <w:outlineLvl w:val="0"/>
    </w:pPr>
    <w:rPr>
      <w:b/>
      <w:bCs/>
      <w:color w:val="0070C0"/>
      <w:sz w:val="28"/>
      <w:szCs w:val="28"/>
    </w:rPr>
  </w:style>
  <w:style w:type="paragraph" w:styleId="Heading2">
    <w:name w:val="heading 2"/>
    <w:basedOn w:val="ListParagraph"/>
    <w:next w:val="Normal"/>
    <w:link w:val="Heading2Char"/>
    <w:uiPriority w:val="9"/>
    <w:unhideWhenUsed/>
    <w:qFormat/>
    <w:rsid w:val="0040343E"/>
    <w:pPr>
      <w:numPr>
        <w:numId w:val="7"/>
      </w:numPr>
      <w:spacing w:after="0"/>
      <w:outlineLvl w:val="1"/>
    </w:pPr>
    <w:rPr>
      <w:b/>
      <w:bCs/>
    </w:rPr>
  </w:style>
  <w:style w:type="paragraph" w:styleId="Heading3">
    <w:name w:val="heading 3"/>
    <w:basedOn w:val="Normal"/>
    <w:next w:val="Normal"/>
    <w:link w:val="Heading3Char"/>
    <w:uiPriority w:val="9"/>
    <w:semiHidden/>
    <w:unhideWhenUsed/>
    <w:qFormat/>
    <w:rsid w:val="00C56EA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56EA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56EA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56EA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56EA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56EA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56EA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A286D"/>
    <w:rPr>
      <w:b/>
      <w:bCs/>
      <w:color w:val="0070C0"/>
      <w:sz w:val="28"/>
      <w:szCs w:val="28"/>
      <w:lang w:val="en-GB"/>
    </w:rPr>
  </w:style>
  <w:style w:type="character" w:customStyle="1" w:styleId="Heading2Char">
    <w:name w:val="Heading 2 Char"/>
    <w:basedOn w:val="DefaultParagraphFont"/>
    <w:link w:val="Heading2"/>
    <w:uiPriority w:val="9"/>
    <w:rsid w:val="0040343E"/>
    <w:rPr>
      <w:b/>
      <w:bCs/>
      <w:lang w:val="en-GB"/>
    </w:rPr>
  </w:style>
  <w:style w:type="character" w:customStyle="1" w:styleId="Heading3Char">
    <w:name w:val="Heading 3 Char"/>
    <w:basedOn w:val="DefaultParagraphFont"/>
    <w:link w:val="Heading3"/>
    <w:uiPriority w:val="9"/>
    <w:semiHidden/>
    <w:rsid w:val="00C56EA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56EA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56EA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56EA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56EA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56EA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56EA0"/>
    <w:rPr>
      <w:rFonts w:eastAsiaTheme="majorEastAsia" w:cstheme="majorBidi"/>
      <w:color w:val="272727" w:themeColor="text1" w:themeTint="D8"/>
    </w:rPr>
  </w:style>
  <w:style w:type="paragraph" w:styleId="Title">
    <w:name w:val="Title"/>
    <w:basedOn w:val="Normal"/>
    <w:next w:val="Normal"/>
    <w:link w:val="TitleChar"/>
    <w:uiPriority w:val="10"/>
    <w:qFormat/>
    <w:rsid w:val="00C56EA0"/>
    <w:pPr>
      <w:spacing w:after="80" w:line="240" w:lineRule="auto"/>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56EA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56EA0"/>
    <w:pPr>
      <w:numPr>
        <w:ilvl w:val="1"/>
      </w:numPr>
      <w:ind w:left="284"/>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56EA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56EA0"/>
    <w:pPr>
      <w:spacing w:before="160"/>
      <w:jc w:val="center"/>
    </w:pPr>
    <w:rPr>
      <w:i/>
      <w:iCs/>
      <w:color w:val="404040" w:themeColor="text1" w:themeTint="BF"/>
    </w:rPr>
  </w:style>
  <w:style w:type="character" w:customStyle="1" w:styleId="QuoteChar">
    <w:name w:val="Quote Char"/>
    <w:basedOn w:val="DefaultParagraphFont"/>
    <w:link w:val="Quote"/>
    <w:uiPriority w:val="29"/>
    <w:rsid w:val="00C56EA0"/>
    <w:rPr>
      <w:i/>
      <w:iCs/>
      <w:color w:val="404040" w:themeColor="text1" w:themeTint="BF"/>
    </w:rPr>
  </w:style>
  <w:style w:type="paragraph" w:styleId="ListParagraph">
    <w:name w:val="List Paragraph"/>
    <w:basedOn w:val="Normal"/>
    <w:uiPriority w:val="34"/>
    <w:qFormat/>
    <w:rsid w:val="00C56EA0"/>
    <w:pPr>
      <w:ind w:left="720"/>
    </w:pPr>
  </w:style>
  <w:style w:type="character" w:styleId="IntenseEmphasis">
    <w:name w:val="Intense Emphasis"/>
    <w:basedOn w:val="DefaultParagraphFont"/>
    <w:uiPriority w:val="21"/>
    <w:qFormat/>
    <w:rsid w:val="00C56EA0"/>
    <w:rPr>
      <w:i/>
      <w:iCs/>
      <w:color w:val="0F4761" w:themeColor="accent1" w:themeShade="BF"/>
    </w:rPr>
  </w:style>
  <w:style w:type="paragraph" w:styleId="IntenseQuote">
    <w:name w:val="Intense Quote"/>
    <w:basedOn w:val="Normal"/>
    <w:next w:val="Normal"/>
    <w:link w:val="IntenseQuoteChar"/>
    <w:uiPriority w:val="30"/>
    <w:qFormat/>
    <w:rsid w:val="00C56EA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56EA0"/>
    <w:rPr>
      <w:i/>
      <w:iCs/>
      <w:color w:val="0F4761" w:themeColor="accent1" w:themeShade="BF"/>
    </w:rPr>
  </w:style>
  <w:style w:type="character" w:styleId="IntenseReference">
    <w:name w:val="Intense Reference"/>
    <w:basedOn w:val="DefaultParagraphFont"/>
    <w:uiPriority w:val="32"/>
    <w:qFormat/>
    <w:rsid w:val="00C56EA0"/>
    <w:rPr>
      <w:b/>
      <w:bCs/>
      <w:smallCaps/>
      <w:color w:val="0F4761" w:themeColor="accent1" w:themeShade="BF"/>
      <w:spacing w:val="5"/>
    </w:rPr>
  </w:style>
  <w:style w:type="character" w:styleId="Hyperlink">
    <w:name w:val="Hyperlink"/>
    <w:basedOn w:val="DefaultParagraphFont"/>
    <w:uiPriority w:val="99"/>
    <w:unhideWhenUsed/>
    <w:rsid w:val="1532A8CC"/>
    <w:rPr>
      <w:color w:val="467886"/>
      <w:u w:val="single"/>
    </w:rPr>
  </w:style>
  <w:style w:type="character" w:styleId="CommentReference">
    <w:name w:val="annotation reference"/>
    <w:basedOn w:val="DefaultParagraphFont"/>
    <w:uiPriority w:val="99"/>
    <w:semiHidden/>
    <w:unhideWhenUsed/>
    <w:rsid w:val="007F2300"/>
    <w:rPr>
      <w:sz w:val="16"/>
      <w:szCs w:val="16"/>
    </w:rPr>
  </w:style>
  <w:style w:type="paragraph" w:styleId="CommentText">
    <w:name w:val="annotation text"/>
    <w:basedOn w:val="Normal"/>
    <w:link w:val="CommentTextChar"/>
    <w:uiPriority w:val="99"/>
    <w:semiHidden/>
    <w:unhideWhenUsed/>
    <w:rsid w:val="007F2300"/>
    <w:pPr>
      <w:spacing w:line="240" w:lineRule="auto"/>
    </w:pPr>
    <w:rPr>
      <w:sz w:val="20"/>
      <w:szCs w:val="20"/>
    </w:rPr>
  </w:style>
  <w:style w:type="character" w:customStyle="1" w:styleId="CommentTextChar">
    <w:name w:val="Comment Text Char"/>
    <w:basedOn w:val="DefaultParagraphFont"/>
    <w:link w:val="CommentText"/>
    <w:uiPriority w:val="99"/>
    <w:semiHidden/>
    <w:rsid w:val="007F2300"/>
    <w:rPr>
      <w:sz w:val="20"/>
      <w:szCs w:val="20"/>
    </w:rPr>
  </w:style>
  <w:style w:type="paragraph" w:styleId="CommentSubject">
    <w:name w:val="annotation subject"/>
    <w:basedOn w:val="CommentText"/>
    <w:next w:val="CommentText"/>
    <w:link w:val="CommentSubjectChar"/>
    <w:uiPriority w:val="99"/>
    <w:semiHidden/>
    <w:unhideWhenUsed/>
    <w:rsid w:val="007F2300"/>
    <w:rPr>
      <w:b/>
      <w:bCs/>
    </w:rPr>
  </w:style>
  <w:style w:type="character" w:customStyle="1" w:styleId="CommentSubjectChar">
    <w:name w:val="Comment Subject Char"/>
    <w:basedOn w:val="CommentTextChar"/>
    <w:link w:val="CommentSubject"/>
    <w:uiPriority w:val="99"/>
    <w:semiHidden/>
    <w:rsid w:val="007F2300"/>
    <w:rPr>
      <w:b/>
      <w:bCs/>
      <w:sz w:val="20"/>
      <w:szCs w:val="20"/>
    </w:rPr>
  </w:style>
  <w:style w:type="paragraph" w:styleId="Revision">
    <w:name w:val="Revision"/>
    <w:hidden/>
    <w:uiPriority w:val="99"/>
    <w:semiHidden/>
    <w:rsid w:val="007F2300"/>
    <w:pPr>
      <w:spacing w:after="0" w:line="240" w:lineRule="auto"/>
    </w:pPr>
  </w:style>
  <w:style w:type="paragraph" w:styleId="Header">
    <w:name w:val="header"/>
    <w:basedOn w:val="Normal"/>
    <w:link w:val="HeaderChar"/>
    <w:uiPriority w:val="99"/>
    <w:unhideWhenUsed/>
    <w:rsid w:val="00C473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DB"/>
  </w:style>
  <w:style w:type="paragraph" w:styleId="Footer">
    <w:name w:val="footer"/>
    <w:basedOn w:val="Normal"/>
    <w:link w:val="FooterChar"/>
    <w:uiPriority w:val="99"/>
    <w:unhideWhenUsed/>
    <w:rsid w:val="00C473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DB"/>
  </w:style>
  <w:style w:type="character" w:styleId="UnresolvedMention">
    <w:name w:val="Unresolved Mention"/>
    <w:basedOn w:val="DefaultParagraphFont"/>
    <w:uiPriority w:val="99"/>
    <w:semiHidden/>
    <w:unhideWhenUsed/>
    <w:rsid w:val="00E00BC0"/>
    <w:rPr>
      <w:color w:val="605E5C"/>
      <w:shd w:val="clear" w:color="auto" w:fill="E1DFDD"/>
    </w:rPr>
  </w:style>
  <w:style w:type="paragraph" w:styleId="NormalWeb">
    <w:name w:val="Normal (Web)"/>
    <w:basedOn w:val="Normal"/>
    <w:uiPriority w:val="99"/>
    <w:semiHidden/>
    <w:unhideWhenUsed/>
    <w:rsid w:val="00960F8C"/>
    <w:rPr>
      <w:rFonts w:ascii="Times New Roman" w:hAnsi="Times New Roman" w:cs="Times New Roman"/>
    </w:rPr>
  </w:style>
  <w:style w:type="character" w:styleId="PageNumber">
    <w:name w:val="page number"/>
    <w:basedOn w:val="DefaultParagraphFont"/>
    <w:uiPriority w:val="99"/>
    <w:semiHidden/>
    <w:unhideWhenUsed/>
    <w:rsid w:val="0068304A"/>
  </w:style>
  <w:style w:type="character" w:styleId="FollowedHyperlink">
    <w:name w:val="FollowedHyperlink"/>
    <w:basedOn w:val="DefaultParagraphFont"/>
    <w:uiPriority w:val="99"/>
    <w:semiHidden/>
    <w:unhideWhenUsed/>
    <w:rsid w:val="00A41F1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mailchi.mp/malvax/stay-connected-to-malvax"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mailto:info@malvax.org" TargetMode="External"/><Relationship Id="rId17" Type="http://schemas.openxmlformats.org/officeDocument/2006/relationships/hyperlink" Target="http://www.MalVax.org" TargetMode="External"/><Relationship Id="rId2" Type="http://schemas.openxmlformats.org/officeDocument/2006/relationships/customXml" Target="../customXml/item2.xml"/><Relationship Id="rId16" Type="http://schemas.openxmlformats.org/officeDocument/2006/relationships/hyperlink" Target="mailto:info@malvax.org"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alVax.org" TargetMode="External"/><Relationship Id="rId5" Type="http://schemas.openxmlformats.org/officeDocument/2006/relationships/numbering" Target="numbering.xml"/><Relationship Id="rId15" Type="http://schemas.openxmlformats.org/officeDocument/2006/relationships/hyperlink" Target="mailto:info@malvax.org" TargetMode="Externa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forms.gle/N2bc11QcLqCS1yPQ7"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2C74F4610218B48A8C8F4E2E6F9D266" ma:contentTypeVersion="12" ma:contentTypeDescription="Create a new document." ma:contentTypeScope="" ma:versionID="422fe96699a529fff0a01e59472d0066">
  <xsd:schema xmlns:xsd="http://www.w3.org/2001/XMLSchema" xmlns:xs="http://www.w3.org/2001/XMLSchema" xmlns:p="http://schemas.microsoft.com/office/2006/metadata/properties" xmlns:ns2="7374a6a0-e48f-4991-b3f4-ee06633d4a99" xmlns:ns3="715c1e9a-e7da-40c2-897e-96e38b2ad92d" targetNamespace="http://schemas.microsoft.com/office/2006/metadata/properties" ma:root="true" ma:fieldsID="5473c26a999630953e94f285e7b86c0b" ns2:_="" ns3:_="">
    <xsd:import namespace="7374a6a0-e48f-4991-b3f4-ee06633d4a99"/>
    <xsd:import namespace="715c1e9a-e7da-40c2-897e-96e38b2ad92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74a6a0-e48f-4991-b3f4-ee06633d4a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094c44c4-6f27-46d6-88a1-b4dbcc30acd8"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15c1e9a-e7da-40c2-897e-96e38b2ad92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414e202-10ab-4561-a8fc-c0f550844f9d}" ma:internalName="TaxCatchAll" ma:showField="CatchAllData" ma:web="715c1e9a-e7da-40c2-897e-96e38b2ad9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15c1e9a-e7da-40c2-897e-96e38b2ad92d" xsi:nil="true"/>
    <lcf76f155ced4ddcb4097134ff3c332f xmlns="7374a6a0-e48f-4991-b3f4-ee06633d4a99">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F2DCDE-AD1F-45BB-98F6-A7C76DDFF4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74a6a0-e48f-4991-b3f4-ee06633d4a99"/>
    <ds:schemaRef ds:uri="715c1e9a-e7da-40c2-897e-96e38b2ad9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1874190-4FD4-4BFD-AE7B-3DABF5F37500}">
  <ds:schemaRefs>
    <ds:schemaRef ds:uri="http://schemas.microsoft.com/sharepoint/v3/contenttype/forms"/>
  </ds:schemaRefs>
</ds:datastoreItem>
</file>

<file path=customXml/itemProps3.xml><?xml version="1.0" encoding="utf-8"?>
<ds:datastoreItem xmlns:ds="http://schemas.openxmlformats.org/officeDocument/2006/customXml" ds:itemID="{CBCB8240-83B5-43E8-92BE-A4F55B1663B1}">
  <ds:schemaRefs>
    <ds:schemaRef ds:uri="http://schemas.microsoft.com/office/2006/metadata/properties"/>
    <ds:schemaRef ds:uri="http://schemas.microsoft.com/office/infopath/2007/PartnerControls"/>
    <ds:schemaRef ds:uri="715c1e9a-e7da-40c2-897e-96e38b2ad92d"/>
    <ds:schemaRef ds:uri="7374a6a0-e48f-4991-b3f4-ee06633d4a99"/>
  </ds:schemaRefs>
</ds:datastoreItem>
</file>

<file path=customXml/itemProps4.xml><?xml version="1.0" encoding="utf-8"?>
<ds:datastoreItem xmlns:ds="http://schemas.openxmlformats.org/officeDocument/2006/customXml" ds:itemID="{8EC2C277-C78D-944F-9352-3F23A22539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1994</Words>
  <Characters>11371</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Nicole Vecchio</dc:creator>
  <cp:keywords/>
  <dc:description/>
  <cp:lastModifiedBy>Nicole Vecchio</cp:lastModifiedBy>
  <cp:revision>2</cp:revision>
  <dcterms:created xsi:type="dcterms:W3CDTF">2026-09-14T19:27:00Z</dcterms:created>
  <dcterms:modified xsi:type="dcterms:W3CDTF">2026-09-14T19:27:00Z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0x01010052C74F4610218B48A8C8F4E2E6F9D266</vt:lpwstr>
  </property>
  <property fmtid="{D5CDD505-2E9C-101B-9397-08002B2CF9AE}" pid="3" name="MediaServiceImageTags">
    <vt:lpwstr/>
  </property>
</Properties>
</file>