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POST-RESIDENTIAL SUPPORT</w:t>
      </w:r>
    </w:p>
    <w:p>
      <w:r>
        <w:t>Battle Born Youth ChalleNGe Academy  |  Home &gt; About &gt; Post-Residential</w:t>
      </w:r>
    </w:p>
    <w:p>
      <w:pPr>
        <w:pStyle w:val="Heading2"/>
      </w:pPr>
      <w:r>
        <w:t>Your Journey Doesn’t End at Graduation.</w:t>
      </w:r>
    </w:p>
    <w:p>
      <w:r>
        <w:t>The Residential Phase builds the foundation. Post-Residential helps graduates put that foundation to work. BBYCA provides structured accountability, individualized case management, and continued guidance as graduates pursue education, employment, military service, volunteering, and personal goals.</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EAF1F7"/>
            <w:top w:w="100" w:type="dxa"/>
            <w:start w:w="100" w:type="dxa"/>
            <w:bottom w:w="100" w:type="dxa"/>
            <w:end w:w="100" w:type="dxa"/>
          </w:tcPr>
          <w:p>
            <w:pPr>
              <w:spacing w:after="60" w:before="60"/>
            </w:pPr>
            <w:r>
              <w:rPr>
                <w:b/>
                <w:color w:val="212F3F"/>
                <w:sz w:val="18"/>
              </w:rPr>
              <w:t>12 MONTHS</w:t>
            </w:r>
          </w:p>
        </w:tc>
        <w:tc>
          <w:tcPr>
            <w:tcW w:type="dxa" w:w="4968"/>
            <w:vAlign w:val="center"/>
            <w:shd w:fill="EAF1F7"/>
            <w:top w:w="100" w:type="dxa"/>
            <w:start w:w="100" w:type="dxa"/>
            <w:bottom w:w="100" w:type="dxa"/>
            <w:end w:w="100" w:type="dxa"/>
          </w:tcPr>
          <w:p>
            <w:pPr>
              <w:spacing w:after="60" w:before="60"/>
            </w:pPr>
            <w:r>
              <w:rPr>
                <w:b w:val="0"/>
                <w:color w:val="212F3F"/>
                <w:sz w:val="18"/>
              </w:rPr>
              <w:t>24 MONTHS</w:t>
            </w:r>
          </w:p>
        </w:tc>
      </w:tr>
      <w:tr>
        <w:trPr>
          <w:cantSplit/>
        </w:trPr>
        <w:tc>
          <w:tcPr>
            <w:tcW w:type="dxa" w:w="4968"/>
            <w:vAlign w:val="center"/>
            <w:shd w:fill="F5F8FB"/>
            <w:top w:w="100" w:type="dxa"/>
            <w:start w:w="100" w:type="dxa"/>
            <w:bottom w:w="100" w:type="dxa"/>
            <w:end w:w="100" w:type="dxa"/>
          </w:tcPr>
          <w:p>
            <w:pPr>
              <w:spacing w:after="60" w:before="60"/>
            </w:pPr>
            <w:r>
              <w:rPr>
                <w:b/>
                <w:color w:val="212F3F"/>
                <w:sz w:val="18"/>
              </w:rPr>
              <w:t>Cycles before 27-1</w:t>
            </w:r>
          </w:p>
        </w:tc>
        <w:tc>
          <w:tcPr>
            <w:tcW w:type="dxa" w:w="4968"/>
            <w:vAlign w:val="center"/>
            <w:shd w:fill="F5F8FB"/>
            <w:top w:w="100" w:type="dxa"/>
            <w:start w:w="100" w:type="dxa"/>
            <w:bottom w:w="100" w:type="dxa"/>
            <w:end w:w="100" w:type="dxa"/>
          </w:tcPr>
          <w:p>
            <w:pPr>
              <w:spacing w:after="60" w:before="60"/>
            </w:pPr>
            <w:r>
              <w:rPr>
                <w:b w:val="0"/>
                <w:color w:val="212F3F"/>
                <w:sz w:val="18"/>
              </w:rPr>
              <w:t>Beginning with Cycle 27-1</w:t>
            </w:r>
          </w:p>
        </w:tc>
      </w:tr>
    </w:tbl>
    <w:p>
      <w:pPr>
        <w:spacing w:after="0"/>
      </w:pP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3312"/>
            <w:vAlign w:val="center"/>
            <w:shd w:fill="EAF1F7"/>
            <w:top w:w="100" w:type="dxa"/>
            <w:start w:w="100" w:type="dxa"/>
            <w:bottom w:w="100" w:type="dxa"/>
            <w:end w:w="100" w:type="dxa"/>
          </w:tcPr>
          <w:p>
            <w:pPr>
              <w:spacing w:after="60" w:before="60"/>
            </w:pPr>
            <w:r>
              <w:rPr>
                <w:b/>
                <w:color w:val="212F3F"/>
                <w:sz w:val="18"/>
              </w:rPr>
              <w:t>25 HOURS / WEEK</w:t>
            </w:r>
          </w:p>
        </w:tc>
        <w:tc>
          <w:tcPr>
            <w:tcW w:type="dxa" w:w="3312"/>
            <w:vAlign w:val="center"/>
            <w:shd w:fill="EAF1F7"/>
            <w:top w:w="100" w:type="dxa"/>
            <w:start w:w="100" w:type="dxa"/>
            <w:bottom w:w="100" w:type="dxa"/>
            <w:end w:w="100" w:type="dxa"/>
          </w:tcPr>
          <w:p>
            <w:pPr>
              <w:spacing w:after="60" w:before="60"/>
            </w:pPr>
            <w:r>
              <w:rPr>
                <w:b w:val="0"/>
                <w:color w:val="212F3F"/>
                <w:sz w:val="18"/>
              </w:rPr>
              <w:t>MONTHLY CHECK-INS</w:t>
            </w:r>
          </w:p>
        </w:tc>
        <w:tc>
          <w:tcPr>
            <w:tcW w:type="dxa" w:w="3312"/>
            <w:vAlign w:val="center"/>
            <w:shd w:fill="EAF1F7"/>
            <w:top w:w="100" w:type="dxa"/>
            <w:start w:w="100" w:type="dxa"/>
            <w:bottom w:w="100" w:type="dxa"/>
            <w:end w:w="100" w:type="dxa"/>
          </w:tcPr>
          <w:p>
            <w:pPr>
              <w:spacing w:after="60" w:before="60"/>
            </w:pPr>
            <w:r>
              <w:rPr>
                <w:b w:val="0"/>
                <w:color w:val="212F3F"/>
                <w:sz w:val="18"/>
              </w:rPr>
              <w:t>ACTION PLAN</w:t>
            </w:r>
          </w:p>
        </w:tc>
      </w:tr>
      <w:tr>
        <w:trPr>
          <w:cantSplit/>
        </w:trPr>
        <w:tc>
          <w:tcPr>
            <w:tcW w:type="dxa" w:w="3312"/>
            <w:vAlign w:val="center"/>
            <w:shd w:fill="F5F8FB"/>
            <w:top w:w="100" w:type="dxa"/>
            <w:start w:w="100" w:type="dxa"/>
            <w:bottom w:w="100" w:type="dxa"/>
            <w:end w:w="100" w:type="dxa"/>
          </w:tcPr>
          <w:p>
            <w:pPr>
              <w:spacing w:after="60" w:before="60"/>
            </w:pPr>
            <w:r>
              <w:rPr>
                <w:b/>
                <w:color w:val="212F3F"/>
                <w:sz w:val="18"/>
              </w:rPr>
              <w:t>Required productive activity</w:t>
            </w:r>
          </w:p>
        </w:tc>
        <w:tc>
          <w:tcPr>
            <w:tcW w:type="dxa" w:w="3312"/>
            <w:vAlign w:val="center"/>
            <w:shd w:fill="F5F8FB"/>
            <w:top w:w="100" w:type="dxa"/>
            <w:start w:w="100" w:type="dxa"/>
            <w:bottom w:w="100" w:type="dxa"/>
            <w:end w:w="100" w:type="dxa"/>
          </w:tcPr>
          <w:p>
            <w:pPr>
              <w:spacing w:after="60" w:before="60"/>
            </w:pPr>
            <w:r>
              <w:rPr>
                <w:b w:val="0"/>
                <w:color w:val="212F3F"/>
                <w:sz w:val="18"/>
              </w:rPr>
              <w:t>Required contact with Case Manager</w:t>
            </w:r>
          </w:p>
        </w:tc>
        <w:tc>
          <w:tcPr>
            <w:tcW w:type="dxa" w:w="3312"/>
            <w:vAlign w:val="center"/>
            <w:shd w:fill="F5F8FB"/>
            <w:top w:w="100" w:type="dxa"/>
            <w:start w:w="100" w:type="dxa"/>
            <w:bottom w:w="100" w:type="dxa"/>
            <w:end w:w="100" w:type="dxa"/>
          </w:tcPr>
          <w:p>
            <w:pPr>
              <w:spacing w:after="60" w:before="60"/>
            </w:pPr>
            <w:r>
              <w:rPr>
                <w:b w:val="0"/>
                <w:color w:val="212F3F"/>
                <w:sz w:val="18"/>
              </w:rPr>
              <w:t>Continue working toward individual goals</w:t>
            </w:r>
          </w:p>
        </w:tc>
      </w:tr>
    </w:tbl>
    <w:p>
      <w:pPr>
        <w:spacing w:after="0"/>
      </w:pPr>
    </w:p>
    <w:p>
      <w:pPr>
        <w:pStyle w:val="Heading1"/>
      </w:pPr>
      <w:r>
        <w:t>What Is Post-Residential?</w:t>
      </w:r>
    </w:p>
    <w:p>
      <w:r>
        <w:t>After completing the 5.5-month Residential Phase, cadets return to their communities and begin putting their Post-Residential Action Plans into practice. Graduates remain accountable for participating in productive activities, verifying their placement, communicating with their Case Manager, and working toward the goals they set before graduation.</w:t>
      </w:r>
    </w:p>
    <w:p>
      <w:pPr>
        <w:pStyle w:val="Heading1"/>
      </w:pPr>
      <w:r>
        <w:t>What Graduates Are Required to Do</w:t>
      </w:r>
    </w:p>
    <w:p>
      <w:pPr>
        <w:pStyle w:val="Heading2"/>
      </w:pPr>
      <w:r>
        <w:t>1. Stay Productive: At Least 25 Hours Each Week</w:t>
      </w:r>
    </w:p>
    <w:p>
      <w:r>
        <w:t>Graduates must participate in at least 25 hours of productive activity per week. They can meet the requirement through one qualifying activity or a combination of activities.</w:t>
      </w:r>
    </w:p>
    <w:tbl>
      <w:tblPr>
        <w:tblW w:type="auto" w:w="0"/>
        <w:jc w:val="center"/>
        <w:tblLayout w:type="fixed"/>
        <w:tblLook w:firstColumn="1" w:firstRow="1" w:lastColumn="0" w:lastRow="0" w:noHBand="0" w:noVBand="1" w:val="04A0"/>
      </w:tblPr>
      <w:tblGrid>
        <w:gridCol w:w="3312"/>
        <w:gridCol w:w="3312"/>
        <w:gridCol w:w="3312"/>
      </w:tblGrid>
      <w:tr>
        <w:trPr>
          <w:cantSplit/>
        </w:trPr>
        <w:tc>
          <w:tcPr>
            <w:tcW w:type="dxa" w:w="3312"/>
            <w:vAlign w:val="center"/>
            <w:shd w:fill="EAF1F7"/>
            <w:top w:w="100" w:type="dxa"/>
            <w:start w:w="100" w:type="dxa"/>
            <w:bottom w:w="100" w:type="dxa"/>
            <w:end w:w="100" w:type="dxa"/>
          </w:tcPr>
          <w:p>
            <w:pPr>
              <w:spacing w:after="60" w:before="60"/>
            </w:pPr>
            <w:r>
              <w:rPr>
                <w:b/>
                <w:color w:val="212F3F"/>
                <w:sz w:val="18"/>
              </w:rPr>
              <w:t>HIGH SCHOOL</w:t>
            </w:r>
          </w:p>
        </w:tc>
        <w:tc>
          <w:tcPr>
            <w:tcW w:type="dxa" w:w="3312"/>
            <w:vAlign w:val="center"/>
            <w:shd w:fill="EAF1F7"/>
            <w:top w:w="100" w:type="dxa"/>
            <w:start w:w="100" w:type="dxa"/>
            <w:bottom w:w="100" w:type="dxa"/>
            <w:end w:w="100" w:type="dxa"/>
          </w:tcPr>
          <w:p>
            <w:pPr>
              <w:spacing w:after="60" w:before="60"/>
            </w:pPr>
            <w:r>
              <w:rPr>
                <w:b w:val="0"/>
                <w:color w:val="212F3F"/>
                <w:sz w:val="18"/>
              </w:rPr>
              <w:t>POSTSECONDARY EDUCATION</w:t>
            </w:r>
          </w:p>
        </w:tc>
        <w:tc>
          <w:tcPr>
            <w:tcW w:type="dxa" w:w="3312"/>
            <w:vAlign w:val="center"/>
            <w:shd w:fill="EAF1F7"/>
            <w:top w:w="100" w:type="dxa"/>
            <w:start w:w="100" w:type="dxa"/>
            <w:bottom w:w="100" w:type="dxa"/>
            <w:end w:w="100" w:type="dxa"/>
          </w:tcPr>
          <w:p>
            <w:pPr>
              <w:spacing w:after="60" w:before="60"/>
            </w:pPr>
            <w:r>
              <w:rPr>
                <w:b w:val="0"/>
                <w:color w:val="212F3F"/>
                <w:sz w:val="18"/>
              </w:rPr>
              <w:t>EMPLOYMENT</w:t>
            </w:r>
          </w:p>
        </w:tc>
      </w:tr>
      <w:tr>
        <w:trPr>
          <w:cantSplit/>
        </w:trPr>
        <w:tc>
          <w:tcPr>
            <w:tcW w:type="dxa" w:w="3312"/>
            <w:vAlign w:val="center"/>
            <w:shd w:fill="F5F8FB"/>
            <w:top w:w="100" w:type="dxa"/>
            <w:start w:w="100" w:type="dxa"/>
            <w:bottom w:w="100" w:type="dxa"/>
            <w:end w:w="100" w:type="dxa"/>
          </w:tcPr>
          <w:p>
            <w:pPr>
              <w:spacing w:after="60" w:before="60"/>
            </w:pPr>
            <w:r>
              <w:rPr>
                <w:b/>
                <w:color w:val="212F3F"/>
                <w:sz w:val="18"/>
              </w:rPr>
              <w:t>Continuing high school courses and progress toward graduation</w:t>
            </w:r>
          </w:p>
        </w:tc>
        <w:tc>
          <w:tcPr>
            <w:tcW w:type="dxa" w:w="3312"/>
            <w:vAlign w:val="center"/>
            <w:shd w:fill="F5F8FB"/>
            <w:top w:w="100" w:type="dxa"/>
            <w:start w:w="100" w:type="dxa"/>
            <w:bottom w:w="100" w:type="dxa"/>
            <w:end w:w="100" w:type="dxa"/>
          </w:tcPr>
          <w:p>
            <w:pPr>
              <w:spacing w:after="60" w:before="60"/>
            </w:pPr>
            <w:r>
              <w:rPr>
                <w:b w:val="0"/>
                <w:color w:val="212F3F"/>
                <w:sz w:val="18"/>
              </w:rPr>
              <w:t>College, trade school, technical programs, or other postsecondary education</w:t>
            </w:r>
          </w:p>
        </w:tc>
        <w:tc>
          <w:tcPr>
            <w:tcW w:type="dxa" w:w="3312"/>
            <w:vAlign w:val="center"/>
            <w:shd w:fill="F5F8FB"/>
            <w:top w:w="100" w:type="dxa"/>
            <w:start w:w="100" w:type="dxa"/>
            <w:bottom w:w="100" w:type="dxa"/>
            <w:end w:w="100" w:type="dxa"/>
          </w:tcPr>
          <w:p>
            <w:pPr>
              <w:spacing w:after="60" w:before="60"/>
            </w:pPr>
            <w:r>
              <w:rPr>
                <w:b w:val="0"/>
                <w:color w:val="212F3F"/>
                <w:sz w:val="18"/>
              </w:rPr>
              <w:t>Paid work and career-building experience</w:t>
            </w:r>
          </w:p>
        </w:tc>
      </w:tr>
      <w:tr>
        <w:trPr>
          <w:cantSplit/>
        </w:trPr>
        <w:tc>
          <w:tcPr>
            <w:tcW w:type="dxa" w:w="3312"/>
            <w:vAlign w:val="center"/>
            <w:shd w:fill="EAF1F7"/>
            <w:top w:w="100" w:type="dxa"/>
            <w:start w:w="100" w:type="dxa"/>
            <w:bottom w:w="100" w:type="dxa"/>
            <w:end w:w="100" w:type="dxa"/>
          </w:tcPr>
          <w:p>
            <w:pPr>
              <w:spacing w:after="60" w:before="60"/>
            </w:pPr>
            <w:r>
              <w:rPr>
                <w:b/>
                <w:color w:val="212F3F"/>
                <w:sz w:val="18"/>
              </w:rPr>
              <w:t>MILITARY SERVICE</w:t>
            </w:r>
          </w:p>
        </w:tc>
        <w:tc>
          <w:tcPr>
            <w:tcW w:type="dxa" w:w="3312"/>
            <w:vAlign w:val="center"/>
            <w:shd w:fill="EAF1F7"/>
            <w:top w:w="100" w:type="dxa"/>
            <w:start w:w="100" w:type="dxa"/>
            <w:bottom w:w="100" w:type="dxa"/>
            <w:end w:w="100" w:type="dxa"/>
          </w:tcPr>
          <w:p>
            <w:pPr>
              <w:spacing w:after="60" w:before="60"/>
            </w:pPr>
            <w:r>
              <w:rPr>
                <w:b w:val="0"/>
                <w:color w:val="212F3F"/>
                <w:sz w:val="18"/>
              </w:rPr>
              <w:t>VOLUNTEERING</w:t>
            </w:r>
          </w:p>
        </w:tc>
        <w:tc>
          <w:tcPr>
            <w:tcW w:type="dxa" w:w="3312"/>
            <w:vAlign w:val="center"/>
            <w:shd w:fill="EAF1F7"/>
            <w:top w:w="100" w:type="dxa"/>
            <w:start w:w="100" w:type="dxa"/>
            <w:bottom w:w="100" w:type="dxa"/>
            <w:end w:w="100" w:type="dxa"/>
          </w:tcPr>
          <w:p>
            <w:pPr>
              <w:spacing w:after="60" w:before="60"/>
            </w:pPr>
            <w:r>
              <w:rPr>
                <w:b w:val="0"/>
                <w:color w:val="212F3F"/>
                <w:sz w:val="18"/>
              </w:rPr>
              <w:t>A COMBINATION</w:t>
            </w:r>
          </w:p>
        </w:tc>
      </w:tr>
      <w:tr>
        <w:trPr>
          <w:cantSplit/>
        </w:trPr>
        <w:tc>
          <w:tcPr>
            <w:tcW w:type="dxa" w:w="3312"/>
            <w:vAlign w:val="center"/>
            <w:shd w:fill="F5F8FB"/>
            <w:top w:w="100" w:type="dxa"/>
            <w:start w:w="100" w:type="dxa"/>
            <w:bottom w:w="100" w:type="dxa"/>
            <w:end w:w="100" w:type="dxa"/>
          </w:tcPr>
          <w:p>
            <w:pPr>
              <w:spacing w:after="60" w:before="60"/>
            </w:pPr>
            <w:r>
              <w:rPr>
                <w:b/>
                <w:color w:val="212F3F"/>
                <w:sz w:val="18"/>
              </w:rPr>
              <w:t>Military enlistment</w:t>
            </w:r>
          </w:p>
        </w:tc>
        <w:tc>
          <w:tcPr>
            <w:tcW w:type="dxa" w:w="3312"/>
            <w:vAlign w:val="center"/>
            <w:shd w:fill="F5F8FB"/>
            <w:top w:w="100" w:type="dxa"/>
            <w:start w:w="100" w:type="dxa"/>
            <w:bottom w:w="100" w:type="dxa"/>
            <w:end w:w="100" w:type="dxa"/>
          </w:tcPr>
          <w:p>
            <w:pPr>
              <w:spacing w:after="60" w:before="60"/>
            </w:pPr>
            <w:r>
              <w:rPr>
                <w:b w:val="0"/>
                <w:color w:val="212F3F"/>
                <w:sz w:val="18"/>
              </w:rPr>
              <w:t>Volunteer service with an organization</w:t>
            </w:r>
          </w:p>
        </w:tc>
        <w:tc>
          <w:tcPr>
            <w:tcW w:type="dxa" w:w="3312"/>
            <w:vAlign w:val="center"/>
            <w:shd w:fill="F5F8FB"/>
            <w:top w:w="100" w:type="dxa"/>
            <w:start w:w="100" w:type="dxa"/>
            <w:bottom w:w="100" w:type="dxa"/>
            <w:end w:w="100" w:type="dxa"/>
          </w:tcPr>
          <w:p>
            <w:pPr>
              <w:spacing w:after="60" w:before="60"/>
            </w:pPr>
            <w:r>
              <w:rPr>
                <w:b w:val="0"/>
                <w:color w:val="212F3F"/>
                <w:sz w:val="18"/>
              </w:rPr>
              <w:t>Mix qualifying activities to reach 25 hours per week</w:t>
            </w:r>
          </w:p>
        </w:tc>
      </w:tr>
    </w:tbl>
    <w:p>
      <w:pPr>
        <w:spacing w:after="0"/>
      </w:pPr>
    </w:p>
    <w:p>
      <w:pPr>
        <w:pStyle w:val="Heading2"/>
      </w:pPr>
      <w:r>
        <w:t>2. Check In Monthly and Verify Placement</w:t>
      </w:r>
    </w:p>
    <w:p>
      <w:r>
        <w:t>Graduates must check in with their assigned Case Manager at least once a month, share progress and challenges, and provide documentation verifying their education, employment, military, or volunteer placement.</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143657"/>
            <w:top w:w="100" w:type="dxa"/>
            <w:start w:w="100" w:type="dxa"/>
            <w:bottom w:w="100" w:type="dxa"/>
            <w:end w:w="100" w:type="dxa"/>
          </w:tcPr>
          <w:p>
            <w:pPr>
              <w:spacing w:after="60" w:before="60"/>
            </w:pPr>
            <w:r>
              <w:rPr>
                <w:b/>
                <w:color w:val="FFFFFF"/>
                <w:sz w:val="18"/>
              </w:rPr>
              <w:t>PLACEMENT</w:t>
            </w:r>
          </w:p>
        </w:tc>
        <w:tc>
          <w:tcPr>
            <w:tcW w:type="dxa" w:w="4968"/>
            <w:vAlign w:val="center"/>
            <w:shd w:fill="143657"/>
            <w:top w:w="100" w:type="dxa"/>
            <w:start w:w="100" w:type="dxa"/>
            <w:bottom w:w="100" w:type="dxa"/>
            <w:end w:w="100" w:type="dxa"/>
          </w:tcPr>
          <w:p>
            <w:pPr>
              <w:spacing w:after="60" w:before="60"/>
            </w:pPr>
            <w:r>
              <w:rPr>
                <w:b/>
                <w:color w:val="FFFFFF"/>
                <w:sz w:val="18"/>
              </w:rPr>
              <w:t>EXAMPLES OF DOCUMENTATION</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Employment</w:t>
            </w:r>
          </w:p>
        </w:tc>
        <w:tc>
          <w:tcPr>
            <w:tcW w:type="dxa" w:w="4968"/>
            <w:vAlign w:val="center"/>
            <w:shd w:fill="F5F8FB"/>
            <w:top w:w="100" w:type="dxa"/>
            <w:start w:w="100" w:type="dxa"/>
            <w:bottom w:w="100" w:type="dxa"/>
            <w:end w:w="100" w:type="dxa"/>
          </w:tcPr>
          <w:p>
            <w:pPr>
              <w:spacing w:after="60" w:before="60"/>
            </w:pPr>
            <w:r>
              <w:rPr>
                <w:b w:val="0"/>
                <w:color w:val="212F3F"/>
                <w:sz w:val="18"/>
              </w:rPr>
              <w:t>Recent pay stub or letter from an employer</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High school / postsecondary education</w:t>
            </w:r>
          </w:p>
        </w:tc>
        <w:tc>
          <w:tcPr>
            <w:tcW w:type="dxa" w:w="4968"/>
            <w:vAlign w:val="center"/>
            <w:shd w:fill="EAF1F7"/>
            <w:top w:w="100" w:type="dxa"/>
            <w:start w:w="100" w:type="dxa"/>
            <w:bottom w:w="100" w:type="dxa"/>
            <w:end w:w="100" w:type="dxa"/>
          </w:tcPr>
          <w:p>
            <w:pPr>
              <w:spacing w:after="60" w:before="60"/>
            </w:pPr>
            <w:r>
              <w:rPr>
                <w:b w:val="0"/>
                <w:color w:val="212F3F"/>
                <w:sz w:val="18"/>
              </w:rPr>
              <w:t>School enrollment verification, class schedule, or school letter</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Volunteer work</w:t>
            </w:r>
          </w:p>
        </w:tc>
        <w:tc>
          <w:tcPr>
            <w:tcW w:type="dxa" w:w="4968"/>
            <w:vAlign w:val="center"/>
            <w:shd w:fill="F5F8FB"/>
            <w:top w:w="100" w:type="dxa"/>
            <w:start w:w="100" w:type="dxa"/>
            <w:bottom w:w="100" w:type="dxa"/>
            <w:end w:w="100" w:type="dxa"/>
          </w:tcPr>
          <w:p>
            <w:pPr>
              <w:spacing w:after="60" w:before="60"/>
            </w:pPr>
            <w:r>
              <w:rPr>
                <w:b w:val="0"/>
                <w:color w:val="212F3F"/>
                <w:sz w:val="18"/>
              </w:rPr>
              <w:t>Letter from a volunteer organization or verified service-hour record</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Military service</w:t>
            </w:r>
          </w:p>
        </w:tc>
        <w:tc>
          <w:tcPr>
            <w:tcW w:type="dxa" w:w="4968"/>
            <w:vAlign w:val="center"/>
            <w:shd w:fill="EAF1F7"/>
            <w:top w:w="100" w:type="dxa"/>
            <w:start w:w="100" w:type="dxa"/>
            <w:bottom w:w="100" w:type="dxa"/>
            <w:end w:w="100" w:type="dxa"/>
          </w:tcPr>
          <w:p>
            <w:pPr>
              <w:spacing w:after="60" w:before="60"/>
            </w:pPr>
            <w:r>
              <w:rPr>
                <w:b w:val="0"/>
                <w:color w:val="212F3F"/>
                <w:sz w:val="18"/>
              </w:rPr>
              <w:t>Enlistment paperwork or other official military documentation</w:t>
            </w:r>
          </w:p>
        </w:tc>
      </w:tr>
    </w:tbl>
    <w:p>
      <w:pPr>
        <w:spacing w:after="0"/>
      </w:pPr>
    </w:p>
    <w:p>
      <w:r>
        <w:t>Case Managers may request additional documentation depending on the placement. Graduates should report changes in placement to their Case Manager.</w:t>
      </w:r>
    </w:p>
    <w:p>
      <w:pPr>
        <w:pStyle w:val="Heading2"/>
      </w:pPr>
      <w:r>
        <w:t>3. Keep Working on Your Action Plan</w:t>
      </w:r>
    </w:p>
    <w:p>
      <w:r>
        <w:t>Every cadet develops an individualized Post-Residential Action Plan during the Residential Phase. After graduation, graduates are required to continue taking meaningful steps toward the educational, career, and personal goals in that plan, with adjustments as needed.</w:t>
      </w:r>
    </w:p>
    <w:p>
      <w:pPr>
        <w:pStyle w:val="Heading1"/>
      </w:pPr>
      <w:r>
        <w:t>What Can a Case Manager Help With?</w:t>
      </w:r>
    </w:p>
    <w:p>
      <w:r>
        <w:t>Your Case Manager is a consistent point of contact after graduation—not just someone who checks whether you completed your hours. They can help you explore options, find resources, answer questions, work through challenges, and celebrate progress.</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143657"/>
            <w:top w:w="100" w:type="dxa"/>
            <w:start w:w="100" w:type="dxa"/>
            <w:bottom w:w="100" w:type="dxa"/>
            <w:end w:w="100" w:type="dxa"/>
          </w:tcPr>
          <w:p>
            <w:pPr>
              <w:spacing w:after="60" w:before="60"/>
            </w:pPr>
            <w:r>
              <w:rPr>
                <w:b/>
                <w:color w:val="FFFFFF"/>
                <w:sz w:val="18"/>
              </w:rPr>
              <w:t>AREA OF SUPPORT</w:t>
            </w:r>
          </w:p>
        </w:tc>
        <w:tc>
          <w:tcPr>
            <w:tcW w:type="dxa" w:w="4968"/>
            <w:vAlign w:val="center"/>
            <w:shd w:fill="143657"/>
            <w:top w:w="100" w:type="dxa"/>
            <w:start w:w="100" w:type="dxa"/>
            <w:bottom w:w="100" w:type="dxa"/>
            <w:end w:w="100" w:type="dxa"/>
          </w:tcPr>
          <w:p>
            <w:pPr>
              <w:spacing w:after="60" w:before="60"/>
            </w:pPr>
            <w:r>
              <w:rPr>
                <w:b/>
                <w:color w:val="FFFFFF"/>
                <w:sz w:val="18"/>
              </w:rPr>
              <w:t>HOW YOUR CASE MANAGER CAN HELP</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Jobs and careers</w:t>
            </w:r>
          </w:p>
        </w:tc>
        <w:tc>
          <w:tcPr>
            <w:tcW w:type="dxa" w:w="4968"/>
            <w:vAlign w:val="center"/>
            <w:shd w:fill="F5F8FB"/>
            <w:top w:w="100" w:type="dxa"/>
            <w:start w:w="100" w:type="dxa"/>
            <w:bottom w:w="100" w:type="dxa"/>
            <w:end w:w="100" w:type="dxa"/>
          </w:tcPr>
          <w:p>
            <w:pPr>
              <w:spacing w:after="60" w:before="60"/>
            </w:pPr>
            <w:r>
              <w:rPr>
                <w:b w:val="0"/>
                <w:color w:val="212F3F"/>
                <w:sz w:val="18"/>
              </w:rPr>
              <w:t>Help find job openings, explore career interests, discuss applications and prepare for interviews.</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Resumes and cover letters</w:t>
            </w:r>
          </w:p>
        </w:tc>
        <w:tc>
          <w:tcPr>
            <w:tcW w:type="dxa" w:w="4968"/>
            <w:vAlign w:val="center"/>
            <w:shd w:fill="EAF1F7"/>
            <w:top w:w="100" w:type="dxa"/>
            <w:start w:w="100" w:type="dxa"/>
            <w:bottom w:w="100" w:type="dxa"/>
            <w:end w:w="100" w:type="dxa"/>
          </w:tcPr>
          <w:p>
            <w:pPr>
              <w:spacing w:after="60" w:before="60"/>
            </w:pPr>
            <w:r>
              <w:rPr>
                <w:b w:val="0"/>
                <w:color w:val="212F3F"/>
                <w:sz w:val="18"/>
              </w:rPr>
              <w:t>Help create or improve a resume, review cover letters, explain how to describe experience, and answer resume questions.</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School and training</w:t>
            </w:r>
          </w:p>
        </w:tc>
        <w:tc>
          <w:tcPr>
            <w:tcW w:type="dxa" w:w="4968"/>
            <w:vAlign w:val="center"/>
            <w:shd w:fill="F5F8FB"/>
            <w:top w:w="100" w:type="dxa"/>
            <w:start w:w="100" w:type="dxa"/>
            <w:bottom w:w="100" w:type="dxa"/>
            <w:end w:w="100" w:type="dxa"/>
          </w:tcPr>
          <w:p>
            <w:pPr>
              <w:spacing w:after="60" w:before="60"/>
            </w:pPr>
            <w:r>
              <w:rPr>
                <w:b w:val="0"/>
                <w:color w:val="212F3F"/>
                <w:sz w:val="18"/>
              </w:rPr>
              <w:t>Explore high school completion, college, trade programs, certifications, enrollment steps, and education resources.</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Military and volunteering</w:t>
            </w:r>
          </w:p>
        </w:tc>
        <w:tc>
          <w:tcPr>
            <w:tcW w:type="dxa" w:w="4968"/>
            <w:vAlign w:val="center"/>
            <w:shd w:fill="EAF1F7"/>
            <w:top w:w="100" w:type="dxa"/>
            <w:start w:w="100" w:type="dxa"/>
            <w:bottom w:w="100" w:type="dxa"/>
            <w:end w:w="100" w:type="dxa"/>
          </w:tcPr>
          <w:p>
            <w:pPr>
              <w:spacing w:after="60" w:before="60"/>
            </w:pPr>
            <w:r>
              <w:rPr>
                <w:b w:val="0"/>
                <w:color w:val="212F3F"/>
                <w:sz w:val="18"/>
              </w:rPr>
              <w:t>Discuss next steps and connect graduates with relevant military recruiting or volunteer opportunities.</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Emotional support</w:t>
            </w:r>
          </w:p>
        </w:tc>
        <w:tc>
          <w:tcPr>
            <w:tcW w:type="dxa" w:w="4968"/>
            <w:vAlign w:val="center"/>
            <w:shd w:fill="F5F8FB"/>
            <w:top w:w="100" w:type="dxa"/>
            <w:start w:w="100" w:type="dxa"/>
            <w:bottom w:w="100" w:type="dxa"/>
            <w:end w:w="100" w:type="dxa"/>
          </w:tcPr>
          <w:p>
            <w:pPr>
              <w:spacing w:after="60" w:before="60"/>
            </w:pPr>
            <w:r>
              <w:rPr>
                <w:b w:val="0"/>
                <w:color w:val="212F3F"/>
                <w:sz w:val="18"/>
              </w:rPr>
              <w:t>Listen, provide encouragement, help graduates talk through challenges, and connect them with additional support resources when appropriate.</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Everyday obstacles</w:t>
            </w:r>
          </w:p>
        </w:tc>
        <w:tc>
          <w:tcPr>
            <w:tcW w:type="dxa" w:w="4968"/>
            <w:vAlign w:val="center"/>
            <w:shd w:fill="EAF1F7"/>
            <w:top w:w="100" w:type="dxa"/>
            <w:start w:w="100" w:type="dxa"/>
            <w:bottom w:w="100" w:type="dxa"/>
            <w:end w:w="100" w:type="dxa"/>
          </w:tcPr>
          <w:p>
            <w:pPr>
              <w:spacing w:after="60" w:before="60"/>
            </w:pPr>
            <w:r>
              <w:rPr>
                <w:b w:val="0"/>
                <w:color w:val="212F3F"/>
                <w:sz w:val="18"/>
              </w:rPr>
              <w:t>Help problem-solve transportation, schedules, motivation, shifting plans, and other barriers.</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Goals and accountability</w:t>
            </w:r>
          </w:p>
        </w:tc>
        <w:tc>
          <w:tcPr>
            <w:tcW w:type="dxa" w:w="4968"/>
            <w:vAlign w:val="center"/>
            <w:shd w:fill="F5F8FB"/>
            <w:top w:w="100" w:type="dxa"/>
            <w:start w:w="100" w:type="dxa"/>
            <w:bottom w:w="100" w:type="dxa"/>
            <w:end w:w="100" w:type="dxa"/>
          </w:tcPr>
          <w:p>
            <w:pPr>
              <w:spacing w:after="60" w:before="60"/>
            </w:pPr>
            <w:r>
              <w:rPr>
                <w:b w:val="0"/>
                <w:color w:val="212F3F"/>
                <w:sz w:val="18"/>
              </w:rPr>
              <w:t>Break Action Plan goals into achievable steps, review progress, and recognize milestones.</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Forms and community resources</w:t>
            </w:r>
          </w:p>
        </w:tc>
        <w:tc>
          <w:tcPr>
            <w:tcW w:type="dxa" w:w="4968"/>
            <w:vAlign w:val="center"/>
            <w:shd w:fill="EAF1F7"/>
            <w:top w:w="100" w:type="dxa"/>
            <w:start w:w="100" w:type="dxa"/>
            <w:bottom w:w="100" w:type="dxa"/>
            <w:end w:w="100" w:type="dxa"/>
          </w:tcPr>
          <w:p>
            <w:pPr>
              <w:spacing w:after="60" w:before="60"/>
            </w:pPr>
            <w:r>
              <w:rPr>
                <w:b w:val="0"/>
                <w:color w:val="212F3F"/>
                <w:sz w:val="18"/>
              </w:rPr>
              <w:t>Answer questions about requirements and paperwork, clarify placement verification, and connect graduates to useful community services.</w:t>
            </w:r>
          </w:p>
        </w:tc>
      </w:tr>
    </w:tbl>
    <w:p>
      <w:pPr>
        <w:spacing w:after="0"/>
      </w:pPr>
    </w:p>
    <w:p>
      <w:r>
        <w:t>Case Managers provide guidance and referrals; outcomes such as jobs, admission, benefits, or placements cannot be guaranteed.</w:t>
      </w:r>
    </w:p>
    <w:p>
      <w:pPr>
        <w:pStyle w:val="Heading1"/>
      </w:pPr>
      <w:r>
        <w:t>How the Transition Works</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EAF1F7"/>
            <w:top w:w="100" w:type="dxa"/>
            <w:start w:w="100" w:type="dxa"/>
            <w:bottom w:w="100" w:type="dxa"/>
            <w:end w:w="100" w:type="dxa"/>
          </w:tcPr>
          <w:p>
            <w:pPr>
              <w:spacing w:after="60" w:before="60"/>
            </w:pPr>
            <w:r>
              <w:rPr>
                <w:b/>
                <w:color w:val="212F3F"/>
                <w:sz w:val="18"/>
              </w:rPr>
              <w:t>1. PLAN BEFORE GRADUATION</w:t>
            </w:r>
          </w:p>
        </w:tc>
        <w:tc>
          <w:tcPr>
            <w:tcW w:type="dxa" w:w="4968"/>
            <w:vAlign w:val="center"/>
            <w:shd w:fill="EAF1F7"/>
            <w:top w:w="100" w:type="dxa"/>
            <w:start w:w="100" w:type="dxa"/>
            <w:bottom w:w="100" w:type="dxa"/>
            <w:end w:w="100" w:type="dxa"/>
          </w:tcPr>
          <w:p>
            <w:pPr>
              <w:spacing w:after="60" w:before="60"/>
            </w:pPr>
            <w:r>
              <w:rPr>
                <w:b w:val="0"/>
                <w:color w:val="212F3F"/>
                <w:sz w:val="18"/>
              </w:rPr>
              <w:t>2. RETURN HOME</w:t>
            </w:r>
          </w:p>
        </w:tc>
      </w:tr>
      <w:tr>
        <w:trPr>
          <w:cantSplit/>
        </w:trPr>
        <w:tc>
          <w:tcPr>
            <w:tcW w:type="dxa" w:w="4968"/>
            <w:vAlign w:val="center"/>
            <w:shd w:fill="F5F8FB"/>
            <w:top w:w="100" w:type="dxa"/>
            <w:start w:w="100" w:type="dxa"/>
            <w:bottom w:w="100" w:type="dxa"/>
            <w:end w:w="100" w:type="dxa"/>
          </w:tcPr>
          <w:p>
            <w:pPr>
              <w:spacing w:after="60" w:before="60"/>
            </w:pPr>
            <w:r>
              <w:rPr>
                <w:b/>
                <w:color w:val="212F3F"/>
                <w:sz w:val="18"/>
              </w:rPr>
              <w:t>Develop an individualized Post-Residential Action Plan during the Residential Phase.</w:t>
            </w:r>
          </w:p>
        </w:tc>
        <w:tc>
          <w:tcPr>
            <w:tcW w:type="dxa" w:w="4968"/>
            <w:vAlign w:val="center"/>
            <w:shd w:fill="F5F8FB"/>
            <w:top w:w="100" w:type="dxa"/>
            <w:start w:w="100" w:type="dxa"/>
            <w:bottom w:w="100" w:type="dxa"/>
            <w:end w:w="100" w:type="dxa"/>
          </w:tcPr>
          <w:p>
            <w:pPr>
              <w:spacing w:after="60" w:before="60"/>
            </w:pPr>
            <w:r>
              <w:rPr>
                <w:b w:val="0"/>
                <w:color w:val="212F3F"/>
                <w:sz w:val="18"/>
              </w:rPr>
              <w:t>Begin or continue a qualifying education, work, military, or volunteer placement.</w:t>
            </w:r>
          </w:p>
        </w:tc>
      </w:tr>
      <w:tr>
        <w:trPr>
          <w:cantSplit/>
        </w:trPr>
        <w:tc>
          <w:tcPr>
            <w:tcW w:type="dxa" w:w="4968"/>
            <w:vAlign w:val="center"/>
            <w:shd w:fill="EAF1F7"/>
            <w:top w:w="100" w:type="dxa"/>
            <w:start w:w="100" w:type="dxa"/>
            <w:bottom w:w="100" w:type="dxa"/>
            <w:end w:w="100" w:type="dxa"/>
          </w:tcPr>
          <w:p>
            <w:pPr>
              <w:spacing w:after="60" w:before="60"/>
            </w:pPr>
            <w:r>
              <w:rPr>
                <w:b/>
                <w:color w:val="212F3F"/>
                <w:sz w:val="18"/>
              </w:rPr>
              <w:t>3. STAY CONNECTED</w:t>
            </w:r>
          </w:p>
        </w:tc>
        <w:tc>
          <w:tcPr>
            <w:tcW w:type="dxa" w:w="4968"/>
            <w:vAlign w:val="center"/>
            <w:shd w:fill="EAF1F7"/>
            <w:top w:w="100" w:type="dxa"/>
            <w:start w:w="100" w:type="dxa"/>
            <w:bottom w:w="100" w:type="dxa"/>
            <w:end w:w="100" w:type="dxa"/>
          </w:tcPr>
          <w:p>
            <w:pPr>
              <w:spacing w:after="60" w:before="60"/>
            </w:pPr>
            <w:r>
              <w:rPr>
                <w:b w:val="0"/>
                <w:color w:val="212F3F"/>
                <w:sz w:val="18"/>
              </w:rPr>
              <w:t>4. KEEP MOVING FORWARD</w:t>
            </w:r>
          </w:p>
        </w:tc>
      </w:tr>
      <w:tr>
        <w:trPr>
          <w:cantSplit/>
        </w:trPr>
        <w:tc>
          <w:tcPr>
            <w:tcW w:type="dxa" w:w="4968"/>
            <w:vAlign w:val="center"/>
            <w:shd w:fill="F5F8FB"/>
            <w:top w:w="100" w:type="dxa"/>
            <w:start w:w="100" w:type="dxa"/>
            <w:bottom w:w="100" w:type="dxa"/>
            <w:end w:w="100" w:type="dxa"/>
          </w:tcPr>
          <w:p>
            <w:pPr>
              <w:spacing w:after="60" w:before="60"/>
            </w:pPr>
            <w:r>
              <w:rPr>
                <w:b/>
                <w:color w:val="212F3F"/>
                <w:sz w:val="18"/>
              </w:rPr>
              <w:t>Complete monthly check-ins, submit placement documentation, and review progress.</w:t>
            </w:r>
          </w:p>
        </w:tc>
        <w:tc>
          <w:tcPr>
            <w:tcW w:type="dxa" w:w="4968"/>
            <w:vAlign w:val="center"/>
            <w:shd w:fill="F5F8FB"/>
            <w:top w:w="100" w:type="dxa"/>
            <w:start w:w="100" w:type="dxa"/>
            <w:bottom w:w="100" w:type="dxa"/>
            <w:end w:w="100" w:type="dxa"/>
          </w:tcPr>
          <w:p>
            <w:pPr>
              <w:spacing w:after="60" w:before="60"/>
            </w:pPr>
            <w:r>
              <w:rPr>
                <w:b w:val="0"/>
                <w:color w:val="212F3F"/>
                <w:sz w:val="18"/>
              </w:rPr>
              <w:t>Continue working toward goals and adjust the Action Plan when circumstances change.</w:t>
            </w:r>
          </w:p>
        </w:tc>
      </w:tr>
    </w:tbl>
    <w:p>
      <w:pPr>
        <w:spacing w:after="0"/>
      </w:pPr>
    </w:p>
    <w:p>
      <w:pPr>
        <w:pStyle w:val="Heading1"/>
      </w:pPr>
      <w:r>
        <w:t>Families Are Part of the Journey</w:t>
      </w:r>
    </w:p>
    <w:p>
      <w:r>
        <w:t>Returning home after the Residential Phase is a major transition. Families can help graduates maintain momentum through encouragement, communication, and accountability. Case Managers remain a source of guidance as graduates navigate new routines, responsibilities, and opportunities.</w:t>
      </w:r>
    </w:p>
    <w:p>
      <w:pPr>
        <w:pStyle w:val="Heading1"/>
      </w:pPr>
      <w:r>
        <w:t>How Long Does Post-Residential Last?</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143657"/>
            <w:top w:w="100" w:type="dxa"/>
            <w:start w:w="100" w:type="dxa"/>
            <w:bottom w:w="100" w:type="dxa"/>
            <w:end w:w="100" w:type="dxa"/>
          </w:tcPr>
          <w:p>
            <w:pPr>
              <w:spacing w:after="60" w:before="60"/>
            </w:pPr>
            <w:r>
              <w:rPr>
                <w:b/>
                <w:color w:val="FFFFFF"/>
                <w:sz w:val="18"/>
              </w:rPr>
              <w:t>CYCLE</w:t>
            </w:r>
          </w:p>
        </w:tc>
        <w:tc>
          <w:tcPr>
            <w:tcW w:type="dxa" w:w="4968"/>
            <w:vAlign w:val="center"/>
            <w:shd w:fill="143657"/>
            <w:top w:w="100" w:type="dxa"/>
            <w:start w:w="100" w:type="dxa"/>
            <w:bottom w:w="100" w:type="dxa"/>
            <w:end w:w="100" w:type="dxa"/>
          </w:tcPr>
          <w:p>
            <w:pPr>
              <w:spacing w:after="60" w:before="60"/>
            </w:pPr>
            <w:r>
              <w:rPr>
                <w:b/>
                <w:color w:val="FFFFFF"/>
                <w:sz w:val="18"/>
              </w:rPr>
              <w:t>REQUIRED POST-RESIDENTIAL PHASE</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Any cycle before 27-1</w:t>
            </w:r>
          </w:p>
        </w:tc>
        <w:tc>
          <w:tcPr>
            <w:tcW w:type="dxa" w:w="4968"/>
            <w:vAlign w:val="center"/>
            <w:shd w:fill="F5F8FB"/>
            <w:top w:w="100" w:type="dxa"/>
            <w:start w:w="100" w:type="dxa"/>
            <w:bottom w:w="100" w:type="dxa"/>
            <w:end w:w="100" w:type="dxa"/>
          </w:tcPr>
          <w:p>
            <w:pPr>
              <w:spacing w:after="60" w:before="60"/>
            </w:pPr>
            <w:r>
              <w:rPr>
                <w:b w:val="0"/>
                <w:color w:val="212F3F"/>
                <w:sz w:val="18"/>
              </w:rPr>
              <w:t>12 months after the Residential Phase</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Cycle 27-1 and subsequent cycles</w:t>
            </w:r>
          </w:p>
        </w:tc>
        <w:tc>
          <w:tcPr>
            <w:tcW w:type="dxa" w:w="4968"/>
            <w:vAlign w:val="center"/>
            <w:shd w:fill="EAF1F7"/>
            <w:top w:w="100" w:type="dxa"/>
            <w:start w:w="100" w:type="dxa"/>
            <w:bottom w:w="100" w:type="dxa"/>
            <w:end w:w="100" w:type="dxa"/>
          </w:tcPr>
          <w:p>
            <w:pPr>
              <w:spacing w:after="60" w:before="60"/>
            </w:pPr>
            <w:r>
              <w:rPr>
                <w:b w:val="0"/>
                <w:color w:val="212F3F"/>
                <w:sz w:val="18"/>
              </w:rPr>
              <w:t>24 months after the Residential Phase</w:t>
            </w:r>
          </w:p>
        </w:tc>
      </w:tr>
    </w:tbl>
    <w:p>
      <w:pPr>
        <w:spacing w:after="0"/>
      </w:pPr>
    </w:p>
    <w:p>
      <w:pPr>
        <w:pStyle w:val="Heading1"/>
      </w:pPr>
      <w:r>
        <w:t>Frequently Asked Questions</w:t>
      </w:r>
    </w:p>
    <w:tbl>
      <w:tblPr>
        <w:tblW w:type="auto" w:w="0"/>
        <w:jc w:val="center"/>
        <w:tblLayout w:type="fixed"/>
        <w:tblLook w:firstColumn="1" w:firstRow="1" w:lastColumn="0" w:lastRow="0" w:noHBand="0" w:noVBand="1" w:val="04A0"/>
      </w:tblPr>
      <w:tblGrid>
        <w:gridCol w:w="4968"/>
        <w:gridCol w:w="4968"/>
      </w:tblGrid>
      <w:tr>
        <w:trPr>
          <w:cantSplit/>
        </w:trPr>
        <w:tc>
          <w:tcPr>
            <w:tcW w:type="dxa" w:w="4968"/>
            <w:vAlign w:val="center"/>
            <w:shd w:fill="143657"/>
            <w:top w:w="100" w:type="dxa"/>
            <w:start w:w="100" w:type="dxa"/>
            <w:bottom w:w="100" w:type="dxa"/>
            <w:end w:w="100" w:type="dxa"/>
          </w:tcPr>
          <w:p>
            <w:pPr>
              <w:spacing w:after="60" w:before="60"/>
            </w:pPr>
            <w:r>
              <w:rPr>
                <w:b/>
                <w:color w:val="FFFFFF"/>
                <w:sz w:val="18"/>
              </w:rPr>
              <w:t>QUESTION</w:t>
            </w:r>
          </w:p>
        </w:tc>
        <w:tc>
          <w:tcPr>
            <w:tcW w:type="dxa" w:w="4968"/>
            <w:vAlign w:val="center"/>
            <w:shd w:fill="143657"/>
            <w:top w:w="100" w:type="dxa"/>
            <w:start w:w="100" w:type="dxa"/>
            <w:bottom w:w="100" w:type="dxa"/>
            <w:end w:w="100" w:type="dxa"/>
          </w:tcPr>
          <w:p>
            <w:pPr>
              <w:spacing w:after="60" w:before="60"/>
            </w:pPr>
            <w:r>
              <w:rPr>
                <w:b/>
                <w:color w:val="FFFFFF"/>
                <w:sz w:val="18"/>
              </w:rPr>
              <w:t>ANSWER</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Is Post-Residential required?</w:t>
            </w:r>
          </w:p>
        </w:tc>
        <w:tc>
          <w:tcPr>
            <w:tcW w:type="dxa" w:w="4968"/>
            <w:vAlign w:val="center"/>
            <w:shd w:fill="F5F8FB"/>
            <w:top w:w="100" w:type="dxa"/>
            <w:start w:w="100" w:type="dxa"/>
            <w:bottom w:w="100" w:type="dxa"/>
            <w:end w:w="100" w:type="dxa"/>
          </w:tcPr>
          <w:p>
            <w:pPr>
              <w:spacing w:after="60" w:before="60"/>
            </w:pPr>
            <w:r>
              <w:rPr>
                <w:b w:val="0"/>
                <w:color w:val="212F3F"/>
                <w:sz w:val="18"/>
              </w:rPr>
              <w:t>Yes. Graduates are expected to meet productivity, reporting, placement-verification, and Action Plan requirements.</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Can school, work, and volunteering be combined?</w:t>
            </w:r>
          </w:p>
        </w:tc>
        <w:tc>
          <w:tcPr>
            <w:tcW w:type="dxa" w:w="4968"/>
            <w:vAlign w:val="center"/>
            <w:shd w:fill="EAF1F7"/>
            <w:top w:w="100" w:type="dxa"/>
            <w:start w:w="100" w:type="dxa"/>
            <w:bottom w:w="100" w:type="dxa"/>
            <w:end w:w="100" w:type="dxa"/>
          </w:tcPr>
          <w:p>
            <w:pPr>
              <w:spacing w:after="60" w:before="60"/>
            </w:pPr>
            <w:r>
              <w:rPr>
                <w:b w:val="0"/>
                <w:color w:val="212F3F"/>
                <w:sz w:val="18"/>
              </w:rPr>
              <w:t>Yes. Qualifying activities may be combined to meet 25 productive hours per week.</w:t>
            </w:r>
          </w:p>
        </w:tc>
      </w:tr>
      <w:tr>
        <w:trPr>
          <w:cantSplit/>
        </w:trPr>
        <w:tc>
          <w:tcPr>
            <w:tcW w:type="dxa" w:w="4968"/>
            <w:vAlign w:val="center"/>
            <w:shd w:fill="F5F8FB"/>
            <w:top w:w="100" w:type="dxa"/>
            <w:start w:w="100" w:type="dxa"/>
            <w:bottom w:w="100" w:type="dxa"/>
            <w:end w:w="100" w:type="dxa"/>
          </w:tcPr>
          <w:p>
            <w:pPr>
              <w:spacing w:after="60" w:before="60"/>
            </w:pPr>
            <w:r>
              <w:rPr>
                <w:b w:val="0"/>
                <w:color w:val="212F3F"/>
                <w:sz w:val="18"/>
              </w:rPr>
              <w:t>What happens if a placement changes?</w:t>
            </w:r>
          </w:p>
        </w:tc>
        <w:tc>
          <w:tcPr>
            <w:tcW w:type="dxa" w:w="4968"/>
            <w:vAlign w:val="center"/>
            <w:shd w:fill="F5F8FB"/>
            <w:top w:w="100" w:type="dxa"/>
            <w:start w:w="100" w:type="dxa"/>
            <w:bottom w:w="100" w:type="dxa"/>
            <w:end w:w="100" w:type="dxa"/>
          </w:tcPr>
          <w:p>
            <w:pPr>
              <w:spacing w:after="60" w:before="60"/>
            </w:pPr>
            <w:r>
              <w:rPr>
                <w:b w:val="0"/>
                <w:color w:val="212F3F"/>
                <w:sz w:val="18"/>
              </w:rPr>
              <w:t>Notify the assigned Case Manager to discuss next steps, update documentation, and revise the Action Plan if needed.</w:t>
            </w:r>
          </w:p>
        </w:tc>
      </w:tr>
      <w:tr>
        <w:trPr>
          <w:cantSplit/>
        </w:trPr>
        <w:tc>
          <w:tcPr>
            <w:tcW w:type="dxa" w:w="4968"/>
            <w:vAlign w:val="center"/>
            <w:shd w:fill="EAF1F7"/>
            <w:top w:w="100" w:type="dxa"/>
            <w:start w:w="100" w:type="dxa"/>
            <w:bottom w:w="100" w:type="dxa"/>
            <w:end w:w="100" w:type="dxa"/>
          </w:tcPr>
          <w:p>
            <w:pPr>
              <w:spacing w:after="60" w:before="60"/>
            </w:pPr>
            <w:r>
              <w:rPr>
                <w:b w:val="0"/>
                <w:color w:val="212F3F"/>
                <w:sz w:val="18"/>
              </w:rPr>
              <w:t>What can families do?</w:t>
            </w:r>
          </w:p>
        </w:tc>
        <w:tc>
          <w:tcPr>
            <w:tcW w:type="dxa" w:w="4968"/>
            <w:vAlign w:val="center"/>
            <w:shd w:fill="EAF1F7"/>
            <w:top w:w="100" w:type="dxa"/>
            <w:start w:w="100" w:type="dxa"/>
            <w:bottom w:w="100" w:type="dxa"/>
            <w:end w:w="100" w:type="dxa"/>
          </w:tcPr>
          <w:p>
            <w:pPr>
              <w:spacing w:after="60" w:before="60"/>
            </w:pPr>
            <w:r>
              <w:rPr>
                <w:b w:val="0"/>
                <w:color w:val="212F3F"/>
                <w:sz w:val="18"/>
              </w:rPr>
              <w:t>Encourage follow-through, help graduates stay organized, and support communication with the Case Manager.</w:t>
            </w:r>
          </w:p>
        </w:tc>
      </w:tr>
    </w:tbl>
    <w:p>
      <w:pPr>
        <w:spacing w:after="0"/>
      </w:pPr>
    </w:p>
    <w:p>
      <w:pPr>
        <w:pStyle w:val="Heading2"/>
      </w:pPr>
      <w:r>
        <w:t>More Than a Residential Program</w:t>
      </w:r>
    </w:p>
    <w:p>
      <w:r>
        <w:t>BBYCA is committed to helping Nevada youth build meaningful futures beyond graduation. Post-Residential helps graduates turn their plans into action—with expectations, support, and a connection to the Academy as they take their next steps.</w:t>
      </w:r>
    </w:p>
    <w:sectPr w:rsidR="00FC693F" w:rsidRPr="0006063C" w:rsidSect="00034616">
      <w:pgSz w:w="12240" w:h="15840"/>
      <w:pgMar w:top="936" w:right="1152" w:bottom="936" w:left="1152"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430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D3052"/>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D305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0D3052"/>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