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6249"/>
          <w:sz w:val="20"/>
        </w:rPr>
        <w:t>KINDRED HOME</w:t>
      </w:r>
    </w:p>
    <w:p>
      <w:pPr>
        <w:spacing w:after="800"/>
      </w:pPr>
    </w:p>
    <w:p>
      <w:pPr>
        <w:spacing w:line="240" w:lineRule="auto"/>
        <w:jc w:val="center"/>
      </w:pPr>
      <w:r>
        <w:rPr>
          <w:b/>
          <w:color w:val="353F1D"/>
          <w:sz w:val="56"/>
        </w:rPr>
        <w:t>Buyer Content</w:t>
        <w:br/>
        <w:t>Consistency Review</w:t>
      </w:r>
    </w:p>
    <w:p>
      <w:pPr>
        <w:jc w:val="center"/>
      </w:pPr>
      <w:r>
        <w:rPr>
          <w:color w:val="686864"/>
          <w:sz w:val="22"/>
        </w:rPr>
        <w:t>Buying page · Buyer guide (web) · First-time buyer checklist (web and PDF) · Printed Buyer Experience</w:t>
      </w:r>
    </w:p>
    <w:p>
      <w:pPr>
        <w:spacing w:after="800"/>
      </w:pPr>
    </w:p>
    <w:p>
      <w:pPr>
        <w:pStyle w:val="Heading2"/>
      </w:pPr>
      <w:r>
        <w:t>Purpose</w:t>
      </w:r>
    </w:p>
    <w:p>
      <w:r>
        <w:t>Create one recognizable Kindred Home buying system without forcing every format to carry the same amount of information. The printed guide should orient and reassure, the web guide should explain, and the checklist should prompt action.</w:t>
      </w:r>
    </w:p>
    <w:p>
      <w:r>
        <w:t>Reviewed August 19, 2026</w:t>
      </w:r>
    </w:p>
    <w:p>
      <w:r>
        <w:br w:type="page"/>
      </w:r>
    </w:p>
    <w:p>
      <w:pPr>
        <w:pStyle w:val="Heading1"/>
      </w:pPr>
      <w:r>
        <w:t>1. Recommended content system</w:t>
      </w:r>
    </w:p>
    <w:tbl>
      <w:tblPr>
        <w:tblStyle w:val="TableGrid"/>
        <w:tblW w:type="auto" w:w="0"/>
        <w:tblLook w:firstColumn="1" w:firstRow="1" w:lastColumn="0" w:lastRow="0" w:noHBand="0" w:noVBand="1" w:val="04A0"/>
      </w:tblPr>
      <w:tblGrid>
        <w:gridCol w:w="3312"/>
        <w:gridCol w:w="3312"/>
        <w:gridCol w:w="3312"/>
      </w:tblGrid>
      <w:tr>
        <w:tc>
          <w:tcPr>
            <w:tcW w:type="dxa" w:w="3312"/>
            <w:shd w:fill="F3F1EC"/>
          </w:tcPr>
          <w:p>
            <w:r>
              <w:rPr>
                <w:b/>
                <w:color w:val="353F1D"/>
              </w:rPr>
              <w:t>Asset</w:t>
            </w:r>
          </w:p>
        </w:tc>
        <w:tc>
          <w:tcPr>
            <w:tcW w:type="dxa" w:w="3312"/>
            <w:shd w:fill="F3F1EC"/>
          </w:tcPr>
          <w:p>
            <w:r>
              <w:rPr>
                <w:b/>
                <w:color w:val="353F1D"/>
              </w:rPr>
              <w:t>Primary job</w:t>
            </w:r>
          </w:p>
        </w:tc>
        <w:tc>
          <w:tcPr>
            <w:tcW w:type="dxa" w:w="3312"/>
            <w:shd w:fill="F3F1EC"/>
          </w:tcPr>
          <w:p>
            <w:r>
              <w:rPr>
                <w:b/>
                <w:color w:val="353F1D"/>
              </w:rPr>
              <w:t>What belongs there</w:t>
            </w:r>
          </w:p>
        </w:tc>
      </w:tr>
      <w:tr>
        <w:tc>
          <w:tcPr>
            <w:tcW w:type="dxa" w:w="2016"/>
          </w:tcPr>
          <w:p>
            <w:pPr>
              <w:spacing w:after="60"/>
            </w:pPr>
            <w:r>
              <w:rPr>
                <w:rFonts w:ascii="Arial" w:hAnsi="Arial"/>
                <w:sz w:val="16"/>
              </w:rPr>
              <w:t>Buying page</w:t>
            </w:r>
          </w:p>
        </w:tc>
        <w:tc>
          <w:tcPr>
            <w:tcW w:type="dxa" w:w="2592"/>
          </w:tcPr>
          <w:p>
            <w:pPr>
              <w:spacing w:after="60"/>
            </w:pPr>
            <w:r>
              <w:rPr>
                <w:rFonts w:ascii="Arial" w:hAnsi="Arial"/>
                <w:sz w:val="16"/>
              </w:rPr>
              <w:t>Invite and orient</w:t>
            </w:r>
          </w:p>
        </w:tc>
        <w:tc>
          <w:tcPr>
            <w:tcW w:type="dxa" w:w="5184"/>
          </w:tcPr>
          <w:p>
            <w:pPr>
              <w:spacing w:after="60"/>
            </w:pPr>
            <w:r>
              <w:rPr>
                <w:rFonts w:ascii="Arial" w:hAnsi="Arial"/>
                <w:sz w:val="16"/>
              </w:rPr>
              <w:t>The promise, a simple path, selected checkpoints and links to deeper resources.</w:t>
            </w:r>
          </w:p>
        </w:tc>
      </w:tr>
      <w:tr>
        <w:tc>
          <w:tcPr>
            <w:tcW w:type="dxa" w:w="2016"/>
          </w:tcPr>
          <w:p>
            <w:pPr>
              <w:spacing w:after="60"/>
            </w:pPr>
            <w:r>
              <w:rPr>
                <w:rFonts w:ascii="Arial" w:hAnsi="Arial"/>
                <w:sz w:val="16"/>
              </w:rPr>
              <w:t>Buyer Experience booklet</w:t>
            </w:r>
          </w:p>
        </w:tc>
        <w:tc>
          <w:tcPr>
            <w:tcW w:type="dxa" w:w="2592"/>
          </w:tcPr>
          <w:p>
            <w:pPr>
              <w:spacing w:after="60"/>
            </w:pPr>
            <w:r>
              <w:rPr>
                <w:rFonts w:ascii="Arial" w:hAnsi="Arial"/>
                <w:sz w:val="16"/>
              </w:rPr>
              <w:t>Guide the consultation and remain useful afterward</w:t>
            </w:r>
          </w:p>
        </w:tc>
        <w:tc>
          <w:tcPr>
            <w:tcW w:type="dxa" w:w="5184"/>
          </w:tcPr>
          <w:p>
            <w:pPr>
              <w:spacing w:after="60"/>
            </w:pPr>
            <w:r>
              <w:rPr>
                <w:rFonts w:ascii="Arial" w:hAnsi="Arial"/>
                <w:sz w:val="16"/>
              </w:rPr>
              <w:t>The narrative, decision framework, roles, core terminology and evergreen cautions. Minimal writing space.</w:t>
            </w:r>
          </w:p>
        </w:tc>
      </w:tr>
      <w:tr>
        <w:tc>
          <w:tcPr>
            <w:tcW w:type="dxa" w:w="2016"/>
          </w:tcPr>
          <w:p>
            <w:pPr>
              <w:spacing w:after="60"/>
            </w:pPr>
            <w:r>
              <w:rPr>
                <w:rFonts w:ascii="Arial" w:hAnsi="Arial"/>
                <w:sz w:val="16"/>
              </w:rPr>
              <w:t>Buyer guide — web</w:t>
            </w:r>
          </w:p>
        </w:tc>
        <w:tc>
          <w:tcPr>
            <w:tcW w:type="dxa" w:w="2592"/>
          </w:tcPr>
          <w:p>
            <w:pPr>
              <w:spacing w:after="60"/>
            </w:pPr>
            <w:r>
              <w:rPr>
                <w:rFonts w:ascii="Arial" w:hAnsi="Arial"/>
                <w:sz w:val="16"/>
              </w:rPr>
              <w:t>Explain in depth</w:t>
            </w:r>
          </w:p>
        </w:tc>
        <w:tc>
          <w:tcPr>
            <w:tcW w:type="dxa" w:w="5184"/>
          </w:tcPr>
          <w:p>
            <w:pPr>
              <w:spacing w:after="60"/>
            </w:pPr>
            <w:r>
              <w:rPr>
                <w:rFonts w:ascii="Arial" w:hAnsi="Arial"/>
                <w:sz w:val="16"/>
              </w:rPr>
              <w:t>Detailed process content, property-type considerations, official links and expandable supporting information.</w:t>
            </w:r>
          </w:p>
        </w:tc>
      </w:tr>
      <w:tr>
        <w:tc>
          <w:tcPr>
            <w:tcW w:type="dxa" w:w="2016"/>
          </w:tcPr>
          <w:p>
            <w:pPr>
              <w:spacing w:after="60"/>
            </w:pPr>
            <w:r>
              <w:rPr>
                <w:rFonts w:ascii="Arial" w:hAnsi="Arial"/>
                <w:sz w:val="16"/>
              </w:rPr>
              <w:t>Checklist — web</w:t>
            </w:r>
          </w:p>
        </w:tc>
        <w:tc>
          <w:tcPr>
            <w:tcW w:type="dxa" w:w="2592"/>
          </w:tcPr>
          <w:p>
            <w:pPr>
              <w:spacing w:after="60"/>
            </w:pPr>
            <w:r>
              <w:rPr>
                <w:rFonts w:ascii="Arial" w:hAnsi="Arial"/>
                <w:sz w:val="16"/>
              </w:rPr>
              <w:t>Track and update</w:t>
            </w:r>
          </w:p>
        </w:tc>
        <w:tc>
          <w:tcPr>
            <w:tcW w:type="dxa" w:w="5184"/>
          </w:tcPr>
          <w:p>
            <w:pPr>
              <w:spacing w:after="60"/>
            </w:pPr>
            <w:r>
              <w:rPr>
                <w:rFonts w:ascii="Arial" w:hAnsi="Arial"/>
                <w:sz w:val="16"/>
              </w:rPr>
              <w:t>Actions, current program figures, purchase-date tracker and links to official sources.</w:t>
            </w:r>
          </w:p>
        </w:tc>
      </w:tr>
      <w:tr>
        <w:tc>
          <w:tcPr>
            <w:tcW w:type="dxa" w:w="2016"/>
          </w:tcPr>
          <w:p>
            <w:pPr>
              <w:spacing w:after="60"/>
            </w:pPr>
            <w:r>
              <w:rPr>
                <w:rFonts w:ascii="Arial" w:hAnsi="Arial"/>
                <w:sz w:val="16"/>
              </w:rPr>
              <w:t>Checklist — PDF</w:t>
            </w:r>
          </w:p>
        </w:tc>
        <w:tc>
          <w:tcPr>
            <w:tcW w:type="dxa" w:w="2592"/>
          </w:tcPr>
          <w:p>
            <w:pPr>
              <w:spacing w:after="60"/>
            </w:pPr>
            <w:r>
              <w:rPr>
                <w:rFonts w:ascii="Arial" w:hAnsi="Arial"/>
                <w:sz w:val="16"/>
              </w:rPr>
              <w:t>Use during the purchase</w:t>
            </w:r>
          </w:p>
        </w:tc>
        <w:tc>
          <w:tcPr>
            <w:tcW w:type="dxa" w:w="5184"/>
          </w:tcPr>
          <w:p>
            <w:pPr>
              <w:spacing w:after="60"/>
            </w:pPr>
            <w:r>
              <w:rPr>
                <w:rFonts w:ascii="Arial" w:hAnsi="Arial"/>
                <w:sz w:val="16"/>
              </w:rPr>
              <w:t>Portable checkboxes, dates, contacts and concise cautions. Current figures remain online.</w:t>
            </w:r>
          </w:p>
        </w:tc>
      </w:tr>
      <w:tr>
        <w:tc>
          <w:tcPr>
            <w:tcW w:type="dxa" w:w="2016"/>
          </w:tcPr>
          <w:p>
            <w:pPr>
              <w:spacing w:after="60"/>
            </w:pPr>
            <w:r>
              <w:rPr>
                <w:rFonts w:ascii="Arial" w:hAnsi="Arial"/>
                <w:sz w:val="16"/>
              </w:rPr>
              <w:t>Consultation questionnaire</w:t>
            </w:r>
          </w:p>
        </w:tc>
        <w:tc>
          <w:tcPr>
            <w:tcW w:type="dxa" w:w="2592"/>
          </w:tcPr>
          <w:p>
            <w:pPr>
              <w:spacing w:after="60"/>
            </w:pPr>
            <w:r>
              <w:rPr>
                <w:rFonts w:ascii="Arial" w:hAnsi="Arial"/>
                <w:sz w:val="16"/>
              </w:rPr>
              <w:t>Capture personal information</w:t>
            </w:r>
          </w:p>
        </w:tc>
        <w:tc>
          <w:tcPr>
            <w:tcW w:type="dxa" w:w="5184"/>
          </w:tcPr>
          <w:p>
            <w:pPr>
              <w:spacing w:after="60"/>
            </w:pPr>
            <w:r>
              <w:rPr>
                <w:rFonts w:ascii="Arial" w:hAnsi="Arial"/>
                <w:sz w:val="16"/>
              </w:rPr>
              <w:t>Priorities, timing, financing status, communication preferences, concerns and live notes.</w:t>
            </w:r>
          </w:p>
        </w:tc>
      </w:tr>
    </w:tbl>
    <w:p/>
    <w:p>
      <w:pPr>
        <w:pStyle w:val="Heading2"/>
      </w:pPr>
      <w:r>
        <w:t>Editorial principle</w:t>
      </w:r>
    </w:p>
    <w:p>
      <w:r>
        <w:t>Repeat the framework, not every paragraph. A buyer should recognize the same advice and terminology everywhere, while each asset does a different job.</w:t>
      </w:r>
    </w:p>
    <w:p>
      <w:pPr>
        <w:pStyle w:val="Heading2"/>
      </w:pPr>
      <w:r>
        <w:t>Shared process backbone</w:t>
      </w:r>
    </w:p>
    <w:p>
      <w:r>
        <w:t>Use these milestone names as the common internal map. The booklet can retain expressive section titles while the websites and checklist use plainer labels.</w:t>
      </w:r>
    </w:p>
    <w:tbl>
      <w:tblPr>
        <w:tblStyle w:val="TableGrid"/>
        <w:tblW w:type="auto" w:w="0"/>
        <w:tblLook w:firstColumn="1" w:firstRow="1" w:lastColumn="0" w:lastRow="0" w:noHBand="0" w:noVBand="1" w:val="04A0"/>
      </w:tblPr>
      <w:tblGrid>
        <w:gridCol w:w="3312"/>
        <w:gridCol w:w="3312"/>
        <w:gridCol w:w="3312"/>
      </w:tblGrid>
      <w:tr>
        <w:tc>
          <w:tcPr>
            <w:tcW w:type="dxa" w:w="3312"/>
            <w:shd w:fill="F3F1EC"/>
          </w:tcPr>
          <w:p>
            <w:r>
              <w:rPr>
                <w:b/>
                <w:color w:val="353F1D"/>
              </w:rPr>
              <w:t>Milestone</w:t>
            </w:r>
          </w:p>
        </w:tc>
        <w:tc>
          <w:tcPr>
            <w:tcW w:type="dxa" w:w="3312"/>
            <w:shd w:fill="F3F1EC"/>
          </w:tcPr>
          <w:p>
            <w:r>
              <w:rPr>
                <w:b/>
                <w:color w:val="353F1D"/>
              </w:rPr>
              <w:t>Plain-language label</w:t>
            </w:r>
          </w:p>
        </w:tc>
        <w:tc>
          <w:tcPr>
            <w:tcW w:type="dxa" w:w="3312"/>
            <w:shd w:fill="F3F1EC"/>
          </w:tcPr>
          <w:p>
            <w:r>
              <w:rPr>
                <w:b/>
                <w:color w:val="353F1D"/>
              </w:rPr>
              <w:t>Printed expression</w:t>
            </w:r>
          </w:p>
        </w:tc>
      </w:tr>
      <w:tr>
        <w:tc>
          <w:tcPr>
            <w:tcW w:type="dxa" w:w="1008"/>
          </w:tcPr>
          <w:p>
            <w:pPr>
              <w:spacing w:after="60"/>
            </w:pPr>
            <w:r>
              <w:rPr>
                <w:rFonts w:ascii="Arial" w:hAnsi="Arial"/>
                <w:sz w:val="16"/>
              </w:rPr>
              <w:t>1</w:t>
            </w:r>
          </w:p>
        </w:tc>
        <w:tc>
          <w:tcPr>
            <w:tcW w:type="dxa" w:w="3168"/>
          </w:tcPr>
          <w:p>
            <w:pPr>
              <w:spacing w:after="60"/>
            </w:pPr>
            <w:r>
              <w:rPr>
                <w:rFonts w:ascii="Arial" w:hAnsi="Arial"/>
                <w:sz w:val="16"/>
              </w:rPr>
              <w:t>Prepare</w:t>
            </w:r>
          </w:p>
        </w:tc>
        <w:tc>
          <w:tcPr>
            <w:tcW w:type="dxa" w:w="5616"/>
          </w:tcPr>
          <w:p>
            <w:pPr>
              <w:spacing w:after="60"/>
            </w:pPr>
            <w:r>
              <w:rPr>
                <w:rFonts w:ascii="Arial" w:hAnsi="Arial"/>
                <w:sz w:val="16"/>
              </w:rPr>
              <w:t>Start with you · Prepare financially</w:t>
            </w:r>
          </w:p>
        </w:tc>
      </w:tr>
      <w:tr>
        <w:tc>
          <w:tcPr>
            <w:tcW w:type="dxa" w:w="1008"/>
          </w:tcPr>
          <w:p>
            <w:pPr>
              <w:spacing w:after="60"/>
            </w:pPr>
            <w:r>
              <w:rPr>
                <w:rFonts w:ascii="Arial" w:hAnsi="Arial"/>
                <w:sz w:val="16"/>
              </w:rPr>
              <w:t>2</w:t>
            </w:r>
          </w:p>
        </w:tc>
        <w:tc>
          <w:tcPr>
            <w:tcW w:type="dxa" w:w="3168"/>
          </w:tcPr>
          <w:p>
            <w:pPr>
              <w:spacing w:after="60"/>
            </w:pPr>
            <w:r>
              <w:rPr>
                <w:rFonts w:ascii="Arial" w:hAnsi="Arial"/>
                <w:sz w:val="16"/>
              </w:rPr>
              <w:t>Plan the search</w:t>
            </w:r>
          </w:p>
        </w:tc>
        <w:tc>
          <w:tcPr>
            <w:tcW w:type="dxa" w:w="5616"/>
          </w:tcPr>
          <w:p>
            <w:pPr>
              <w:spacing w:after="60"/>
            </w:pPr>
            <w:r>
              <w:rPr>
                <w:rFonts w:ascii="Arial" w:hAnsi="Arial"/>
                <w:sz w:val="16"/>
              </w:rPr>
              <w:t>Build the plan</w:t>
            </w:r>
          </w:p>
        </w:tc>
      </w:tr>
      <w:tr>
        <w:tc>
          <w:tcPr>
            <w:tcW w:type="dxa" w:w="1008"/>
          </w:tcPr>
          <w:p>
            <w:pPr>
              <w:spacing w:after="60"/>
            </w:pPr>
            <w:r>
              <w:rPr>
                <w:rFonts w:ascii="Arial" w:hAnsi="Arial"/>
                <w:sz w:val="16"/>
              </w:rPr>
              <w:t>3</w:t>
            </w:r>
          </w:p>
        </w:tc>
        <w:tc>
          <w:tcPr>
            <w:tcW w:type="dxa" w:w="3168"/>
          </w:tcPr>
          <w:p>
            <w:pPr>
              <w:spacing w:after="60"/>
            </w:pPr>
            <w:r>
              <w:rPr>
                <w:rFonts w:ascii="Arial" w:hAnsi="Arial"/>
                <w:sz w:val="16"/>
              </w:rPr>
              <w:t>Tour and learn</w:t>
            </w:r>
          </w:p>
        </w:tc>
        <w:tc>
          <w:tcPr>
            <w:tcW w:type="dxa" w:w="5616"/>
          </w:tcPr>
          <w:p>
            <w:pPr>
              <w:spacing w:after="60"/>
            </w:pPr>
            <w:r>
              <w:rPr>
                <w:rFonts w:ascii="Arial" w:hAnsi="Arial"/>
                <w:sz w:val="16"/>
              </w:rPr>
              <w:t>Find the right home</w:t>
            </w:r>
          </w:p>
        </w:tc>
      </w:tr>
      <w:tr>
        <w:tc>
          <w:tcPr>
            <w:tcW w:type="dxa" w:w="1008"/>
          </w:tcPr>
          <w:p>
            <w:pPr>
              <w:spacing w:after="60"/>
            </w:pPr>
            <w:r>
              <w:rPr>
                <w:rFonts w:ascii="Arial" w:hAnsi="Arial"/>
                <w:sz w:val="16"/>
              </w:rPr>
              <w:t>4</w:t>
            </w:r>
          </w:p>
        </w:tc>
        <w:tc>
          <w:tcPr>
            <w:tcW w:type="dxa" w:w="3168"/>
          </w:tcPr>
          <w:p>
            <w:pPr>
              <w:spacing w:after="60"/>
            </w:pPr>
            <w:r>
              <w:rPr>
                <w:rFonts w:ascii="Arial" w:hAnsi="Arial"/>
                <w:sz w:val="16"/>
              </w:rPr>
              <w:t>Prepare the offer</w:t>
            </w:r>
          </w:p>
        </w:tc>
        <w:tc>
          <w:tcPr>
            <w:tcW w:type="dxa" w:w="5616"/>
          </w:tcPr>
          <w:p>
            <w:pPr>
              <w:spacing w:after="60"/>
            </w:pPr>
            <w:r>
              <w:rPr>
                <w:rFonts w:ascii="Arial" w:hAnsi="Arial"/>
                <w:sz w:val="16"/>
              </w:rPr>
              <w:t>Make your move</w:t>
            </w:r>
          </w:p>
        </w:tc>
      </w:tr>
      <w:tr>
        <w:tc>
          <w:tcPr>
            <w:tcW w:type="dxa" w:w="1008"/>
          </w:tcPr>
          <w:p>
            <w:pPr>
              <w:spacing w:after="60"/>
            </w:pPr>
            <w:r>
              <w:rPr>
                <w:rFonts w:ascii="Arial" w:hAnsi="Arial"/>
                <w:sz w:val="16"/>
              </w:rPr>
              <w:t>5</w:t>
            </w:r>
          </w:p>
        </w:tc>
        <w:tc>
          <w:tcPr>
            <w:tcW w:type="dxa" w:w="3168"/>
          </w:tcPr>
          <w:p>
            <w:pPr>
              <w:spacing w:after="60"/>
            </w:pPr>
            <w:r>
              <w:rPr>
                <w:rFonts w:ascii="Arial" w:hAnsi="Arial"/>
                <w:sz w:val="16"/>
              </w:rPr>
              <w:t>Complete due diligence</w:t>
            </w:r>
          </w:p>
        </w:tc>
        <w:tc>
          <w:tcPr>
            <w:tcW w:type="dxa" w:w="5616"/>
          </w:tcPr>
          <w:p>
            <w:pPr>
              <w:spacing w:after="60"/>
            </w:pPr>
            <w:r>
              <w:rPr>
                <w:rFonts w:ascii="Arial" w:hAnsi="Arial"/>
                <w:sz w:val="16"/>
              </w:rPr>
              <w:t>Due diligence</w:t>
            </w:r>
          </w:p>
        </w:tc>
      </w:tr>
      <w:tr>
        <w:tc>
          <w:tcPr>
            <w:tcW w:type="dxa" w:w="1008"/>
          </w:tcPr>
          <w:p>
            <w:pPr>
              <w:spacing w:after="60"/>
            </w:pPr>
            <w:r>
              <w:rPr>
                <w:rFonts w:ascii="Arial" w:hAnsi="Arial"/>
                <w:sz w:val="16"/>
              </w:rPr>
              <w:t>6</w:t>
            </w:r>
          </w:p>
        </w:tc>
        <w:tc>
          <w:tcPr>
            <w:tcW w:type="dxa" w:w="3168"/>
          </w:tcPr>
          <w:p>
            <w:pPr>
              <w:spacing w:after="60"/>
            </w:pPr>
            <w:r>
              <w:rPr>
                <w:rFonts w:ascii="Arial" w:hAnsi="Arial"/>
                <w:sz w:val="16"/>
              </w:rPr>
              <w:t>Prepare for closing</w:t>
            </w:r>
          </w:p>
        </w:tc>
        <w:tc>
          <w:tcPr>
            <w:tcW w:type="dxa" w:w="5616"/>
          </w:tcPr>
          <w:p>
            <w:pPr>
              <w:spacing w:after="60"/>
            </w:pPr>
            <w:r>
              <w:rPr>
                <w:rFonts w:ascii="Arial" w:hAnsi="Arial"/>
                <w:sz w:val="16"/>
              </w:rPr>
              <w:t>From a firm agreement to closing day</w:t>
            </w:r>
          </w:p>
        </w:tc>
      </w:tr>
      <w:tr>
        <w:tc>
          <w:tcPr>
            <w:tcW w:type="dxa" w:w="1008"/>
          </w:tcPr>
          <w:p>
            <w:pPr>
              <w:spacing w:after="60"/>
            </w:pPr>
            <w:r>
              <w:rPr>
                <w:rFonts w:ascii="Arial" w:hAnsi="Arial"/>
                <w:sz w:val="16"/>
              </w:rPr>
              <w:t>7</w:t>
            </w:r>
          </w:p>
        </w:tc>
        <w:tc>
          <w:tcPr>
            <w:tcW w:type="dxa" w:w="3168"/>
          </w:tcPr>
          <w:p>
            <w:pPr>
              <w:spacing w:after="60"/>
            </w:pPr>
            <w:r>
              <w:rPr>
                <w:rFonts w:ascii="Arial" w:hAnsi="Arial"/>
                <w:sz w:val="16"/>
              </w:rPr>
              <w:t>After closing</w:t>
            </w:r>
          </w:p>
        </w:tc>
        <w:tc>
          <w:tcPr>
            <w:tcW w:type="dxa" w:w="5616"/>
          </w:tcPr>
          <w:p>
            <w:pPr>
              <w:spacing w:after="60"/>
            </w:pPr>
            <w:r>
              <w:rPr>
                <w:rFonts w:ascii="Arial" w:hAnsi="Arial"/>
                <w:sz w:val="16"/>
              </w:rPr>
              <w:t>Welcome home</w:t>
            </w:r>
          </w:p>
        </w:tc>
      </w:tr>
    </w:tbl>
    <w:p/>
    <w:p>
      <w:r>
        <w:br w:type="page"/>
      </w:r>
    </w:p>
    <w:p>
      <w:pPr>
        <w:pStyle w:val="Heading1"/>
      </w:pPr>
      <w:r>
        <w:t>2. Issues to resolve</w:t>
      </w:r>
    </w:p>
    <w:tbl>
      <w:tblPr>
        <w:tblStyle w:val="TableGrid"/>
        <w:tblW w:type="auto" w:w="0"/>
        <w:tblLook w:firstColumn="1" w:firstRow="1" w:lastColumn="0" w:lastRow="0" w:noHBand="0" w:noVBand="1" w:val="04A0"/>
      </w:tblPr>
      <w:tblGrid>
        <w:gridCol w:w="3312"/>
        <w:gridCol w:w="3312"/>
        <w:gridCol w:w="3312"/>
      </w:tblGrid>
      <w:tr>
        <w:tc>
          <w:tcPr>
            <w:tcW w:type="dxa" w:w="3312"/>
            <w:shd w:fill="F3F1EC"/>
          </w:tcPr>
          <w:p>
            <w:r>
              <w:rPr>
                <w:b/>
                <w:color w:val="353F1D"/>
              </w:rPr>
              <w:t>Priority</w:t>
            </w:r>
          </w:p>
        </w:tc>
        <w:tc>
          <w:tcPr>
            <w:tcW w:type="dxa" w:w="3312"/>
            <w:shd w:fill="F3F1EC"/>
          </w:tcPr>
          <w:p>
            <w:r>
              <w:rPr>
                <w:b/>
                <w:color w:val="353F1D"/>
              </w:rPr>
              <w:t>Issue</w:t>
            </w:r>
          </w:p>
        </w:tc>
        <w:tc>
          <w:tcPr>
            <w:tcW w:type="dxa" w:w="3312"/>
            <w:shd w:fill="F3F1EC"/>
          </w:tcPr>
          <w:p>
            <w:r>
              <w:rPr>
                <w:b/>
                <w:color w:val="353F1D"/>
              </w:rPr>
              <w:t>Recommendation</w:t>
            </w:r>
          </w:p>
        </w:tc>
      </w:tr>
      <w:tr>
        <w:tc>
          <w:tcPr>
            <w:tcW w:type="dxa" w:w="1008"/>
          </w:tcPr>
          <w:p>
            <w:pPr>
              <w:spacing w:after="60"/>
            </w:pPr>
            <w:r>
              <w:rPr>
                <w:rFonts w:ascii="Arial" w:hAnsi="Arial"/>
                <w:sz w:val="16"/>
              </w:rPr>
              <w:t>High</w:t>
            </w:r>
          </w:p>
        </w:tc>
        <w:tc>
          <w:tcPr>
            <w:tcW w:type="dxa" w:w="4032"/>
          </w:tcPr>
          <w:p>
            <w:pPr>
              <w:spacing w:after="60"/>
            </w:pPr>
            <w:r>
              <w:rPr>
                <w:rFonts w:ascii="Arial" w:hAnsi="Arial"/>
                <w:sz w:val="16"/>
              </w:rPr>
              <w:t>The web buyer guide and both checklist versions name uncommon specialist reviews differently. The web checklist explicitly lists electrical, structural and environmental reviews; the PDF separately lists structural and environmental review.</w:t>
            </w:r>
          </w:p>
        </w:tc>
        <w:tc>
          <w:tcPr>
            <w:tcW w:type="dxa" w:w="4752"/>
          </w:tcPr>
          <w:p>
            <w:pPr>
              <w:spacing w:after="60"/>
            </w:pPr>
            <w:r>
              <w:rPr>
                <w:rFonts w:ascii="Arial" w:hAnsi="Arial"/>
                <w:sz w:val="16"/>
              </w:rPr>
              <w:t>Use “other property-specific or specialist review” as the standard umbrella. Name a specialist only when a property raises that question.</w:t>
            </w:r>
          </w:p>
        </w:tc>
      </w:tr>
      <w:tr>
        <w:tc>
          <w:tcPr>
            <w:tcW w:type="dxa" w:w="1008"/>
          </w:tcPr>
          <w:p>
            <w:pPr>
              <w:spacing w:after="60"/>
            </w:pPr>
            <w:r>
              <w:rPr>
                <w:rFonts w:ascii="Arial" w:hAnsi="Arial"/>
                <w:sz w:val="16"/>
              </w:rPr>
              <w:t>High</w:t>
            </w:r>
          </w:p>
        </w:tc>
        <w:tc>
          <w:tcPr>
            <w:tcW w:type="dxa" w:w="4032"/>
          </w:tcPr>
          <w:p>
            <w:pPr>
              <w:spacing w:after="60"/>
            </w:pPr>
            <w:r>
              <w:rPr>
                <w:rFonts w:ascii="Arial" w:hAnsi="Arial"/>
                <w:sz w:val="16"/>
              </w:rPr>
              <w:t>The assets use five, six, eight and ten numbered stages. Each sequence works alone, but cross-navigation can feel like a different system.</w:t>
            </w:r>
          </w:p>
        </w:tc>
        <w:tc>
          <w:tcPr>
            <w:tcW w:type="dxa" w:w="4752"/>
          </w:tcPr>
          <w:p>
            <w:pPr>
              <w:spacing w:after="60"/>
            </w:pPr>
            <w:r>
              <w:rPr>
                <w:rFonts w:ascii="Arial" w:hAnsi="Arial"/>
                <w:sz w:val="16"/>
              </w:rPr>
              <w:t>Keep format-specific counts, but map every page to the seven shared milestones. Use the same milestone vocabulary in cross-links.</w:t>
            </w:r>
          </w:p>
        </w:tc>
      </w:tr>
      <w:tr>
        <w:tc>
          <w:tcPr>
            <w:tcW w:type="dxa" w:w="1008"/>
          </w:tcPr>
          <w:p>
            <w:pPr>
              <w:spacing w:after="60"/>
            </w:pPr>
            <w:r>
              <w:rPr>
                <w:rFonts w:ascii="Arial" w:hAnsi="Arial"/>
                <w:sz w:val="16"/>
              </w:rPr>
              <w:t>High</w:t>
            </w:r>
          </w:p>
        </w:tc>
        <w:tc>
          <w:tcPr>
            <w:tcW w:type="dxa" w:w="4032"/>
          </w:tcPr>
          <w:p>
            <w:pPr>
              <w:spacing w:after="60"/>
            </w:pPr>
            <w:r>
              <w:rPr>
                <w:rFonts w:ascii="Arial" w:hAnsi="Arial"/>
                <w:sz w:val="16"/>
              </w:rPr>
              <w:t>The web checklist carries current program amounts while the PDF correctly sends readers online.</w:t>
            </w:r>
          </w:p>
        </w:tc>
        <w:tc>
          <w:tcPr>
            <w:tcW w:type="dxa" w:w="4752"/>
          </w:tcPr>
          <w:p>
            <w:pPr>
              <w:spacing w:after="60"/>
            </w:pPr>
            <w:r>
              <w:rPr>
                <w:rFonts w:ascii="Arial" w:hAnsi="Arial"/>
                <w:sz w:val="16"/>
              </w:rPr>
              <w:t>Keep changing amounts online, retain a visible “last reviewed” date and continue linking the PDF directly to that page.</w:t>
            </w:r>
          </w:p>
        </w:tc>
      </w:tr>
      <w:tr>
        <w:tc>
          <w:tcPr>
            <w:tcW w:type="dxa" w:w="1008"/>
          </w:tcPr>
          <w:p>
            <w:pPr>
              <w:spacing w:after="60"/>
            </w:pPr>
            <w:r>
              <w:rPr>
                <w:rFonts w:ascii="Arial" w:hAnsi="Arial"/>
                <w:sz w:val="16"/>
              </w:rPr>
              <w:t>Medium</w:t>
            </w:r>
          </w:p>
        </w:tc>
        <w:tc>
          <w:tcPr>
            <w:tcW w:type="dxa" w:w="4032"/>
          </w:tcPr>
          <w:p>
            <w:pPr>
              <w:spacing w:after="60"/>
            </w:pPr>
            <w:r>
              <w:rPr>
                <w:rFonts w:ascii="Arial" w:hAnsi="Arial"/>
                <w:sz w:val="16"/>
              </w:rPr>
              <w:t>“Preapproval,” “pre-approval” and related forms vary.</w:t>
            </w:r>
          </w:p>
        </w:tc>
        <w:tc>
          <w:tcPr>
            <w:tcW w:type="dxa" w:w="4752"/>
          </w:tcPr>
          <w:p>
            <w:pPr>
              <w:spacing w:after="60"/>
            </w:pPr>
            <w:r>
              <w:rPr>
                <w:rFonts w:ascii="Arial" w:hAnsi="Arial"/>
                <w:sz w:val="16"/>
              </w:rPr>
              <w:t>Standardize the noun to “pre-approval” and use “pre-approved” only as an adjective.</w:t>
            </w:r>
          </w:p>
        </w:tc>
      </w:tr>
      <w:tr>
        <w:tc>
          <w:tcPr>
            <w:tcW w:type="dxa" w:w="1008"/>
          </w:tcPr>
          <w:p>
            <w:pPr>
              <w:spacing w:after="60"/>
            </w:pPr>
            <w:r>
              <w:rPr>
                <w:rFonts w:ascii="Arial" w:hAnsi="Arial"/>
                <w:sz w:val="16"/>
              </w:rPr>
              <w:t>Medium</w:t>
            </w:r>
          </w:p>
        </w:tc>
        <w:tc>
          <w:tcPr>
            <w:tcW w:type="dxa" w:w="4032"/>
          </w:tcPr>
          <w:p>
            <w:pPr>
              <w:spacing w:after="60"/>
            </w:pPr>
            <w:r>
              <w:rPr>
                <w:rFonts w:ascii="Arial" w:hAnsi="Arial"/>
                <w:sz w:val="16"/>
              </w:rPr>
              <w:t>Visit language varies among viewing, showing, tour, final walkthrough and pre-closing visit.</w:t>
            </w:r>
          </w:p>
        </w:tc>
        <w:tc>
          <w:tcPr>
            <w:tcW w:type="dxa" w:w="4752"/>
          </w:tcPr>
          <w:p>
            <w:pPr>
              <w:spacing w:after="60"/>
            </w:pPr>
            <w:r>
              <w:rPr>
                <w:rFonts w:ascii="Arial" w:hAnsi="Arial"/>
                <w:sz w:val="16"/>
              </w:rPr>
              <w:t>Use “home tour” in client-facing copy, “showing” for the appointment or industry context and “pre-closing visit” after the agreement is firm.</w:t>
            </w:r>
          </w:p>
        </w:tc>
      </w:tr>
      <w:tr>
        <w:tc>
          <w:tcPr>
            <w:tcW w:type="dxa" w:w="1008"/>
          </w:tcPr>
          <w:p>
            <w:pPr>
              <w:spacing w:after="60"/>
            </w:pPr>
            <w:r>
              <w:rPr>
                <w:rFonts w:ascii="Arial" w:hAnsi="Arial"/>
                <w:sz w:val="16"/>
              </w:rPr>
              <w:t>Medium</w:t>
            </w:r>
          </w:p>
        </w:tc>
        <w:tc>
          <w:tcPr>
            <w:tcW w:type="dxa" w:w="4032"/>
          </w:tcPr>
          <w:p>
            <w:pPr>
              <w:spacing w:after="60"/>
            </w:pPr>
            <w:r>
              <w:rPr>
                <w:rFonts w:ascii="Arial" w:hAnsi="Arial"/>
                <w:sz w:val="16"/>
              </w:rPr>
              <w:t>Jacob is identified as Realtor, REALTOR® and Sales Representative.</w:t>
            </w:r>
          </w:p>
        </w:tc>
        <w:tc>
          <w:tcPr>
            <w:tcW w:type="dxa" w:w="4752"/>
          </w:tcPr>
          <w:p>
            <w:pPr>
              <w:spacing w:after="60"/>
            </w:pPr>
            <w:r>
              <w:rPr>
                <w:rFonts w:ascii="Arial" w:hAnsi="Arial"/>
                <w:sz w:val="16"/>
              </w:rPr>
              <w:t>Use “Sales Representative, Engel &amp; Völkers Ottawa” in legal/contact blocks. Confirm any REALTOR® treatment with brokerage brand requirements.</w:t>
            </w:r>
          </w:p>
        </w:tc>
      </w:tr>
      <w:tr>
        <w:tc>
          <w:tcPr>
            <w:tcW w:type="dxa" w:w="1008"/>
          </w:tcPr>
          <w:p>
            <w:pPr>
              <w:spacing w:after="60"/>
            </w:pPr>
            <w:r>
              <w:rPr>
                <w:rFonts w:ascii="Arial" w:hAnsi="Arial"/>
                <w:sz w:val="16"/>
              </w:rPr>
              <w:t>Low</w:t>
            </w:r>
          </w:p>
        </w:tc>
        <w:tc>
          <w:tcPr>
            <w:tcW w:type="dxa" w:w="4032"/>
          </w:tcPr>
          <w:p>
            <w:pPr>
              <w:spacing w:after="60"/>
            </w:pPr>
            <w:r>
              <w:rPr>
                <w:rFonts w:ascii="Arial" w:hAnsi="Arial"/>
                <w:sz w:val="16"/>
              </w:rPr>
              <w:t>“Home” and “property” alternate frequently.</w:t>
            </w:r>
          </w:p>
        </w:tc>
        <w:tc>
          <w:tcPr>
            <w:tcW w:type="dxa" w:w="4752"/>
          </w:tcPr>
          <w:p>
            <w:pPr>
              <w:spacing w:after="60"/>
            </w:pPr>
            <w:r>
              <w:rPr>
                <w:rFonts w:ascii="Arial" w:hAnsi="Arial"/>
                <w:sz w:val="16"/>
              </w:rPr>
              <w:t>Use “home” for life, feelings and decisions; use “property” for legal, technical, market and ownership references.</w:t>
            </w:r>
          </w:p>
        </w:tc>
      </w:tr>
    </w:tbl>
    <w:p/>
    <w:p>
      <w:pPr>
        <w:pStyle w:val="Heading2"/>
      </w:pPr>
      <w:r>
        <w:t>What is already aligned</w:t>
      </w:r>
    </w:p>
    <w:p>
      <w:pPr>
        <w:pStyle w:val="ListBullet"/>
      </w:pPr>
      <w:r>
        <w:t>Deposit and down payment are correctly treated as related but distinct.</w:t>
      </w:r>
    </w:p>
    <w:p>
      <w:pPr>
        <w:pStyle w:val="ListBullet"/>
      </w:pPr>
      <w:r>
        <w:t>Every asset reinforces that pre-approval is not final financing approval.</w:t>
      </w:r>
    </w:p>
    <w:p>
      <w:pPr>
        <w:pStyle w:val="ListBullet"/>
      </w:pPr>
      <w:r>
        <w:t>The buyer remains the decision-maker while qualified professionals advise within their areas of expertise.</w:t>
      </w:r>
    </w:p>
    <w:p>
      <w:pPr>
        <w:pStyle w:val="ListBullet"/>
      </w:pPr>
      <w:r>
        <w:t>Ottawa is presented as a collection of smaller markets rather than one uniform market.</w:t>
      </w:r>
    </w:p>
    <w:p>
      <w:pPr>
        <w:pStyle w:val="ListBullet"/>
      </w:pPr>
      <w:r>
        <w:t>Changing first-time buyer program figures are kept online rather than embedded in the PDF.</w:t>
      </w:r>
    </w:p>
    <w:p>
      <w:pPr>
        <w:pStyle w:val="ListBullet"/>
      </w:pPr>
      <w:r>
        <w:t>The relationship continuing after closing is present across the system.</w:t>
      </w:r>
    </w:p>
    <w:p>
      <w:r>
        <w:br w:type="page"/>
      </w:r>
    </w:p>
    <w:p>
      <w:pPr>
        <w:pStyle w:val="Heading1"/>
      </w:pPr>
      <w:r>
        <w:t>3. Voice and terminology standard</w:t>
      </w:r>
    </w:p>
    <w:tbl>
      <w:tblPr>
        <w:tblStyle w:val="TableGrid"/>
        <w:tblW w:type="auto" w:w="0"/>
        <w:tblLook w:firstColumn="1" w:firstRow="1" w:lastColumn="0" w:lastRow="0" w:noHBand="0" w:noVBand="1" w:val="04A0"/>
      </w:tblPr>
      <w:tblGrid>
        <w:gridCol w:w="3312"/>
        <w:gridCol w:w="3312"/>
        <w:gridCol w:w="3312"/>
      </w:tblGrid>
      <w:tr>
        <w:tc>
          <w:tcPr>
            <w:tcW w:type="dxa" w:w="3312"/>
            <w:shd w:fill="F3F1EC"/>
          </w:tcPr>
          <w:p>
            <w:r>
              <w:rPr>
                <w:b/>
                <w:color w:val="353F1D"/>
              </w:rPr>
              <w:t>Use</w:t>
            </w:r>
          </w:p>
        </w:tc>
        <w:tc>
          <w:tcPr>
            <w:tcW w:type="dxa" w:w="3312"/>
            <w:shd w:fill="F3F1EC"/>
          </w:tcPr>
          <w:p>
            <w:r>
              <w:rPr>
                <w:b/>
                <w:color w:val="353F1D"/>
              </w:rPr>
              <w:t>Avoid or limit</w:t>
            </w:r>
          </w:p>
        </w:tc>
        <w:tc>
          <w:tcPr>
            <w:tcW w:type="dxa" w:w="3312"/>
            <w:shd w:fill="F3F1EC"/>
          </w:tcPr>
          <w:p>
            <w:r>
              <w:rPr>
                <w:b/>
                <w:color w:val="353F1D"/>
              </w:rPr>
              <w:t>Reason</w:t>
            </w:r>
          </w:p>
        </w:tc>
      </w:tr>
      <w:tr>
        <w:tc>
          <w:tcPr>
            <w:tcW w:type="dxa" w:w="2880"/>
          </w:tcPr>
          <w:p>
            <w:pPr>
              <w:spacing w:after="60"/>
            </w:pPr>
            <w:r>
              <w:rPr>
                <w:rFonts w:ascii="Arial" w:hAnsi="Arial"/>
                <w:sz w:val="16"/>
              </w:rPr>
              <w:t>Clear, calm and specific</w:t>
            </w:r>
          </w:p>
        </w:tc>
        <w:tc>
          <w:tcPr>
            <w:tcW w:type="dxa" w:w="3168"/>
          </w:tcPr>
          <w:p>
            <w:pPr>
              <w:spacing w:after="60"/>
            </w:pPr>
            <w:r>
              <w:rPr>
                <w:rFonts w:ascii="Arial" w:hAnsi="Arial"/>
                <w:sz w:val="16"/>
              </w:rPr>
              <w:t>Generic reassurance without useful detail</w:t>
            </w:r>
          </w:p>
        </w:tc>
        <w:tc>
          <w:tcPr>
            <w:tcW w:type="dxa" w:w="3744"/>
          </w:tcPr>
          <w:p>
            <w:pPr>
              <w:spacing w:after="60"/>
            </w:pPr>
            <w:r>
              <w:rPr>
                <w:rFonts w:ascii="Arial" w:hAnsi="Arial"/>
                <w:sz w:val="16"/>
              </w:rPr>
              <w:t>Warmth should come from thoughtful guidance, not sentiment.</w:t>
            </w:r>
          </w:p>
        </w:tc>
      </w:tr>
      <w:tr>
        <w:tc>
          <w:tcPr>
            <w:tcW w:type="dxa" w:w="2880"/>
          </w:tcPr>
          <w:p>
            <w:pPr>
              <w:spacing w:after="60"/>
            </w:pPr>
            <w:r>
              <w:rPr>
                <w:rFonts w:ascii="Arial" w:hAnsi="Arial"/>
                <w:sz w:val="16"/>
              </w:rPr>
              <w:t>“I’ll help you understand…”</w:t>
            </w:r>
          </w:p>
        </w:tc>
        <w:tc>
          <w:tcPr>
            <w:tcW w:type="dxa" w:w="3168"/>
          </w:tcPr>
          <w:p>
            <w:pPr>
              <w:spacing w:after="60"/>
            </w:pPr>
            <w:r>
              <w:rPr>
                <w:rFonts w:ascii="Arial" w:hAnsi="Arial"/>
                <w:sz w:val="16"/>
              </w:rPr>
              <w:t>“I’ll make sure…” when the outcome depends on a third party</w:t>
            </w:r>
          </w:p>
        </w:tc>
        <w:tc>
          <w:tcPr>
            <w:tcW w:type="dxa" w:w="3744"/>
          </w:tcPr>
          <w:p>
            <w:pPr>
              <w:spacing w:after="60"/>
            </w:pPr>
            <w:r>
              <w:rPr>
                <w:rFonts w:ascii="Arial" w:hAnsi="Arial"/>
                <w:sz w:val="16"/>
              </w:rPr>
              <w:t>Keeps promises accurate and respects professional roles.</w:t>
            </w:r>
          </w:p>
        </w:tc>
      </w:tr>
      <w:tr>
        <w:tc>
          <w:tcPr>
            <w:tcW w:type="dxa" w:w="2880"/>
          </w:tcPr>
          <w:p>
            <w:pPr>
              <w:spacing w:after="60"/>
            </w:pPr>
            <w:r>
              <w:rPr>
                <w:rFonts w:ascii="Arial" w:hAnsi="Arial"/>
                <w:sz w:val="16"/>
              </w:rPr>
              <w:t>“The decisions remain yours.”</w:t>
            </w:r>
          </w:p>
        </w:tc>
        <w:tc>
          <w:tcPr>
            <w:tcW w:type="dxa" w:w="3168"/>
          </w:tcPr>
          <w:p>
            <w:pPr>
              <w:spacing w:after="60"/>
            </w:pPr>
            <w:r>
              <w:rPr>
                <w:rFonts w:ascii="Arial" w:hAnsi="Arial"/>
                <w:sz w:val="16"/>
              </w:rPr>
              <w:t>Pressure language or language centred on preserving the sale</w:t>
            </w:r>
          </w:p>
        </w:tc>
        <w:tc>
          <w:tcPr>
            <w:tcW w:type="dxa" w:w="3744"/>
          </w:tcPr>
          <w:p>
            <w:pPr>
              <w:spacing w:after="60"/>
            </w:pPr>
            <w:r>
              <w:rPr>
                <w:rFonts w:ascii="Arial" w:hAnsi="Arial"/>
                <w:sz w:val="16"/>
              </w:rPr>
              <w:t>Keeps the buyer at the centre.</w:t>
            </w:r>
          </w:p>
        </w:tc>
      </w:tr>
      <w:tr>
        <w:tc>
          <w:tcPr>
            <w:tcW w:type="dxa" w:w="2880"/>
          </w:tcPr>
          <w:p>
            <w:pPr>
              <w:spacing w:after="60"/>
            </w:pPr>
            <w:r>
              <w:rPr>
                <w:rFonts w:ascii="Arial" w:hAnsi="Arial"/>
                <w:sz w:val="16"/>
              </w:rPr>
              <w:t>“Due diligence” with a plain-language explanation</w:t>
            </w:r>
          </w:p>
        </w:tc>
        <w:tc>
          <w:tcPr>
            <w:tcW w:type="dxa" w:w="3168"/>
          </w:tcPr>
          <w:p>
            <w:pPr>
              <w:spacing w:after="60"/>
            </w:pPr>
            <w:r>
              <w:rPr>
                <w:rFonts w:ascii="Arial" w:hAnsi="Arial"/>
                <w:sz w:val="16"/>
              </w:rPr>
              <w:t>“Protect the purchase”</w:t>
            </w:r>
          </w:p>
        </w:tc>
        <w:tc>
          <w:tcPr>
            <w:tcW w:type="dxa" w:w="3744"/>
          </w:tcPr>
          <w:p>
            <w:pPr>
              <w:spacing w:after="60"/>
            </w:pPr>
            <w:r>
              <w:rPr>
                <w:rFonts w:ascii="Arial" w:hAnsi="Arial"/>
                <w:sz w:val="16"/>
              </w:rPr>
              <w:t>Focuses on understanding the buyer’s commitment, not protecting the transaction.</w:t>
            </w:r>
          </w:p>
        </w:tc>
      </w:tr>
      <w:tr>
        <w:tc>
          <w:tcPr>
            <w:tcW w:type="dxa" w:w="2880"/>
          </w:tcPr>
          <w:p>
            <w:pPr>
              <w:spacing w:after="60"/>
            </w:pPr>
            <w:r>
              <w:rPr>
                <w:rFonts w:ascii="Arial" w:hAnsi="Arial"/>
                <w:sz w:val="16"/>
              </w:rPr>
              <w:t>“Other property-specific professionals”</w:t>
            </w:r>
          </w:p>
        </w:tc>
        <w:tc>
          <w:tcPr>
            <w:tcW w:type="dxa" w:w="3168"/>
          </w:tcPr>
          <w:p>
            <w:pPr>
              <w:spacing w:after="60"/>
            </w:pPr>
            <w:r>
              <w:rPr>
                <w:rFonts w:ascii="Arial" w:hAnsi="Arial"/>
                <w:sz w:val="16"/>
              </w:rPr>
              <w:t>Long default lists of uncommon trades</w:t>
            </w:r>
          </w:p>
        </w:tc>
        <w:tc>
          <w:tcPr>
            <w:tcW w:type="dxa" w:w="3744"/>
          </w:tcPr>
          <w:p>
            <w:pPr>
              <w:spacing w:after="60"/>
            </w:pPr>
            <w:r>
              <w:rPr>
                <w:rFonts w:ascii="Arial" w:hAnsi="Arial"/>
                <w:sz w:val="16"/>
              </w:rPr>
              <w:t>Keeps the team page useful and proportionate.</w:t>
            </w:r>
          </w:p>
        </w:tc>
      </w:tr>
      <w:tr>
        <w:tc>
          <w:tcPr>
            <w:tcW w:type="dxa" w:w="2880"/>
          </w:tcPr>
          <w:p>
            <w:pPr>
              <w:spacing w:after="60"/>
            </w:pPr>
            <w:r>
              <w:rPr>
                <w:rFonts w:ascii="Arial" w:hAnsi="Arial"/>
                <w:sz w:val="16"/>
              </w:rPr>
              <w:t>“The headlines are only part of the story.”</w:t>
            </w:r>
          </w:p>
        </w:tc>
        <w:tc>
          <w:tcPr>
            <w:tcW w:type="dxa" w:w="3168"/>
          </w:tcPr>
          <w:p>
            <w:pPr>
              <w:spacing w:after="60"/>
            </w:pPr>
            <w:r>
              <w:rPr>
                <w:rFonts w:ascii="Arial" w:hAnsi="Arial"/>
                <w:sz w:val="16"/>
              </w:rPr>
              <w:t>Market claims that depend on current figures</w:t>
            </w:r>
          </w:p>
        </w:tc>
        <w:tc>
          <w:tcPr>
            <w:tcW w:type="dxa" w:w="3744"/>
          </w:tcPr>
          <w:p>
            <w:pPr>
              <w:spacing w:after="60"/>
            </w:pPr>
            <w:r>
              <w:rPr>
                <w:rFonts w:ascii="Arial" w:hAnsi="Arial"/>
                <w:sz w:val="16"/>
              </w:rPr>
              <w:t>Keeps print evergreen and advice specific.</w:t>
            </w:r>
          </w:p>
        </w:tc>
      </w:tr>
      <w:tr>
        <w:tc>
          <w:tcPr>
            <w:tcW w:type="dxa" w:w="2880"/>
          </w:tcPr>
          <w:p>
            <w:pPr>
              <w:spacing w:after="60"/>
            </w:pPr>
            <w:r>
              <w:rPr>
                <w:rFonts w:ascii="Arial" w:hAnsi="Arial"/>
                <w:sz w:val="16"/>
              </w:rPr>
              <w:t>“Your priorities may change as you learn.”</w:t>
            </w:r>
          </w:p>
        </w:tc>
        <w:tc>
          <w:tcPr>
            <w:tcW w:type="dxa" w:w="3168"/>
          </w:tcPr>
          <w:p>
            <w:pPr>
              <w:spacing w:after="60"/>
            </w:pPr>
            <w:r>
              <w:rPr>
                <w:rFonts w:ascii="Arial" w:hAnsi="Arial"/>
                <w:sz w:val="16"/>
              </w:rPr>
              <w:t>Treating changing criteria as indecision</w:t>
            </w:r>
          </w:p>
        </w:tc>
        <w:tc>
          <w:tcPr>
            <w:tcW w:type="dxa" w:w="3744"/>
          </w:tcPr>
          <w:p>
            <w:pPr>
              <w:spacing w:after="60"/>
            </w:pPr>
            <w:r>
              <w:rPr>
                <w:rFonts w:ascii="Arial" w:hAnsi="Arial"/>
                <w:sz w:val="16"/>
              </w:rPr>
              <w:t>Normalizes how a real search develops.</w:t>
            </w:r>
          </w:p>
        </w:tc>
      </w:tr>
      <w:tr>
        <w:tc>
          <w:tcPr>
            <w:tcW w:type="dxa" w:w="2880"/>
          </w:tcPr>
          <w:p>
            <w:pPr>
              <w:spacing w:after="60"/>
            </w:pPr>
            <w:r>
              <w:rPr>
                <w:rFonts w:ascii="Arial" w:hAnsi="Arial"/>
                <w:sz w:val="16"/>
              </w:rPr>
              <w:t>“Home tour” / “pre-closing visit”</w:t>
            </w:r>
          </w:p>
        </w:tc>
        <w:tc>
          <w:tcPr>
            <w:tcW w:type="dxa" w:w="3168"/>
          </w:tcPr>
          <w:p>
            <w:pPr>
              <w:spacing w:after="60"/>
            </w:pPr>
            <w:r>
              <w:rPr>
                <w:rFonts w:ascii="Arial" w:hAnsi="Arial"/>
                <w:sz w:val="16"/>
              </w:rPr>
              <w:t>Switching casually among viewing, walkthrough and showing</w:t>
            </w:r>
          </w:p>
        </w:tc>
        <w:tc>
          <w:tcPr>
            <w:tcW w:type="dxa" w:w="3744"/>
          </w:tcPr>
          <w:p>
            <w:pPr>
              <w:spacing w:after="60"/>
            </w:pPr>
            <w:r>
              <w:rPr>
                <w:rFonts w:ascii="Arial" w:hAnsi="Arial"/>
                <w:sz w:val="16"/>
              </w:rPr>
              <w:t>Improves recognition across resources.</w:t>
            </w:r>
          </w:p>
        </w:tc>
      </w:tr>
    </w:tbl>
    <w:p/>
    <w:p>
      <w:pPr>
        <w:pStyle w:val="Heading2"/>
      </w:pPr>
      <w:r>
        <w:t>Core explanations to keep consistent</w:t>
      </w:r>
    </w:p>
    <w:p>
      <w:pPr>
        <w:pStyle w:val="ListBullet"/>
      </w:pPr>
      <w:r>
        <w:t>Deposit: promised in the Agreement of Purchase and Sale, delivered according to its terms, held in trust and credited toward the purchase if the transaction closes.</w:t>
      </w:r>
    </w:p>
    <w:p>
      <w:pPr>
        <w:pStyle w:val="ListBullet"/>
      </w:pPr>
      <w:r>
        <w:t>Down payment: the portion of the purchase price paid without mortgage financing; the deposit usually becomes part of it on closing.</w:t>
      </w:r>
    </w:p>
    <w:p>
      <w:pPr>
        <w:pStyle w:val="ListBullet"/>
      </w:pPr>
      <w:r>
        <w:t>Pre-approval: a useful starting point based on reviewed financial information, not approval of the eventual property or a guarantee of funding.</w:t>
      </w:r>
    </w:p>
    <w:p>
      <w:pPr>
        <w:pStyle w:val="ListBullet"/>
      </w:pPr>
      <w:r>
        <w:t>Firm purchase: all purchase-agreement conditions have been fulfilled or waived; the buyer is legally committed to closing according to the agreement.</w:t>
      </w:r>
    </w:p>
    <w:p>
      <w:pPr>
        <w:pStyle w:val="ListBullet"/>
      </w:pPr>
      <w:r>
        <w:t>Inspection: a limited review within the inspector’s scope, not a guarantee that every hidden defect or future repair will be found.</w:t>
      </w:r>
    </w:p>
    <w:p>
      <w:pPr>
        <w:pStyle w:val="ListBullet"/>
      </w:pPr>
      <w:r>
        <w:t>Ottawa market: broad headlines provide context, but the relevant evidence comes from the specific area, property type and price range.</w:t>
      </w:r>
    </w:p>
    <w:p>
      <w:r>
        <w:br w:type="page"/>
      </w:r>
    </w:p>
    <w:p>
      <w:pPr>
        <w:pStyle w:val="Heading1"/>
      </w:pPr>
      <w:r>
        <w:t>4. Asset-by-asset recommendations</w:t>
      </w:r>
    </w:p>
    <w:p>
      <w:pPr>
        <w:pStyle w:val="Heading2"/>
      </w:pPr>
      <w:r>
        <w:t>Buying page</w:t>
      </w:r>
    </w:p>
    <w:p>
      <w:pPr>
        <w:pStyle w:val="ListBullet"/>
      </w:pPr>
      <w:r>
        <w:t>Keep the emotional opening; it is the strongest invitation in the system.</w:t>
      </w:r>
    </w:p>
    <w:p>
      <w:pPr>
        <w:pStyle w:val="ListBullet"/>
      </w:pPr>
      <w:r>
        <w:t>In the inspections section, clarify that Jacob helps identify which reviews may be appropriate and coordinate access; the inspector explains findings within their scope.</w:t>
      </w:r>
    </w:p>
    <w:p>
      <w:pPr>
        <w:pStyle w:val="ListBullet"/>
      </w:pPr>
      <w:r>
        <w:t>Use the shared milestone labels in links or metadata even if the visible five-step story remains.</w:t>
      </w:r>
    </w:p>
    <w:p>
      <w:pPr>
        <w:pStyle w:val="Heading2"/>
      </w:pPr>
      <w:r>
        <w:t>Buyer guide — web</w:t>
      </w:r>
    </w:p>
    <w:p>
      <w:pPr>
        <w:pStyle w:val="ListBullet"/>
      </w:pPr>
      <w:r>
        <w:t>Replace the specialist paragraph naming an electrician, plumber, structural engineer and environmental professional with the shared umbrella wording.</w:t>
      </w:r>
    </w:p>
    <w:p>
      <w:pPr>
        <w:pStyle w:val="ListBullet"/>
      </w:pPr>
      <w:r>
        <w:t>Standardize “preapproval” to “pre-approval.”</w:t>
      </w:r>
    </w:p>
    <w:p>
      <w:pPr>
        <w:pStyle w:val="ListBullet"/>
      </w:pPr>
      <w:r>
        <w:t>Retain the detailed property-type sections here; they are useful online and need not be repeated in print.</w:t>
      </w:r>
    </w:p>
    <w:p>
      <w:pPr>
        <w:pStyle w:val="Heading2"/>
      </w:pPr>
      <w:r>
        <w:t>First-time buyer checklist — web</w:t>
      </w:r>
    </w:p>
    <w:p>
      <w:pPr>
        <w:pStyle w:val="ListBullet"/>
      </w:pPr>
      <w:r>
        <w:t>Replace the named electrical, structural and environmental reviews with “other property-specific or specialist review.”</w:t>
      </w:r>
    </w:p>
    <w:p>
      <w:pPr>
        <w:pStyle w:val="ListBullet"/>
      </w:pPr>
      <w:r>
        <w:t>Keep the current program amounts and visible review date; verify them whenever the page is materially updated.</w:t>
      </w:r>
    </w:p>
    <w:p>
      <w:pPr>
        <w:pStyle w:val="ListBullet"/>
      </w:pPr>
      <w:r>
        <w:t>Standardize “preapproval” to “pre-approval” and “down-payment documents” to “down payment documents.”</w:t>
      </w:r>
    </w:p>
    <w:p>
      <w:pPr>
        <w:pStyle w:val="ListBullet"/>
      </w:pPr>
      <w:r>
        <w:t>Keep the useful sentence explaining that the first two checkpoints can happen in either order.</w:t>
      </w:r>
    </w:p>
    <w:p>
      <w:pPr>
        <w:pStyle w:val="Heading2"/>
      </w:pPr>
      <w:r>
        <w:t>First-time buyer checklist — PDF</w:t>
      </w:r>
    </w:p>
    <w:p>
      <w:pPr>
        <w:pStyle w:val="ListBullet"/>
      </w:pPr>
      <w:r>
        <w:t>Keep it action-oriented and continue sending changing program amounts to the website.</w:t>
      </w:r>
    </w:p>
    <w:p>
      <w:pPr>
        <w:pStyle w:val="ListBullet"/>
      </w:pPr>
      <w:r>
        <w:t>Replace “Structural review” and “Environmental review” with one “Other specialist review” field.</w:t>
      </w:r>
    </w:p>
    <w:p>
      <w:pPr>
        <w:pStyle w:val="ListBullet"/>
      </w:pPr>
      <w:r>
        <w:t>Preserve the purchase-date cautions, lawyer fund-transfer warning and responsibility table.</w:t>
      </w:r>
    </w:p>
    <w:p>
      <w:pPr>
        <w:pStyle w:val="ListBullet"/>
      </w:pPr>
      <w:r>
        <w:t>Consider changing “Walk through the property” on closing day to “Complete an initial walk-through” so it is not confused with the pre-closing visit.</w:t>
      </w:r>
    </w:p>
    <w:p>
      <w:pPr>
        <w:pStyle w:val="Heading2"/>
      </w:pPr>
      <w:r>
        <w:t>Printed Buyer Experience</w:t>
      </w:r>
    </w:p>
    <w:p>
      <w:pPr>
        <w:pStyle w:val="ListBullet"/>
      </w:pPr>
      <w:r>
        <w:t>Keep questions and response fields in the separate questionnaire. The booklet retains only a final notes page.</w:t>
      </w:r>
    </w:p>
    <w:p>
      <w:pPr>
        <w:pStyle w:val="ListBullet"/>
      </w:pPr>
      <w:r>
        <w:t>Keep the market section before the search is built, where it provides context rather than interrupting the touring sequence.</w:t>
      </w:r>
    </w:p>
    <w:p>
      <w:pPr>
        <w:pStyle w:val="ListBullet"/>
      </w:pPr>
      <w:r>
        <w:t>Use full-width notes rules with equal left and right margins.</w:t>
      </w:r>
    </w:p>
    <w:p>
      <w:pPr>
        <w:pStyle w:val="ListBullet"/>
      </w:pPr>
      <w:r>
        <w:t>Keep every promise within Jacob’s role and every legal, lending, insurance or inspection conclusion with the appropriate professional.</w:t>
      </w:r>
    </w:p>
    <w:p>
      <w:r>
        <w:br w:type="page"/>
      </w:r>
    </w:p>
    <w:p>
      <w:pPr>
        <w:pStyle w:val="Heading1"/>
      </w:pPr>
      <w:r>
        <w:t>5. Factual review notes</w:t>
      </w:r>
    </w:p>
    <w:p>
      <w:r>
        <w:t>The current first-time buyer figures shown on the website were checked against official sources on August 19, 2026.</w:t>
      </w:r>
    </w:p>
    <w:tbl>
      <w:tblPr>
        <w:tblStyle w:val="TableGrid"/>
        <w:tblW w:type="auto" w:w="0"/>
        <w:tblLook w:firstColumn="1" w:firstRow="1" w:lastColumn="0" w:lastRow="0" w:noHBand="0" w:noVBand="1" w:val="04A0"/>
      </w:tblPr>
      <w:tblGrid>
        <w:gridCol w:w="3312"/>
        <w:gridCol w:w="3312"/>
        <w:gridCol w:w="3312"/>
      </w:tblGrid>
      <w:tr>
        <w:tc>
          <w:tcPr>
            <w:tcW w:type="dxa" w:w="3312"/>
            <w:shd w:fill="F3F1EC"/>
          </w:tcPr>
          <w:p>
            <w:r>
              <w:rPr>
                <w:b/>
                <w:color w:val="353F1D"/>
              </w:rPr>
              <w:t>Item</w:t>
            </w:r>
          </w:p>
        </w:tc>
        <w:tc>
          <w:tcPr>
            <w:tcW w:type="dxa" w:w="3312"/>
            <w:shd w:fill="F3F1EC"/>
          </w:tcPr>
          <w:p>
            <w:r>
              <w:rPr>
                <w:b/>
                <w:color w:val="353F1D"/>
              </w:rPr>
              <w:t>Current statement</w:t>
            </w:r>
          </w:p>
        </w:tc>
        <w:tc>
          <w:tcPr>
            <w:tcW w:type="dxa" w:w="3312"/>
            <w:shd w:fill="F3F1EC"/>
          </w:tcPr>
          <w:p>
            <w:r>
              <w:rPr>
                <w:b/>
                <w:color w:val="353F1D"/>
              </w:rPr>
              <w:t>Review result</w:t>
            </w:r>
          </w:p>
        </w:tc>
      </w:tr>
      <w:tr>
        <w:tc>
          <w:tcPr>
            <w:tcW w:type="dxa" w:w="2304"/>
          </w:tcPr>
          <w:p>
            <w:pPr>
              <w:spacing w:after="60"/>
            </w:pPr>
            <w:r>
              <w:rPr>
                <w:rFonts w:ascii="Arial" w:hAnsi="Arial"/>
                <w:sz w:val="16"/>
              </w:rPr>
              <w:t>FHSA</w:t>
            </w:r>
          </w:p>
        </w:tc>
        <w:tc>
          <w:tcPr>
            <w:tcW w:type="dxa" w:w="4320"/>
          </w:tcPr>
          <w:p>
            <w:pPr>
              <w:spacing w:after="60"/>
            </w:pPr>
            <w:r>
              <w:rPr>
                <w:rFonts w:ascii="Arial" w:hAnsi="Arial"/>
                <w:sz w:val="16"/>
              </w:rPr>
              <w:t>$8,000 annual participation room in the first year opened; $40,000 lifetime limit</w:t>
            </w:r>
          </w:p>
        </w:tc>
        <w:tc>
          <w:tcPr>
            <w:tcW w:type="dxa" w:w="3168"/>
          </w:tcPr>
          <w:p>
            <w:pPr>
              <w:spacing w:after="60"/>
            </w:pPr>
            <w:r>
              <w:rPr>
                <w:rFonts w:ascii="Arial" w:hAnsi="Arial"/>
                <w:sz w:val="16"/>
              </w:rPr>
              <w:t>Consistent with Canada Revenue Agency guidance.</w:t>
            </w:r>
          </w:p>
        </w:tc>
      </w:tr>
      <w:tr>
        <w:tc>
          <w:tcPr>
            <w:tcW w:type="dxa" w:w="2304"/>
          </w:tcPr>
          <w:p>
            <w:pPr>
              <w:spacing w:after="60"/>
            </w:pPr>
            <w:r>
              <w:rPr>
                <w:rFonts w:ascii="Arial" w:hAnsi="Arial"/>
                <w:sz w:val="16"/>
              </w:rPr>
              <w:t>Home Buyers’ Plan</w:t>
            </w:r>
          </w:p>
        </w:tc>
        <w:tc>
          <w:tcPr>
            <w:tcW w:type="dxa" w:w="4320"/>
          </w:tcPr>
          <w:p>
            <w:pPr>
              <w:spacing w:after="60"/>
            </w:pPr>
            <w:r>
              <w:rPr>
                <w:rFonts w:ascii="Arial" w:hAnsi="Arial"/>
                <w:sz w:val="16"/>
              </w:rPr>
              <w:t>$60,000 withdrawal limit</w:t>
            </w:r>
          </w:p>
        </w:tc>
        <w:tc>
          <w:tcPr>
            <w:tcW w:type="dxa" w:w="3168"/>
          </w:tcPr>
          <w:p>
            <w:pPr>
              <w:spacing w:after="60"/>
            </w:pPr>
            <w:r>
              <w:rPr>
                <w:rFonts w:ascii="Arial" w:hAnsi="Arial"/>
                <w:sz w:val="16"/>
              </w:rPr>
              <w:t>Consistent with Canada Revenue Agency guidance.</w:t>
            </w:r>
          </w:p>
        </w:tc>
      </w:tr>
      <w:tr>
        <w:tc>
          <w:tcPr>
            <w:tcW w:type="dxa" w:w="2304"/>
          </w:tcPr>
          <w:p>
            <w:pPr>
              <w:spacing w:after="60"/>
            </w:pPr>
            <w:r>
              <w:rPr>
                <w:rFonts w:ascii="Arial" w:hAnsi="Arial"/>
                <w:sz w:val="16"/>
              </w:rPr>
              <w:t>Ontario land transfer tax refund</w:t>
            </w:r>
          </w:p>
        </w:tc>
        <w:tc>
          <w:tcPr>
            <w:tcW w:type="dxa" w:w="4320"/>
          </w:tcPr>
          <w:p>
            <w:pPr>
              <w:spacing w:after="60"/>
            </w:pPr>
            <w:r>
              <w:rPr>
                <w:rFonts w:ascii="Arial" w:hAnsi="Arial"/>
                <w:sz w:val="16"/>
              </w:rPr>
              <w:t>Maximum $4,000 for eligible first-time buyers</w:t>
            </w:r>
          </w:p>
        </w:tc>
        <w:tc>
          <w:tcPr>
            <w:tcW w:type="dxa" w:w="3168"/>
          </w:tcPr>
          <w:p>
            <w:pPr>
              <w:spacing w:after="60"/>
            </w:pPr>
            <w:r>
              <w:rPr>
                <w:rFonts w:ascii="Arial" w:hAnsi="Arial"/>
                <w:sz w:val="16"/>
              </w:rPr>
              <w:t>Consistent with Ontario guidance.</w:t>
            </w:r>
          </w:p>
        </w:tc>
      </w:tr>
      <w:tr>
        <w:tc>
          <w:tcPr>
            <w:tcW w:type="dxa" w:w="2304"/>
          </w:tcPr>
          <w:p>
            <w:pPr>
              <w:spacing w:after="60"/>
            </w:pPr>
            <w:r>
              <w:rPr>
                <w:rFonts w:ascii="Arial" w:hAnsi="Arial"/>
                <w:sz w:val="16"/>
              </w:rPr>
              <w:t>Competing offers</w:t>
            </w:r>
          </w:p>
        </w:tc>
        <w:tc>
          <w:tcPr>
            <w:tcW w:type="dxa" w:w="4320"/>
          </w:tcPr>
          <w:p>
            <w:pPr>
              <w:spacing w:after="60"/>
            </w:pPr>
            <w:r>
              <w:rPr>
                <w:rFonts w:ascii="Arial" w:hAnsi="Arial"/>
                <w:sz w:val="16"/>
              </w:rPr>
              <w:t>Number of written offers disclosed; content generally confidential unless the seller directs sharing in writing</w:t>
            </w:r>
          </w:p>
        </w:tc>
        <w:tc>
          <w:tcPr>
            <w:tcW w:type="dxa" w:w="3168"/>
          </w:tcPr>
          <w:p>
            <w:pPr>
              <w:spacing w:after="60"/>
            </w:pPr>
            <w:r>
              <w:rPr>
                <w:rFonts w:ascii="Arial" w:hAnsi="Arial"/>
                <w:sz w:val="16"/>
              </w:rPr>
              <w:t>Consistent with RECO guidance. Keep the qualification.</w:t>
            </w:r>
          </w:p>
        </w:tc>
      </w:tr>
      <w:tr>
        <w:tc>
          <w:tcPr>
            <w:tcW w:type="dxa" w:w="2304"/>
          </w:tcPr>
          <w:p>
            <w:pPr>
              <w:spacing w:after="60"/>
            </w:pPr>
            <w:r>
              <w:rPr>
                <w:rFonts w:ascii="Arial" w:hAnsi="Arial"/>
                <w:sz w:val="16"/>
              </w:rPr>
              <w:t>RECO Information Guide</w:t>
            </w:r>
          </w:p>
        </w:tc>
        <w:tc>
          <w:tcPr>
            <w:tcW w:type="dxa" w:w="4320"/>
          </w:tcPr>
          <w:p>
            <w:pPr>
              <w:spacing w:after="60"/>
            </w:pPr>
            <w:r>
              <w:rPr>
                <w:rFonts w:ascii="Arial" w:hAnsi="Arial"/>
                <w:sz w:val="16"/>
              </w:rPr>
              <w:t>Reviewed before representation documents</w:t>
            </w:r>
          </w:p>
        </w:tc>
        <w:tc>
          <w:tcPr>
            <w:tcW w:type="dxa" w:w="3168"/>
          </w:tcPr>
          <w:p>
            <w:pPr>
              <w:spacing w:after="60"/>
            </w:pPr>
            <w:r>
              <w:rPr>
                <w:rFonts w:ascii="Arial" w:hAnsi="Arial"/>
                <w:sz w:val="16"/>
              </w:rPr>
              <w:t>The guide must be provided before services or assistance. Make sure the consultation workflow reflects that timing.</w:t>
            </w:r>
          </w:p>
        </w:tc>
      </w:tr>
    </w:tbl>
    <w:p/>
    <w:p>
      <w:pPr>
        <w:pStyle w:val="Heading2"/>
      </w:pPr>
      <w:r>
        <w:t>Official reference links</w:t>
      </w:r>
    </w:p>
    <w:p>
      <w:pPr>
        <w:pStyle w:val="ListBullet"/>
      </w:pPr>
      <w:r>
        <w:t>Canada Revenue Agency — First Home Savings Account: https://www.canada.ca/en/revenue-agency/services/tax/individuals/topics/first-home-savings-account.html</w:t>
      </w:r>
    </w:p>
    <w:p>
      <w:pPr>
        <w:pStyle w:val="ListBullet"/>
      </w:pPr>
      <w:r>
        <w:t>Canada Revenue Agency — Home Buyers’ Plan: https://www.canada.ca/en/revenue-agency/services/tax/individuals/topics/rrsps-related-plans/what-home-buyers-plan.html</w:t>
      </w:r>
    </w:p>
    <w:p>
      <w:pPr>
        <w:pStyle w:val="ListBullet"/>
      </w:pPr>
      <w:r>
        <w:t>Ontario — Land Transfer Tax Refunds: https://www.ontario.ca/document/land-transfer-tax/land-transfer-tax-refunds-first-time-homebuyers</w:t>
      </w:r>
    </w:p>
    <w:p>
      <w:pPr>
        <w:pStyle w:val="ListBullet"/>
      </w:pPr>
      <w:r>
        <w:t>RECO — Information Guide: https://www.reco.on.ca/recoinformationguide</w:t>
      </w:r>
    </w:p>
    <w:p>
      <w:pPr>
        <w:pStyle w:val="ListBullet"/>
      </w:pPr>
      <w:r>
        <w:t>RECO — Competing offers: https://www.reco.on.ca/agents-and-brokerages/reco-bulletins/reco-bulletin-4-1-number-and-content-of-competing-offers</w:t>
      </w:r>
    </w:p>
    <w:p>
      <w:pPr>
        <w:pStyle w:val="Heading2"/>
      </w:pPr>
      <w:r>
        <w:t>Recommended next pass</w:t>
      </w:r>
    </w:p>
    <w:p>
      <w:r>
        <w:t>Apply the terminology changes to the three web pages and checklist PDF, then perform one final line-by-line comparison after the printed Buyer Experience copy is approved. Confirm wording, links, professional designations and brokerage-required language before design production.</w:t>
      </w:r>
    </w:p>
    <w:sectPr w:rsidR="00FC693F" w:rsidRPr="0006063C" w:rsidSect="00034616">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b w:val="0"/>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9" w:lineRule="auto"/>
      <w:outlineLvl w:val="0"/>
    </w:pPr>
    <w:rPr>
      <w:rFonts w:asciiTheme="majorHAnsi" w:eastAsiaTheme="majorEastAsia" w:hAnsiTheme="majorHAnsi" w:cstheme="majorBidi" w:ascii="Arial" w:hAnsi="Arial"/>
      <w:b/>
      <w:bCs/>
      <w:color w:val="353F1D"/>
      <w:sz w:val="40"/>
      <w:szCs w:val="28"/>
    </w:rPr>
  </w:style>
  <w:style w:type="paragraph" w:styleId="Heading2">
    <w:name w:val="heading 2"/>
    <w:basedOn w:val="Normal"/>
    <w:next w:val="Normal"/>
    <w:link w:val="Heading2Char"/>
    <w:uiPriority w:val="9"/>
    <w:unhideWhenUsed/>
    <w:qFormat/>
    <w:rsid w:val="00FC693F"/>
    <w:pPr>
      <w:keepNext/>
      <w:keepLines/>
      <w:spacing w:before="200" w:after="120" w:line="269" w:lineRule="auto"/>
      <w:outlineLvl w:val="1"/>
    </w:pPr>
    <w:rPr>
      <w:rFonts w:asciiTheme="majorHAnsi" w:eastAsiaTheme="majorEastAsia" w:hAnsiTheme="majorHAnsi" w:cstheme="majorBidi" w:ascii="Arial" w:hAnsi="Arial"/>
      <w:b/>
      <w:bCs/>
      <w:color w:val="353F1D"/>
      <w:sz w:val="26"/>
      <w:szCs w:val="26"/>
    </w:rPr>
  </w:style>
  <w:style w:type="paragraph" w:styleId="Heading3">
    <w:name w:val="heading 3"/>
    <w:basedOn w:val="Normal"/>
    <w:next w:val="Normal"/>
    <w:link w:val="Heading3Char"/>
    <w:uiPriority w:val="9"/>
    <w:unhideWhenUsed/>
    <w:qFormat/>
    <w:rsid w:val="00FC693F"/>
    <w:pPr>
      <w:keepNext/>
      <w:keepLines/>
      <w:spacing w:before="200" w:after="120" w:line="269" w:lineRule="auto"/>
      <w:outlineLvl w:val="2"/>
    </w:pPr>
    <w:rPr>
      <w:rFonts w:asciiTheme="majorHAnsi" w:eastAsiaTheme="majorEastAsia" w:hAnsiTheme="majorHAnsi" w:cstheme="majorBidi" w:ascii="Arial" w:hAnsi="Arial"/>
      <w:b/>
      <w:bCs/>
      <w:color w:val="B8624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color w:val="222222"/>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Arial" w:hAnsi="Arial"/>
      <w:color w:val="222222"/>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Kindred Home Buyer Content Consistency Review</dc:title>
  <dc:subject>Cross-channel editorial and terminology review</dc:subject>
  <dc:creator>Kindred Home</dc:creator>
  <cp:keywords/>
  <dc:description>generated by python-docx</dc:description>
  <cp:lastModifiedBy/>
  <cp:revision>1</cp:revision>
  <dcterms:created xsi:type="dcterms:W3CDTF">2013-12-23T23:15:00Z</dcterms:created>
  <dcterms:modified xsi:type="dcterms:W3CDTF">2013-12-23T23:15:00Z</dcterms:modified>
  <cp:category/>
</cp:coreProperties>
</file>