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Pr>
        <w:pStyle w:val="Title"/>
      </w:pPr>
      <w:r>
        <w:t xml:space="preserve">AI in bids pack</w:t>
      </w:r>
    </w:p>
    <w:p>
      <w:pPr>
        <w:spacing w:after="200" w:before="0" w:line="300"/>
      </w:pPr>
      <w:r>
        <w:rPr>
          <w:rFonts w:ascii="Arial" w:cs="Arial" w:eastAsia="Arial" w:hAnsi="Arial"/>
          <w:b w:val="false"/>
          <w:bCs w:val="false"/>
          <w:color w:val="6E6A7A"/>
          <w:sz w:val="22"/>
          <w:szCs w:val="22"/>
        </w:rPr>
        <w:t xml:space="preserve">A one-page policy for your bid team, declaration wording for tender schedules, and a quick way to decide which bid tasks to hand to AI and which to keep. Companion to the Thinking posts "Before you put AI in your bids, answer the probity question" and "Your AI is only as good as your filing".</w:t>
      </w:r>
    </w:p>
    <w:p>
      <w:pPr>
        <w:pStyle w:val="Heading1"/>
      </w:pPr>
      <w:r>
        <w:t xml:space="preserve">1. The one-page AI policy</w:t>
      </w:r>
    </w:p>
    <w:p>
      <w:pPr>
        <w:spacing w:after="120" w:before="0" w:line="300"/>
      </w:pPr>
      <w:r>
        <w:rPr>
          <w:rFonts w:ascii="Arial" w:cs="Arial" w:eastAsia="Arial" w:hAnsi="Arial"/>
          <w:b w:val="false"/>
          <w:bCs w:val="false"/>
          <w:color w:val="1D1631"/>
          <w:sz w:val="21"/>
          <w:szCs w:val="21"/>
        </w:rPr>
        <w:t xml:space="preserve">Adapt the wording below, fill in the approved tools table, and give it to everyone who works on a tender, including consultants and subcontractors writing sections.</w:t>
      </w:r>
    </w:p>
    <w:p>
      <w:pPr>
        <w:spacing w:after="120" w:before="120" w:line="300"/>
      </w:pPr>
      <w:r>
        <w:rPr>
          <w:rFonts w:ascii="Arial" w:cs="Arial" w:eastAsia="Arial" w:hAnsi="Arial"/>
          <w:b/>
          <w:bCs/>
          <w:color w:val="1D1631"/>
          <w:sz w:val="21"/>
          <w:szCs w:val="21"/>
        </w:rPr>
        <w:t xml:space="preserve">[Company name] bid team: use of AI tools</w:t>
      </w:r>
    </w:p>
    <w:p>
      <w:pPr>
        <w:pStyle w:val="ListParagraph"/>
        <w:numPr>
          <w:ilvl w:val="0"/>
          <w:numId w:val="2"/>
        </w:numPr>
        <w:spacing w:after="80" w:line="300"/>
      </w:pPr>
      <w:r>
        <w:rPr>
          <w:rFonts w:ascii="Arial" w:cs="Arial" w:eastAsia="Arial" w:hAnsi="Arial"/>
          <w:b/>
          <w:bCs/>
          <w:color w:val="1D1631"/>
          <w:sz w:val="21"/>
          <w:szCs w:val="21"/>
        </w:rPr>
        <w:t xml:space="preserve">Client material stays out. </w:t>
      </w:r>
      <w:r>
        <w:rPr>
          <w:rFonts w:ascii="Arial" w:cs="Arial" w:eastAsia="Arial" w:hAnsi="Arial"/>
          <w:b w:val="false"/>
          <w:bCs w:val="false"/>
          <w:color w:val="1D1631"/>
          <w:sz w:val="21"/>
          <w:szCs w:val="21"/>
        </w:rPr>
        <w:t xml:space="preserve">Nothing from a client's tender documents goes into any AI tool that trains on inputs or stores them outside our control. No exceptions, including the request itself.</w:t>
      </w:r>
    </w:p>
    <w:p>
      <w:pPr>
        <w:pStyle w:val="ListParagraph"/>
        <w:numPr>
          <w:ilvl w:val="0"/>
          <w:numId w:val="2"/>
        </w:numPr>
        <w:spacing w:after="80" w:line="300"/>
      </w:pPr>
      <w:r>
        <w:rPr>
          <w:rFonts w:ascii="Arial" w:cs="Arial" w:eastAsia="Arial" w:hAnsi="Arial"/>
          <w:b/>
          <w:bCs/>
          <w:color w:val="1D1631"/>
          <w:sz w:val="21"/>
          <w:szCs w:val="21"/>
        </w:rPr>
        <w:t xml:space="preserve">Our confidential material follows the same rule. </w:t>
      </w:r>
      <w:r>
        <w:rPr>
          <w:rFonts w:ascii="Arial" w:cs="Arial" w:eastAsia="Arial" w:hAnsi="Arial"/>
          <w:b w:val="false"/>
          <w:bCs w:val="false"/>
          <w:color w:val="1D1631"/>
          <w:sz w:val="21"/>
          <w:szCs w:val="21"/>
        </w:rPr>
        <w:t xml:space="preserve">Pricing above all, then methodology, rates, and personal information about our people.</w:t>
      </w:r>
    </w:p>
    <w:p>
      <w:pPr>
        <w:pStyle w:val="ListParagraph"/>
        <w:numPr>
          <w:ilvl w:val="0"/>
          <w:numId w:val="2"/>
        </w:numPr>
        <w:spacing w:after="80" w:line="300"/>
      </w:pPr>
      <w:r>
        <w:rPr>
          <w:rFonts w:ascii="Arial" w:cs="Arial" w:eastAsia="Arial" w:hAnsi="Arial"/>
          <w:b/>
          <w:bCs/>
          <w:color w:val="1D1631"/>
          <w:sz w:val="21"/>
          <w:szCs w:val="21"/>
        </w:rPr>
        <w:t xml:space="preserve">Approved tools only, by name. </w:t>
      </w:r>
      <w:r>
        <w:rPr>
          <w:rFonts w:ascii="Arial" w:cs="Arial" w:eastAsia="Arial" w:hAnsi="Arial"/>
          <w:b w:val="false"/>
          <w:bCs w:val="false"/>
          <w:color w:val="1D1631"/>
          <w:sz w:val="21"/>
          <w:szCs w:val="21"/>
        </w:rPr>
        <w:t xml:space="preserve">Enterprise tools with contractual data controls are treated differently from consumer tools with a login. The approved list is below. If a tool isn't on it, don't use it on tender material.</w:t>
      </w:r>
    </w:p>
    <w:p>
      <w:pPr>
        <w:pStyle w:val="ListParagraph"/>
        <w:numPr>
          <w:ilvl w:val="0"/>
          <w:numId w:val="2"/>
        </w:numPr>
        <w:spacing w:after="80" w:line="300"/>
      </w:pPr>
      <w:r>
        <w:rPr>
          <w:rFonts w:ascii="Arial" w:cs="Arial" w:eastAsia="Arial" w:hAnsi="Arial"/>
          <w:b/>
          <w:bCs/>
          <w:color w:val="1D1631"/>
          <w:sz w:val="21"/>
          <w:szCs w:val="21"/>
        </w:rPr>
        <w:t xml:space="preserve">A person is accountable for every AI-assisted passage. </w:t>
      </w:r>
      <w:r>
        <w:rPr>
          <w:rFonts w:ascii="Arial" w:cs="Arial" w:eastAsia="Arial" w:hAnsi="Arial"/>
          <w:b w:val="false"/>
          <w:bCs w:val="false"/>
          <w:color w:val="1D1631"/>
          <w:sz w:val="21"/>
          <w:szCs w:val="21"/>
        </w:rPr>
        <w:t xml:space="preserve">Everything drafted or edited with AI is reviewed and signed off by someone who can defend it at the debrief or interview.</w:t>
      </w:r>
    </w:p>
    <w:p>
      <w:pPr>
        <w:spacing w:after="120" w:before="160" w:line="300"/>
      </w:pPr>
      <w:r>
        <w:rPr>
          <w:rFonts w:ascii="Arial" w:cs="Arial" w:eastAsia="Arial" w:hAnsi="Arial"/>
          <w:b/>
          <w:bCs/>
          <w:color w:val="1D1631"/>
          <w:sz w:val="21"/>
          <w:szCs w:val="21"/>
        </w:rPr>
        <w:t xml:space="preserve">Approved tools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400"/>
        <w:gridCol w:w="2313"/>
        <w:gridCol w:w="2313"/>
      </w:tblGrid>
      <w:tr>
        <w:trPr>
          <w:tblHeader/>
        </w:trPr>
        <w:tc>
          <w:tcPr>
            <w:tcW w:type="dxa" w:w="2000"/>
            <w:tcBorders>
              <w:top w:val="single" w:color="E9E8F0" w:sz="4"/>
              <w:left w:val="single" w:color="E9E8F0" w:sz="4"/>
              <w:bottom w:val="single" w:color="E9E8F0" w:sz="4"/>
              <w:right w:val="single" w:color="E9E8F0" w:sz="4"/>
            </w:tcBorders>
            <w:shd w:fill="1D1631" w:color="auto" w:val="clear"/>
            <w:tcMar>
              <w:top w:type="dxa" w:w="80"/>
              <w:left w:type="dxa" w:w="100"/>
              <w:bottom w:type="dxa" w:w="80"/>
              <w:right w:type="dxa" w:w="100"/>
            </w:tcMar>
          </w:tcPr>
          <w:p>
            <w:r>
              <w:rPr>
                <w:rFonts w:ascii="Arial" w:cs="Arial" w:eastAsia="Arial" w:hAnsi="Arial"/>
                <w:b/>
                <w:bCs/>
                <w:color w:val="FFFFFF"/>
                <w:sz w:val="19"/>
                <w:szCs w:val="19"/>
              </w:rPr>
              <w:t xml:space="preserve">Tool</w:t>
            </w:r>
          </w:p>
        </w:tc>
        <w:tc>
          <w:tcPr>
            <w:tcW w:type="dxa" w:w="2400"/>
            <w:tcBorders>
              <w:top w:val="single" w:color="E9E8F0" w:sz="4"/>
              <w:left w:val="single" w:color="E9E8F0" w:sz="4"/>
              <w:bottom w:val="single" w:color="E9E8F0" w:sz="4"/>
              <w:right w:val="single" w:color="E9E8F0" w:sz="4"/>
            </w:tcBorders>
            <w:shd w:fill="1D1631" w:color="auto" w:val="clear"/>
            <w:tcMar>
              <w:top w:type="dxa" w:w="80"/>
              <w:left w:type="dxa" w:w="100"/>
              <w:bottom w:type="dxa" w:w="80"/>
              <w:right w:type="dxa" w:w="100"/>
            </w:tcMar>
          </w:tcPr>
          <w:p>
            <w:r>
              <w:rPr>
                <w:rFonts w:ascii="Arial" w:cs="Arial" w:eastAsia="Arial" w:hAnsi="Arial"/>
                <w:b/>
                <w:bCs/>
                <w:color w:val="FFFFFF"/>
                <w:sz w:val="19"/>
                <w:szCs w:val="19"/>
              </w:rPr>
              <w:t xml:space="preserve">Enterprise with data controls, or consumer?</w:t>
            </w:r>
          </w:p>
        </w:tc>
        <w:tc>
          <w:tcPr>
            <w:tcW w:type="dxa" w:w="2313"/>
            <w:tcBorders>
              <w:top w:val="single" w:color="E9E8F0" w:sz="4"/>
              <w:left w:val="single" w:color="E9E8F0" w:sz="4"/>
              <w:bottom w:val="single" w:color="E9E8F0" w:sz="4"/>
              <w:right w:val="single" w:color="E9E8F0" w:sz="4"/>
            </w:tcBorders>
            <w:shd w:fill="1D1631" w:color="auto" w:val="clear"/>
            <w:tcMar>
              <w:top w:type="dxa" w:w="80"/>
              <w:left w:type="dxa" w:w="100"/>
              <w:bottom w:type="dxa" w:w="80"/>
              <w:right w:type="dxa" w:w="100"/>
            </w:tcMar>
          </w:tcPr>
          <w:p>
            <w:r>
              <w:rPr>
                <w:rFonts w:ascii="Arial" w:cs="Arial" w:eastAsia="Arial" w:hAnsi="Arial"/>
                <w:b/>
                <w:bCs/>
                <w:color w:val="FFFFFF"/>
                <w:sz w:val="19"/>
                <w:szCs w:val="19"/>
              </w:rPr>
              <w:t xml:space="preserve">Approved for</w:t>
            </w:r>
          </w:p>
        </w:tc>
        <w:tc>
          <w:tcPr>
            <w:tcW w:type="dxa" w:w="2313"/>
            <w:tcBorders>
              <w:top w:val="single" w:color="E9E8F0" w:sz="4"/>
              <w:left w:val="single" w:color="E9E8F0" w:sz="4"/>
              <w:bottom w:val="single" w:color="E9E8F0" w:sz="4"/>
              <w:right w:val="single" w:color="E9E8F0" w:sz="4"/>
            </w:tcBorders>
            <w:shd w:fill="1D1631" w:color="auto" w:val="clear"/>
            <w:tcMar>
              <w:top w:type="dxa" w:w="80"/>
              <w:left w:type="dxa" w:w="100"/>
              <w:bottom w:type="dxa" w:w="80"/>
              <w:right w:type="dxa" w:w="100"/>
            </w:tcMar>
          </w:tcPr>
          <w:p>
            <w:r>
              <w:rPr>
                <w:rFonts w:ascii="Arial" w:cs="Arial" w:eastAsia="Arial" w:hAnsi="Arial"/>
                <w:b/>
                <w:bCs/>
                <w:color w:val="FFFFFF"/>
                <w:sz w:val="19"/>
                <w:szCs w:val="19"/>
              </w:rPr>
              <w:t xml:space="preserve">Not approved for</w:t>
            </w:r>
          </w:p>
        </w:tc>
      </w:tr>
      <w:tr>
        <w:tc>
          <w:tcPr>
            <w:tcW w:type="dxa" w:w="2000"/>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400"/>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313"/>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313"/>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r>
      <w:tr>
        <w:tc>
          <w:tcPr>
            <w:tcW w:type="dxa" w:w="2000"/>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400"/>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313"/>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313"/>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r>
      <w:tr>
        <w:tc>
          <w:tcPr>
            <w:tcW w:type="dxa" w:w="2000"/>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400"/>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313"/>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c>
          <w:tcPr>
            <w:tcW w:type="dxa" w:w="2313"/>
            <w:tcBorders>
              <w:top w:val="single" w:color="E9E8F0" w:sz="4"/>
              <w:left w:val="single" w:color="E9E8F0" w:sz="4"/>
              <w:bottom w:val="single" w:color="E9E8F0" w:sz="4"/>
              <w:right w:val="single" w:color="E9E8F0" w:sz="4"/>
            </w:tcBorders>
            <w:shd w:fill="EFE6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
            </w:r>
          </w:p>
        </w:tc>
      </w:tr>
    </w:tbl>
    <w:p>
      <w:pPr>
        <w:spacing w:after="120" w:before="120" w:line="300"/>
      </w:pPr>
      <w:r>
        <w:rPr>
          <w:rFonts w:ascii="Arial" w:cs="Arial" w:eastAsia="Arial" w:hAnsi="Arial"/>
          <w:b w:val="false"/>
          <w:bCs w:val="false"/>
          <w:color w:val="6E6A7A"/>
          <w:sz w:val="19"/>
          <w:szCs w:val="19"/>
        </w:rPr>
        <w:t xml:space="preserve">Policy owner: [name]     Last reviewed: [date]</w:t>
      </w:r>
    </w:p>
    <w:p>
      <w:pPr>
        <w:pStyle w:val="Heading1"/>
      </w:pPr>
      <w:r>
        <w:t xml:space="preserve">2. Declaration wording</w:t>
      </w:r>
    </w:p>
    <w:p>
      <w:pPr>
        <w:spacing w:after="120" w:before="0" w:line="300"/>
      </w:pPr>
      <w:r>
        <w:rPr>
          <w:rFonts w:ascii="Arial" w:cs="Arial" w:eastAsia="Arial" w:hAnsi="Arial"/>
          <w:b w:val="false"/>
          <w:bCs w:val="false"/>
          <w:color w:val="1D1631"/>
          <w:sz w:val="21"/>
          <w:szCs w:val="21"/>
        </w:rPr>
        <w:t xml:space="preserve">More tender schedules now ask bidders to declare whether and how AI was used. Decide your answer before lodgement, not in a clarification response. Plain and confident reads as governance; evasive reads as risk.</w:t>
      </w:r>
    </w:p>
    <w:p>
      <w:pPr>
        <w:spacing w:after="120" w:before="80" w:line="300"/>
      </w:pPr>
      <w:r>
        <w:rPr>
          <w:rFonts w:ascii="Arial" w:cs="Arial" w:eastAsia="Arial" w:hAnsi="Arial"/>
          <w:b/>
          <w:bCs/>
          <w:color w:val="1D1631"/>
          <w:sz w:val="21"/>
          <w:szCs w:val="21"/>
        </w:rPr>
        <w:t xml:space="preserve">If AI tools were used</w:t>
      </w:r>
    </w:p>
    <w:p>
      <w:pPr>
        <w:spacing w:after="120" w:before="0" w:line="300"/>
      </w:pPr>
      <w:r>
        <w:rPr>
          <w:rFonts w:ascii="Arial" w:cs="Arial" w:eastAsia="Arial" w:hAnsi="Arial"/>
          <w:b w:val="false"/>
          <w:bCs w:val="false"/>
          <w:i/>
          <w:iCs/>
          <w:color w:val="1D1631"/>
          <w:sz w:val="21"/>
          <w:szCs w:val="21"/>
        </w:rPr>
        <w:t xml:space="preserve">"AI tools were used to assist with production tasks in preparing this submission, such as extracting requirements, formatting and editing. All content was prepared, reviewed and approved by [company] personnel who are accountable for it. No information provided by [client] in connection with this tender was entered into any tool that retains or trains on inputs, and all AI use was within [company]'s data controls."</w:t>
      </w:r>
    </w:p>
    <w:p>
      <w:pPr>
        <w:spacing w:after="120" w:before="80" w:line="300"/>
      </w:pPr>
      <w:r>
        <w:rPr>
          <w:rFonts w:ascii="Arial" w:cs="Arial" w:eastAsia="Arial" w:hAnsi="Arial"/>
          <w:b/>
          <w:bCs/>
          <w:color w:val="1D1631"/>
          <w:sz w:val="21"/>
          <w:szCs w:val="21"/>
        </w:rPr>
        <w:t xml:space="preserve">If no AI tools were used</w:t>
      </w:r>
    </w:p>
    <w:p>
      <w:pPr>
        <w:spacing w:after="120" w:before="0" w:line="300"/>
      </w:pPr>
      <w:r>
        <w:rPr>
          <w:rFonts w:ascii="Arial" w:cs="Arial" w:eastAsia="Arial" w:hAnsi="Arial"/>
          <w:b w:val="false"/>
          <w:bCs w:val="false"/>
          <w:i/>
          <w:iCs/>
          <w:color w:val="1D1631"/>
          <w:sz w:val="21"/>
          <w:szCs w:val="21"/>
        </w:rPr>
        <w:t xml:space="preserve">"No AI tools were used in preparing this submission. All content was prepared, reviewed and approved by [company] personnel."</w:t>
      </w:r>
    </w:p>
    <w:p>
      <w:pPr>
        <w:spacing w:after="120" w:before="0" w:line="300"/>
      </w:pPr>
      <w:r>
        <w:rPr>
          <w:rFonts w:ascii="Arial" w:cs="Arial" w:eastAsia="Arial" w:hAnsi="Arial"/>
          <w:b w:val="false"/>
          <w:bCs w:val="false"/>
          <w:color w:val="6E6A7A"/>
          <w:sz w:val="19"/>
          <w:szCs w:val="19"/>
        </w:rPr>
        <w:t xml:space="preserve">Check the tender conditions first: some clients set their own wording or restrictions, and theirs takes precedence.</w:t>
      </w:r>
    </w:p>
    <w:p>
      <w:pPr>
        <w:pStyle w:val="Heading1"/>
      </w:pPr>
      <w:r>
        <w:t xml:space="preserve">3. Task triage: hand it over, or keep it?</w:t>
      </w:r>
    </w:p>
    <w:p>
      <w:pPr>
        <w:spacing w:after="120" w:before="0" w:line="300"/>
      </w:pPr>
      <w:r>
        <w:rPr>
          <w:rFonts w:ascii="Arial" w:cs="Arial" w:eastAsia="Arial" w:hAnsi="Arial"/>
          <w:b/>
          <w:bCs/>
          <w:color w:val="1D1631"/>
          <w:sz w:val="21"/>
          <w:szCs w:val="21"/>
        </w:rPr>
        <w:t xml:space="preserve">The test: </w:t>
      </w:r>
      <w:r>
        <w:rPr>
          <w:rFonts w:ascii="Arial" w:cs="Arial" w:eastAsia="Arial" w:hAnsi="Arial"/>
          <w:b w:val="false"/>
          <w:bCs w:val="false"/>
          <w:color w:val="1D1631"/>
          <w:sz w:val="21"/>
          <w:szCs w:val="21"/>
        </w:rPr>
        <w:t xml:space="preserve">could a capable graduate do this task well on day one, with clear instructions and good source material? If yes, AI can probably help. If the task needs knowledge of this client, this field of competitors or your actual record, keep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E9E8F0" w:sz="4"/>
              <w:left w:val="single" w:color="E9E8F0" w:sz="4"/>
              <w:bottom w:val="single" w:color="E9E8F0" w:sz="4"/>
              <w:right w:val="single" w:color="E9E8F0" w:sz="4"/>
            </w:tcBorders>
            <w:shd w:fill="1D1631" w:color="auto" w:val="clear"/>
            <w:tcMar>
              <w:top w:type="dxa" w:w="80"/>
              <w:left w:type="dxa" w:w="100"/>
              <w:bottom w:type="dxa" w:w="80"/>
              <w:right w:type="dxa" w:w="100"/>
            </w:tcMar>
          </w:tcPr>
          <w:p>
            <w:r>
              <w:rPr>
                <w:rFonts w:ascii="Arial" w:cs="Arial" w:eastAsia="Arial" w:hAnsi="Arial"/>
                <w:b/>
                <w:bCs/>
                <w:color w:val="FFFFFF"/>
                <w:sz w:val="19"/>
                <w:szCs w:val="19"/>
              </w:rPr>
              <w:t xml:space="preserve">Usually fine to hand over (with review)</w:t>
            </w:r>
          </w:p>
        </w:tc>
        <w:tc>
          <w:tcPr>
            <w:tcW w:type="dxa" w:w="4513"/>
            <w:tcBorders>
              <w:top w:val="single" w:color="E9E8F0" w:sz="4"/>
              <w:left w:val="single" w:color="E9E8F0" w:sz="4"/>
              <w:bottom w:val="single" w:color="E9E8F0" w:sz="4"/>
              <w:right w:val="single" w:color="E9E8F0" w:sz="4"/>
            </w:tcBorders>
            <w:shd w:fill="1D1631" w:color="auto" w:val="clear"/>
            <w:tcMar>
              <w:top w:type="dxa" w:w="80"/>
              <w:left w:type="dxa" w:w="100"/>
              <w:bottom w:type="dxa" w:w="80"/>
              <w:right w:type="dxa" w:w="100"/>
            </w:tcMar>
          </w:tcPr>
          <w:p>
            <w:r>
              <w:rPr>
                <w:rFonts w:ascii="Arial" w:cs="Arial" w:eastAsia="Arial" w:hAnsi="Arial"/>
                <w:b/>
                <w:bCs/>
                <w:color w:val="FFFFFF"/>
                <w:sz w:val="19"/>
                <w:szCs w:val="19"/>
              </w:rPr>
              <w:t xml:space="preserve">Keep it with your people</w:t>
            </w:r>
          </w:p>
        </w:tc>
      </w:tr>
      <w:tr>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First-pass extraction of requirements from a long request</w:t>
            </w:r>
          </w:p>
        </w:tc>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Win themes and discriminators</w:t>
            </w:r>
          </w:p>
        </w:tc>
      </w:tr>
      <w:tr>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Reformatting CVs and project sheets to a schedule's template</w:t>
            </w:r>
          </w:p>
        </w:tc>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The bid or no-bid call</w:t>
            </w:r>
          </w:p>
        </w:tc>
      </w:tr>
      <w:tr>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Tightening a draft that runs over the page limit</w:t>
            </w:r>
          </w:p>
        </w:tc>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What to claim and what to concede</w:t>
            </w:r>
          </w:p>
        </w:tc>
      </w:tr>
      <w:tr>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Consistency checks on terms, names and numbers</w:t>
            </w:r>
          </w:p>
        </w:tc>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Anything about the client's history or sensitivities</w:t>
            </w:r>
          </w:p>
        </w:tc>
      </w:tr>
      <w:tr>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First drafts from your verified proof library</w:t>
            </w:r>
          </w:p>
        </w:tc>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Which performance numbers you can defend</w:t>
            </w:r>
          </w:p>
        </w:tc>
      </w:tr>
      <w:tr>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Summaries of long reference documents for the team</w:t>
            </w:r>
          </w:p>
        </w:tc>
        <w:tc>
          <w:tcPr>
            <w:tcW w:type="dxa" w:w="4513"/>
            <w:tcBorders>
              <w:top w:val="single" w:color="E9E8F0" w:sz="4"/>
              <w:left w:val="single" w:color="E9E8F0" w:sz="4"/>
              <w:bottom w:val="single" w:color="E9E8F0" w:sz="4"/>
              <w:right w:val="single" w:color="E9E8F0" w:sz="4"/>
            </w:tcBorders>
            <w:shd w:fill="FFFFFF" w:color="auto" w:val="clear"/>
            <w:tcMar>
              <w:top w:type="dxa" w:w="80"/>
              <w:left w:type="dxa" w:w="100"/>
              <w:bottom w:type="dxa" w:w="80"/>
              <w:right w:type="dxa" w:w="100"/>
            </w:tcMar>
          </w:tcPr>
          <w:p>
            <w:r>
              <w:rPr>
                <w:rFonts w:ascii="Arial" w:cs="Arial" w:eastAsia="Arial" w:hAnsi="Arial"/>
                <w:b w:val="false"/>
                <w:bCs w:val="false"/>
                <w:color w:val="1D1631"/>
                <w:sz w:val="19"/>
                <w:szCs w:val="19"/>
              </w:rPr>
              <w:t xml:space="preserve">Pricing strategy and commercial positions</w:t>
            </w:r>
          </w:p>
        </w:tc>
      </w:tr>
    </w:tbl>
    <w:p>
      <w:pPr>
        <w:spacing w:after="120" w:before="120" w:line="300"/>
      </w:pPr>
      <w:r>
        <w:rPr>
          <w:rFonts w:ascii="Arial" w:cs="Arial" w:eastAsia="Arial" w:hAnsi="Arial"/>
          <w:b w:val="false"/>
          <w:bCs w:val="false"/>
          <w:color w:val="6E6A7A"/>
          <w:sz w:val="19"/>
          <w:szCs w:val="19"/>
        </w:rPr>
        <w:t xml:space="preserve">AI only works as well as the material behind it. Pair this with the Proof Library template so the model is drafting from verified facts, not from last bid's boilerplate.</w:t>
      </w:r>
    </w:p>
    <w:p>
      <w:pPr>
        <w:pStyle w:val="Heading1"/>
      </w:pPr>
      <w:r>
        <w:t xml:space="preserve">4. The ten-minute audit</w:t>
      </w:r>
    </w:p>
    <w:p>
      <w:pPr>
        <w:spacing w:after="120" w:before="0" w:line="300"/>
      </w:pPr>
      <w:r>
        <w:rPr>
          <w:rFonts w:ascii="Arial" w:cs="Arial" w:eastAsia="Arial" w:hAnsi="Arial"/>
          <w:b w:val="false"/>
          <w:bCs w:val="false"/>
          <w:color w:val="1D1631"/>
          <w:sz w:val="21"/>
          <w:szCs w:val="21"/>
        </w:rPr>
        <w:t xml:space="preserve">Ask your current bid team these questions this week.</w:t>
      </w:r>
    </w:p>
    <w:p>
      <w:pPr>
        <w:pStyle w:val="ListParagraph"/>
        <w:numPr>
          <w:ilvl w:val="0"/>
          <w:numId w:val="3"/>
        </w:numPr>
        <w:spacing w:after="80" w:line="300"/>
      </w:pPr>
      <w:r>
        <w:rPr>
          <w:rFonts w:ascii="Arial" w:cs="Arial" w:eastAsia="Arial" w:hAnsi="Arial"/>
          <w:b w:val="false"/>
          <w:bCs w:val="false"/>
          <w:color w:val="1D1631"/>
          <w:sz w:val="21"/>
          <w:szCs w:val="21"/>
        </w:rPr>
        <w:t xml:space="preserve">Which AI tools are you using on tender material right now?</w:t>
      </w:r>
    </w:p>
    <w:p>
      <w:pPr>
        <w:pStyle w:val="ListParagraph"/>
        <w:numPr>
          <w:ilvl w:val="0"/>
          <w:numId w:val="3"/>
        </w:numPr>
        <w:spacing w:after="80" w:line="300"/>
      </w:pPr>
      <w:r>
        <w:rPr>
          <w:rFonts w:ascii="Arial" w:cs="Arial" w:eastAsia="Arial" w:hAnsi="Arial"/>
          <w:b w:val="false"/>
          <w:bCs w:val="false"/>
          <w:color w:val="1D1631"/>
          <w:sz w:val="21"/>
          <w:szCs w:val="21"/>
        </w:rPr>
        <w:t xml:space="preserve">Has any client document, or any part of one, gone into a tool we don't control?</w:t>
      </w:r>
    </w:p>
    <w:p>
      <w:pPr>
        <w:pStyle w:val="ListParagraph"/>
        <w:numPr>
          <w:ilvl w:val="0"/>
          <w:numId w:val="3"/>
        </w:numPr>
        <w:spacing w:after="80" w:line="300"/>
      </w:pPr>
      <w:r>
        <w:rPr>
          <w:rFonts w:ascii="Arial" w:cs="Arial" w:eastAsia="Arial" w:hAnsi="Arial"/>
          <w:b w:val="false"/>
          <w:bCs w:val="false"/>
          <w:color w:val="1D1631"/>
          <w:sz w:val="21"/>
          <w:szCs w:val="21"/>
        </w:rPr>
        <w:t xml:space="preserve">Do we have wording ready if a tender asks us to declare AI use?</w:t>
      </w:r>
    </w:p>
    <w:p>
      <w:pPr>
        <w:pStyle w:val="ListParagraph"/>
        <w:numPr>
          <w:ilvl w:val="0"/>
          <w:numId w:val="3"/>
        </w:numPr>
        <w:spacing w:after="80" w:line="300"/>
      </w:pPr>
      <w:r>
        <w:rPr>
          <w:rFonts w:ascii="Arial" w:cs="Arial" w:eastAsia="Arial" w:hAnsi="Arial"/>
          <w:b w:val="false"/>
          <w:bCs w:val="false"/>
          <w:color w:val="1D1631"/>
          <w:sz w:val="21"/>
          <w:szCs w:val="21"/>
        </w:rPr>
        <w:t xml:space="preserve">Who reviews AI-assisted text before it goes out?</w:t>
      </w:r>
    </w:p>
    <w:p>
      <w:pPr>
        <w:spacing w:after="120" w:before="80" w:line="300"/>
      </w:pPr>
      <w:r>
        <w:rPr>
          <w:rFonts w:ascii="Arial" w:cs="Arial" w:eastAsia="Arial" w:hAnsi="Arial"/>
          <w:b w:val="false"/>
          <w:bCs w:val="false"/>
          <w:color w:val="1D1631"/>
          <w:sz w:val="21"/>
          <w:szCs w:val="21"/>
        </w:rPr>
        <w:t xml:space="preserve">If nobody centrally knows the answer to the first question, the policy is already overdue.</w:t>
      </w:r>
    </w:p>
    <w:sectPr>
      <w:headerReference w:type="default" r:id="rId7"/>
      <w:footerReference w:type="default" r:id="rId8"/>
      <w:pgSz w:w="11906" w:h="16838" w:orient="portrait"/>
      <w:pgMar w:top="1700" w:right="1440" w:bottom="1300" w:left="1440" w:header="72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b w:val="false"/>
        <w:bCs w:val="false"/>
        <w:color w:val="6E6A7A"/>
        <w:sz w:val="16"/>
        <w:szCs w:val="16"/>
      </w:rPr>
      <w:t xml:space="preserve">Ellery. Growth, on purpose.  ellerystudios.com</w:t>
    </w:r>
    <w:r>
      <w:rPr>
        <w:rFonts w:ascii="Arial" w:cs="Arial" w:eastAsia="Arial" w:hAnsi="Arial"/>
        <w:b w:val="false"/>
        <w:bCs w:val="false"/>
        <w:color w:val="6E6A7A"/>
        <w:sz w:val="16"/>
        <w:szCs w:val="16"/>
      </w:rPr>
      <w:t xml:space="preserve">    Page </w:t>
    </w:r>
    <w:r>
      <w:rPr>
        <w:rFonts w:ascii="Arial" w:cs="Arial" w:eastAsia="Arial" w:hAnsi="Arial"/>
        <w:color w:val="6E6A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pPr>
    <w:r>
      <w:drawing>
        <wp:inline distT="0" distB="0" distL="0" distR="0">
          <wp:extent cx="1104900" cy="304800"/>
          <wp:effectExtent t="0" r="0" b="0" l="0"/>
          <wp:docPr id="1" name="Ellery logo" descr="Ellery logo" title="E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3048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63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300"/>
    </w:pPr>
    <w:rPr>
      <w:rFonts w:ascii="Arial" w:cs="Arial" w:eastAsia="Arial" w:hAnsi="Arial"/>
      <w:color w:val="1D1631"/>
      <w:sz w:val="21"/>
      <w:szCs w:val="21"/>
    </w:rPr>
  </w:style>
  <w:style w:type="paragraph" w:styleId="Title">
    <w:name w:val="Title"/>
    <w:basedOn w:val="Normal"/>
    <w:next w:val="Normal"/>
    <w:pPr>
      <w:spacing w:after="160"/>
    </w:pPr>
    <w:rPr>
      <w:rFonts w:ascii="Arial" w:cs="Arial" w:eastAsia="Arial" w:hAnsi="Arial"/>
      <w:b/>
      <w:bCs/>
      <w:color w:val="1D1631"/>
      <w:sz w:val="44"/>
      <w:szCs w:val="44"/>
    </w:rPr>
  </w:style>
  <w:style w:type="paragraph" w:styleId="Heading1">
    <w:name w:val="Heading 1"/>
    <w:basedOn w:val="Normal"/>
    <w:next w:val="Normal"/>
    <w:qFormat/>
    <w:pPr>
      <w:keepNext/>
      <w:pBdr>
        <w:top w:val="single" w:color="E9E8F0" w:sz="6" w:space="8"/>
      </w:pBdr>
      <w:spacing w:after="100" w:before="280"/>
    </w:pPr>
    <w:rPr>
      <w:rFonts w:ascii="Arial" w:cs="Arial" w:eastAsia="Arial" w:hAnsi="Arial"/>
      <w:b/>
      <w:bCs/>
      <w:color w:val="1D1631"/>
      <w:sz w:val="28"/>
      <w:szCs w:val="28"/>
    </w:rPr>
  </w:style>
  <w:style w:type="paragraph" w:styleId="Heading2">
    <w:name w:val="Heading 2"/>
    <w:basedOn w:val="Normal"/>
    <w:next w:val="Normal"/>
    <w:qFormat/>
    <w:pPr>
      <w:keepNext/>
      <w:spacing w:after="80" w:before="200"/>
    </w:pPr>
    <w:rPr>
      <w:rFonts w:ascii="Arial" w:cs="Arial" w:eastAsia="Arial" w:hAnsi="Arial"/>
      <w:b/>
      <w:bCs/>
      <w:color w:val="9B54FF"/>
      <w:sz w:val="23"/>
      <w:szCs w:val="23"/>
    </w:rPr>
  </w:style>
  <w:style w:type="paragraph" w:styleId="Quote">
    <w:name w:val="Quote"/>
    <w:basedOn w:val="Normal"/>
    <w:pPr>
      <w:pBdr>
        <w:left w:val="single" w:color="FBCD35" w:sz="18" w:space="12"/>
      </w:pBdr>
      <w:ind w:left="360"/>
    </w:pPr>
    <w:rPr>
      <w:rFonts w:ascii="Arial" w:cs="Arial" w:eastAsia="Arial" w:hAnsi="Arial"/>
      <w:i/>
      <w:iCs/>
      <w:color w:val="1D163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3b8f477e97d6bc12aeaf4f951c452598f6ac0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bids pack</dc:title>
  <dc:creator>Ellery</dc:creator>
  <cp:lastModifiedBy>Un-named</cp:lastModifiedBy>
  <cp:revision>1</cp:revision>
  <dcterms:created xsi:type="dcterms:W3CDTF">2026-09-28T08:12:02.681Z</dcterms:created>
  <dcterms:modified xsi:type="dcterms:W3CDTF">2026-09-28T08:12:02.690Z</dcterms:modified>
</cp:coreProperties>
</file>

<file path=docProps/custom.xml><?xml version="1.0" encoding="utf-8"?>
<Properties xmlns="http://schemas.openxmlformats.org/officeDocument/2006/custom-properties" xmlns:vt="http://schemas.openxmlformats.org/officeDocument/2006/docPropsVTypes"/>
</file>