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_rels/.rels" ContentType="application/vnd.openxmlformats-package.relationships+xml"/>
</Types>
</file>

<file path=_rels/.rels><?xml version="1.0" encoding="UTF-8" standalone="yes"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xmlns:a="http://schemas.openxmlformats.org/drawingml/2006/main" xmlns:pic="http://schemas.openxmlformats.org/drawingml/2006/picture" mc:Ignorable="w14 w15 w16se w16cid w16 w16cex w16sdtdh w16sdtfl w16du wp14">
  <w:body>
    <w:p w:rsidP="00022892" w:rsidRDefault="00000000" w14:paraId="0D901472" w14:textId="1910990B">
      <w:pPr>
        <w:spacing w:before="500" w:after="120"/>
        <w:jc w:val="center"/>
      </w:pPr>
      <w:r w:rsidRPr="227371B4" w:rsidR="435E42F5">
        <w:rPr>
          <w:b w:val="1"/>
          <w:bCs w:val="1"/>
          <w:color w:val="1D7044"/>
          <w:sz w:val="40"/>
          <w:szCs w:val="40"/>
        </w:rPr>
        <w:t>Documento Auxiliar de Verificação</w:t>
      </w:r>
    </w:p>
    <w:tbl>
      <w:tblPr>
        <w:tblStyle w:val="Tabelanormal"/>
        <w:bidiVisual w:val="0"/>
        <w:tblW w:w="0" w:type="auto"/>
        <w:tblBorders>
          <w:top w:val="single" w:sz="6"/>
          <w:left w:val="single" w:sz="6"/>
          <w:bottom w:val="single" w:sz="6"/>
          <w:right w:val="single" w:sz="6"/>
        </w:tblBorders>
        <w:tblLook w:val="06A0" w:firstRow="1" w:lastRow="0" w:firstColumn="1" w:lastColumn="0" w:noHBand="1" w:noVBand="1"/>
      </w:tblPr>
      <w:tblGrid>
        <w:gridCol w:w="2400"/>
        <w:gridCol w:w="7095"/>
      </w:tblGrid>
      <w:tr xmlns:wp14="http://schemas.microsoft.com/office/word/2010/wordml" w:rsidR="227371B4" w:rsidTr="227371B4" w14:paraId="203E49C8" wp14:textId="77777777">
        <w:trPr>
          <w:trHeight w:val="300"/>
        </w:trPr>
        <w:tc>
          <w:tcPr>
            <w:tcW w:w="2400" w:type="dxa"/>
            <w:tcBorders>
              <w:top w:val="single" w:sz="8"/>
              <w:left w:val="single" w:sz="8"/>
              <w:bottom w:val="single" w:sz="8"/>
              <w:right w:val="single" w:sz="8"/>
            </w:tcBorders>
            <w:shd w:val="clear" w:color="auto" w:fill="E8F5EC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:rsidR="227371B4" w:rsidP="227371B4" w:rsidRDefault="227371B4" w14:paraId="24326408" w14:textId="14ACBEBC">
            <w:pPr>
              <w:spacing w:before="0" w:beforeAutospacing="off" w:after="0" w:afterAutospacing="off"/>
              <w:rPr>
                <w:rFonts w:ascii="Calibri" w:hAnsi="Calibri" w:eastAsia="Calibri" w:cs="Calibri"/>
                <w:color w:val="1A1A1A"/>
                <w:sz w:val="19"/>
                <w:szCs w:val="19"/>
                <w:lang w:val="pt-BR"/>
              </w:rPr>
            </w:pPr>
            <w:r w:rsidRPr="227371B4" w:rsidR="227371B4">
              <w:rPr>
                <w:rFonts w:ascii="Calibri" w:hAnsi="Calibri" w:eastAsia="Calibri" w:cs="Calibri"/>
                <w:b w:val="1"/>
                <w:bCs w:val="1"/>
                <w:color w:val="1A1A1A"/>
                <w:sz w:val="19"/>
                <w:szCs w:val="19"/>
                <w:lang w:val="pt-BR"/>
              </w:rPr>
              <w:t>Nome do Projeto</w:t>
            </w:r>
          </w:p>
        </w:tc>
        <w:tc>
          <w:tcPr>
            <w:tcW w:w="7095" w:type="dxa"/>
            <w:tcBorders>
              <w:top w:val="single" w:sz="8"/>
              <w:left w:val="single" w:sz="8"/>
              <w:bottom w:val="single" w:sz="8"/>
              <w:right w:val="single" w:sz="8"/>
            </w:tcBorders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:rsidR="227371B4" w:rsidP="227371B4" w:rsidRDefault="227371B4" w14:paraId="4921A2B8" w14:textId="49C89D60">
            <w:pPr>
              <w:spacing w:before="0" w:beforeAutospacing="off" w:after="0" w:afterAutospacing="off"/>
              <w:rPr>
                <w:rFonts w:ascii="Calibri" w:hAnsi="Calibri" w:eastAsia="Calibri" w:cs="Calibri"/>
                <w:color w:val="0070C0"/>
                <w:sz w:val="19"/>
                <w:szCs w:val="19"/>
                <w:lang w:val="pt-BR"/>
              </w:rPr>
            </w:pPr>
            <w:r w:rsidRPr="227371B4" w:rsidR="227371B4">
              <w:rPr>
                <w:rFonts w:ascii="Calibri" w:hAnsi="Calibri" w:eastAsia="Calibri" w:cs="Calibri"/>
                <w:color w:val="0070C0"/>
                <w:sz w:val="19"/>
                <w:szCs w:val="19"/>
                <w:lang w:val="pt-BR"/>
              </w:rPr>
              <w:t>[Nome do Projeto]</w:t>
            </w:r>
          </w:p>
        </w:tc>
      </w:tr>
      <w:tr xmlns:wp14="http://schemas.microsoft.com/office/word/2010/wordml" w:rsidR="227371B4" w:rsidTr="227371B4" w14:paraId="6ED02935" wp14:textId="77777777">
        <w:trPr>
          <w:trHeight w:val="300"/>
        </w:trPr>
        <w:tc>
          <w:tcPr>
            <w:tcW w:w="2400" w:type="dxa"/>
            <w:tcBorders>
              <w:top w:val="single" w:sz="8"/>
              <w:left w:val="single" w:sz="8"/>
              <w:bottom w:val="single" w:sz="8"/>
              <w:right w:val="single" w:sz="8"/>
            </w:tcBorders>
            <w:shd w:val="clear" w:color="auto" w:fill="E8F5EC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:rsidR="227371B4" w:rsidP="227371B4" w:rsidRDefault="227371B4" w14:paraId="2677197C" w14:textId="6626DA83">
            <w:pPr>
              <w:spacing w:before="0" w:beforeAutospacing="off" w:after="0" w:afterAutospacing="off"/>
              <w:rPr>
                <w:rFonts w:ascii="Calibri" w:hAnsi="Calibri" w:eastAsia="Calibri" w:cs="Calibri"/>
                <w:color w:val="1A1A1A"/>
                <w:sz w:val="19"/>
                <w:szCs w:val="19"/>
                <w:lang w:val="pt-BR"/>
              </w:rPr>
            </w:pPr>
            <w:r w:rsidRPr="227371B4" w:rsidR="227371B4">
              <w:rPr>
                <w:rFonts w:ascii="Calibri" w:hAnsi="Calibri" w:eastAsia="Calibri" w:cs="Calibri"/>
                <w:b w:val="1"/>
                <w:bCs w:val="1"/>
                <w:color w:val="1A1A1A"/>
                <w:sz w:val="19"/>
                <w:szCs w:val="19"/>
                <w:lang w:val="pt-BR"/>
              </w:rPr>
              <w:t>Código do Projeto (Tropical Carbon)</w:t>
            </w:r>
          </w:p>
        </w:tc>
        <w:tc>
          <w:tcPr>
            <w:tcW w:w="7095" w:type="dxa"/>
            <w:tcBorders>
              <w:top w:val="single" w:sz="8"/>
              <w:left w:val="single" w:sz="8"/>
              <w:bottom w:val="single" w:sz="8"/>
              <w:right w:val="single" w:sz="8"/>
            </w:tcBorders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:rsidR="227371B4" w:rsidP="227371B4" w:rsidRDefault="227371B4" w14:paraId="73AFE563" w14:textId="2B501EE5">
            <w:pPr>
              <w:spacing w:before="0" w:beforeAutospacing="off" w:after="0" w:afterAutospacing="off"/>
              <w:rPr>
                <w:rFonts w:ascii="Calibri" w:hAnsi="Calibri" w:eastAsia="Calibri" w:cs="Calibri"/>
                <w:color w:val="0070C0"/>
                <w:sz w:val="19"/>
                <w:szCs w:val="19"/>
                <w:lang w:val="pt-BR"/>
              </w:rPr>
            </w:pPr>
            <w:r w:rsidRPr="227371B4" w:rsidR="227371B4">
              <w:rPr>
                <w:rFonts w:ascii="Calibri" w:hAnsi="Calibri" w:eastAsia="Calibri" w:cs="Calibri"/>
                <w:color w:val="0070C0"/>
                <w:sz w:val="19"/>
                <w:szCs w:val="19"/>
                <w:lang w:val="pt-BR"/>
              </w:rPr>
              <w:t>[Código atribuído pela Tropical Carbon, se já existente]</w:t>
            </w:r>
          </w:p>
        </w:tc>
      </w:tr>
      <w:tr xmlns:wp14="http://schemas.microsoft.com/office/word/2010/wordml" w:rsidR="227371B4" w:rsidTr="227371B4" w14:paraId="125F4FFE" wp14:textId="77777777">
        <w:trPr>
          <w:trHeight w:val="300"/>
        </w:trPr>
        <w:tc>
          <w:tcPr>
            <w:tcW w:w="2400" w:type="dxa"/>
            <w:tcBorders>
              <w:top w:val="single" w:sz="8"/>
              <w:left w:val="single" w:sz="8"/>
              <w:bottom w:val="single" w:sz="8"/>
              <w:right w:val="single" w:sz="8"/>
            </w:tcBorders>
            <w:shd w:val="clear" w:color="auto" w:fill="E8F5EC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:rsidR="227371B4" w:rsidP="227371B4" w:rsidRDefault="227371B4" w14:paraId="22F8575F" w14:textId="735F624C">
            <w:pPr>
              <w:spacing w:before="0" w:beforeAutospacing="off" w:after="0" w:afterAutospacing="off"/>
              <w:rPr>
                <w:rFonts w:ascii="Calibri" w:hAnsi="Calibri" w:eastAsia="Calibri" w:cs="Calibri"/>
                <w:color w:val="1A1A1A"/>
                <w:sz w:val="19"/>
                <w:szCs w:val="19"/>
                <w:lang w:val="pt-BR"/>
              </w:rPr>
            </w:pPr>
            <w:r w:rsidRPr="227371B4" w:rsidR="227371B4">
              <w:rPr>
                <w:rFonts w:ascii="Calibri" w:hAnsi="Calibri" w:eastAsia="Calibri" w:cs="Calibri"/>
                <w:b w:val="1"/>
                <w:bCs w:val="1"/>
                <w:color w:val="1A1A1A"/>
                <w:sz w:val="19"/>
                <w:szCs w:val="19"/>
                <w:lang w:val="pt-BR"/>
              </w:rPr>
              <w:t>Localidade (Município/UF)</w:t>
            </w:r>
          </w:p>
        </w:tc>
        <w:tc>
          <w:tcPr>
            <w:tcW w:w="7095" w:type="dxa"/>
            <w:tcBorders>
              <w:top w:val="single" w:sz="8"/>
              <w:left w:val="single" w:sz="8"/>
              <w:bottom w:val="single" w:sz="8"/>
              <w:right w:val="single" w:sz="8"/>
            </w:tcBorders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:rsidR="227371B4" w:rsidP="227371B4" w:rsidRDefault="227371B4" w14:paraId="17340697" w14:textId="59933229">
            <w:pPr>
              <w:spacing w:before="0" w:beforeAutospacing="off" w:after="0" w:afterAutospacing="off"/>
              <w:rPr>
                <w:rFonts w:ascii="Calibri" w:hAnsi="Calibri" w:eastAsia="Calibri" w:cs="Calibri"/>
                <w:color w:val="0070C0"/>
                <w:sz w:val="19"/>
                <w:szCs w:val="19"/>
                <w:lang w:val="pt-BR"/>
              </w:rPr>
            </w:pPr>
            <w:r w:rsidRPr="227371B4" w:rsidR="227371B4">
              <w:rPr>
                <w:rFonts w:ascii="Calibri" w:hAnsi="Calibri" w:eastAsia="Calibri" w:cs="Calibri"/>
                <w:color w:val="0070C0"/>
                <w:sz w:val="19"/>
                <w:szCs w:val="19"/>
                <w:lang w:val="pt-BR"/>
              </w:rPr>
              <w:t>[Município/UF]</w:t>
            </w:r>
          </w:p>
        </w:tc>
      </w:tr>
      <w:tr xmlns:wp14="http://schemas.microsoft.com/office/word/2010/wordml" w:rsidR="227371B4" w:rsidTr="227371B4" w14:paraId="4CF5E65C" wp14:textId="77777777">
        <w:trPr>
          <w:trHeight w:val="300"/>
        </w:trPr>
        <w:tc>
          <w:tcPr>
            <w:tcW w:w="2400" w:type="dxa"/>
            <w:tcBorders>
              <w:top w:val="single" w:sz="8"/>
              <w:left w:val="single" w:sz="8"/>
              <w:bottom w:val="single" w:sz="8"/>
              <w:right w:val="single" w:sz="8"/>
            </w:tcBorders>
            <w:shd w:val="clear" w:color="auto" w:fill="E8F5EC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:rsidR="227371B4" w:rsidP="227371B4" w:rsidRDefault="227371B4" w14:paraId="73AF0D5E" w14:textId="5BC431D5">
            <w:pPr>
              <w:spacing w:before="0" w:beforeAutospacing="off" w:after="0" w:afterAutospacing="off"/>
              <w:rPr>
                <w:rFonts w:ascii="Calibri" w:hAnsi="Calibri" w:eastAsia="Calibri" w:cs="Calibri"/>
                <w:color w:val="1A1A1A"/>
                <w:sz w:val="19"/>
                <w:szCs w:val="19"/>
                <w:lang w:val="pt-BR"/>
              </w:rPr>
            </w:pPr>
            <w:r w:rsidRPr="227371B4" w:rsidR="227371B4">
              <w:rPr>
                <w:rFonts w:ascii="Calibri" w:hAnsi="Calibri" w:eastAsia="Calibri" w:cs="Calibri"/>
                <w:b w:val="1"/>
                <w:bCs w:val="1"/>
                <w:color w:val="1A1A1A"/>
                <w:sz w:val="19"/>
                <w:szCs w:val="19"/>
                <w:lang w:val="pt-BR"/>
              </w:rPr>
              <w:t>Metodologia aplicável e versão</w:t>
            </w:r>
          </w:p>
        </w:tc>
        <w:tc>
          <w:tcPr>
            <w:tcW w:w="7095" w:type="dxa"/>
            <w:tcBorders>
              <w:top w:val="single" w:sz="8"/>
              <w:left w:val="single" w:sz="8"/>
              <w:bottom w:val="single" w:sz="8"/>
              <w:right w:val="single" w:sz="8"/>
            </w:tcBorders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:rsidR="227371B4" w:rsidP="227371B4" w:rsidRDefault="227371B4" w14:paraId="7293A495" w14:textId="7F4F1BBC">
            <w:pPr>
              <w:spacing w:before="0" w:beforeAutospacing="off" w:after="0" w:afterAutospacing="off"/>
              <w:rPr>
                <w:rFonts w:ascii="Calibri" w:hAnsi="Calibri" w:eastAsia="Calibri" w:cs="Calibri"/>
                <w:color w:val="0070C0"/>
                <w:sz w:val="19"/>
                <w:szCs w:val="19"/>
                <w:lang w:val="pt-BR"/>
              </w:rPr>
            </w:pPr>
            <w:r w:rsidRPr="227371B4" w:rsidR="227371B4">
              <w:rPr>
                <w:rFonts w:ascii="Calibri" w:hAnsi="Calibri" w:eastAsia="Calibri" w:cs="Calibri"/>
                <w:color w:val="0070C0"/>
                <w:sz w:val="19"/>
                <w:szCs w:val="19"/>
                <w:lang w:val="pt-BR"/>
              </w:rPr>
              <w:t>[Ex.: MET TC 001 V1.0]</w:t>
            </w:r>
          </w:p>
        </w:tc>
      </w:tr>
      <w:tr xmlns:wp14="http://schemas.microsoft.com/office/word/2010/wordml" w:rsidR="227371B4" w:rsidTr="227371B4" w14:paraId="4A4EB135" wp14:textId="77777777">
        <w:trPr>
          <w:trHeight w:val="300"/>
        </w:trPr>
        <w:tc>
          <w:tcPr>
            <w:tcW w:w="2400" w:type="dxa"/>
            <w:tcBorders>
              <w:top w:val="single" w:sz="8"/>
              <w:left w:val="single" w:sz="8"/>
              <w:bottom w:val="single" w:sz="8"/>
              <w:right w:val="single" w:sz="8"/>
            </w:tcBorders>
            <w:shd w:val="clear" w:color="auto" w:fill="E8F5EC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:rsidR="227371B4" w:rsidP="227371B4" w:rsidRDefault="227371B4" w14:paraId="2BAC370E" w14:textId="1B2A92F4">
            <w:pPr>
              <w:spacing w:before="0" w:beforeAutospacing="off" w:after="0" w:afterAutospacing="off"/>
              <w:rPr>
                <w:rFonts w:ascii="Calibri" w:hAnsi="Calibri" w:eastAsia="Calibri" w:cs="Calibri"/>
                <w:color w:val="1A1A1A"/>
                <w:sz w:val="19"/>
                <w:szCs w:val="19"/>
                <w:lang w:val="pt-BR"/>
              </w:rPr>
            </w:pPr>
            <w:r w:rsidRPr="227371B4" w:rsidR="227371B4">
              <w:rPr>
                <w:rFonts w:ascii="Calibri" w:hAnsi="Calibri" w:eastAsia="Calibri" w:cs="Calibri"/>
                <w:b w:val="1"/>
                <w:bCs w:val="1"/>
                <w:color w:val="1A1A1A"/>
                <w:sz w:val="19"/>
                <w:szCs w:val="19"/>
                <w:lang w:val="pt-BR"/>
              </w:rPr>
              <w:t>OVV responsável</w:t>
            </w:r>
          </w:p>
        </w:tc>
        <w:tc>
          <w:tcPr>
            <w:tcW w:w="7095" w:type="dxa"/>
            <w:tcBorders>
              <w:top w:val="single" w:sz="8"/>
              <w:left w:val="single" w:sz="8"/>
              <w:bottom w:val="single" w:sz="8"/>
              <w:right w:val="single" w:sz="8"/>
            </w:tcBorders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:rsidR="227371B4" w:rsidP="227371B4" w:rsidRDefault="227371B4" w14:paraId="2466152A" w14:textId="5B527B5C">
            <w:pPr>
              <w:spacing w:before="0" w:beforeAutospacing="off" w:after="0" w:afterAutospacing="off"/>
              <w:rPr>
                <w:rFonts w:ascii="Calibri" w:hAnsi="Calibri" w:eastAsia="Calibri" w:cs="Calibri"/>
                <w:color w:val="0070C0"/>
                <w:sz w:val="19"/>
                <w:szCs w:val="19"/>
                <w:lang w:val="pt-BR"/>
              </w:rPr>
            </w:pPr>
          </w:p>
        </w:tc>
      </w:tr>
    </w:tbl>
    <w:p w:rsidR="227371B4" w:rsidP="227371B4" w:rsidRDefault="227371B4" w14:paraId="7CA49F3A" w14:textId="1BB8888B">
      <w:pPr>
        <w:spacing w:before="500" w:after="120"/>
        <w:jc w:val="center"/>
        <w:rPr>
          <w:b w:val="1"/>
          <w:bCs w:val="1"/>
          <w:color w:val="1D7044"/>
          <w:sz w:val="40"/>
          <w:szCs w:val="40"/>
        </w:rPr>
      </w:pPr>
    </w:p>
    <w:p w:rsidR="0061021D" w:rsidP="00022892" w:rsidRDefault="00000000" w14:paraId="6227D46D" w14:textId="63A93585">
      <w:pPr>
        <w:pStyle w:val="Ttulo1"/>
        <w:spacing w:before="360" w:after="160"/>
      </w:pPr>
      <w:r w:rsidRPr="00022892">
        <w:rPr>
          <w:b w:val="1"/>
          <w:bCs w:val="1"/>
          <w:color w:val="155234"/>
          <w:sz w:val="30"/>
          <w:szCs w:val="30"/>
        </w:rPr>
        <w:t>1. Objetivo</w:t>
      </w:r>
    </w:p>
    <w:p w:rsidR="0061021D" w:rsidP="227371B4" w:rsidRDefault="00000000" w14:paraId="2D0D5275" w14:textId="0A219DF8">
      <w:pPr>
        <w:spacing w:after="140" w:line="276" w:lineRule="auto"/>
        <w:ind w:firstLine="708"/>
        <w:jc w:val="both"/>
        <w:rPr>
          <w:color w:val="1A1A1A"/>
        </w:rPr>
      </w:pPr>
      <w:r w:rsidRPr="227371B4" w:rsidR="435E42F5">
        <w:rPr>
          <w:color w:val="1A1A1A"/>
        </w:rPr>
        <w:t xml:space="preserve">O Documento Auxiliar de Verificação (DVE TC 001) tem por objetivo orientar </w:t>
      </w:r>
      <w:r w:rsidRPr="227371B4" w:rsidR="5F68FF08">
        <w:rPr>
          <w:color w:val="1A1A1A"/>
        </w:rPr>
        <w:t xml:space="preserve">os </w:t>
      </w:r>
      <w:r w:rsidRPr="227371B4" w:rsidR="435E42F5">
        <w:rPr>
          <w:color w:val="1A1A1A"/>
        </w:rPr>
        <w:t>Organi</w:t>
      </w:r>
      <w:r w:rsidRPr="227371B4" w:rsidR="1BFBCF47">
        <w:rPr>
          <w:color w:val="1A1A1A"/>
        </w:rPr>
        <w:t>smos</w:t>
      </w:r>
      <w:r w:rsidRPr="227371B4" w:rsidR="435E42F5">
        <w:rPr>
          <w:color w:val="1A1A1A"/>
        </w:rPr>
        <w:t xml:space="preserve"> de Validação e Verificação (</w:t>
      </w:r>
      <w:r w:rsidRPr="227371B4" w:rsidR="435E42F5">
        <w:rPr>
          <w:color w:val="1A1A1A"/>
        </w:rPr>
        <w:t>OVVs</w:t>
      </w:r>
      <w:r w:rsidRPr="227371B4" w:rsidR="435E42F5">
        <w:rPr>
          <w:color w:val="1A1A1A"/>
        </w:rPr>
        <w:t xml:space="preserve">) </w:t>
      </w:r>
      <w:r w:rsidRPr="227371B4" w:rsidR="333CF033">
        <w:rPr>
          <w:color w:val="1A1A1A"/>
        </w:rPr>
        <w:t>aprovados</w:t>
      </w:r>
      <w:r w:rsidRPr="227371B4" w:rsidR="435E42F5">
        <w:rPr>
          <w:color w:val="1A1A1A"/>
        </w:rPr>
        <w:t xml:space="preserve"> pela Tropical Carbon</w:t>
      </w:r>
      <w:r w:rsidRPr="227371B4" w:rsidR="39676F3C">
        <w:rPr>
          <w:color w:val="1A1A1A"/>
        </w:rPr>
        <w:t xml:space="preserve">, </w:t>
      </w:r>
      <w:r w:rsidRPr="227371B4" w:rsidR="435E42F5">
        <w:rPr>
          <w:color w:val="1A1A1A"/>
        </w:rPr>
        <w:t>na condução do processo de verificação de projetos já validados no âmbito do Programa de Certificação de Créditos de Carbono</w:t>
      </w:r>
      <w:r w:rsidRPr="227371B4" w:rsidR="447ED8F1">
        <w:rPr>
          <w:color w:val="1A1A1A"/>
        </w:rPr>
        <w:t xml:space="preserve"> da Tropical Carbon. </w:t>
      </w:r>
    </w:p>
    <w:p w:rsidR="0061021D" w:rsidP="227371B4" w:rsidRDefault="00000000" w14:paraId="73212BD1" w14:textId="6389E5F6">
      <w:pPr>
        <w:spacing w:after="140" w:line="276" w:lineRule="auto"/>
        <w:ind w:firstLine="708"/>
        <w:jc w:val="both"/>
      </w:pPr>
      <w:r w:rsidRPr="227371B4" w:rsidR="435E42F5">
        <w:rPr>
          <w:color w:val="1A1A1A"/>
        </w:rPr>
        <w:t>Diferentemente da validação — que confirma a constituição inicial da biomassa de carbono existente na área e a elegibilidade do projeto —, a verificação tem por foco confirmar que o estoque certificado permanece íntegro ao longo do tempo, autorizando a liberação de créditos e, ao final do ciclo, o eventual desbloqueio do saldo de reserva de não permanência retido.</w:t>
      </w:r>
    </w:p>
    <w:p w:rsidR="0061021D" w:rsidRDefault="00000000" w14:paraId="025870D0" w14:textId="77777777">
      <w:pPr>
        <w:pStyle w:val="Ttulo1"/>
        <w:pBdr>
          <w:bottom w:val="single" w:color="1D7044" w:sz="6" w:space="4"/>
        </w:pBdr>
        <w:spacing w:before="360" w:after="160"/>
      </w:pPr>
      <w:r>
        <w:rPr>
          <w:b/>
          <w:bCs/>
          <w:color w:val="155234"/>
          <w:sz w:val="30"/>
          <w:szCs w:val="30"/>
        </w:rPr>
        <w:t>2. Escopo — Momentos de Aplicação da Verificação</w:t>
      </w:r>
    </w:p>
    <w:p w:rsidR="0061021D" w:rsidP="227371B4" w:rsidRDefault="00000000" w14:paraId="15EC87C6" w14:textId="0543ABF9">
      <w:pPr>
        <w:spacing w:after="140" w:line="276" w:lineRule="auto"/>
        <w:ind w:firstLine="708"/>
        <w:jc w:val="both"/>
        <w:rPr>
          <w:color w:val="1A1A1A"/>
        </w:rPr>
      </w:pPr>
      <w:r w:rsidRPr="227371B4" w:rsidR="435E42F5">
        <w:rPr>
          <w:color w:val="1A1A1A"/>
        </w:rPr>
        <w:t xml:space="preserve">A verificação de que trata este documento </w:t>
      </w:r>
      <w:r w:rsidRPr="227371B4" w:rsidR="5115A4F9">
        <w:rPr>
          <w:color w:val="1A1A1A"/>
        </w:rPr>
        <w:t>poderá ser conduzida</w:t>
      </w:r>
      <w:r w:rsidRPr="227371B4" w:rsidR="435E42F5">
        <w:rPr>
          <w:color w:val="1A1A1A"/>
        </w:rPr>
        <w:t xml:space="preserve"> em dois momentos distintos do </w:t>
      </w:r>
      <w:r w:rsidRPr="227371B4" w:rsidR="1B30565C">
        <w:rPr>
          <w:color w:val="1A1A1A"/>
        </w:rPr>
        <w:t>ciclo do</w:t>
      </w:r>
      <w:r w:rsidRPr="227371B4" w:rsidR="435E42F5">
        <w:rPr>
          <w:color w:val="1A1A1A"/>
        </w:rPr>
        <w:t xml:space="preserve"> projeto, com escopos e profundidade de análise diferentes entre si. Este documento identifica, ao longo de cada capítulo, quais exigências se aplicam a cada momento, mediante os marcadores [M1] e [M2] descritos abaixo.</w:t>
      </w:r>
    </w:p>
    <w:p w:rsidR="00C6619D" w:rsidP="227371B4" w:rsidRDefault="00000000" w14:paraId="07EBFE68" w14:textId="25154C52">
      <w:pPr>
        <w:spacing w:after="140" w:line="276" w:lineRule="auto"/>
        <w:ind w:firstLine="708"/>
        <w:jc w:val="both"/>
      </w:pPr>
      <w:r w:rsidRPr="227371B4" w:rsidR="435E42F5">
        <w:rPr>
          <w:color w:val="1A1A1A"/>
        </w:rPr>
        <w:t>Este documento descreve, ao longo de cada capítulo, os elementos que devem ser analisados pel</w:t>
      </w:r>
      <w:r w:rsidRPr="227371B4" w:rsidR="3357CD07">
        <w:rPr>
          <w:color w:val="1A1A1A"/>
        </w:rPr>
        <w:t>o</w:t>
      </w:r>
      <w:r w:rsidRPr="227371B4" w:rsidR="435E42F5">
        <w:rPr>
          <w:color w:val="1A1A1A"/>
        </w:rPr>
        <w:t xml:space="preserve"> OVV. A partir do Capítulo 5, cada capítulo indica o Anexo correspondente no qual deve ser registrada, de forma consolidada, a conclusão de cada item avaliado naquele capítulo.</w:t>
      </w:r>
    </w:p>
    <w:p w:rsidR="0061021D" w:rsidP="227371B4" w:rsidRDefault="00000000" w14:paraId="10000002" w14:textId="10000002">
      <w:pPr>
        <w:pBdr>
          <w:top w:val="single" w:color="1D7044" w:sz="4" w:space="4"/>
          <w:left w:val="single" w:color="1D7044" w:sz="4" w:space="4"/>
          <w:bottom w:val="single" w:color="1D7044" w:sz="4" w:space="4"/>
          <w:right w:val="single" w:color="1D7044" w:sz="4" w:space="4"/>
        </w:pBdr>
        <w:shd w:val="clear" w:color="auto" w:fill="E8F5EC"/>
        <w:spacing w:before="60" w:after="160"/>
        <w:jc w:val="both"/>
      </w:pPr>
      <w:r w:rsidRPr="227371B4" w:rsidR="435E42F5">
        <w:rPr>
          <w:b w:val="1"/>
          <w:bCs w:val="1"/>
          <w:color w:val="155234"/>
          <w:sz w:val="20"/>
          <w:szCs w:val="20"/>
        </w:rPr>
        <w:t>A emissão dos créditos de carbono ocorre uma única vez, após a conclusão da Validação e da Verificação da Primeira Emissão (M1). Os monitoramentos anuais simplificados não resultam em novas emissões de créditos, destinando-se exclusivamente ao controle da permanência do estoque certificado e ao cálculo do cronograma de desbloqueio dos créditos previamente emitidos. A Verificação Final (M2) não gera novos créditos, limitando-se à avaliação dos requisitos para o desbloqueio da reserva de não permanência.</w:t>
      </w:r>
    </w:p>
    <w:p w:rsidR="0061021D" w:rsidRDefault="00000000" w14:paraId="2E2170DA" w14:textId="77777777">
      <w:pPr>
        <w:pStyle w:val="Ttulo2"/>
        <w:spacing w:before="280" w:after="120"/>
      </w:pPr>
      <w:r>
        <w:rPr>
          <w:b/>
          <w:bCs/>
          <w:color w:val="1D7044"/>
          <w:sz w:val="25"/>
          <w:szCs w:val="25"/>
        </w:rPr>
        <w:t>2.1. [M1] Verificação da Emissão</w:t>
      </w:r>
    </w:p>
    <w:p w:rsidR="0061021D" w:rsidP="227371B4" w:rsidRDefault="00000000" w14:paraId="53F33555" w14:textId="58612CF1">
      <w:pPr>
        <w:spacing w:after="140" w:line="276" w:lineRule="auto"/>
        <w:ind w:firstLine="708"/>
        <w:jc w:val="both"/>
      </w:pPr>
      <w:r w:rsidRPr="227371B4" w:rsidR="435E42F5">
        <w:rPr>
          <w:color w:val="1A1A1A"/>
        </w:rPr>
        <w:t>Conduzida uma única vez, imediatamente após a validação e previamente à emissão dos créditos. Nesta etapa ainda não existe histórico de monitoramento a analisar: o foco da OVV é confirmar que não houve alteração relevante na condição da área desde a data de referência da validação, e confirmar a correção do cálculo do volume total de créditos elegíveis a ser emitido, incluindo a segregação entre o volume submetido ao cronograma de liberação anual e o volume retido a título de reserva de não permanência.</w:t>
      </w:r>
    </w:p>
    <w:p w:rsidR="0061021D" w:rsidRDefault="00000000" w14:paraId="3451EB6D" w14:textId="77777777">
      <w:pPr>
        <w:pStyle w:val="Ttulo2"/>
        <w:spacing w:before="280" w:after="120"/>
      </w:pPr>
      <w:r>
        <w:rPr>
          <w:b/>
          <w:bCs/>
          <w:color w:val="1D7044"/>
          <w:sz w:val="25"/>
          <w:szCs w:val="25"/>
        </w:rPr>
        <w:t>2.2. [M2] Verificação Final — Desbloqueio da Reserva de Não Permanência</w:t>
      </w:r>
    </w:p>
    <w:p w:rsidR="0061021D" w:rsidP="227371B4" w:rsidRDefault="00000000" w14:paraId="45C17D81" w14:textId="2FD7D08C">
      <w:pPr>
        <w:spacing w:after="140" w:line="276" w:lineRule="auto"/>
        <w:ind w:firstLine="708"/>
        <w:jc w:val="both"/>
      </w:pPr>
      <w:r w:rsidRPr="227371B4" w:rsidR="435E42F5">
        <w:rPr>
          <w:color w:val="1A1A1A"/>
        </w:rPr>
        <w:t>Conduzida ao final do ciclo de monitoramento (5º ano), com foco na revisão retroativa dos relatórios de monitoramento simplificados apresentados anualmente pelo proponente — os quais, nos termos da metodologia aplicável, não são individualmente validados pel</w:t>
      </w:r>
      <w:r w:rsidRPr="227371B4" w:rsidR="5DE2ADC3">
        <w:rPr>
          <w:color w:val="1A1A1A"/>
        </w:rPr>
        <w:t>o</w:t>
      </w:r>
      <w:r w:rsidRPr="227371B4" w:rsidR="435E42F5">
        <w:rPr>
          <w:color w:val="1A1A1A"/>
        </w:rPr>
        <w:t xml:space="preserve"> OVV a cada ano — e na verificação dos requisitos cumulativos para o desbloqueio do saldo de reserva de não permanência retido.</w:t>
      </w:r>
    </w:p>
    <w:p w:rsidR="0061021D" w:rsidP="227371B4" w:rsidRDefault="00000000" w14:paraId="2AF88D97" w14:textId="77777777">
      <w:pPr>
        <w:pBdr>
          <w:top w:val="single" w:color="1D7044" w:sz="4" w:space="4"/>
          <w:left w:val="single" w:color="1D7044" w:sz="4" w:space="4"/>
          <w:bottom w:val="single" w:color="1D7044" w:sz="4" w:space="4"/>
          <w:right w:val="single" w:color="1D7044" w:sz="4" w:space="4"/>
        </w:pBdr>
        <w:shd w:val="clear" w:color="auto" w:fill="E8F5EC"/>
        <w:spacing w:before="60" w:after="160"/>
        <w:jc w:val="both"/>
      </w:pPr>
      <w:r w:rsidRPr="227371B4" w:rsidR="435E42F5">
        <w:rPr>
          <w:i w:val="1"/>
          <w:iCs w:val="1"/>
          <w:color w:val="155234"/>
          <w:sz w:val="20"/>
          <w:szCs w:val="20"/>
        </w:rPr>
        <w:t>Os relatórios de monitoramento anuais simplificados não passam por validação da OVV no momento de sua apresentação. A revisão desses relatórios pela OVV ocorre de forma consolidada e retroativa, exclusivamente no momento da Verificação Final [M2], nos termos da Seção 9.4 deste documento.</w:t>
      </w:r>
    </w:p>
    <w:p w:rsidR="0061021D" w:rsidRDefault="0075331C" w14:paraId="62FD8D8B" w14:textId="6EF6F5AE">
      <w:pPr>
        <w:pStyle w:val="Ttulo1"/>
        <w:pBdr>
          <w:bottom w:val="single" w:color="1D7044" w:sz="6" w:space="4"/>
        </w:pBdr>
        <w:spacing w:before="360" w:after="160"/>
      </w:pPr>
      <w:r>
        <w:rPr>
          <w:b/>
          <w:bCs/>
          <w:color w:val="155234"/>
          <w:sz w:val="30"/>
          <w:szCs w:val="30"/>
        </w:rPr>
        <w:t>3. Princípios da Verificação</w:t>
      </w:r>
    </w:p>
    <w:p w:rsidR="435E42F5" w:rsidP="227371B4" w:rsidRDefault="435E42F5" w14:paraId="4D347E35" w14:textId="7782453B">
      <w:pPr>
        <w:spacing w:after="140" w:line="276" w:lineRule="auto"/>
        <w:ind w:firstLine="708"/>
        <w:jc w:val="both"/>
        <w:rPr>
          <w:rFonts w:ascii="Calibri" w:hAnsi="Calibri" w:eastAsia="Calibri" w:cs="Calibri"/>
          <w:noProof w:val="0"/>
          <w:color w:val="1A1A1A"/>
          <w:sz w:val="21"/>
          <w:szCs w:val="21"/>
          <w:lang w:val="pt-BR"/>
        </w:rPr>
      </w:pPr>
      <w:r w:rsidRPr="227371B4" w:rsidR="435E42F5">
        <w:rPr>
          <w:color w:val="1A1A1A"/>
        </w:rPr>
        <w:t>A verificação conduzida no âmbito do Programa de Certificação da Tropical Carbon</w:t>
      </w:r>
      <w:r w:rsidRPr="227371B4" w:rsidR="2FF3E5AA">
        <w:rPr>
          <w:color w:val="1A1A1A"/>
        </w:rPr>
        <w:t xml:space="preserve"> </w:t>
      </w:r>
      <w:r w:rsidRPr="227371B4" w:rsidR="2FF3E5AA">
        <w:rPr>
          <w:rFonts w:ascii="Calibri" w:hAnsi="Calibri" w:eastAsia="Calibri" w:cs="Calibri"/>
          <w:noProof w:val="0"/>
          <w:color w:val="1A1A1A"/>
          <w:sz w:val="21"/>
          <w:szCs w:val="21"/>
          <w:lang w:val="pt-BR"/>
        </w:rPr>
        <w:t>deverá observar os seguintes princípios, que devem orientar toda decisão técnica do OVV, inclusive diante de situações não expressamente previstas neste documento:</w:t>
      </w:r>
    </w:p>
    <w:p w:rsidR="0061021D" w:rsidRDefault="00000000" w14:paraId="20000000" w14:textId="20000000">
      <w:pPr>
        <w:pStyle w:val="Ttulo3"/>
        <w:spacing w:before="200" w:after="100"/>
      </w:pPr>
      <w:r>
        <w:rPr>
          <w:b/>
          <w:bCs/>
          <w:color w:val="155234"/>
          <w:sz w:val="22"/>
          <w:szCs w:val="22"/>
        </w:rPr>
        <w:t>3.1. Independência e Imparcialidade</w:t>
      </w:r>
    </w:p>
    <w:p w:rsidR="0061021D" w:rsidP="227371B4" w:rsidRDefault="00000000" w14:paraId="20000001" w14:textId="03825FBB">
      <w:pPr>
        <w:spacing w:after="140" w:line="276" w:lineRule="auto"/>
        <w:ind w:firstLine="708"/>
        <w:jc w:val="both"/>
      </w:pPr>
      <w:r w:rsidRPr="227371B4" w:rsidR="435E42F5">
        <w:rPr>
          <w:color w:val="1A1A1A"/>
        </w:rPr>
        <w:t xml:space="preserve">A equipe responsável pela verificação não deve possuir vínculo financeiro, societário, familiar ou profissional com o proponente do projeto, com o elaborador da documentação técnica ou com qualquer parte que possa comprometer, ou aparentar comprometer, a objetividade da avaliação, nos termos da </w:t>
      </w:r>
      <w:r w:rsidRPr="227371B4" w:rsidR="4F1F4FC7">
        <w:rPr>
          <w:color w:val="1A1A1A"/>
        </w:rPr>
        <w:t>POL TC 003</w:t>
      </w:r>
      <w:r w:rsidRPr="227371B4" w:rsidR="4F1F4FC7">
        <w:rPr>
          <w:color w:val="1A1A1A"/>
        </w:rPr>
        <w:t>.</w:t>
      </w:r>
    </w:p>
    <w:p w:rsidR="0061021D" w:rsidRDefault="00000000" w14:paraId="10C45DC8" w14:textId="77777777">
      <w:pPr>
        <w:pStyle w:val="Ttulo3"/>
        <w:spacing w:before="200" w:after="100"/>
      </w:pPr>
      <w:r>
        <w:rPr>
          <w:b/>
          <w:bCs/>
          <w:color w:val="155234"/>
          <w:sz w:val="22"/>
          <w:szCs w:val="22"/>
        </w:rPr>
        <w:t>3.2. Profissionalismo</w:t>
      </w:r>
    </w:p>
    <w:p w:rsidR="0061021D" w:rsidP="227371B4" w:rsidRDefault="00000000" w14:paraId="584E701C" w14:textId="77777777">
      <w:pPr>
        <w:spacing w:after="140" w:line="276" w:lineRule="auto"/>
        <w:ind w:firstLine="708"/>
        <w:jc w:val="both"/>
      </w:pPr>
      <w:r w:rsidRPr="227371B4" w:rsidR="435E42F5">
        <w:rPr>
          <w:color w:val="1A1A1A"/>
        </w:rPr>
        <w:t>A OVV deve manter postura questionadora diante das evidências apresentadas, sem presumir a correção da documentação ou dos relatórios de monitoramento submetidos pelo proponente. Declarações não sustentadas por evidência verificável não devem ser aceitas como suficientes.</w:t>
      </w:r>
    </w:p>
    <w:p w:rsidR="0061021D" w:rsidRDefault="00000000" w14:paraId="542FD3B0" w14:textId="77777777">
      <w:pPr>
        <w:pStyle w:val="Ttulo3"/>
        <w:spacing w:before="200" w:after="100"/>
      </w:pPr>
      <w:r>
        <w:rPr>
          <w:b/>
          <w:bCs/>
          <w:color w:val="155234"/>
          <w:sz w:val="22"/>
          <w:szCs w:val="22"/>
        </w:rPr>
        <w:t>3.3. Materialidade</w:t>
      </w:r>
    </w:p>
    <w:p w:rsidR="0061021D" w:rsidP="227371B4" w:rsidRDefault="00000000" w14:paraId="49D8E7E5" w14:textId="06DCEF2E">
      <w:pPr>
        <w:spacing w:after="140" w:line="276" w:lineRule="auto"/>
        <w:ind w:firstLine="708"/>
        <w:jc w:val="both"/>
      </w:pPr>
      <w:r w:rsidRPr="22777484" w:rsidR="61B99497">
        <w:rPr>
          <w:color w:val="1A1A1A"/>
        </w:rPr>
        <w:t xml:space="preserve">Nem todo desvio identificado compromete a verificação. </w:t>
      </w:r>
      <w:r>
        <w:tab/>
      </w:r>
      <w:r w:rsidRPr="22777484" w:rsidR="19FA8B55">
        <w:rPr>
          <w:color w:val="1A1A1A"/>
        </w:rPr>
        <w:t>O</w:t>
      </w:r>
      <w:r w:rsidRPr="22777484" w:rsidR="61B99497">
        <w:rPr>
          <w:color w:val="1A1A1A"/>
        </w:rPr>
        <w:t xml:space="preserve"> OVV deve avaliar cada achado quanto à sua materialidade — ou seja, quanto ao potencial </w:t>
      </w:r>
      <w:r w:rsidRPr="22777484" w:rsidR="15F1BEFE">
        <w:rPr>
          <w:color w:val="1A1A1A"/>
        </w:rPr>
        <w:t>de isolada</w:t>
      </w:r>
      <w:r w:rsidRPr="22777484" w:rsidR="61B99497">
        <w:rPr>
          <w:color w:val="1A1A1A"/>
        </w:rPr>
        <w:t xml:space="preserve"> ou cumulativamente, distorcer o resultado apurado, comprometer a integridade do estoque certificado ou reduzir a integridade ambiental da certificação.</w:t>
      </w:r>
    </w:p>
    <w:p w:rsidR="0061021D" w:rsidRDefault="00000000" w14:paraId="214517AE" w14:textId="77777777">
      <w:pPr>
        <w:pStyle w:val="Ttulo3"/>
        <w:spacing w:before="200" w:after="100"/>
      </w:pPr>
      <w:r>
        <w:rPr>
          <w:b/>
          <w:bCs/>
          <w:color w:val="155234"/>
          <w:sz w:val="22"/>
          <w:szCs w:val="22"/>
        </w:rPr>
        <w:t>3.4. Conservadorismo</w:t>
      </w:r>
    </w:p>
    <w:p w:rsidR="0061021D" w:rsidP="227371B4" w:rsidRDefault="00000000" w14:paraId="72AA3FBB" w14:textId="3BD3D061">
      <w:pPr>
        <w:spacing w:after="140" w:line="276" w:lineRule="auto"/>
        <w:ind w:firstLine="708"/>
        <w:jc w:val="both"/>
        <w:rPr>
          <w:color w:val="1A1A1A"/>
        </w:rPr>
      </w:pPr>
      <w:r w:rsidRPr="227371B4" w:rsidR="435E42F5">
        <w:rPr>
          <w:color w:val="1A1A1A"/>
        </w:rPr>
        <w:t xml:space="preserve">Diante de dúvida técnica relevante não sanável no curso da verificação, </w:t>
      </w:r>
      <w:r w:rsidRPr="227371B4" w:rsidR="4A96A9B3">
        <w:rPr>
          <w:color w:val="1A1A1A"/>
        </w:rPr>
        <w:t>o</w:t>
      </w:r>
      <w:r w:rsidRPr="227371B4" w:rsidR="435E42F5">
        <w:rPr>
          <w:color w:val="1A1A1A"/>
        </w:rPr>
        <w:t xml:space="preserve"> </w:t>
      </w:r>
      <w:r w:rsidRPr="227371B4" w:rsidR="435E42F5">
        <w:rPr>
          <w:color w:val="1A1A1A"/>
        </w:rPr>
        <w:t>OVV deve adotar a interpretação mais conservadora, privilegiando a que resulte em menor volume de créditos liberados ou maior exigência de evidência, e registrar expressamente a dúvida e o tratamento adotado.</w:t>
      </w:r>
    </w:p>
    <w:p w:rsidR="0061021D" w:rsidRDefault="00000000" w14:paraId="085BDAC1" w14:textId="77777777">
      <w:pPr>
        <w:pStyle w:val="Ttulo3"/>
        <w:spacing w:before="200" w:after="100"/>
      </w:pPr>
      <w:r>
        <w:rPr>
          <w:b/>
          <w:bCs/>
          <w:color w:val="155234"/>
          <w:sz w:val="22"/>
          <w:szCs w:val="22"/>
        </w:rPr>
        <w:t>3.5. Rastreabilidade</w:t>
      </w:r>
    </w:p>
    <w:p w:rsidR="0061021D" w:rsidP="227371B4" w:rsidRDefault="00000000" w14:paraId="46E3CE4B" w14:textId="2291FC90">
      <w:pPr>
        <w:spacing w:after="140" w:line="276" w:lineRule="auto"/>
        <w:ind w:firstLine="708"/>
        <w:jc w:val="both"/>
      </w:pPr>
      <w:r w:rsidRPr="227371B4" w:rsidR="435E42F5">
        <w:rPr>
          <w:color w:val="1A1A1A"/>
        </w:rPr>
        <w:t>Toda conclusão d</w:t>
      </w:r>
      <w:r w:rsidRPr="227371B4" w:rsidR="51DD6440">
        <w:rPr>
          <w:color w:val="1A1A1A"/>
        </w:rPr>
        <w:t>o</w:t>
      </w:r>
      <w:r w:rsidRPr="227371B4" w:rsidR="435E42F5">
        <w:rPr>
          <w:color w:val="1A1A1A"/>
        </w:rPr>
        <w:t xml:space="preserve"> OVV deve ser lastreada em evidência documentada, identificável e recuperável, de modo que um terceiro tecnicamente qualificado, sem acesso ao raciocínio original do auditor, consiga reconstituir o caminho que levou à conclusão registrada.</w:t>
      </w:r>
    </w:p>
    <w:p w:rsidR="0061021D" w:rsidRDefault="00000000" w14:paraId="2C6DE538" w14:textId="77777777">
      <w:pPr>
        <w:spacing w:after="140" w:line="276" w:lineRule="auto"/>
        <w:jc w:val="both"/>
      </w:pPr>
      <w:r>
        <w:rPr>
          <w:color w:val="1A1A1A"/>
        </w:rPr>
        <w:t>Adicionalmente aos princípios acima, a verificação observa a seguinte ênfase específica ao seu processo:</w:t>
      </w:r>
    </w:p>
    <w:p w:rsidR="0061021D" w:rsidRDefault="00000000" w14:paraId="13F798AD" w14:textId="77777777">
      <w:pPr>
        <w:pStyle w:val="Ttulo3"/>
        <w:spacing w:before="200" w:after="100"/>
      </w:pPr>
      <w:r>
        <w:rPr>
          <w:b/>
          <w:bCs/>
          <w:color w:val="155234"/>
          <w:sz w:val="22"/>
          <w:szCs w:val="22"/>
        </w:rPr>
        <w:t>3.6. Continuidade Técnica</w:t>
      </w:r>
    </w:p>
    <w:p w:rsidR="0061021D" w:rsidP="227371B4" w:rsidRDefault="00000000" w14:paraId="1CA8D747" w14:textId="77777777">
      <w:pPr>
        <w:spacing w:after="140" w:line="276" w:lineRule="auto"/>
        <w:ind w:firstLine="708"/>
        <w:jc w:val="both"/>
        <w:rPr>
          <w:color w:val="1A1A1A"/>
        </w:rPr>
      </w:pPr>
      <w:r w:rsidRPr="227371B4" w:rsidR="435E42F5">
        <w:rPr>
          <w:color w:val="1A1A1A"/>
        </w:rPr>
        <w:t>Sempre que possível, e observadas as regras de rotatividade e independência aplicáveis, recomenda-se que a equipe responsável pela verificação tenha acesso integral ao Relatório de Validação anterior e, na Verificação Final, aos relatórios de monitoramento simplificados de todo o ciclo, de modo a assegurar comparabilidade e continuidade da análise técnica ao longo do tempo.</w:t>
      </w:r>
    </w:p>
    <w:p w:rsidR="008F0841" w:rsidRDefault="008F0841" w14:paraId="20D1DD0B" w14:textId="77777777">
      <w:pPr>
        <w:spacing w:after="140" w:line="276" w:lineRule="auto"/>
        <w:jc w:val="both"/>
        <w:rPr>
          <w:color w:val="155234"/>
          <w:sz w:val="22"/>
          <w:szCs w:val="22"/>
        </w:rPr>
      </w:pPr>
      <w:r>
        <w:rPr>
          <w:rStyle w:val="normaltextrun"/>
          <w:b/>
          <w:bCs/>
          <w:color w:val="155234"/>
          <w:sz w:val="22"/>
          <w:szCs w:val="22"/>
        </w:rPr>
        <w:t>3.7. Competência Técnica</w:t>
      </w:r>
      <w:r>
        <w:rPr>
          <w:rStyle w:val="scxw144872846"/>
          <w:color w:val="155234"/>
          <w:sz w:val="22"/>
          <w:szCs w:val="22"/>
        </w:rPr>
        <w:t> </w:t>
      </w:r>
    </w:p>
    <w:p w:rsidR="008F0841" w:rsidP="227371B4" w:rsidRDefault="008F0841" w14:paraId="1184B25D" w14:textId="31617C4C">
      <w:pPr>
        <w:spacing w:after="140" w:line="276" w:lineRule="auto"/>
        <w:ind w:firstLine="708"/>
        <w:jc w:val="both"/>
      </w:pPr>
      <w:r w:rsidRPr="227371B4" w:rsidR="3EFCE497">
        <w:rPr>
          <w:rStyle w:val="normaltextrun"/>
          <w:color w:val="000000" w:themeColor="text1" w:themeTint="FF" w:themeShade="FF"/>
        </w:rPr>
        <w:t>A verificação deve ser conduzida por equipe que possua competência comprovada nas áreas técnicas relevantes ao projeto, incluindo sensoriamento remoto, inventário florestal, geoprocessamento, estatística, direito fundiário e demais disciplinas aplicáveis ao escopo da metodologia.</w:t>
      </w:r>
      <w:r w:rsidRPr="227371B4" w:rsidR="3EFCE497">
        <w:rPr>
          <w:rStyle w:val="eop"/>
          <w:color w:val="000000" w:themeColor="text1" w:themeTint="FF" w:themeShade="FF"/>
        </w:rPr>
        <w:t> </w:t>
      </w:r>
    </w:p>
    <w:p w:rsidR="0E37F412" w:rsidP="2880CC69" w:rsidRDefault="0E37F412" w14:paraId="0D9BF40B" w14:textId="797A9CFC">
      <w:pPr>
        <w:spacing w:after="140" w:line="276" w:lineRule="auto"/>
        <w:jc w:val="both"/>
        <w:rPr>
          <w:rStyle w:val="normaltextrun"/>
          <w:b/>
          <w:bCs/>
          <w:color w:val="155234"/>
          <w:sz w:val="22"/>
          <w:szCs w:val="22"/>
        </w:rPr>
      </w:pPr>
      <w:r>
        <w:rPr>
          <w:rStyle w:val="normaltextrun"/>
          <w:b/>
          <w:bCs/>
          <w:color w:val="155234"/>
          <w:sz w:val="22"/>
          <w:szCs w:val="22"/>
        </w:rPr>
        <w:t xml:space="preserve">3.8 Confidencialidade: </w:t>
      </w:r>
    </w:p>
    <w:p w:rsidR="0E37F412" w:rsidP="227371B4" w:rsidRDefault="0E37F412" w14:paraId="6799476E" w14:textId="3A2DC8F8">
      <w:pPr>
        <w:spacing w:line="253" w:lineRule="auto"/>
        <w:ind w:firstLine="708"/>
        <w:jc w:val="both"/>
        <w:rPr>
          <w:sz w:val="22"/>
          <w:szCs w:val="22"/>
        </w:rPr>
      </w:pPr>
      <w:r w:rsidRPr="227371B4" w:rsidR="3880EDAE">
        <w:rPr>
          <w:sz w:val="22"/>
          <w:szCs w:val="22"/>
        </w:rPr>
        <w:t>Informações do proponente e demais dados obtidos no âmbito da validação e da verificação devem ser protegidos e utilizados exclusivamente para os fins da avaliação, em conformidade com a LGPD e com a política de confidencialidade da Tropical Carbon;</w:t>
      </w:r>
    </w:p>
    <w:p w:rsidR="2880CC69" w:rsidP="2880CC69" w:rsidRDefault="2880CC69" w14:paraId="3F6A6474" w14:textId="2EFF5C15">
      <w:pPr>
        <w:spacing w:after="140" w:line="276" w:lineRule="auto"/>
        <w:jc w:val="both"/>
        <w:rPr>
          <w:rStyle w:val="eop"/>
          <w:color w:val="000000" w:themeColor="text1"/>
        </w:rPr>
      </w:pPr>
    </w:p>
    <w:p w:rsidRPr="005C557E" w:rsidR="00C573F6" w:rsidP="227371B4" w:rsidRDefault="005C557E" w14:paraId="058FC9AD" w14:textId="1559296E">
      <w:pPr>
        <w:spacing w:after="140" w:line="276" w:lineRule="auto"/>
        <w:ind w:firstLine="708"/>
        <w:jc w:val="both"/>
        <w:rPr>
          <w:color w:val="1A1A1A"/>
        </w:rPr>
      </w:pPr>
      <w:r w:rsidRPr="227371B4" w:rsidR="4F1F4FC7">
        <w:rPr>
          <w:color w:val="1A1A1A"/>
        </w:rPr>
        <w:t>Não obstante os princípios estabelecidos neste capítulo, as atividades de validação e verificação conduzidas pel</w:t>
      </w:r>
      <w:r w:rsidRPr="227371B4" w:rsidR="2399F0A3">
        <w:rPr>
          <w:color w:val="1A1A1A"/>
        </w:rPr>
        <w:t>o</w:t>
      </w:r>
      <w:r w:rsidRPr="227371B4" w:rsidR="4F1F4FC7">
        <w:rPr>
          <w:color w:val="1A1A1A"/>
        </w:rPr>
        <w:t xml:space="preserve">s </w:t>
      </w:r>
      <w:r w:rsidRPr="227371B4" w:rsidR="4F1F4FC7">
        <w:rPr>
          <w:color w:val="1A1A1A"/>
        </w:rPr>
        <w:t>OVVs</w:t>
      </w:r>
      <w:r w:rsidRPr="227371B4" w:rsidR="4F1F4FC7">
        <w:rPr>
          <w:color w:val="1A1A1A"/>
        </w:rPr>
        <w:t xml:space="preserve"> deverão observar integralmente os procedimentos operacionais, políticas e demais documentos normativos emitidos pela Tropical Carbon, em especial o </w:t>
      </w:r>
      <w:r w:rsidRPr="227371B4" w:rsidR="4F1F4FC7">
        <w:rPr>
          <w:b w:val="1"/>
          <w:bCs w:val="1"/>
          <w:color w:val="1A1A1A"/>
        </w:rPr>
        <w:t>PRO TC 006 – Procedimento de Aprovação e Supervisão de Organizações de Validação e Verificação (</w:t>
      </w:r>
      <w:r w:rsidRPr="227371B4" w:rsidR="4F1F4FC7">
        <w:rPr>
          <w:b w:val="1"/>
          <w:bCs w:val="1"/>
          <w:color w:val="1A1A1A"/>
        </w:rPr>
        <w:t>OVVs</w:t>
      </w:r>
      <w:r w:rsidRPr="227371B4" w:rsidR="4F1F4FC7">
        <w:rPr>
          <w:b w:val="1"/>
          <w:bCs w:val="1"/>
          <w:color w:val="1A1A1A"/>
        </w:rPr>
        <w:t>)</w:t>
      </w:r>
      <w:r w:rsidRPr="227371B4" w:rsidR="4F1F4FC7">
        <w:rPr>
          <w:color w:val="1A1A1A"/>
        </w:rPr>
        <w:t xml:space="preserve">, prevalecendo seus requisitos específicos sempre que disciplinarem aspectos operacionais, de competência, supervisão ou controle das atividades das </w:t>
      </w:r>
      <w:r w:rsidRPr="227371B4" w:rsidR="4F1F4FC7">
        <w:rPr>
          <w:color w:val="1A1A1A"/>
        </w:rPr>
        <w:t>OVVs</w:t>
      </w:r>
      <w:r w:rsidRPr="227371B4" w:rsidR="4F1F4FC7">
        <w:rPr>
          <w:color w:val="1A1A1A"/>
        </w:rPr>
        <w:t>.</w:t>
      </w:r>
    </w:p>
    <w:p w:rsidR="0061021D" w:rsidP="2880CC69" w:rsidRDefault="00000000" w14:paraId="2830144B" w14:textId="29DEBC12">
      <w:pPr>
        <w:pStyle w:val="Ttulo1"/>
        <w:pBdr>
          <w:bottom w:val="single" w:color="1D7044" w:sz="6" w:space="4"/>
        </w:pBdr>
        <w:spacing w:before="360" w:after="160"/>
      </w:pPr>
      <w:r>
        <w:rPr>
          <w:b/>
          <w:bCs/>
          <w:color w:val="155234"/>
          <w:sz w:val="30"/>
          <w:szCs w:val="30"/>
        </w:rPr>
        <w:t>4. Planejamento da Verificação</w:t>
      </w:r>
    </w:p>
    <w:p w:rsidR="0061021D" w:rsidP="227371B4" w:rsidRDefault="00000000" w14:paraId="57874774" w14:textId="77777777">
      <w:pPr>
        <w:spacing w:after="140" w:line="276" w:lineRule="auto"/>
        <w:ind w:firstLine="708"/>
        <w:jc w:val="both"/>
      </w:pPr>
      <w:r w:rsidRPr="227371B4" w:rsidR="435E42F5">
        <w:rPr>
          <w:color w:val="1A1A1A"/>
        </w:rPr>
        <w:t>A verificação deve ser precedida de plano de auditoria específico ao momento aplicável [M1] ou [M2], contendo, no mínimo:</w:t>
      </w:r>
    </w:p>
    <w:p w:rsidR="0061021D" w:rsidRDefault="00000000" w14:paraId="7BCD0E8B" w14:textId="77777777">
      <w:pPr>
        <w:pStyle w:val="PargrafodaLista"/>
        <w:numPr>
          <w:ilvl w:val="0"/>
          <w:numId w:val="1"/>
        </w:numPr>
        <w:spacing w:after="80" w:line="264" w:lineRule="auto"/>
        <w:jc w:val="both"/>
      </w:pPr>
      <w:r>
        <w:rPr>
          <w:color w:val="1A1A1A"/>
        </w:rPr>
        <w:t>Identificação do projeto, do proponente e do momento de verificação aplicável ([M1] emissão ou [M2] verificação final);</w:t>
      </w:r>
    </w:p>
    <w:p w:rsidR="0061021D" w:rsidRDefault="00000000" w14:paraId="04B3EFCC" w14:textId="77777777">
      <w:pPr>
        <w:pStyle w:val="PargrafodaLista"/>
        <w:numPr>
          <w:ilvl w:val="0"/>
          <w:numId w:val="1"/>
        </w:numPr>
        <w:spacing w:after="80" w:line="264" w:lineRule="auto"/>
        <w:jc w:val="both"/>
      </w:pPr>
      <w:r>
        <w:rPr>
          <w:color w:val="1A1A1A"/>
        </w:rPr>
        <w:t>Composição da equipe e respectivas atribuições;</w:t>
      </w:r>
    </w:p>
    <w:p w:rsidR="0061021D" w:rsidRDefault="00000000" w14:paraId="06031DFC" w14:textId="098183EB">
      <w:pPr>
        <w:pStyle w:val="PargrafodaLista"/>
        <w:numPr>
          <w:ilvl w:val="0"/>
          <w:numId w:val="1"/>
        </w:numPr>
        <w:spacing w:after="80" w:line="264" w:lineRule="auto"/>
        <w:jc w:val="both"/>
      </w:pPr>
      <w:r>
        <w:rPr>
          <w:color w:val="1A1A1A"/>
        </w:rPr>
        <w:t>Documentos de referência a serem revisados (Relatório de Validação e, quando [M2], os relatórios de monitoramento simplificados do ciclo completo e avaliações de riscos);</w:t>
      </w:r>
    </w:p>
    <w:p w:rsidR="0061021D" w:rsidRDefault="00000000" w14:paraId="40A1FADA" w14:textId="77777777">
      <w:pPr>
        <w:pStyle w:val="PargrafodaLista"/>
        <w:numPr>
          <w:ilvl w:val="0"/>
          <w:numId w:val="1"/>
        </w:numPr>
        <w:spacing w:after="80" w:line="264" w:lineRule="auto"/>
        <w:jc w:val="both"/>
      </w:pPr>
      <w:r>
        <w:rPr>
          <w:color w:val="1A1A1A"/>
        </w:rPr>
        <w:t>Cronograma estimado e, quando aplicável, plano preliminar de inspeção de campo;</w:t>
      </w:r>
    </w:p>
    <w:p w:rsidR="0061021D" w:rsidRDefault="00000000" w14:paraId="212160C7" w14:textId="77777777">
      <w:pPr>
        <w:pStyle w:val="PargrafodaLista"/>
        <w:numPr>
          <w:ilvl w:val="0"/>
          <w:numId w:val="1"/>
        </w:numPr>
        <w:spacing w:after="80" w:line="264" w:lineRule="auto"/>
        <w:jc w:val="both"/>
      </w:pPr>
      <w:r>
        <w:rPr>
          <w:color w:val="1A1A1A"/>
        </w:rPr>
        <w:t>Identificação de fatores de risco específicos que possam demandar atenção adicional (ex.: histórico de eventos climáticos extremos na região, alterações fundiárias supervenientes conhecidas).</w:t>
      </w:r>
    </w:p>
    <w:p w:rsidR="0061021D" w:rsidP="2880CC69" w:rsidRDefault="00000000" w14:paraId="188A7522" w14:textId="6CE03A0A">
      <w:pPr>
        <w:pStyle w:val="Ttulo1"/>
        <w:pBdr>
          <w:bottom w:val="single" w:color="1D7044" w:sz="6" w:space="4"/>
        </w:pBdr>
        <w:spacing w:before="360" w:after="160"/>
      </w:pPr>
      <w:r w:rsidRPr="227371B4" w:rsidR="435E42F5">
        <w:rPr>
          <w:b w:val="1"/>
          <w:bCs w:val="1"/>
          <w:color w:val="155234"/>
          <w:sz w:val="30"/>
          <w:szCs w:val="30"/>
        </w:rPr>
        <w:t>5. Revisão Documental</w:t>
      </w:r>
    </w:p>
    <w:p w:rsidR="36E4A596" w:rsidP="227371B4" w:rsidRDefault="36E4A596" w14:paraId="3697AE17" w14:textId="6CB181B0">
      <w:pPr>
        <w:spacing w:after="140" w:line="276" w:lineRule="auto"/>
        <w:ind w:firstLine="708"/>
        <w:jc w:val="both"/>
        <w:rPr>
          <w:rFonts w:ascii="Calibri" w:hAnsi="Calibri" w:eastAsia="Calibri" w:cs="Calibri"/>
          <w:noProof w:val="0"/>
          <w:color w:val="1A1A1A"/>
          <w:sz w:val="21"/>
          <w:szCs w:val="21"/>
          <w:lang w:val="pt-BR"/>
        </w:rPr>
      </w:pPr>
      <w:r w:rsidRPr="227371B4" w:rsidR="36E4A596">
        <w:rPr>
          <w:rFonts w:ascii="Calibri" w:hAnsi="Calibri" w:eastAsia="Calibri" w:cs="Calibri"/>
          <w:noProof w:val="0"/>
          <w:color w:val="1A1A1A"/>
          <w:sz w:val="21"/>
          <w:szCs w:val="21"/>
          <w:lang w:val="pt-BR"/>
        </w:rPr>
        <w:t>O OVV deve revisar a documentação apresentada pelo proponente, registrando suas conclusões nos moldes do Anexo I.</w:t>
      </w:r>
    </w:p>
    <w:p w:rsidR="36E4A596" w:rsidP="227371B4" w:rsidRDefault="36E4A596" w14:paraId="20EF1A9B" w14:textId="76A490C6">
      <w:pPr>
        <w:spacing w:after="140" w:line="276" w:lineRule="auto"/>
        <w:ind w:firstLine="708"/>
        <w:jc w:val="both"/>
        <w:rPr>
          <w:rFonts w:ascii="Calibri" w:hAnsi="Calibri" w:eastAsia="Calibri" w:cs="Calibri"/>
          <w:noProof w:val="0"/>
          <w:color w:val="1A1A1A"/>
          <w:sz w:val="21"/>
          <w:szCs w:val="21"/>
          <w:lang w:val="pt-BR"/>
        </w:rPr>
      </w:pPr>
      <w:r w:rsidRPr="227371B4" w:rsidR="36E4A596">
        <w:rPr>
          <w:rFonts w:ascii="Calibri" w:hAnsi="Calibri" w:eastAsia="Calibri" w:cs="Calibri"/>
          <w:noProof w:val="0"/>
          <w:color w:val="1A1A1A"/>
          <w:sz w:val="21"/>
          <w:szCs w:val="21"/>
          <w:lang w:val="pt-BR"/>
        </w:rPr>
        <w:t>As conclusões consolidadas de cada item avaliado neste capítulo 5 devem ser registradas na Ficha do Anexo II.</w:t>
      </w:r>
    </w:p>
    <w:p w:rsidR="0061021D" w:rsidRDefault="00000000" w14:paraId="12BC4DBB" w14:textId="03958621">
      <w:pPr>
        <w:pStyle w:val="Ttulo2"/>
        <w:spacing w:before="280" w:after="120"/>
      </w:pPr>
      <w:r>
        <w:rPr>
          <w:b/>
          <w:bCs/>
          <w:color w:val="1D7044"/>
          <w:sz w:val="25"/>
          <w:szCs w:val="25"/>
        </w:rPr>
        <w:t>5.1. Confirmação do Relatório de Validação Anterior</w:t>
      </w:r>
    </w:p>
    <w:p w:rsidR="0061021D" w:rsidP="227371B4" w:rsidRDefault="00000000" w14:paraId="5CFEB122" w14:textId="3976EB8F">
      <w:pPr>
        <w:spacing w:after="140" w:line="276" w:lineRule="auto"/>
        <w:ind w:firstLine="708"/>
        <w:jc w:val="both"/>
        <w:rPr>
          <w:color w:val="1A1A1A"/>
        </w:rPr>
      </w:pPr>
      <w:r w:rsidRPr="227371B4" w:rsidR="5EB2AA3A">
        <w:rPr>
          <w:color w:val="1A1A1A"/>
        </w:rPr>
        <w:t>O</w:t>
      </w:r>
      <w:r w:rsidRPr="227371B4" w:rsidR="435E42F5">
        <w:rPr>
          <w:color w:val="1A1A1A"/>
        </w:rPr>
        <w:t xml:space="preserve"> OVV deve confirmar que dispõe do Relatório de Validação (ou do Relatório de Verificação anterior, quando aplicável) do </w:t>
      </w:r>
      <w:r w:rsidRPr="227371B4" w:rsidR="49223909">
        <w:rPr>
          <w:color w:val="1A1A1A"/>
        </w:rPr>
        <w:t>PDD</w:t>
      </w:r>
      <w:r w:rsidRPr="227371B4" w:rsidR="435E42F5">
        <w:rPr>
          <w:color w:val="1A1A1A"/>
        </w:rPr>
        <w:t>, incluindo o percentual de retenção de não permanência confirmado, a classificação de risco original e eventuais não conformidades menores pendentes de acompanhamento.</w:t>
      </w:r>
    </w:p>
    <w:p w:rsidR="0061021D" w:rsidRDefault="00000000" w14:paraId="31DE5A04" w14:textId="0E436CF3">
      <w:pPr>
        <w:pStyle w:val="Ttulo2"/>
        <w:spacing w:before="280" w:after="120"/>
      </w:pPr>
      <w:r>
        <w:rPr>
          <w:b/>
          <w:bCs/>
          <w:color w:val="1D7044"/>
          <w:sz w:val="25"/>
          <w:szCs w:val="25"/>
        </w:rPr>
        <w:t>5.2. Comparação entre Certificação Inicial e Situação Atual</w:t>
      </w:r>
    </w:p>
    <w:p w:rsidR="0061021D" w:rsidP="227371B4" w:rsidRDefault="00000000" w14:paraId="3A301E2D" w14:textId="4AFBC1D0">
      <w:pPr>
        <w:spacing w:after="140" w:line="276" w:lineRule="auto"/>
        <w:ind w:firstLine="708"/>
        <w:jc w:val="both"/>
      </w:pPr>
      <w:r w:rsidRPr="227371B4" w:rsidR="46CD629F">
        <w:rPr>
          <w:color w:val="1A1A1A"/>
        </w:rPr>
        <w:t>O</w:t>
      </w:r>
      <w:r w:rsidRPr="227371B4" w:rsidR="435E42F5">
        <w:rPr>
          <w:color w:val="1A1A1A"/>
        </w:rPr>
        <w:t xml:space="preserve"> OVV deve comparar a condição da área na data de referência da validação (ou da verificação anterior) com a condição atual, com base em documentação, imagens e, quando aplicável, inspeção de campo, identificando alterações relevantes na cobertura florestal, na titularidade, no uso do entorno ou em restrições legais incidentes.</w:t>
      </w:r>
    </w:p>
    <w:p w:rsidR="0061021D" w:rsidRDefault="00000000" w14:paraId="63026C34" w14:textId="22C105C2">
      <w:pPr>
        <w:pStyle w:val="Ttulo2"/>
        <w:spacing w:before="280" w:after="120"/>
      </w:pPr>
      <w:r>
        <w:rPr>
          <w:b/>
          <w:bCs/>
          <w:color w:val="1D7044"/>
          <w:sz w:val="25"/>
          <w:szCs w:val="25"/>
        </w:rPr>
        <w:t>5.3. [M1] Confirmação de Ausência de Alteração Relevante desde a Validação</w:t>
      </w:r>
    </w:p>
    <w:p w:rsidR="0061021D" w:rsidP="227371B4" w:rsidRDefault="00000000" w14:paraId="6EFDE825" w14:textId="6AEA639F">
      <w:pPr>
        <w:spacing w:after="140" w:line="276" w:lineRule="auto"/>
        <w:ind w:firstLine="708"/>
        <w:jc w:val="both"/>
      </w:pPr>
      <w:r w:rsidRPr="227371B4" w:rsidR="435E42F5">
        <w:rPr>
          <w:color w:val="1A1A1A"/>
        </w:rPr>
        <w:t xml:space="preserve">Na Verificação da Emissão, </w:t>
      </w:r>
      <w:r w:rsidRPr="227371B4" w:rsidR="6AD4AF2E">
        <w:rPr>
          <w:color w:val="1A1A1A"/>
        </w:rPr>
        <w:t>o</w:t>
      </w:r>
      <w:r w:rsidRPr="227371B4" w:rsidR="435E42F5">
        <w:rPr>
          <w:color w:val="1A1A1A"/>
        </w:rPr>
        <w:t xml:space="preserve"> OVV deve confirmar que, no intervalo geralmente breve </w:t>
      </w:r>
      <w:r w:rsidRPr="227371B4" w:rsidR="675AF0F6">
        <w:rPr>
          <w:color w:val="1A1A1A"/>
        </w:rPr>
        <w:t>desde a</w:t>
      </w:r>
      <w:r w:rsidRPr="227371B4" w:rsidR="435E42F5">
        <w:rPr>
          <w:color w:val="1A1A1A"/>
        </w:rPr>
        <w:t xml:space="preserve"> validação não ocorreu evento que comprometa a condição do estoque certificado (ex.: incêndio, desmatamento, alteração de titularidade não comunicada).</w:t>
      </w:r>
    </w:p>
    <w:p w:rsidP="00022892" w:rsidRDefault="00000000" w14:paraId="6248FCD1" w14:textId="2D6A08C8">
      <w:pPr>
        <w:spacing w:before="40" w:after="140" w:line="276" w:lineRule="auto"/>
        <w:jc w:val="both"/>
      </w:pPr>
      <w:r w:rsidRPr="00022892">
        <w:rPr>
          <w:i w:val="1"/>
          <w:iCs w:val="1"/>
          <w:color w:val="4D4D4D"/>
          <w:sz w:val="19"/>
          <w:szCs w:val="19"/>
        </w:rPr>
        <w:t>Base normativa de referência: metodologia aplicável — capítulo de Cronograma de Liberação Anual de Créditos.</w:t>
      </w:r>
    </w:p>
    <w:p w:rsidR="0061021D" w:rsidRDefault="00000000" w14:paraId="04A8E35D" w14:textId="6162CC86">
      <w:pPr>
        <w:pStyle w:val="Ttulo2"/>
        <w:spacing w:before="280" w:after="120"/>
      </w:pPr>
      <w:r>
        <w:rPr>
          <w:b/>
          <w:bCs/>
          <w:color w:val="1D7044"/>
          <w:sz w:val="25"/>
          <w:szCs w:val="25"/>
        </w:rPr>
        <w:t>5.4. [M2] Revisão Retroativa dos Relatórios de Monitoramento Simplificados do Ciclo</w:t>
      </w:r>
    </w:p>
    <w:p w:rsidR="0061021D" w:rsidP="227371B4" w:rsidRDefault="00000000" w14:paraId="5E27225A" w14:textId="77777777">
      <w:pPr>
        <w:spacing w:after="140" w:line="276" w:lineRule="auto"/>
        <w:ind w:firstLine="708"/>
        <w:jc w:val="both"/>
      </w:pPr>
      <w:r w:rsidRPr="227371B4" w:rsidR="435E42F5">
        <w:rPr>
          <w:color w:val="1A1A1A"/>
        </w:rPr>
        <w:t>Na Verificação Final, a OVV deve revisar, de forma consolidada, a totalidade dos relatórios de monitoramento simplificados apresentados pelo proponente ao longo do ciclo de 5 (cinco) anos, confirmando, para cada período:</w:t>
      </w:r>
    </w:p>
    <w:p w:rsidR="0061021D" w:rsidRDefault="00000000" w14:paraId="1E5DC00C" w14:textId="77777777">
      <w:pPr>
        <w:pStyle w:val="PargrafodaLista"/>
        <w:numPr>
          <w:ilvl w:val="0"/>
          <w:numId w:val="1"/>
        </w:numPr>
        <w:spacing w:after="80" w:line="264" w:lineRule="auto"/>
        <w:jc w:val="both"/>
      </w:pPr>
      <w:r>
        <w:rPr>
          <w:color w:val="1A1A1A"/>
        </w:rPr>
        <w:t>Se o relatório identificou ou não regressão (perda de estoque de carbono) no período correspondente;</w:t>
      </w:r>
    </w:p>
    <w:p w:rsidR="0061021D" w:rsidRDefault="00000000" w14:paraId="0D9D4EAD" w14:textId="77777777">
      <w:pPr>
        <w:pStyle w:val="PargrafodaLista"/>
        <w:numPr>
          <w:ilvl w:val="0"/>
          <w:numId w:val="1"/>
        </w:numPr>
        <w:spacing w:after="80" w:line="264" w:lineRule="auto"/>
        <w:jc w:val="both"/>
      </w:pPr>
      <w:r>
        <w:rPr>
          <w:color w:val="1A1A1A"/>
        </w:rPr>
        <w:t>Quando identificada regressão, se o desconto proporcional foi corretamente calculado e aplicado à liberação do respectivo ano, e se eventual saldo negativo remanescente foi corretamente transportado para os anos seguintes;</w:t>
      </w:r>
    </w:p>
    <w:p w:rsidR="0061021D" w:rsidRDefault="00000000" w14:paraId="66DFECCE" w14:textId="1169ADC6">
      <w:pPr>
        <w:pStyle w:val="PargrafodaLista"/>
        <w:numPr>
          <w:ilvl w:val="0"/>
          <w:numId w:val="1"/>
        </w:numPr>
        <w:spacing w:after="80" w:line="264" w:lineRule="auto"/>
        <w:jc w:val="both"/>
      </w:pPr>
      <w:r>
        <w:rPr>
          <w:color w:val="1A1A1A"/>
        </w:rPr>
        <w:t>Se o saldo da conta de reserva de não permanência foi utilizado, quando aplicável, para cobrir regressões identificadas;</w:t>
      </w:r>
    </w:p>
    <w:p w:rsidR="00C6619D" w:rsidRDefault="00000000" w14:paraId="2DF0944E" w14:textId="77777777">
      <w:pPr>
        <w:spacing w:before="40" w:after="140" w:line="276" w:lineRule="auto"/>
        <w:jc w:val="both"/>
      </w:pPr>
      <w:r>
        <w:rPr>
          <w:i/>
          <w:iCs/>
          <w:color w:val="4D4D4D"/>
          <w:sz w:val="19"/>
          <w:szCs w:val="19"/>
        </w:rPr>
        <w:t>Base normativa de referência: metodologia aplicável — capítulo de Cronograma de Liberação Anual e Mecanismo de Desbloqueio Final do Buffer.</w:t>
      </w:r>
    </w:p>
    <w:p w:rsidR="0061021D" w:rsidRDefault="00000000" w14:paraId="059D171D" w14:textId="77777777">
      <w:pPr>
        <w:pBdr>
          <w:top w:val="single" w:color="1D7044" w:sz="4" w:space="4"/>
          <w:left w:val="single" w:color="1D7044" w:sz="4" w:space="4"/>
          <w:bottom w:val="single" w:color="1D7044" w:sz="4" w:space="4"/>
          <w:right w:val="single" w:color="1D7044" w:sz="4" w:space="4"/>
        </w:pBdr>
        <w:shd w:val="clear" w:color="auto" w:fill="E8F5EC"/>
        <w:spacing w:before="60" w:after="160"/>
      </w:pPr>
      <w:r>
        <w:rPr>
          <w:i/>
          <w:iCs/>
          <w:color w:val="155234"/>
          <w:sz w:val="20"/>
          <w:szCs w:val="20"/>
        </w:rPr>
        <w:t>Esta é a etapa central da Verificação Final: como os relatórios anuais não passam por validação individual, é nesta revisão retroativa consolidada que a OVV assume, pela primeira vez, responsabilidade de verificação sobre a integridade do estoque ao longo de todo o ciclo.</w:t>
      </w:r>
    </w:p>
    <w:p w:rsidR="0061021D" w:rsidP="2880CC69" w:rsidRDefault="00000000" w14:paraId="768C6D27" w14:textId="1E39F5F7">
      <w:pPr>
        <w:pStyle w:val="Ttulo1"/>
        <w:pBdr>
          <w:bottom w:val="single" w:color="1D7044" w:sz="6" w:space="4"/>
        </w:pBdr>
        <w:spacing w:before="360" w:after="160"/>
      </w:pPr>
      <w:r>
        <w:rPr>
          <w:b/>
          <w:bCs/>
          <w:color w:val="155234"/>
          <w:sz w:val="30"/>
          <w:szCs w:val="30"/>
        </w:rPr>
        <w:t>6. Avaliação do Monitoramento</w:t>
      </w:r>
    </w:p>
    <w:p w:rsidR="00C6619D" w:rsidP="22777484" w:rsidRDefault="00000000" w14:paraId="01764E2E" w14:textId="77777777">
      <w:pPr>
        <w:spacing w:after="140" w:line="276" w:lineRule="auto"/>
        <w:ind w:firstLine="708"/>
        <w:jc w:val="both"/>
      </w:pPr>
      <w:r w:rsidRPr="22777484" w:rsidR="0F5800EE">
        <w:rPr>
          <w:color w:val="1A1A1A"/>
        </w:rPr>
        <w:t>A conclusão deste capítulo deve ser registrada na Ficha de Preenchimento do Capítulo 6 (Anexo III).</w:t>
      </w:r>
    </w:p>
    <w:p w:rsidR="0061021D" w:rsidP="22777484" w:rsidRDefault="00000000" w14:paraId="04446529" w14:textId="77777777">
      <w:pPr>
        <w:spacing w:after="140" w:line="276" w:lineRule="auto"/>
        <w:ind w:firstLine="708"/>
        <w:jc w:val="both"/>
      </w:pPr>
      <w:r w:rsidRPr="22777484" w:rsidR="0F5800EE">
        <w:rPr>
          <w:color w:val="1A1A1A"/>
        </w:rPr>
        <w:t>A OVV deve avaliar a consistência do monitoramento realizado pelo proponente, com base em imagens de sensoriamento remoto recentes e demais evidências disponíveis, verificando:</w:t>
      </w:r>
    </w:p>
    <w:p w:rsidR="0061021D" w:rsidRDefault="00000000" w14:paraId="4EE99043" w14:textId="77777777">
      <w:pPr>
        <w:pStyle w:val="PargrafodaLista"/>
        <w:numPr>
          <w:ilvl w:val="0"/>
          <w:numId w:val="1"/>
        </w:numPr>
        <w:spacing w:after="80" w:line="264" w:lineRule="auto"/>
        <w:jc w:val="both"/>
      </w:pPr>
      <w:r>
        <w:rPr>
          <w:color w:val="1A1A1A"/>
        </w:rPr>
        <w:t>Mudanças na cobertura florestal frente à condição certificada, incluindo redução de dossel, fragmentação ou perda de área;</w:t>
      </w:r>
    </w:p>
    <w:p w:rsidR="0061021D" w:rsidRDefault="00000000" w14:paraId="71504748" w14:textId="77777777">
      <w:pPr>
        <w:pStyle w:val="PargrafodaLista"/>
        <w:numPr>
          <w:ilvl w:val="0"/>
          <w:numId w:val="1"/>
        </w:numPr>
        <w:spacing w:after="80" w:line="264" w:lineRule="auto"/>
        <w:jc w:val="both"/>
      </w:pPr>
      <w:r>
        <w:rPr>
          <w:color w:val="1A1A1A"/>
        </w:rPr>
        <w:t>Sinais de degradação, incêndios florestais ou exploração madeireira não autorizada, com base em imagens de séries temporais e, quando aplicável, alertas de desmatamento de fontes públicas reconhecidas (ex.: MapBiomas Alerta, sistemas de monitoramento do órgão ambiental competente);</w:t>
      </w:r>
    </w:p>
    <w:p w:rsidR="0061021D" w:rsidRDefault="00000000" w14:paraId="2FCB9968" w14:textId="77777777">
      <w:pPr>
        <w:pStyle w:val="PargrafodaLista"/>
        <w:numPr>
          <w:ilvl w:val="0"/>
          <w:numId w:val="1"/>
        </w:numPr>
        <w:spacing w:after="80" w:line="264" w:lineRule="auto"/>
        <w:jc w:val="both"/>
      </w:pPr>
      <w:r>
        <w:rPr>
          <w:color w:val="1A1A1A"/>
        </w:rPr>
        <w:t>Alterações fundiárias supervenientes (mudança de titularidade, fracionamento da área, novos gravames) e sua compatibilidade com o compromisso de conservação assumido;</w:t>
      </w:r>
    </w:p>
    <w:p w:rsidRPr="00C573F6" w:rsidR="0061021D" w:rsidRDefault="00000000" w14:paraId="30C8F530" w14:textId="77777777">
      <w:pPr>
        <w:pStyle w:val="PargrafodaLista"/>
        <w:numPr>
          <w:ilvl w:val="0"/>
          <w:numId w:val="1"/>
        </w:numPr>
        <w:spacing w:after="80" w:line="264" w:lineRule="auto"/>
        <w:jc w:val="both"/>
      </w:pPr>
      <w:r>
        <w:rPr>
          <w:color w:val="1A1A1A"/>
        </w:rPr>
        <w:t>Novas restrições legais incidentes sobre a área desde a validação (ex.: nova unidade de conservação sobreposta, embargo ambiental, litígio fundiário superveniente).</w:t>
      </w:r>
    </w:p>
    <w:p w:rsidRPr="00C573F6" w:rsidR="00C573F6" w:rsidRDefault="00C573F6" w14:paraId="2B938B77" w14:textId="546FB5BB">
      <w:pPr>
        <w:pStyle w:val="PargrafodaLista"/>
        <w:numPr>
          <w:ilvl w:val="0"/>
          <w:numId w:val="1"/>
        </w:numPr>
        <w:spacing w:after="80" w:line="264" w:lineRule="auto"/>
        <w:jc w:val="both"/>
        <w:rPr>
          <w:color w:val="1A1A1A"/>
        </w:rPr>
      </w:pPr>
      <w:r>
        <w:rPr>
          <w:color w:val="1A1A1A"/>
        </w:rPr>
        <w:t>coerência entre os eventos reportados pelo proponente e as evidências obtidas por sensoriamento remoto, inspeção de campo e demais fontes independentes.</w:t>
      </w:r>
    </w:p>
    <w:p w:rsidR="00C6619D" w:rsidRDefault="00000000" w14:paraId="32A1E605" w14:textId="77777777">
      <w:pPr>
        <w:spacing w:before="40" w:after="140" w:line="276" w:lineRule="auto"/>
        <w:jc w:val="both"/>
      </w:pPr>
      <w:r>
        <w:rPr>
          <w:i/>
          <w:iCs/>
          <w:color w:val="4D4D4D"/>
          <w:sz w:val="19"/>
          <w:szCs w:val="19"/>
        </w:rPr>
        <w:t>Base normativa de referência: metodologia aplicável — capítulo de Monitoramento e Relatório Técnico.</w:t>
      </w:r>
    </w:p>
    <w:p w:rsidR="0061021D" w:rsidP="2880CC69" w:rsidRDefault="00000000" w14:paraId="13FB9E91" w14:textId="2DFA2446">
      <w:pPr>
        <w:pStyle w:val="Ttulo1"/>
        <w:pBdr>
          <w:bottom w:val="single" w:color="1D7044" w:sz="6" w:space="4"/>
        </w:pBdr>
        <w:spacing w:before="360" w:after="160"/>
      </w:pPr>
      <w:r>
        <w:rPr>
          <w:b/>
          <w:bCs/>
          <w:color w:val="155234"/>
          <w:sz w:val="30"/>
          <w:szCs w:val="30"/>
        </w:rPr>
        <w:t>7. Verificação da biomassa de Carbono existente na área</w:t>
      </w:r>
    </w:p>
    <w:p w:rsidR="00C6619D" w:rsidP="22777484" w:rsidRDefault="00000000" w14:paraId="08022736" w14:textId="77777777">
      <w:pPr>
        <w:spacing w:after="140" w:line="276" w:lineRule="auto"/>
        <w:ind w:firstLine="708"/>
        <w:jc w:val="both"/>
      </w:pPr>
      <w:r w:rsidRPr="22777484" w:rsidR="0F5800EE">
        <w:rPr>
          <w:color w:val="1A1A1A"/>
        </w:rPr>
        <w:t>A OVV deve revisar os elementos abaixo relacionados. As conclusões consolidadas de cada item avaliado neste capítulo devem ser registradas na Ficha de Preenchimento do Capítulo 7 (Anexo IV).</w:t>
      </w:r>
    </w:p>
    <w:p w:rsidR="0061021D" w:rsidRDefault="00000000" w14:paraId="36FECE3C" w14:textId="6AE513DE">
      <w:pPr>
        <w:pStyle w:val="Ttulo2"/>
        <w:spacing w:before="280" w:after="120"/>
      </w:pPr>
      <w:r>
        <w:rPr>
          <w:b/>
          <w:bCs/>
          <w:color w:val="1D7044"/>
          <w:sz w:val="25"/>
          <w:szCs w:val="25"/>
        </w:rPr>
        <w:t>7.1. Confirmação de Compatibilidade com os Limites de Tolerância</w:t>
      </w:r>
    </w:p>
    <w:p w:rsidR="0061021D" w:rsidP="22777484" w:rsidRDefault="00000000" w14:paraId="683A980E" w14:textId="0C6BC22D">
      <w:pPr>
        <w:spacing w:after="140" w:line="276" w:lineRule="auto"/>
        <w:ind w:firstLine="708"/>
        <w:jc w:val="both"/>
      </w:pPr>
      <w:r w:rsidRPr="22777484" w:rsidR="0F5800EE">
        <w:rPr>
          <w:color w:val="1A1A1A"/>
        </w:rPr>
        <w:t xml:space="preserve">A OVV deve confirmar que a biomassa de carbono certificada permanece compatível com os limites de tolerância previstos na metodologia aplicável, com base na comparação entre a condição observada no momento da verificação e a quantidade originalmente certificada. </w:t>
      </w:r>
    </w:p>
    <w:p w:rsidR="00C6619D" w:rsidRDefault="00000000" w14:paraId="55A6F5FB" w14:textId="77777777">
      <w:pPr>
        <w:spacing w:before="40" w:after="140" w:line="276" w:lineRule="auto"/>
        <w:jc w:val="both"/>
      </w:pPr>
      <w:r>
        <w:rPr>
          <w:i/>
          <w:iCs/>
          <w:color w:val="4D4D4D"/>
          <w:sz w:val="19"/>
          <w:szCs w:val="19"/>
        </w:rPr>
        <w:t>Base normativa de referência: metodologia aplicável — capítulo de Incerteza e Conservadorismo Estatístico.</w:t>
      </w:r>
    </w:p>
    <w:p w:rsidR="0061021D" w:rsidRDefault="00000000" w14:paraId="0F9D98E8" w14:textId="40488E28">
      <w:pPr>
        <w:pStyle w:val="Ttulo2"/>
        <w:spacing w:before="280" w:after="120"/>
      </w:pPr>
      <w:r>
        <w:rPr>
          <w:b/>
          <w:bCs/>
          <w:color w:val="1D7044"/>
          <w:sz w:val="25"/>
          <w:szCs w:val="25"/>
        </w:rPr>
        <w:t>7.2. Tratamento de Perdas Identificadas</w:t>
      </w:r>
    </w:p>
    <w:p w:rsidR="0061021D" w:rsidRDefault="00000000" w14:paraId="2BFFC005" w14:textId="04C7B9D4">
      <w:pPr>
        <w:spacing w:after="140" w:line="276" w:lineRule="auto"/>
        <w:jc w:val="both"/>
      </w:pPr>
      <w:r>
        <w:rPr>
          <w:color w:val="1A1A1A"/>
        </w:rPr>
        <w:t>Quando identificada perda de biomassa, a OVV deve avaliar, para cada ocorrência:</w:t>
      </w:r>
    </w:p>
    <w:p w:rsidR="0061021D" w:rsidRDefault="00000000" w14:paraId="0D763B17" w14:textId="77777777">
      <w:pPr>
        <w:pStyle w:val="PargrafodaLista"/>
        <w:numPr>
          <w:ilvl w:val="0"/>
          <w:numId w:val="1"/>
        </w:numPr>
        <w:spacing w:after="80" w:line="264" w:lineRule="auto"/>
        <w:jc w:val="both"/>
      </w:pPr>
      <w:r>
        <w:rPr>
          <w:color w:val="1A1A1A"/>
        </w:rPr>
        <w:t>Causa da perda (ex.: incêndio, desmatamento, praga, evento climático extremo, erro de estimativa anterior);</w:t>
      </w:r>
    </w:p>
    <w:p w:rsidR="0061021D" w:rsidRDefault="00000000" w14:paraId="0BC58879" w14:textId="77777777">
      <w:pPr>
        <w:pStyle w:val="PargrafodaLista"/>
        <w:numPr>
          <w:ilvl w:val="0"/>
          <w:numId w:val="1"/>
        </w:numPr>
        <w:spacing w:after="80" w:line="264" w:lineRule="auto"/>
        <w:jc w:val="both"/>
      </w:pPr>
      <w:r>
        <w:rPr>
          <w:color w:val="1A1A1A"/>
        </w:rPr>
        <w:t>Extensão da perda, em área e em volume estimado de carbono;</w:t>
      </w:r>
    </w:p>
    <w:p w:rsidR="0061021D" w:rsidRDefault="00000000" w14:paraId="34113664" w14:textId="77777777">
      <w:pPr>
        <w:pStyle w:val="PargrafodaLista"/>
        <w:numPr>
          <w:ilvl w:val="0"/>
          <w:numId w:val="1"/>
        </w:numPr>
        <w:spacing w:after="80" w:line="264" w:lineRule="auto"/>
        <w:jc w:val="both"/>
      </w:pPr>
      <w:r>
        <w:rPr>
          <w:color w:val="1A1A1A"/>
        </w:rPr>
        <w:t>Materialidade da perda frente ao volume de créditos já emitidos e ao saldo de buffer disponível;</w:t>
      </w:r>
    </w:p>
    <w:p w:rsidR="0061021D" w:rsidRDefault="00000000" w14:paraId="13606928" w14:textId="77777777">
      <w:pPr>
        <w:pStyle w:val="PargrafodaLista"/>
        <w:numPr>
          <w:ilvl w:val="0"/>
          <w:numId w:val="1"/>
        </w:numPr>
        <w:spacing w:after="80" w:line="264" w:lineRule="auto"/>
        <w:jc w:val="both"/>
      </w:pPr>
      <w:r>
        <w:rPr>
          <w:color w:val="1A1A1A"/>
        </w:rPr>
        <w:t>Necessidade de ajuste no volume de créditos elegíveis remanescentes;</w:t>
      </w:r>
    </w:p>
    <w:p w:rsidR="0061021D" w:rsidRDefault="00000000" w14:paraId="74AEDA4D" w14:textId="77777777">
      <w:pPr>
        <w:pStyle w:val="PargrafodaLista"/>
        <w:numPr>
          <w:ilvl w:val="0"/>
          <w:numId w:val="1"/>
        </w:numPr>
        <w:spacing w:after="80" w:line="264" w:lineRule="auto"/>
        <w:jc w:val="both"/>
      </w:pPr>
      <w:r>
        <w:rPr>
          <w:color w:val="1A1A1A"/>
        </w:rPr>
        <w:t>Necessidade de cancelamento de créditos já emitidos, quando a perda exceder o saldo de buffer disponível para cobertura;</w:t>
      </w:r>
    </w:p>
    <w:p w:rsidR="0061021D" w:rsidRDefault="00000000" w14:paraId="72F9B3B5" w14:textId="77777777">
      <w:pPr>
        <w:pStyle w:val="PargrafodaLista"/>
        <w:numPr>
          <w:ilvl w:val="0"/>
          <w:numId w:val="1"/>
        </w:numPr>
        <w:spacing w:after="80" w:line="264" w:lineRule="auto"/>
        <w:jc w:val="both"/>
      </w:pPr>
      <w:r>
        <w:rPr>
          <w:color w:val="1A1A1A"/>
        </w:rPr>
        <w:t>Necessidade de tratamento como evento de reversão, com eventual retenção cautelar de créditos de buffer até conclusão da apuração.</w:t>
      </w:r>
    </w:p>
    <w:p w:rsidR="0061021D" w:rsidRDefault="00000000" w14:paraId="70700AA1" w14:textId="73CDC0C4">
      <w:pPr>
        <w:pBdr>
          <w:top w:val="single" w:color="1D7044" w:sz="4" w:space="4"/>
          <w:left w:val="single" w:color="1D7044" w:sz="4" w:space="4"/>
          <w:bottom w:val="single" w:color="1D7044" w:sz="4" w:space="4"/>
          <w:right w:val="single" w:color="1D7044" w:sz="4" w:space="4"/>
        </w:pBdr>
        <w:shd w:val="clear" w:color="auto" w:fill="E8F5EC"/>
        <w:spacing w:before="60" w:after="160"/>
      </w:pPr>
      <w:r>
        <w:rPr>
          <w:i/>
          <w:iCs/>
          <w:color w:val="155234"/>
          <w:sz w:val="20"/>
          <w:szCs w:val="20"/>
        </w:rPr>
        <w:t xml:space="preserve">A materialidade da perda deve ser avaliada em relação ao volume de créditos já emitidos, e não apenas em relação ao volume total do projeto. </w:t>
      </w:r>
    </w:p>
    <w:p w:rsidR="0061021D" w:rsidP="2880CC69" w:rsidRDefault="00000000" w14:paraId="4E574380" w14:textId="0A7D7EBC">
      <w:pPr>
        <w:pStyle w:val="Ttulo1"/>
        <w:pBdr>
          <w:bottom w:val="single" w:color="1D7044" w:sz="6" w:space="4"/>
        </w:pBdr>
        <w:spacing w:before="360" w:after="160"/>
      </w:pPr>
      <w:r>
        <w:rPr>
          <w:b/>
          <w:bCs/>
          <w:color w:val="155234"/>
          <w:sz w:val="30"/>
          <w:szCs w:val="30"/>
        </w:rPr>
        <w:t>8. Verificação da Emissão e do Desbloqueio da Reserva de Não Permanência</w:t>
      </w:r>
    </w:p>
    <w:p w:rsidR="00C6619D" w:rsidP="22777484" w:rsidRDefault="00000000" w14:paraId="01377897" w14:textId="77777777">
      <w:pPr>
        <w:spacing w:after="140" w:line="276" w:lineRule="auto"/>
        <w:ind w:firstLine="708"/>
        <w:jc w:val="both"/>
      </w:pPr>
      <w:r w:rsidRPr="22777484" w:rsidR="0F5800EE">
        <w:rPr>
          <w:color w:val="1A1A1A"/>
        </w:rPr>
        <w:t>A OVV deve revisar os elementos abaixo relacionados. As conclusões consolidadas de cada item avaliado neste capítulo devem ser registradas na Ficha de Preenchimento do Capítulo 8 (Anexo V).</w:t>
      </w:r>
    </w:p>
    <w:p w:rsidR="0061021D" w:rsidRDefault="00000000" w14:paraId="04C56856" w14:textId="26F4038E">
      <w:pPr>
        <w:pStyle w:val="Ttulo2"/>
        <w:spacing w:before="280" w:after="120"/>
      </w:pPr>
      <w:r>
        <w:rPr>
          <w:b/>
          <w:bCs/>
          <w:color w:val="1D7044"/>
          <w:sz w:val="25"/>
          <w:szCs w:val="25"/>
        </w:rPr>
        <w:t>8.1. [M1] Cálculo do Volume Total Emitido e Segregação</w:t>
      </w:r>
    </w:p>
    <w:p w:rsidR="0061021D" w:rsidP="22777484" w:rsidRDefault="00000000" w14:paraId="24404EC3" w14:textId="1A81CEFC">
      <w:pPr>
        <w:spacing w:after="140" w:line="276" w:lineRule="auto"/>
        <w:ind w:firstLine="708"/>
        <w:jc w:val="both"/>
      </w:pPr>
      <w:r w:rsidRPr="22777484" w:rsidR="0F5800EE">
        <w:rPr>
          <w:color w:val="1A1A1A"/>
        </w:rPr>
        <w:t>A OVV deve confirmar o cálculo do volume total de créditos elegíveis a ser emitido ao proponente, apurado na validação, e sua correta segregação entre: (i) o volume submetido ao cronograma de liberação anual previsto na metodologia aplicável — cujo primeiro desbloqueio ocorre de imediato e cujos desbloqueios dos anos 1 a 4 ocorrem de forma programada, sem necessidade de nova verificação pela OVV; e (ii) o volume retido a título de reserva de não permanência, cujo desbloqueio depende da Verificação Final [M2].</w:t>
      </w:r>
    </w:p>
    <w:p w:rsidR="00C6619D" w:rsidRDefault="00000000" w14:paraId="4819DEEB" w14:textId="77777777">
      <w:pPr>
        <w:spacing w:before="40" w:after="140" w:line="276" w:lineRule="auto"/>
        <w:jc w:val="both"/>
      </w:pPr>
      <w:r>
        <w:rPr>
          <w:i/>
          <w:iCs/>
          <w:color w:val="4D4D4D"/>
          <w:sz w:val="19"/>
          <w:szCs w:val="19"/>
        </w:rPr>
        <w:t>Base normativa de referência: metodologia aplicável — Cronograma de Liberação Anual dos Créditos Certificados.</w:t>
      </w:r>
    </w:p>
    <w:p w:rsidR="0061021D" w:rsidRDefault="00000000" w14:paraId="692CD2AC" w14:textId="26F6F5FC">
      <w:pPr>
        <w:pStyle w:val="Ttulo2"/>
        <w:spacing w:before="280" w:after="120"/>
      </w:pPr>
      <w:r>
        <w:rPr>
          <w:b/>
          <w:bCs/>
          <w:color w:val="1D7044"/>
          <w:sz w:val="25"/>
          <w:szCs w:val="25"/>
        </w:rPr>
        <w:t>8.2. [M2] Requisitos Cumulativos do Desbloqueio Final da Reserva de Não Permanência</w:t>
      </w:r>
    </w:p>
    <w:p w:rsidR="0061021D" w:rsidP="22777484" w:rsidRDefault="00000000" w14:paraId="779AED18" w14:textId="77777777">
      <w:pPr>
        <w:spacing w:after="140" w:line="276" w:lineRule="auto"/>
        <w:ind w:firstLine="708"/>
        <w:jc w:val="both"/>
      </w:pPr>
      <w:r w:rsidRPr="22777484" w:rsidR="0F5800EE">
        <w:rPr>
          <w:color w:val="1A1A1A"/>
        </w:rPr>
        <w:t>A OVV deve confirmar o cumprimento cumulativo dos seguintes requisitos, previstos na metodologia aplicável, antes de emitir parecer favorável ao desbloqueio do saldo de buffer:</w:t>
      </w:r>
    </w:p>
    <w:p w:rsidR="0061021D" w:rsidRDefault="00000000" w14:paraId="0D869F0B" w14:textId="77777777">
      <w:pPr>
        <w:pStyle w:val="PargrafodaLista"/>
        <w:numPr>
          <w:ilvl w:val="0"/>
          <w:numId w:val="1"/>
        </w:numPr>
        <w:spacing w:after="80" w:line="264" w:lineRule="auto"/>
        <w:jc w:val="both"/>
      </w:pPr>
      <w:r>
        <w:rPr>
          <w:color w:val="1A1A1A"/>
        </w:rPr>
        <w:t>(i) Apresentação dos relatórios de monitoramento anuais de todo o ciclo, com apuração de regressão ou de sua ausência em cada período, e dedução prévia de eventual regressão ainda não compensada;</w:t>
      </w:r>
    </w:p>
    <w:p w:rsidR="0061021D" w:rsidRDefault="00000000" w14:paraId="00901D13" w14:textId="77777777">
      <w:pPr>
        <w:pStyle w:val="PargrafodaLista"/>
        <w:numPr>
          <w:ilvl w:val="0"/>
          <w:numId w:val="1"/>
        </w:numPr>
        <w:spacing w:after="80" w:line="264" w:lineRule="auto"/>
        <w:jc w:val="both"/>
      </w:pPr>
      <w:r>
        <w:rPr>
          <w:color w:val="1A1A1A"/>
        </w:rPr>
        <w:t>(ii) Verificação, pela OVV, dos relatórios de monitoramento e da apuração de regressões do ciclo (Seção 9.4);</w:t>
      </w:r>
    </w:p>
    <w:p w:rsidR="0061021D" w:rsidRDefault="00000000" w14:paraId="33B81E98" w14:textId="77777777">
      <w:pPr>
        <w:pStyle w:val="PargrafodaLista"/>
        <w:numPr>
          <w:ilvl w:val="0"/>
          <w:numId w:val="1"/>
        </w:numPr>
        <w:spacing w:after="80" w:line="264" w:lineRule="auto"/>
        <w:jc w:val="both"/>
      </w:pPr>
      <w:r>
        <w:rPr>
          <w:color w:val="1A1A1A"/>
        </w:rPr>
        <w:t>(iii) Apresentação de novo relatório de riscos, com base na análise dos monitoramentos dos últimos 5 (cinco) anos do ciclo, demonstrando que a classificação de risco do projeto se manteve igual ou foi reduzida em relação à avaliação anterior.</w:t>
      </w:r>
    </w:p>
    <w:p w:rsidR="00C6619D" w:rsidRDefault="00000000" w14:paraId="2389C1B4" w14:textId="77777777">
      <w:pPr>
        <w:spacing w:before="40" w:after="140" w:line="276" w:lineRule="auto"/>
        <w:jc w:val="both"/>
      </w:pPr>
      <w:r>
        <w:rPr>
          <w:i/>
          <w:iCs/>
          <w:color w:val="4D4D4D"/>
          <w:sz w:val="19"/>
          <w:szCs w:val="19"/>
        </w:rPr>
        <w:t>Base normativa de referência: metodologia aplicável — capítulo de Buffer de Não Permanência, Estrutura de Avaliação de Risco.</w:t>
      </w:r>
    </w:p>
    <w:p w:rsidR="0061021D" w:rsidP="22777484" w:rsidRDefault="00000000" w14:paraId="2D8A16B8" w14:textId="6A77B812">
      <w:pPr>
        <w:spacing w:after="140" w:line="276" w:lineRule="auto"/>
        <w:ind w:firstLine="708"/>
        <w:jc w:val="both"/>
      </w:pPr>
      <w:r w:rsidRPr="22777484" w:rsidR="0F5800EE">
        <w:rPr>
          <w:color w:val="1A1A1A"/>
        </w:rPr>
        <w:t>Cumpridos os requisitos (i) a (iii), a OVV deve ainda confirmar o limite proporcional ao volume de créditos já aposentados (retired) pelo proponente: caso tenham sido comercializados créditos ainda não aposentados, a liberação da reserva de não permanência deve ser calculada na proporção do volume efetivamente aposentado, ainda que os requisitos (i) e (ii) estejam integralmente cumpridos.</w:t>
      </w:r>
    </w:p>
    <w:p w:rsidR="00C6619D" w:rsidRDefault="00000000" w14:paraId="76D8DDA5" w14:textId="77777777">
      <w:pPr>
        <w:spacing w:before="40" w:after="140" w:line="276" w:lineRule="auto"/>
        <w:jc w:val="both"/>
      </w:pPr>
      <w:r>
        <w:rPr>
          <w:i/>
          <w:iCs/>
          <w:color w:val="4D4D4D"/>
          <w:sz w:val="19"/>
          <w:szCs w:val="19"/>
        </w:rPr>
        <w:t>Base normativa de referência: metodologia aplicável — Mecanismo de Desbloqueio Final do Buffer.</w:t>
      </w:r>
    </w:p>
    <w:p w:rsidR="0061021D" w:rsidRDefault="00000000" w14:paraId="7C37EA50" w14:textId="77777777">
      <w:pPr>
        <w:pBdr>
          <w:top w:val="single" w:color="1D7044" w:sz="4" w:space="4"/>
          <w:left w:val="single" w:color="1D7044" w:sz="4" w:space="4"/>
          <w:bottom w:val="single" w:color="1D7044" w:sz="4" w:space="4"/>
          <w:right w:val="single" w:color="1D7044" w:sz="4" w:space="4"/>
        </w:pBdr>
        <w:shd w:val="clear" w:color="auto" w:fill="E8F5EC"/>
        <w:spacing w:before="60" w:after="160"/>
      </w:pPr>
      <w:r>
        <w:rPr>
          <w:i/>
          <w:iCs/>
          <w:color w:val="155234"/>
          <w:sz w:val="20"/>
          <w:szCs w:val="20"/>
        </w:rPr>
        <w:t>O projeto não é elegível à liberação do buffer quando os créditos estiverem sob retenção cautelar por pendência de apuração de evento de reversão. A OVV deve verificar expressamente a ausência dessa condição impeditiva antes de emitir parecer favorável.</w:t>
      </w:r>
    </w:p>
    <w:p w:rsidRPr="0060039C" w:rsidR="0061021D" w:rsidP="3EAC6D46" w:rsidRDefault="00000000" w14:paraId="0824F826" w14:textId="1BA8C815">
      <w:pPr>
        <w:pStyle w:val="Ttulo1"/>
        <w:pBdr>
          <w:bottom w:val="single" w:color="1D7044" w:sz="6" w:space="4"/>
        </w:pBdr>
        <w:spacing w:before="360" w:after="160"/>
      </w:pPr>
      <w:r w:rsidRPr="3EAC6D46">
        <w:rPr>
          <w:b w:val="1"/>
          <w:bCs w:val="1"/>
          <w:color w:val="155234"/>
          <w:sz w:val="30"/>
          <w:szCs w:val="30"/>
        </w:rPr>
        <w:t>9. Inspeção de Campo</w:t>
      </w:r>
    </w:p>
    <w:p w:rsidRPr="0060039C" w:rsidR="0061021D" w:rsidP="3EAC6D46" w:rsidRDefault="00000000" w14:paraId="0D5091AA" w14:textId="3AF7495D">
      <w:pPr>
        <w:pStyle w:val="Ttulo3"/>
        <w:spacing w:before="200" w:after="100"/>
      </w:pPr>
      <w:r w:rsidRPr="3EAC6D46">
        <w:rPr>
          <w:b w:val="1"/>
          <w:bCs w:val="1"/>
          <w:color w:val="155234"/>
          <w:sz w:val="22"/>
          <w:szCs w:val="22"/>
        </w:rPr>
        <w:t>9.1. Critérios para Realização</w:t>
      </w:r>
    </w:p>
    <w:p w:rsidRPr="0060039C" w:rsidR="0061021D" w:rsidP="22777484" w:rsidRDefault="00000000" w14:paraId="66F0E1A6" w14:textId="77777777">
      <w:pPr>
        <w:spacing w:after="140" w:line="276" w:lineRule="auto"/>
        <w:ind w:firstLine="708"/>
        <w:jc w:val="both"/>
      </w:pPr>
      <w:r w:rsidRPr="22777484" w:rsidR="0F5800EE">
        <w:rPr>
          <w:color w:val="1A1A1A"/>
        </w:rPr>
        <w:t xml:space="preserve">A inspeção de campo na verificação segue os mesmos critérios de necessidade previstos no Capítulo 13 do DAV TC 001, com as seguintes adições específicas à </w:t>
      </w:r>
      <w:r w:rsidRPr="22777484" w:rsidR="0F5800EE">
        <w:rPr>
          <w:color w:val="1A1A1A"/>
        </w:rPr>
        <w:t>verificação</w:t>
      </w:r>
      <w:r w:rsidRPr="22777484" w:rsidR="0F5800EE">
        <w:rPr>
          <w:color w:val="1A1A1A"/>
        </w:rPr>
        <w:t>:</w:t>
      </w:r>
    </w:p>
    <w:p w:rsidRPr="0060039C" w:rsidR="0061021D" w:rsidP="3EAC6D46" w:rsidRDefault="00000000" w14:paraId="420D94AA" w14:textId="77777777">
      <w:pPr>
        <w:pStyle w:val="PargrafodaLista"/>
        <w:numPr>
          <w:ilvl w:val="0"/>
          <w:numId w:val="1"/>
        </w:numPr>
        <w:spacing w:after="80" w:line="264" w:lineRule="auto"/>
        <w:jc w:val="both"/>
        <w:rPr/>
      </w:pPr>
      <w:r w:rsidRPr="3EAC6D46">
        <w:rPr>
          <w:color w:val="1A1A1A"/>
        </w:rPr>
        <w:t>Indícios de regressão identificados por sensoriamento remoto que não sejam plenamente explicáveis pela documentação apresentada;</w:t>
      </w:r>
    </w:p>
    <w:p w:rsidRPr="0060039C" w:rsidR="0061021D" w:rsidP="3EAC6D46" w:rsidRDefault="00000000" w14:paraId="1E0D2529" w14:textId="77777777">
      <w:pPr>
        <w:pStyle w:val="PargrafodaLista"/>
        <w:numPr>
          <w:ilvl w:val="0"/>
          <w:numId w:val="1"/>
        </w:numPr>
        <w:spacing w:after="80" w:line="264" w:lineRule="auto"/>
        <w:jc w:val="both"/>
        <w:rPr/>
      </w:pPr>
      <w:r w:rsidRPr="3EAC6D46">
        <w:rPr>
          <w:color w:val="1A1A1A"/>
        </w:rPr>
        <w:t xml:space="preserve">Materialidade elevada de perda identificada (Seção 11.2), exigindo confirmação </w:t>
      </w:r>
      <w:r w:rsidRPr="3EAC6D46">
        <w:rPr>
          <w:i w:val="1"/>
          <w:iCs w:val="1"/>
          <w:color w:val="1A1A1A"/>
        </w:rPr>
        <w:t xml:space="preserve">in loco </w:t>
      </w:r>
      <w:r w:rsidRPr="3EAC6D46">
        <w:rPr>
          <w:color w:val="1A1A1A"/>
        </w:rPr>
        <w:t>da causa e extensão;</w:t>
      </w:r>
    </w:p>
    <w:p w:rsidRPr="0060039C" w:rsidR="0061021D" w:rsidP="3EAC6D46" w:rsidRDefault="00000000" w14:paraId="795762D8" w14:textId="088DB552">
      <w:pPr>
        <w:pStyle w:val="PargrafodaLista"/>
        <w:numPr>
          <w:ilvl w:val="0"/>
          <w:numId w:val="1"/>
        </w:numPr>
        <w:spacing w:after="80" w:line="264" w:lineRule="auto"/>
        <w:jc w:val="both"/>
        <w:rPr/>
      </w:pPr>
      <w:r w:rsidRPr="3EAC6D46">
        <w:rPr>
          <w:color w:val="1A1A1A"/>
        </w:rPr>
        <w:t>Na Verificação Final [M2], sempre que houver histórico de mais de uma regressão apurada ao longo do ciclo.</w:t>
      </w:r>
      <w:r w:rsidRPr="3EAC6D46" w:rsidR="65217F99">
        <w:rPr>
          <w:color w:val="1A1A1A"/>
        </w:rPr>
        <w:t>o</w:t>
      </w:r>
    </w:p>
    <w:p w:rsidR="0061021D" w:rsidRDefault="00000000" w14:paraId="2877E737" w14:textId="2D11B7EB">
      <w:pPr>
        <w:pStyle w:val="Ttulo3"/>
        <w:spacing w:before="200" w:after="100"/>
      </w:pPr>
      <w:r>
        <w:rPr>
          <w:b/>
          <w:bCs/>
          <w:color w:val="155234"/>
          <w:sz w:val="22"/>
          <w:szCs w:val="22"/>
        </w:rPr>
        <w:t>9.2. Amostragem</w:t>
      </w:r>
    </w:p>
    <w:p w:rsidR="0061021D" w:rsidP="22777484" w:rsidRDefault="00000000" w14:paraId="1AEDEE4B" w14:textId="77777777">
      <w:pPr>
        <w:spacing w:after="140" w:line="276" w:lineRule="auto"/>
        <w:ind w:firstLine="708"/>
        <w:jc w:val="both"/>
      </w:pPr>
      <w:r w:rsidRPr="22777484" w:rsidR="0F5800EE">
        <w:rPr>
          <w:color w:val="1A1A1A"/>
        </w:rPr>
        <w:t>A amostragem de pontos de inspeção deve priorizar áreas onde foi identificada divergência entre o monitoramento remoto e a condição esperada, complementada por amostragem aleatória do restante da área, de forma proporcional à extensão do projeto.</w:t>
      </w:r>
    </w:p>
    <w:p w:rsidR="0061021D" w:rsidRDefault="00000000" w14:paraId="34DB6766" w14:textId="5076ADF4">
      <w:pPr>
        <w:pStyle w:val="Ttulo3"/>
        <w:spacing w:before="200" w:after="100"/>
      </w:pPr>
      <w:r>
        <w:rPr>
          <w:b/>
          <w:bCs/>
          <w:color w:val="155234"/>
          <w:sz w:val="22"/>
          <w:szCs w:val="22"/>
        </w:rPr>
        <w:t>9.3. Evidências</w:t>
      </w:r>
    </w:p>
    <w:p w:rsidR="0061021D" w:rsidP="22777484" w:rsidRDefault="00000000" w14:paraId="601A77B7" w14:textId="77777777">
      <w:pPr>
        <w:spacing w:after="140" w:line="276" w:lineRule="auto"/>
        <w:ind w:firstLine="708"/>
        <w:jc w:val="both"/>
      </w:pPr>
      <w:r w:rsidRPr="22777484" w:rsidR="0F5800EE">
        <w:rPr>
          <w:color w:val="1A1A1A"/>
        </w:rPr>
        <w:t>Aplicam-se os mesmos requisitos de evidência do Capítulo 13.3 do DAV TC 001 — fotografias georreferenciadas, coordenadas geográficas, registro de indicadores de estrutura florestal —, acrescidos do registro específico de eventual causa de regressão observada (ex.: cicatriz de incêndio, corte raso, sinais de praga).</w:t>
      </w:r>
    </w:p>
    <w:p w:rsidR="22777484" w:rsidP="22777484" w:rsidRDefault="22777484" w14:paraId="2165D937" w14:textId="52B6EFBF">
      <w:pPr>
        <w:spacing w:after="140" w:line="276" w:lineRule="auto"/>
        <w:ind w:firstLine="708"/>
        <w:jc w:val="both"/>
        <w:rPr>
          <w:color w:val="1A1A1A"/>
        </w:rPr>
      </w:pPr>
    </w:p>
    <w:p w:rsidR="0061021D" w:rsidP="2880CC69" w:rsidRDefault="00000000" w14:paraId="550F2D21" w14:textId="42265AF1">
      <w:pPr>
        <w:pStyle w:val="Ttulo1"/>
        <w:pBdr>
          <w:bottom w:val="single" w:color="1D7044" w:sz="6" w:space="4"/>
        </w:pBdr>
        <w:spacing w:before="360" w:after="160"/>
      </w:pPr>
      <w:r>
        <w:rPr>
          <w:b/>
          <w:bCs/>
          <w:color w:val="155234"/>
          <w:sz w:val="30"/>
          <w:szCs w:val="30"/>
        </w:rPr>
        <w:t>10. Tratamento de Não Conformidades</w:t>
      </w:r>
    </w:p>
    <w:p w:rsidR="0061021D" w:rsidP="22777484" w:rsidRDefault="00000000" w14:paraId="30000001" w14:textId="30000001">
      <w:pPr>
        <w:spacing w:after="140" w:line="276" w:lineRule="auto"/>
        <w:ind w:firstLine="708"/>
        <w:jc w:val="both"/>
      </w:pPr>
      <w:r w:rsidRPr="22777484" w:rsidR="0F5800EE">
        <w:rPr>
          <w:color w:val="1A1A1A"/>
        </w:rPr>
        <w:t>Todo desvio identificado no curso da verificação deve ser classificado, registrado e tratado conforme os critérios objetivos abaixo, de modo a reduzir a subjetividade entre diferentes OVVs e diferentes momentos de verificação.</w:t>
      </w:r>
    </w:p>
    <w:tbl>
      <w:tblPr>
        <w:tblW w:w="950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200"/>
        <w:gridCol w:w="4300"/>
        <w:gridCol w:w="3000"/>
      </w:tblGrid>
      <w:tr w:rsidR="0061021D" w:rsidTr="22777484" w14:paraId="30000005" w14:textId="30000005">
        <w:tc>
          <w:tcPr>
            <w:tcW w:w="2200" w:type="dxa"/>
            <w:shd w:val="clear" w:color="auto" w:fill="1D7044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61021D" w:rsidRDefault="00000000" w14:paraId="30000003" w14:textId="30000003">
            <w:r>
              <w:rPr>
                <w:b/>
                <w:bCs/>
                <w:color w:val="FFFFFF"/>
                <w:sz w:val="19"/>
                <w:szCs w:val="19"/>
              </w:rPr>
              <w:t>Classificação</w:t>
            </w:r>
          </w:p>
        </w:tc>
        <w:tc>
          <w:tcPr>
            <w:tcW w:w="4300" w:type="dxa"/>
            <w:shd w:val="clear" w:color="auto" w:fill="1D7044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61021D" w:rsidRDefault="00000000" w14:paraId="5C99698E" w14:textId="77777777">
            <w:r>
              <w:rPr>
                <w:b/>
                <w:bCs/>
                <w:color w:val="FFFFFF"/>
                <w:sz w:val="19"/>
                <w:szCs w:val="19"/>
              </w:rPr>
              <w:t>Critério objetivo</w:t>
            </w:r>
          </w:p>
        </w:tc>
        <w:tc>
          <w:tcPr>
            <w:tcW w:w="3000" w:type="dxa"/>
            <w:shd w:val="clear" w:color="auto" w:fill="1D7044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61021D" w:rsidRDefault="00000000" w14:paraId="04735590" w14:textId="77777777">
            <w:r>
              <w:rPr>
                <w:b/>
                <w:bCs/>
                <w:color w:val="FFFFFF"/>
                <w:sz w:val="19"/>
                <w:szCs w:val="19"/>
              </w:rPr>
              <w:t>Efeito sobre a verificação</w:t>
            </w:r>
          </w:p>
        </w:tc>
      </w:tr>
      <w:tr w:rsidR="0061021D" w:rsidTr="22777484" w14:paraId="30000006" w14:textId="30000006">
        <w:tc>
          <w:tcPr>
            <w:tcW w:w="22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61021D" w:rsidRDefault="00000000" w14:paraId="30000004" w14:textId="07757AA3">
            <w:r w:rsidRPr="22777484" w:rsidR="0F5800EE">
              <w:rPr>
                <w:color w:val="1A1A1A"/>
                <w:sz w:val="19"/>
                <w:szCs w:val="19"/>
              </w:rPr>
              <w:t xml:space="preserve">Não Conformidade </w:t>
            </w:r>
            <w:r w:rsidRPr="22777484" w:rsidR="51E99824">
              <w:rPr>
                <w:color w:val="1A1A1A"/>
                <w:sz w:val="19"/>
                <w:szCs w:val="19"/>
              </w:rPr>
              <w:t>Crítica</w:t>
            </w:r>
          </w:p>
        </w:tc>
        <w:tc>
          <w:tcPr>
            <w:tcW w:w="43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61021D" w:rsidRDefault="00000000" w14:paraId="57A63B25" w14:textId="77777777">
            <w:r>
              <w:rPr>
                <w:color w:val="1A1A1A"/>
                <w:sz w:val="19"/>
                <w:szCs w:val="19"/>
              </w:rPr>
              <w:t>Desvio que compromete a confiabilidade do resultado, a integridade do estoque certificado, a integridade jurídica da titularidade/área, ou a integridade ambiental da certificação.</w:t>
            </w:r>
          </w:p>
        </w:tc>
        <w:tc>
          <w:tcPr>
            <w:tcW w:w="30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61021D" w:rsidRDefault="00000000" w14:paraId="1F37DF5F" w14:textId="77777777">
            <w:r>
              <w:rPr>
                <w:color w:val="1A1A1A"/>
                <w:sz w:val="19"/>
                <w:szCs w:val="19"/>
              </w:rPr>
              <w:t>Impede a emissão de parecer favorável enquanto não corrigida. Gera Solicitação de Ação Corretiva (CAR), com prazo definido pela OVV.</w:t>
            </w:r>
          </w:p>
        </w:tc>
      </w:tr>
      <w:tr w:rsidR="0061021D" w:rsidTr="22777484" w14:paraId="554E1817" w14:textId="77777777">
        <w:tc>
          <w:tcPr>
            <w:tcW w:w="2200" w:type="dxa"/>
            <w:shd w:val="clear" w:color="auto" w:fill="E8F5EC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61021D" w:rsidRDefault="00000000" w14:paraId="3D810CB0" w14:textId="019EECCC">
            <w:r w:rsidRPr="22777484" w:rsidR="0F5800EE">
              <w:rPr>
                <w:color w:val="1A1A1A"/>
                <w:sz w:val="19"/>
                <w:szCs w:val="19"/>
              </w:rPr>
              <w:t>Não Conformidade</w:t>
            </w:r>
          </w:p>
        </w:tc>
        <w:tc>
          <w:tcPr>
            <w:tcW w:w="4300" w:type="dxa"/>
            <w:shd w:val="clear" w:color="auto" w:fill="E8F5EC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61021D" w:rsidRDefault="00000000" w14:paraId="1AD0993A" w14:textId="77777777">
            <w:r>
              <w:rPr>
                <w:color w:val="1A1A1A"/>
                <w:sz w:val="19"/>
                <w:szCs w:val="19"/>
              </w:rPr>
              <w:t>Desvio pontual que não compromete a integridade do resultado, mas requer correção, complementação ou justificativa técnica adicional.</w:t>
            </w:r>
          </w:p>
        </w:tc>
        <w:tc>
          <w:tcPr>
            <w:tcW w:w="3000" w:type="dxa"/>
            <w:shd w:val="clear" w:color="auto" w:fill="E8F5EC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61021D" w:rsidRDefault="00C573F6" w14:paraId="4F92FF04" w14:textId="45094479">
            <w:r>
              <w:rPr>
                <w:color w:val="1A1A1A"/>
                <w:sz w:val="19"/>
                <w:szCs w:val="19"/>
              </w:rPr>
              <w:t>Pode ser objeto de CAR, com prazo para saneamento definido pela OVV, ou de compromisso formal de correção, quando sua natureza não comprometer a emissão ou o desbloqueio pretendido, devendo sua implementação ser confirmada na etapa subsequente aplicável do projeto, mediante justificativa técnica fundamentada da OVV.</w:t>
            </w:r>
          </w:p>
        </w:tc>
      </w:tr>
      <w:tr w:rsidR="0061021D" w:rsidTr="22777484" w14:paraId="4600DFC9" w14:textId="77777777">
        <w:tc>
          <w:tcPr>
            <w:tcW w:w="22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61021D" w:rsidRDefault="00000000" w14:paraId="2FFF09D1" w14:textId="77777777">
            <w:r>
              <w:rPr>
                <w:color w:val="1A1A1A"/>
                <w:sz w:val="19"/>
                <w:szCs w:val="19"/>
              </w:rPr>
              <w:t>Observação</w:t>
            </w:r>
          </w:p>
        </w:tc>
        <w:tc>
          <w:tcPr>
            <w:tcW w:w="43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61021D" w:rsidRDefault="00000000" w14:paraId="66285A22" w14:textId="77777777">
            <w:r>
              <w:rPr>
                <w:color w:val="1A1A1A"/>
                <w:sz w:val="19"/>
                <w:szCs w:val="19"/>
              </w:rPr>
              <w:t>Apontamento que não configura desvio de requisito normativo vigente, mas indica oportunidade de aprimoramento.</w:t>
            </w:r>
          </w:p>
        </w:tc>
        <w:tc>
          <w:tcPr>
            <w:tcW w:w="30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61021D" w:rsidRDefault="00000000" w14:paraId="3516C7EF" w14:textId="77777777">
            <w:r>
              <w:rPr>
                <w:color w:val="1A1A1A"/>
                <w:sz w:val="19"/>
                <w:szCs w:val="19"/>
              </w:rPr>
              <w:t>Não impede a verificação. Deve constar do Relatório de Verificação como recomendação.</w:t>
            </w:r>
          </w:p>
        </w:tc>
      </w:tr>
      <w:tr w:rsidR="0061021D" w:rsidTr="22777484" w14:paraId="14BE9CBE" w14:textId="77777777">
        <w:tc>
          <w:tcPr>
            <w:tcW w:w="2200" w:type="dxa"/>
            <w:shd w:val="clear" w:color="auto" w:fill="E8F5EC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61021D" w:rsidRDefault="00000000" w14:paraId="2A95F232" w14:textId="77777777">
            <w:r>
              <w:rPr>
                <w:color w:val="1A1A1A"/>
                <w:sz w:val="19"/>
                <w:szCs w:val="19"/>
              </w:rPr>
              <w:t>Solicitação de Esclarecimento (CL)</w:t>
            </w:r>
          </w:p>
        </w:tc>
        <w:tc>
          <w:tcPr>
            <w:tcW w:w="4300" w:type="dxa"/>
            <w:shd w:val="clear" w:color="auto" w:fill="E8F5EC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61021D" w:rsidRDefault="00000000" w14:paraId="55792947" w14:textId="77777777">
            <w:r>
              <w:rPr>
                <w:color w:val="1A1A1A"/>
                <w:sz w:val="19"/>
                <w:szCs w:val="19"/>
              </w:rPr>
              <w:t>Informação incompleta, ambígua ou insuficientemente evidenciada, sem que se possa concluir, no estágio atual, se há ou não desvio.</w:t>
            </w:r>
          </w:p>
        </w:tc>
        <w:tc>
          <w:tcPr>
            <w:tcW w:w="3000" w:type="dxa"/>
            <w:shd w:val="clear" w:color="auto" w:fill="E8F5EC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61021D" w:rsidRDefault="00000000" w14:paraId="24315CB7" w14:textId="77777777">
            <w:r>
              <w:rPr>
                <w:color w:val="1A1A1A"/>
                <w:sz w:val="19"/>
                <w:szCs w:val="19"/>
              </w:rPr>
              <w:t>Suspende a conclusão do item até resposta do proponente. Não classificada como não conformidade até sua resolução.</w:t>
            </w:r>
          </w:p>
        </w:tc>
      </w:tr>
    </w:tbl>
    <w:p w:rsidR="0061021D" w:rsidP="22777484" w:rsidRDefault="00000000" w14:paraId="6F8FEAB4" w14:textId="77777777">
      <w:pPr>
        <w:spacing w:after="140" w:line="276" w:lineRule="auto"/>
        <w:ind w:firstLine="708"/>
        <w:jc w:val="both"/>
      </w:pPr>
      <w:r w:rsidRPr="22777484" w:rsidR="0F5800EE">
        <w:rPr>
          <w:color w:val="1A1A1A"/>
        </w:rPr>
        <w:t>Cada não conformidade deve ser registrada individualmente no Anexo VII, com identificação do requisito violado, da evidência que sustenta o achado, da classificação atribuída e de sua fundamentação. A reincidência de não conformidades menores relacionadas ao mesmo requisito, entre os Momentos [M1] e [M2], deve ser reclassificada como não conformidade maior.</w:t>
      </w:r>
    </w:p>
    <w:p w:rsidR="0061021D" w:rsidP="22777484" w:rsidRDefault="00000000" w14:paraId="7F2BF8BE" w14:textId="77777777">
      <w:pPr>
        <w:spacing w:after="140" w:line="276" w:lineRule="auto"/>
        <w:ind w:firstLine="708"/>
        <w:jc w:val="both"/>
      </w:pPr>
      <w:r w:rsidRPr="22777484" w:rsidR="0F5800EE">
        <w:rPr>
          <w:color w:val="1A1A1A"/>
        </w:rPr>
        <w:t>O proponente deve ser formalmente notificado de toda CAR e CL emitida, com prazo razoável para resposta, definido pela OVV em função da complexidade do achado. A ação corretiva apresentada deve ser reavaliada pela mesma equipe responsável pelo achado original, sempre que possível, e sua aceitação deve ser tecnicamente fundamentada, e não presumida pela mera apresentação de resposta.</w:t>
      </w:r>
    </w:p>
    <w:p w:rsidR="0061021D" w:rsidRDefault="00000000" w14:paraId="54F28CE1" w14:textId="77777777">
      <w:pPr>
        <w:spacing w:after="140" w:line="276" w:lineRule="auto"/>
        <w:jc w:val="both"/>
      </w:pPr>
      <w:r>
        <w:rPr>
          <w:color w:val="1A1A1A"/>
        </w:rPr>
        <w:t>Adicionalmente aos critérios gerais acima, aplicam-se as seguintes especificidades da verificação:</w:t>
      </w:r>
    </w:p>
    <w:p w:rsidR="0061021D" w:rsidRDefault="00000000" w14:paraId="30000002" w14:textId="30000002">
      <w:pPr>
        <w:pStyle w:val="PargrafodaLista"/>
        <w:numPr>
          <w:ilvl w:val="0"/>
          <w:numId w:val="1"/>
        </w:numPr>
        <w:spacing w:after="80" w:line="264" w:lineRule="auto"/>
        <w:jc w:val="both"/>
      </w:pPr>
      <w:r>
        <w:rPr>
          <w:color w:val="1A1A1A"/>
        </w:rPr>
        <w:t>Regressão não reportada pelo proponente e identificada apenas pela OVV durante a verificação configura, em regra, não conformidade maior;</w:t>
      </w:r>
    </w:p>
    <w:p w:rsidR="0061021D" w:rsidRDefault="00000000" w14:paraId="78137751" w14:textId="77777777">
      <w:pPr>
        <w:pStyle w:val="PargrafodaLista"/>
        <w:numPr>
          <w:ilvl w:val="0"/>
          <w:numId w:val="1"/>
        </w:numPr>
        <w:spacing w:after="80" w:line="264" w:lineRule="auto"/>
        <w:jc w:val="both"/>
      </w:pPr>
      <w:r>
        <w:rPr>
          <w:color w:val="1A1A1A"/>
        </w:rPr>
        <w:t>Atraso ou ausência na apresentação de relatório de monitoramento simplificado de qualquer período do ciclo, sem justificativa aceita, configura não conformidade maior a ser resolvida antes do desbloqueio da reserva de não permanência;</w:t>
      </w:r>
    </w:p>
    <w:p w:rsidR="0061021D" w:rsidRDefault="00000000" w14:paraId="1DD547A1" w14:textId="77777777">
      <w:pPr>
        <w:pStyle w:val="PargrafodaLista"/>
        <w:numPr>
          <w:ilvl w:val="0"/>
          <w:numId w:val="1"/>
        </w:numPr>
        <w:spacing w:after="80" w:line="264" w:lineRule="auto"/>
        <w:jc w:val="both"/>
      </w:pPr>
      <w:r>
        <w:rPr>
          <w:color w:val="1A1A1A"/>
        </w:rPr>
        <w:t>Discrepância na nova análise de risco apresentada para a Verificação Final que resulte em classificação de risco mais favorável sem fundamentação técnica suficiente configura não conformidade maior e impede o desbloqueio da reserva de não permanência até seu saneamento.</w:t>
      </w:r>
    </w:p>
    <w:p w:rsidR="0061021D" w:rsidP="2880CC69" w:rsidRDefault="00000000" w14:paraId="7310C831" w14:textId="7825E932">
      <w:pPr>
        <w:pStyle w:val="Ttulo1"/>
        <w:pBdr>
          <w:bottom w:val="single" w:color="1D7044" w:sz="6" w:space="4"/>
        </w:pBdr>
        <w:spacing w:before="360" w:after="160"/>
      </w:pPr>
      <w:r>
        <w:rPr>
          <w:b/>
          <w:bCs/>
          <w:color w:val="155234"/>
          <w:sz w:val="30"/>
          <w:szCs w:val="30"/>
        </w:rPr>
        <w:t>11. Conclusão e Encerramento</w:t>
      </w:r>
    </w:p>
    <w:p w:rsidR="0061021D" w:rsidP="22777484" w:rsidRDefault="00000000" w14:paraId="65DCE8EC" w14:textId="77777777">
      <w:pPr>
        <w:spacing w:after="140" w:line="276" w:lineRule="auto"/>
        <w:ind w:firstLine="708"/>
        <w:jc w:val="both"/>
      </w:pPr>
      <w:r w:rsidRPr="22777484" w:rsidR="0F5800EE">
        <w:rPr>
          <w:color w:val="1A1A1A"/>
        </w:rPr>
        <w:t>A verificação encerra-se com parecer conclusivo da OVV, específico ao momento aplicável:</w:t>
      </w:r>
    </w:p>
    <w:p w:rsidR="0061021D" w:rsidRDefault="00000000" w14:paraId="66E09FF1" w14:textId="24BB4C42">
      <w:pPr>
        <w:pStyle w:val="Ttulo3"/>
        <w:spacing w:before="200" w:after="100"/>
      </w:pPr>
      <w:r>
        <w:rPr>
          <w:b/>
          <w:bCs/>
          <w:color w:val="155234"/>
          <w:sz w:val="22"/>
          <w:szCs w:val="22"/>
        </w:rPr>
        <w:t>11.1. [M1] Conclusão da Verificação da Emissão</w:t>
      </w:r>
    </w:p>
    <w:p w:rsidR="0061021D" w:rsidRDefault="00000000" w14:paraId="5264C434" w14:textId="77777777">
      <w:pPr>
        <w:pStyle w:val="PargrafodaLista"/>
        <w:numPr>
          <w:ilvl w:val="0"/>
          <w:numId w:val="1"/>
        </w:numPr>
        <w:spacing w:after="80" w:line="264" w:lineRule="auto"/>
        <w:jc w:val="both"/>
      </w:pPr>
      <w:r>
        <w:rPr>
          <w:color w:val="1A1A1A"/>
        </w:rPr>
        <w:t>Parecer favorável — aprovação da emissão do volume total de créditos elegíveis, com a segregação confirmada entre o cronograma de liberação anual e a reserva de não permanência;</w:t>
      </w:r>
    </w:p>
    <w:p w:rsidR="0061021D" w:rsidRDefault="00000000" w14:paraId="7EC7EF0E" w14:textId="77777777">
      <w:pPr>
        <w:pStyle w:val="PargrafodaLista"/>
        <w:numPr>
          <w:ilvl w:val="0"/>
          <w:numId w:val="1"/>
        </w:numPr>
        <w:spacing w:after="80" w:line="264" w:lineRule="auto"/>
        <w:jc w:val="both"/>
      </w:pPr>
      <w:r>
        <w:rPr>
          <w:color w:val="1A1A1A"/>
        </w:rPr>
        <w:t>Parecer favorável condicionado — emissão autorizada condicionada ao saneamento de não conformidade menor identificada;</w:t>
      </w:r>
    </w:p>
    <w:p w:rsidR="0061021D" w:rsidRDefault="00000000" w14:paraId="572AE911" w14:textId="77777777">
      <w:pPr>
        <w:pStyle w:val="PargrafodaLista"/>
        <w:numPr>
          <w:ilvl w:val="0"/>
          <w:numId w:val="1"/>
        </w:numPr>
        <w:spacing w:after="80" w:line="264" w:lineRule="auto"/>
        <w:jc w:val="both"/>
      </w:pPr>
      <w:r>
        <w:rPr>
          <w:color w:val="1A1A1A"/>
        </w:rPr>
        <w:t>Parecer desfavorável — não aprovação da emissão, diante de não conformidade maior não sanada (ex.: alteração relevante identificada na área desde a validação).</w:t>
      </w:r>
    </w:p>
    <w:p w:rsidR="0061021D" w:rsidRDefault="00000000" w14:paraId="243C0A1E" w14:textId="177E9C08">
      <w:pPr>
        <w:pStyle w:val="Ttulo3"/>
        <w:spacing w:before="200" w:after="100"/>
      </w:pPr>
      <w:r>
        <w:rPr>
          <w:b/>
          <w:bCs/>
          <w:color w:val="155234"/>
          <w:sz w:val="22"/>
          <w:szCs w:val="22"/>
        </w:rPr>
        <w:t>11.2. [M2] Conclusão da Verificação Final</w:t>
      </w:r>
    </w:p>
    <w:p w:rsidR="0061021D" w:rsidRDefault="00000000" w14:paraId="2E5CEBAE" w14:textId="77777777">
      <w:pPr>
        <w:pStyle w:val="PargrafodaLista"/>
        <w:numPr>
          <w:ilvl w:val="0"/>
          <w:numId w:val="1"/>
        </w:numPr>
        <w:spacing w:after="80" w:line="264" w:lineRule="auto"/>
        <w:jc w:val="both"/>
      </w:pPr>
      <w:r>
        <w:rPr>
          <w:color w:val="1A1A1A"/>
        </w:rPr>
        <w:t>Parecer favorável — aprovação do desbloqueio integral do saldo de reserva de não permanência remanescente, observado o limite proporcional a créditos aposentados;</w:t>
      </w:r>
    </w:p>
    <w:p w:rsidR="0061021D" w:rsidRDefault="00000000" w14:paraId="3DCA3054" w14:textId="77777777">
      <w:pPr>
        <w:pStyle w:val="PargrafodaLista"/>
        <w:numPr>
          <w:ilvl w:val="0"/>
          <w:numId w:val="1"/>
        </w:numPr>
        <w:spacing w:after="80" w:line="264" w:lineRule="auto"/>
        <w:jc w:val="both"/>
      </w:pPr>
      <w:r>
        <w:rPr>
          <w:color w:val="1A1A1A"/>
        </w:rPr>
        <w:t>Parecer favorável condicionado — aprovação do desbloqueio parcial, com dedução de regressões não compensadas ou aplicação do limite proporcional a créditos aposentados;</w:t>
      </w:r>
    </w:p>
    <w:p w:rsidR="0061021D" w:rsidRDefault="00000000" w14:paraId="10ACD040" w14:textId="77777777">
      <w:pPr>
        <w:pStyle w:val="PargrafodaLista"/>
        <w:numPr>
          <w:ilvl w:val="0"/>
          <w:numId w:val="1"/>
        </w:numPr>
        <w:spacing w:after="80" w:line="264" w:lineRule="auto"/>
        <w:jc w:val="both"/>
      </w:pPr>
      <w:r>
        <w:rPr>
          <w:color w:val="1A1A1A"/>
        </w:rPr>
        <w:t>Parecer desfavorável — não aprovação do desbloqueio, diante de não conformidade maior não sanada, retenção cautelar pendente, ou classificação de risco agravada sem justificativa técnica suficiente.</w:t>
      </w:r>
    </w:p>
    <w:p w:rsidR="0061021D" w:rsidP="2880CC69" w:rsidRDefault="00000000" w14:paraId="50BDD089" w14:textId="7AD089AB">
      <w:pPr>
        <w:pStyle w:val="Ttulo1"/>
        <w:pBdr>
          <w:bottom w:val="single" w:color="1D7044" w:sz="6" w:space="4"/>
        </w:pBdr>
        <w:spacing w:before="360" w:after="160"/>
        <w:rPr>
          <w:b/>
          <w:bCs/>
          <w:color w:val="155234"/>
          <w:sz w:val="30"/>
          <w:szCs w:val="30"/>
        </w:rPr>
      </w:pPr>
      <w:r>
        <w:rPr>
          <w:b/>
          <w:bCs/>
          <w:color w:val="155234"/>
          <w:sz w:val="30"/>
          <w:szCs w:val="30"/>
        </w:rPr>
        <w:t>12. Relatório de Verificação — Conteúdo Mínimo Obrigatório</w:t>
      </w:r>
    </w:p>
    <w:p w:rsidR="0061021D" w:rsidP="22777484" w:rsidRDefault="00000000" w14:paraId="1CF5F4D5" w14:textId="77777777">
      <w:pPr>
        <w:spacing w:after="140" w:line="276" w:lineRule="auto"/>
        <w:ind w:firstLine="708"/>
        <w:jc w:val="both"/>
      </w:pPr>
      <w:r w:rsidRPr="22777484" w:rsidR="0F5800EE">
        <w:rPr>
          <w:color w:val="1A1A1A"/>
        </w:rPr>
        <w:t>O Relatório de Verificação deve conter, no mínimo:</w:t>
      </w:r>
    </w:p>
    <w:p w:rsidR="0061021D" w:rsidRDefault="00000000" w14:paraId="22BE59C9" w14:textId="77777777">
      <w:pPr>
        <w:pStyle w:val="PargrafodaLista"/>
        <w:numPr>
          <w:ilvl w:val="0"/>
          <w:numId w:val="1"/>
        </w:numPr>
        <w:spacing w:after="80" w:line="264" w:lineRule="auto"/>
        <w:jc w:val="both"/>
      </w:pPr>
      <w:r>
        <w:rPr>
          <w:color w:val="1A1A1A"/>
        </w:rPr>
        <w:t>Identificação do projeto, do proponente, do momento de verificação aplicável ([M1] ou [M2]) e da equipe responsável, com declaração de ausência de conflito de interesses;</w:t>
      </w:r>
    </w:p>
    <w:p w:rsidR="0061021D" w:rsidRDefault="00000000" w14:paraId="7B8735A7" w14:textId="77777777">
      <w:pPr>
        <w:pStyle w:val="PargrafodaLista"/>
        <w:numPr>
          <w:ilvl w:val="0"/>
          <w:numId w:val="1"/>
        </w:numPr>
        <w:spacing w:after="80" w:line="264" w:lineRule="auto"/>
        <w:jc w:val="both"/>
      </w:pPr>
      <w:r>
        <w:rPr>
          <w:color w:val="1A1A1A"/>
        </w:rPr>
        <w:t>Escopo e limitações da verificação;</w:t>
      </w:r>
    </w:p>
    <w:p w:rsidR="0061021D" w:rsidRDefault="00000000" w14:paraId="0D224C5F" w14:textId="77777777">
      <w:pPr>
        <w:pStyle w:val="PargrafodaLista"/>
        <w:numPr>
          <w:ilvl w:val="0"/>
          <w:numId w:val="1"/>
        </w:numPr>
        <w:spacing w:after="80" w:line="264" w:lineRule="auto"/>
        <w:jc w:val="both"/>
      </w:pPr>
      <w:r>
        <w:rPr>
          <w:color w:val="1A1A1A"/>
        </w:rPr>
        <w:t>Síntese da revisão documental e da comparação entre a certificação inicial (ou verificação anterior) e a situação atual;</w:t>
      </w:r>
    </w:p>
    <w:p w:rsidR="0061021D" w:rsidRDefault="00000000" w14:paraId="77D87FFF" w14:textId="77777777">
      <w:pPr>
        <w:pStyle w:val="PargrafodaLista"/>
        <w:numPr>
          <w:ilvl w:val="0"/>
          <w:numId w:val="1"/>
        </w:numPr>
        <w:spacing w:after="80" w:line="264" w:lineRule="auto"/>
        <w:jc w:val="both"/>
      </w:pPr>
      <w:r>
        <w:rPr>
          <w:color w:val="1A1A1A"/>
        </w:rPr>
        <w:t>[M2] Síntese consolidada da apuração de regressões de todo o ciclo e do tratamento aplicado a cada uma;</w:t>
      </w:r>
    </w:p>
    <w:p w:rsidR="0061021D" w:rsidRDefault="00000000" w14:paraId="47B34F46" w14:textId="77777777">
      <w:pPr>
        <w:pStyle w:val="PargrafodaLista"/>
        <w:numPr>
          <w:ilvl w:val="0"/>
          <w:numId w:val="1"/>
        </w:numPr>
        <w:spacing w:after="80" w:line="264" w:lineRule="auto"/>
        <w:jc w:val="both"/>
      </w:pPr>
      <w:r>
        <w:rPr>
          <w:color w:val="1A1A1A"/>
        </w:rPr>
        <w:t>Síntese da inspeção de campo, quando realizada, e das entrevistas conduzidas;</w:t>
      </w:r>
    </w:p>
    <w:p w:rsidR="0061021D" w:rsidRDefault="00000000" w14:paraId="44F51103" w14:textId="77777777">
      <w:pPr>
        <w:pStyle w:val="PargrafodaLista"/>
        <w:numPr>
          <w:ilvl w:val="0"/>
          <w:numId w:val="1"/>
        </w:numPr>
        <w:spacing w:after="80" w:line="264" w:lineRule="auto"/>
        <w:jc w:val="both"/>
      </w:pPr>
      <w:r>
        <w:rPr>
          <w:color w:val="1A1A1A"/>
        </w:rPr>
        <w:t>Relação completa de não conformidades identificadas, classificação, tratamento e status de encerramento;</w:t>
      </w:r>
    </w:p>
    <w:p w:rsidR="0061021D" w:rsidRDefault="00000000" w14:paraId="089A7F1A" w14:textId="77777777">
      <w:pPr>
        <w:pStyle w:val="PargrafodaLista"/>
        <w:numPr>
          <w:ilvl w:val="0"/>
          <w:numId w:val="1"/>
        </w:numPr>
        <w:spacing w:after="80" w:line="264" w:lineRule="auto"/>
        <w:jc w:val="both"/>
      </w:pPr>
      <w:r>
        <w:rPr>
          <w:color w:val="1A1A1A"/>
        </w:rPr>
        <w:t>Parecer conclusivo da OVV, nos termos do Capítulo 16;</w:t>
      </w:r>
    </w:p>
    <w:p w:rsidR="0061021D" w:rsidRDefault="00000000" w14:paraId="2A0AC836" w14:textId="77777777">
      <w:pPr>
        <w:pStyle w:val="PargrafodaLista"/>
        <w:numPr>
          <w:ilvl w:val="0"/>
          <w:numId w:val="1"/>
        </w:numPr>
        <w:spacing w:after="80" w:line="264" w:lineRule="auto"/>
        <w:jc w:val="both"/>
      </w:pPr>
      <w:r>
        <w:rPr>
          <w:color w:val="1A1A1A"/>
        </w:rPr>
        <w:t>[M1] Volume total confirmado para emissão, com discriminação do volume submetido ao cronograma de liberação anual e do volume retido como reserva de não permanência;</w:t>
      </w:r>
    </w:p>
    <w:p w:rsidR="0061021D" w:rsidRDefault="00000000" w14:paraId="7AAF8932" w14:textId="77777777">
      <w:pPr>
        <w:pStyle w:val="PargrafodaLista"/>
        <w:numPr>
          <w:ilvl w:val="0"/>
          <w:numId w:val="1"/>
        </w:numPr>
        <w:spacing w:after="80" w:line="264" w:lineRule="auto"/>
        <w:jc w:val="both"/>
      </w:pPr>
      <w:r>
        <w:rPr>
          <w:color w:val="1A1A1A"/>
        </w:rPr>
        <w:t>[M2] Volume confirmado do saldo de buffer a ser desbloqueado, com memória de cálculo;</w:t>
      </w:r>
    </w:p>
    <w:p w:rsidR="0061021D" w:rsidRDefault="00000000" w14:paraId="3B2F2B3D" w14:textId="77777777">
      <w:pPr>
        <w:pStyle w:val="PargrafodaLista"/>
        <w:numPr>
          <w:ilvl w:val="0"/>
          <w:numId w:val="1"/>
        </w:numPr>
        <w:spacing w:after="80" w:line="264" w:lineRule="auto"/>
        <w:jc w:val="both"/>
      </w:pPr>
      <w:r>
        <w:rPr>
          <w:color w:val="1A1A1A"/>
        </w:rPr>
        <w:t>Data de conclusão, assinatura do responsável técnico e do revisor técnico independente da OVV.</w:t>
      </w:r>
    </w:p>
    <w:p w:rsidR="0061021D" w:rsidP="0060039C" w:rsidRDefault="00000000" w14:paraId="1B9AA88A" w14:textId="77777777">
      <w:pPr>
        <w:pStyle w:val="Ttulo1"/>
        <w:pBdr>
          <w:bottom w:val="single" w:color="1D7044" w:sz="6" w:space="4"/>
        </w:pBdr>
        <w:spacing w:before="360" w:after="160"/>
        <w:jc w:val="center"/>
      </w:pPr>
      <w:r>
        <w:rPr>
          <w:b/>
          <w:bCs/>
          <w:color w:val="155234"/>
          <w:sz w:val="30"/>
          <w:szCs w:val="30"/>
        </w:rPr>
        <w:t>Anexo I — Ficha de Revisão Documental</w:t>
      </w:r>
    </w:p>
    <w:tbl>
      <w:tblPr>
        <w:tblW w:w="950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800"/>
        <w:gridCol w:w="1800"/>
        <w:gridCol w:w="2100"/>
        <w:gridCol w:w="2800"/>
      </w:tblGrid>
      <w:tr w:rsidR="0061021D" w14:paraId="3A4F8D99" w14:textId="77777777">
        <w:trPr>
          <w:tblHeader/>
        </w:trPr>
        <w:tc>
          <w:tcPr>
            <w:tcW w:w="2800" w:type="dxa"/>
            <w:shd w:val="clear" w:color="auto" w:fill="1D7044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61021D" w:rsidRDefault="00000000" w14:paraId="174086C2" w14:textId="77777777">
            <w:r>
              <w:rPr>
                <w:b/>
                <w:bCs/>
                <w:color w:val="FFFFFF"/>
                <w:sz w:val="19"/>
                <w:szCs w:val="19"/>
              </w:rPr>
              <w:t>Documento</w:t>
            </w:r>
          </w:p>
        </w:tc>
        <w:tc>
          <w:tcPr>
            <w:tcW w:w="1800" w:type="dxa"/>
            <w:shd w:val="clear" w:color="auto" w:fill="1D7044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61021D" w:rsidRDefault="00000000" w14:paraId="217E850A" w14:textId="77777777">
            <w:r>
              <w:rPr>
                <w:b/>
                <w:bCs/>
                <w:color w:val="FFFFFF"/>
                <w:sz w:val="19"/>
                <w:szCs w:val="19"/>
              </w:rPr>
              <w:t>Período/Versão</w:t>
            </w:r>
          </w:p>
        </w:tc>
        <w:tc>
          <w:tcPr>
            <w:tcW w:w="2100" w:type="dxa"/>
            <w:shd w:val="clear" w:color="auto" w:fill="1D7044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61021D" w:rsidRDefault="00000000" w14:paraId="0DC28BD4" w14:textId="77777777">
            <w:r>
              <w:rPr>
                <w:b/>
                <w:bCs/>
                <w:color w:val="FFFFFF"/>
                <w:sz w:val="19"/>
                <w:szCs w:val="19"/>
              </w:rPr>
              <w:t>Conformidade (S/N/Parcial)</w:t>
            </w:r>
          </w:p>
        </w:tc>
        <w:tc>
          <w:tcPr>
            <w:tcW w:w="2800" w:type="dxa"/>
            <w:shd w:val="clear" w:color="auto" w:fill="1D7044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61021D" w:rsidRDefault="00000000" w14:paraId="7B7B0A85" w14:textId="77777777">
            <w:r>
              <w:rPr>
                <w:b/>
                <w:bCs/>
                <w:color w:val="FFFFFF"/>
                <w:sz w:val="19"/>
                <w:szCs w:val="19"/>
              </w:rPr>
              <w:t>Observações</w:t>
            </w:r>
          </w:p>
        </w:tc>
      </w:tr>
      <w:tr w:rsidR="0061021D" w14:paraId="3EFB1ABA" w14:textId="77777777">
        <w:tc>
          <w:tcPr>
            <w:tcW w:w="28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61021D" w:rsidRDefault="0061021D" w14:paraId="18F7F509" w14:textId="77777777"/>
        </w:tc>
        <w:tc>
          <w:tcPr>
            <w:tcW w:w="18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61021D" w:rsidRDefault="0061021D" w14:paraId="7B80148F" w14:textId="77777777"/>
        </w:tc>
        <w:tc>
          <w:tcPr>
            <w:tcW w:w="21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61021D" w:rsidRDefault="0061021D" w14:paraId="7BA1BE49" w14:textId="77777777"/>
        </w:tc>
        <w:tc>
          <w:tcPr>
            <w:tcW w:w="28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61021D" w:rsidRDefault="0061021D" w14:paraId="070DFEF8" w14:textId="77777777"/>
        </w:tc>
      </w:tr>
      <w:tr w:rsidR="0061021D" w14:paraId="7A144435" w14:textId="77777777">
        <w:tc>
          <w:tcPr>
            <w:tcW w:w="2800" w:type="dxa"/>
            <w:shd w:val="clear" w:color="auto" w:fill="E8F5EC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61021D" w:rsidRDefault="0061021D" w14:paraId="423D38F9" w14:textId="77777777"/>
        </w:tc>
        <w:tc>
          <w:tcPr>
            <w:tcW w:w="1800" w:type="dxa"/>
            <w:shd w:val="clear" w:color="auto" w:fill="E8F5EC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61021D" w:rsidRDefault="0061021D" w14:paraId="41BF7569" w14:textId="77777777"/>
        </w:tc>
        <w:tc>
          <w:tcPr>
            <w:tcW w:w="2100" w:type="dxa"/>
            <w:shd w:val="clear" w:color="auto" w:fill="E8F5EC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61021D" w:rsidRDefault="0061021D" w14:paraId="69080586" w14:textId="77777777"/>
        </w:tc>
        <w:tc>
          <w:tcPr>
            <w:tcW w:w="2800" w:type="dxa"/>
            <w:shd w:val="clear" w:color="auto" w:fill="E8F5EC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61021D" w:rsidRDefault="0061021D" w14:paraId="73C8D159" w14:textId="77777777"/>
        </w:tc>
      </w:tr>
      <w:tr w:rsidR="0061021D" w14:paraId="71002B16" w14:textId="77777777">
        <w:tc>
          <w:tcPr>
            <w:tcW w:w="28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61021D" w:rsidRDefault="0061021D" w14:paraId="76898F46" w14:textId="77777777"/>
        </w:tc>
        <w:tc>
          <w:tcPr>
            <w:tcW w:w="18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61021D" w:rsidRDefault="0061021D" w14:paraId="164A7189" w14:textId="77777777"/>
        </w:tc>
        <w:tc>
          <w:tcPr>
            <w:tcW w:w="21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61021D" w:rsidRDefault="0061021D" w14:paraId="40F2470C" w14:textId="77777777"/>
        </w:tc>
        <w:tc>
          <w:tcPr>
            <w:tcW w:w="28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61021D" w:rsidRDefault="0061021D" w14:paraId="299C6CA1" w14:textId="77777777"/>
        </w:tc>
      </w:tr>
    </w:tbl>
    <w:p w:rsidR="00C6619D" w:rsidP="00022892" w:rsidRDefault="00000000" w14:paraId="10000011" w14:textId="0CEB4CD6">
      <w:pPr>
        <w:pStyle w:val="Ttulo1"/>
        <w:pBdr>
          <w:bottom w:val="single" w:color="1D7044" w:sz="6" w:space="4"/>
        </w:pBdr>
        <w:spacing w:before="360" w:after="160"/>
        <w:jc w:val="center"/>
      </w:pPr>
      <w:r w:rsidRPr="00022892">
        <w:rPr>
          <w:b w:val="1"/>
          <w:bCs w:val="1"/>
          <w:color w:val="155234"/>
          <w:sz w:val="30"/>
          <w:szCs w:val="30"/>
        </w:rPr>
        <w:t>Anexo II — Ficha de Preenchimento — Capítulo 5 — Revisão Documen</w:t>
      </w:r>
      <w:r w:rsidRPr="00022892" w:rsidR="148DCF5B">
        <w:rPr>
          <w:b w:val="1"/>
          <w:bCs w:val="1"/>
          <w:color w:val="155234"/>
          <w:sz w:val="30"/>
          <w:szCs w:val="30"/>
        </w:rPr>
        <w:t xml:space="preserve">    </w:t>
      </w:r>
      <w:r w:rsidRPr="00022892">
        <w:rPr>
          <w:b w:val="1"/>
          <w:bCs w:val="1"/>
          <w:color w:val="155234"/>
          <w:sz w:val="30"/>
          <w:szCs w:val="30"/>
        </w:rPr>
        <w:t>tal</w:t>
      </w:r>
    </w:p>
    <w:p w:rsidR="00C6619D" w:rsidRDefault="00000000" w14:paraId="10000033" w14:textId="10000044">
      <w:pPr>
        <w:spacing w:after="140" w:line="276" w:lineRule="auto"/>
        <w:jc w:val="both"/>
      </w:pPr>
      <w:r>
        <w:rPr>
          <w:color w:val="1A1A1A"/>
        </w:rPr>
        <w:t>Ficha de preenchimento consolidada para registro das conclusões da OVV quanto a cada item avaliado no âmbito do capítulo indicado. Cada linha corresponde a uma seção do corpo deste documento; o detalhamento do que deve ser analisado em cada item consta do texto do capítulo correspondente.</w:t>
      </w:r>
    </w:p>
    <w:tbl>
      <w:tblPr>
        <w:tblW w:w="950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200"/>
        <w:gridCol w:w="1300"/>
        <w:gridCol w:w="2300"/>
        <w:gridCol w:w="2300"/>
        <w:gridCol w:w="1400"/>
      </w:tblGrid>
      <w:tr w:rsidR="00C6619D" w14:paraId="100000FF" w14:textId="10000110">
        <w:tc>
          <w:tcPr>
            <w:tcW w:w="2200" w:type="dxa"/>
            <w:shd w:val="clear" w:color="auto" w:fill="1D7044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C6619D" w:rsidRDefault="00000000" w14:paraId="10000055" w14:textId="10000066">
            <w:r>
              <w:rPr>
                <w:b/>
                <w:bCs/>
                <w:color w:val="FFFFFF"/>
                <w:sz w:val="17"/>
                <w:szCs w:val="17"/>
              </w:rPr>
              <w:t>Item avaliado</w:t>
            </w:r>
          </w:p>
        </w:tc>
        <w:tc>
          <w:tcPr>
            <w:tcW w:w="1300" w:type="dxa"/>
            <w:shd w:val="clear" w:color="auto" w:fill="1D7044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C6619D" w:rsidRDefault="00000000" w14:paraId="10000077" w14:textId="10000088">
            <w:r>
              <w:rPr>
                <w:b/>
                <w:bCs/>
                <w:color w:val="FFFFFF"/>
                <w:sz w:val="17"/>
                <w:szCs w:val="17"/>
              </w:rPr>
              <w:t>Conforme?</w:t>
            </w:r>
          </w:p>
        </w:tc>
        <w:tc>
          <w:tcPr>
            <w:tcW w:w="2300" w:type="dxa"/>
            <w:shd w:val="clear" w:color="auto" w:fill="1D7044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C6619D" w:rsidRDefault="00000000" w14:paraId="10000099" w14:textId="100000AA">
            <w:r>
              <w:rPr>
                <w:b/>
                <w:bCs/>
                <w:color w:val="FFFFFF"/>
                <w:sz w:val="17"/>
                <w:szCs w:val="17"/>
              </w:rPr>
              <w:t>Evidência analisada</w:t>
            </w:r>
          </w:p>
        </w:tc>
        <w:tc>
          <w:tcPr>
            <w:tcW w:w="2300" w:type="dxa"/>
            <w:shd w:val="clear" w:color="auto" w:fill="1D7044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C6619D" w:rsidRDefault="00000000" w14:paraId="100000BB" w14:textId="100000CC">
            <w:r>
              <w:rPr>
                <w:b/>
                <w:bCs/>
                <w:color w:val="FFFFFF"/>
                <w:sz w:val="17"/>
                <w:szCs w:val="17"/>
              </w:rPr>
              <w:t>Fundamentação da conclusão</w:t>
            </w:r>
          </w:p>
        </w:tc>
        <w:tc>
          <w:tcPr>
            <w:tcW w:w="1400" w:type="dxa"/>
            <w:shd w:val="clear" w:color="auto" w:fill="1D7044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C6619D" w:rsidRDefault="00000000" w14:paraId="100000DD" w14:textId="100000EE">
            <w:r>
              <w:rPr>
                <w:b/>
                <w:bCs/>
                <w:color w:val="FFFFFF"/>
                <w:sz w:val="17"/>
                <w:szCs w:val="17"/>
              </w:rPr>
              <w:t>CL?</w:t>
            </w:r>
          </w:p>
        </w:tc>
      </w:tr>
      <w:tr w:rsidR="00C6619D" w14:paraId="100001CB" w14:textId="100001DC">
        <w:tc>
          <w:tcPr>
            <w:tcW w:w="2200" w:type="dxa"/>
            <w:shd w:val="clear" w:color="auto" w:fill="E8F5EC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C6619D" w:rsidRDefault="00000000" w14:paraId="10000121" w14:textId="10000132">
            <w:r>
              <w:rPr>
                <w:color w:val="1A1A1A"/>
                <w:sz w:val="17"/>
                <w:szCs w:val="17"/>
              </w:rPr>
              <w:t>5.1. Confirmação do Relatório de Validação Anterior</w:t>
            </w:r>
          </w:p>
        </w:tc>
        <w:tc>
          <w:tcPr>
            <w:tcW w:w="1300" w:type="dxa"/>
            <w:shd w:val="clear" w:color="auto" w:fill="E8F5EC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C6619D" w:rsidRDefault="00000000" w14:paraId="10000143" w14:textId="10000154">
            <w:r>
              <w:rPr>
                <w:color w:val="1A1A1A"/>
                <w:sz w:val="17"/>
                <w:szCs w:val="17"/>
              </w:rPr>
              <w:t>☐ Sim  ☐ Não  ☐ Parcialmente  ☐ N.A.</w:t>
            </w:r>
          </w:p>
        </w:tc>
        <w:tc>
          <w:tcPr>
            <w:tcW w:w="2300" w:type="dxa"/>
            <w:shd w:val="clear" w:color="auto" w:fill="E8F5EC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C6619D" w:rsidRDefault="00C6619D" w14:paraId="10000165" w14:textId="10000176"/>
        </w:tc>
        <w:tc>
          <w:tcPr>
            <w:tcW w:w="2300" w:type="dxa"/>
            <w:shd w:val="clear" w:color="auto" w:fill="E8F5EC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C6619D" w:rsidRDefault="00C6619D" w14:paraId="10000187" w14:textId="10000198"/>
        </w:tc>
        <w:tc>
          <w:tcPr>
            <w:tcW w:w="1400" w:type="dxa"/>
            <w:shd w:val="clear" w:color="auto" w:fill="E8F5EC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C6619D" w:rsidRDefault="00000000" w14:paraId="100001A9" w14:textId="100001BA">
            <w:r>
              <w:rPr>
                <w:color w:val="1A1A1A"/>
                <w:sz w:val="17"/>
                <w:szCs w:val="17"/>
              </w:rPr>
              <w:t>☐ Sim  ☐ Não</w:t>
            </w:r>
          </w:p>
        </w:tc>
      </w:tr>
      <w:tr w:rsidR="00C6619D" w14:paraId="10000297" w14:textId="100002A8">
        <w:tc>
          <w:tcPr>
            <w:tcW w:w="22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C6619D" w:rsidRDefault="00000000" w14:paraId="100001ED" w14:textId="100001FE">
            <w:r>
              <w:rPr>
                <w:color w:val="1A1A1A"/>
                <w:sz w:val="17"/>
                <w:szCs w:val="17"/>
              </w:rPr>
              <w:t>5.2. Comparação entre Certificação Inicial e Situação Atual</w:t>
            </w:r>
          </w:p>
        </w:tc>
        <w:tc>
          <w:tcPr>
            <w:tcW w:w="13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C6619D" w:rsidRDefault="00000000" w14:paraId="1000020F" w14:textId="10000220">
            <w:r>
              <w:rPr>
                <w:color w:val="1A1A1A"/>
                <w:sz w:val="17"/>
                <w:szCs w:val="17"/>
              </w:rPr>
              <w:t>☐ Sim  ☐ Não  ☐ Parcialmente  ☐ N.A.</w:t>
            </w:r>
          </w:p>
        </w:tc>
        <w:tc>
          <w:tcPr>
            <w:tcW w:w="23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C6619D" w:rsidRDefault="00C6619D" w14:paraId="10000231" w14:textId="10000242"/>
        </w:tc>
        <w:tc>
          <w:tcPr>
            <w:tcW w:w="23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C6619D" w:rsidRDefault="00C6619D" w14:paraId="10000253" w14:textId="10000264"/>
        </w:tc>
        <w:tc>
          <w:tcPr>
            <w:tcW w:w="14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C6619D" w:rsidRDefault="00000000" w14:paraId="10000275" w14:textId="10000286">
            <w:r>
              <w:rPr>
                <w:color w:val="1A1A1A"/>
                <w:sz w:val="17"/>
                <w:szCs w:val="17"/>
              </w:rPr>
              <w:t>☐ Sim  ☐ Não</w:t>
            </w:r>
          </w:p>
        </w:tc>
      </w:tr>
      <w:tr w:rsidR="00C6619D" w14:paraId="10000363" w14:textId="10000374">
        <w:tc>
          <w:tcPr>
            <w:tcW w:w="2200" w:type="dxa"/>
            <w:shd w:val="clear" w:color="auto" w:fill="E8F5EC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C6619D" w:rsidRDefault="00000000" w14:paraId="100002B9" w14:textId="100002CA">
            <w:r>
              <w:rPr>
                <w:color w:val="1A1A1A"/>
                <w:sz w:val="17"/>
                <w:szCs w:val="17"/>
              </w:rPr>
              <w:t>5.3. [M1] Confirmação de Ausência de Alteração Relevante desde a Validação</w:t>
            </w:r>
          </w:p>
        </w:tc>
        <w:tc>
          <w:tcPr>
            <w:tcW w:w="1300" w:type="dxa"/>
            <w:shd w:val="clear" w:color="auto" w:fill="E8F5EC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C6619D" w:rsidRDefault="00000000" w14:paraId="100002DB" w14:textId="100002EC">
            <w:r>
              <w:rPr>
                <w:color w:val="1A1A1A"/>
                <w:sz w:val="17"/>
                <w:szCs w:val="17"/>
              </w:rPr>
              <w:t>☐ Sim  ☐ Não  ☐ Parcialmente  ☐ N.A.</w:t>
            </w:r>
          </w:p>
        </w:tc>
        <w:tc>
          <w:tcPr>
            <w:tcW w:w="2300" w:type="dxa"/>
            <w:shd w:val="clear" w:color="auto" w:fill="E8F5EC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C6619D" w:rsidRDefault="00C6619D" w14:paraId="100002FD" w14:textId="1000030E"/>
        </w:tc>
        <w:tc>
          <w:tcPr>
            <w:tcW w:w="2300" w:type="dxa"/>
            <w:shd w:val="clear" w:color="auto" w:fill="E8F5EC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C6619D" w:rsidRDefault="00C6619D" w14:paraId="1000031F" w14:textId="10000330"/>
        </w:tc>
        <w:tc>
          <w:tcPr>
            <w:tcW w:w="1400" w:type="dxa"/>
            <w:shd w:val="clear" w:color="auto" w:fill="E8F5EC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C6619D" w:rsidRDefault="00000000" w14:paraId="10000341" w14:textId="10000352">
            <w:r>
              <w:rPr>
                <w:color w:val="1A1A1A"/>
                <w:sz w:val="17"/>
                <w:szCs w:val="17"/>
              </w:rPr>
              <w:t>☐ Sim  ☐ Não</w:t>
            </w:r>
          </w:p>
        </w:tc>
      </w:tr>
      <w:tr w:rsidR="00C6619D" w14:paraId="1000042F" w14:textId="10000440">
        <w:tc>
          <w:tcPr>
            <w:tcW w:w="22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C6619D" w:rsidRDefault="00000000" w14:paraId="10000385" w14:textId="10000396">
            <w:r>
              <w:rPr>
                <w:color w:val="1A1A1A"/>
                <w:sz w:val="17"/>
                <w:szCs w:val="17"/>
              </w:rPr>
              <w:t>5.4. [M2] Revisão Retroativa dos Relatórios de Monitoramento Simplificados do Ciclo</w:t>
            </w:r>
          </w:p>
        </w:tc>
        <w:tc>
          <w:tcPr>
            <w:tcW w:w="13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C6619D" w:rsidRDefault="00000000" w14:paraId="100003A7" w14:textId="100003B8">
            <w:r>
              <w:rPr>
                <w:color w:val="1A1A1A"/>
                <w:sz w:val="17"/>
                <w:szCs w:val="17"/>
              </w:rPr>
              <w:t>☐ Sim  ☐ Não  ☐ Parcialmente  ☐ N.A.</w:t>
            </w:r>
          </w:p>
        </w:tc>
        <w:tc>
          <w:tcPr>
            <w:tcW w:w="23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C6619D" w:rsidRDefault="00C6619D" w14:paraId="100003C9" w14:textId="100003DA"/>
        </w:tc>
        <w:tc>
          <w:tcPr>
            <w:tcW w:w="23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C6619D" w:rsidRDefault="00C6619D" w14:paraId="100003EB" w14:textId="100003FC"/>
        </w:tc>
        <w:tc>
          <w:tcPr>
            <w:tcW w:w="14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C6619D" w:rsidRDefault="00000000" w14:paraId="1000040D" w14:textId="1000041E">
            <w:r>
              <w:rPr>
                <w:color w:val="1A1A1A"/>
                <w:sz w:val="17"/>
                <w:szCs w:val="17"/>
              </w:rPr>
              <w:t>☐ Sim  ☐ Não</w:t>
            </w:r>
          </w:p>
        </w:tc>
      </w:tr>
    </w:tbl>
    <w:p w:rsidR="00C6619D" w:rsidRDefault="00000000" w14:paraId="10000451" w14:textId="10000462">
      <w:pPr>
        <w:pStyle w:val="Ttulo1"/>
        <w:pBdr>
          <w:bottom w:val="single" w:color="1D7044" w:sz="6" w:space="4"/>
        </w:pBdr>
        <w:spacing w:before="360" w:after="160"/>
        <w:jc w:val="center"/>
      </w:pPr>
      <w:r w:rsidRPr="227371B4" w:rsidR="435E42F5">
        <w:rPr>
          <w:b w:val="1"/>
          <w:bCs w:val="1"/>
          <w:color w:val="155234"/>
          <w:sz w:val="30"/>
          <w:szCs w:val="30"/>
        </w:rPr>
        <w:t>Anexo III — Ficha de Preenchimento — Capítulo 6 — Avaliação do Monitoramento</w:t>
      </w:r>
    </w:p>
    <w:tbl>
      <w:tblPr>
        <w:tblW w:w="950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200"/>
        <w:gridCol w:w="1300"/>
        <w:gridCol w:w="2300"/>
        <w:gridCol w:w="2300"/>
        <w:gridCol w:w="1400"/>
      </w:tblGrid>
      <w:tr w:rsidR="00C6619D" w14:paraId="1000053F" w14:textId="10000550">
        <w:tc>
          <w:tcPr>
            <w:tcW w:w="2200" w:type="dxa"/>
            <w:shd w:val="clear" w:color="auto" w:fill="1D7044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C6619D" w:rsidRDefault="00000000" w14:paraId="10000495" w14:textId="100004A6">
            <w:r>
              <w:rPr>
                <w:b/>
                <w:bCs/>
                <w:color w:val="FFFFFF"/>
                <w:sz w:val="17"/>
                <w:szCs w:val="17"/>
              </w:rPr>
              <w:t>Item avaliado</w:t>
            </w:r>
          </w:p>
        </w:tc>
        <w:tc>
          <w:tcPr>
            <w:tcW w:w="1300" w:type="dxa"/>
            <w:shd w:val="clear" w:color="auto" w:fill="1D7044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C6619D" w:rsidRDefault="00000000" w14:paraId="100004B7" w14:textId="100004C8">
            <w:r>
              <w:rPr>
                <w:b/>
                <w:bCs/>
                <w:color w:val="FFFFFF"/>
                <w:sz w:val="17"/>
                <w:szCs w:val="17"/>
              </w:rPr>
              <w:t>Conforme?</w:t>
            </w:r>
          </w:p>
        </w:tc>
        <w:tc>
          <w:tcPr>
            <w:tcW w:w="2300" w:type="dxa"/>
            <w:shd w:val="clear" w:color="auto" w:fill="1D7044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C6619D" w:rsidRDefault="00000000" w14:paraId="100004D9" w14:textId="100004EA">
            <w:r>
              <w:rPr>
                <w:b/>
                <w:bCs/>
                <w:color w:val="FFFFFF"/>
                <w:sz w:val="17"/>
                <w:szCs w:val="17"/>
              </w:rPr>
              <w:t>Evidência analisada</w:t>
            </w:r>
          </w:p>
        </w:tc>
        <w:tc>
          <w:tcPr>
            <w:tcW w:w="2300" w:type="dxa"/>
            <w:shd w:val="clear" w:color="auto" w:fill="1D7044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C6619D" w:rsidRDefault="00000000" w14:paraId="100004FB" w14:textId="1000050C">
            <w:r>
              <w:rPr>
                <w:b/>
                <w:bCs/>
                <w:color w:val="FFFFFF"/>
                <w:sz w:val="17"/>
                <w:szCs w:val="17"/>
              </w:rPr>
              <w:t>Fundamentação da conclusão</w:t>
            </w:r>
          </w:p>
        </w:tc>
        <w:tc>
          <w:tcPr>
            <w:tcW w:w="1400" w:type="dxa"/>
            <w:shd w:val="clear" w:color="auto" w:fill="1D7044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C6619D" w:rsidRDefault="00000000" w14:paraId="1000051D" w14:textId="1000052E">
            <w:r>
              <w:rPr>
                <w:b/>
                <w:bCs/>
                <w:color w:val="FFFFFF"/>
                <w:sz w:val="17"/>
                <w:szCs w:val="17"/>
              </w:rPr>
              <w:t>CL?</w:t>
            </w:r>
          </w:p>
        </w:tc>
      </w:tr>
      <w:tr w:rsidR="00C6619D" w14:paraId="1000060B" w14:textId="1000061C">
        <w:tc>
          <w:tcPr>
            <w:tcW w:w="2200" w:type="dxa"/>
            <w:shd w:val="clear" w:color="auto" w:fill="E8F5EC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C6619D" w:rsidRDefault="00000000" w14:paraId="10000561" w14:textId="10000572">
            <w:r>
              <w:rPr>
                <w:color w:val="1A1A1A"/>
                <w:sz w:val="17"/>
                <w:szCs w:val="17"/>
              </w:rPr>
              <w:t>6. Consistência do Monitoramento Apresentado com a Condição Observável da Área</w:t>
            </w:r>
          </w:p>
        </w:tc>
        <w:tc>
          <w:tcPr>
            <w:tcW w:w="1300" w:type="dxa"/>
            <w:shd w:val="clear" w:color="auto" w:fill="E8F5EC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C6619D" w:rsidRDefault="00000000" w14:paraId="10000583" w14:textId="10000594">
            <w:r>
              <w:rPr>
                <w:color w:val="1A1A1A"/>
                <w:sz w:val="17"/>
                <w:szCs w:val="17"/>
              </w:rPr>
              <w:t>☐ Sim  ☐ Não  ☐ Parcialmente  ☐ N.A.</w:t>
            </w:r>
          </w:p>
        </w:tc>
        <w:tc>
          <w:tcPr>
            <w:tcW w:w="2300" w:type="dxa"/>
            <w:shd w:val="clear" w:color="auto" w:fill="E8F5EC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C6619D" w:rsidRDefault="00C6619D" w14:paraId="100005A5" w14:textId="100005B6"/>
        </w:tc>
        <w:tc>
          <w:tcPr>
            <w:tcW w:w="2300" w:type="dxa"/>
            <w:shd w:val="clear" w:color="auto" w:fill="E8F5EC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C6619D" w:rsidRDefault="00C6619D" w14:paraId="100005C7" w14:textId="100005D8"/>
        </w:tc>
        <w:tc>
          <w:tcPr>
            <w:tcW w:w="1400" w:type="dxa"/>
            <w:shd w:val="clear" w:color="auto" w:fill="E8F5EC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C6619D" w:rsidRDefault="00000000" w14:paraId="100005E9" w14:textId="100005FA">
            <w:r>
              <w:rPr>
                <w:color w:val="1A1A1A"/>
                <w:sz w:val="17"/>
                <w:szCs w:val="17"/>
              </w:rPr>
              <w:t>☐ Sim  ☐ Não</w:t>
            </w:r>
          </w:p>
        </w:tc>
      </w:tr>
    </w:tbl>
    <w:p w:rsidR="00C6619D" w:rsidRDefault="00000000" w14:paraId="1000062D" w14:textId="1000063E">
      <w:pPr>
        <w:pStyle w:val="Ttulo1"/>
        <w:pBdr>
          <w:bottom w:val="single" w:color="1D7044" w:sz="6" w:space="4"/>
        </w:pBdr>
        <w:spacing w:before="360" w:after="160"/>
        <w:jc w:val="center"/>
      </w:pPr>
      <w:r w:rsidRPr="227371B4" w:rsidR="435E42F5">
        <w:rPr>
          <w:b w:val="1"/>
          <w:bCs w:val="1"/>
          <w:color w:val="155234"/>
          <w:sz w:val="30"/>
          <w:szCs w:val="30"/>
        </w:rPr>
        <w:t>Anexo IV — Ficha de Preenchimento — Capítulo 7 — Verificação da Biomassa de Carbono Existente na Área</w:t>
      </w:r>
    </w:p>
    <w:tbl>
      <w:tblPr>
        <w:tblW w:w="950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200"/>
        <w:gridCol w:w="1300"/>
        <w:gridCol w:w="2300"/>
        <w:gridCol w:w="2300"/>
        <w:gridCol w:w="1400"/>
      </w:tblGrid>
      <w:tr w:rsidR="00C6619D" w14:paraId="1000071B" w14:textId="1000072C">
        <w:tc>
          <w:tcPr>
            <w:tcW w:w="2200" w:type="dxa"/>
            <w:shd w:val="clear" w:color="auto" w:fill="1D7044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C6619D" w:rsidRDefault="00000000" w14:paraId="10000671" w14:textId="10000682">
            <w:r>
              <w:rPr>
                <w:b/>
                <w:bCs/>
                <w:color w:val="FFFFFF"/>
                <w:sz w:val="17"/>
                <w:szCs w:val="17"/>
              </w:rPr>
              <w:t>Item avaliado</w:t>
            </w:r>
          </w:p>
        </w:tc>
        <w:tc>
          <w:tcPr>
            <w:tcW w:w="1300" w:type="dxa"/>
            <w:shd w:val="clear" w:color="auto" w:fill="1D7044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C6619D" w:rsidRDefault="00000000" w14:paraId="10000693" w14:textId="100006A4">
            <w:r>
              <w:rPr>
                <w:b/>
                <w:bCs/>
                <w:color w:val="FFFFFF"/>
                <w:sz w:val="17"/>
                <w:szCs w:val="17"/>
              </w:rPr>
              <w:t>Conforme?</w:t>
            </w:r>
          </w:p>
        </w:tc>
        <w:tc>
          <w:tcPr>
            <w:tcW w:w="2300" w:type="dxa"/>
            <w:shd w:val="clear" w:color="auto" w:fill="1D7044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C6619D" w:rsidRDefault="00000000" w14:paraId="100006B5" w14:textId="100006C6">
            <w:r>
              <w:rPr>
                <w:b/>
                <w:bCs/>
                <w:color w:val="FFFFFF"/>
                <w:sz w:val="17"/>
                <w:szCs w:val="17"/>
              </w:rPr>
              <w:t>Evidência analisada</w:t>
            </w:r>
          </w:p>
        </w:tc>
        <w:tc>
          <w:tcPr>
            <w:tcW w:w="2300" w:type="dxa"/>
            <w:shd w:val="clear" w:color="auto" w:fill="1D7044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C6619D" w:rsidRDefault="00000000" w14:paraId="100006D7" w14:textId="100006E8">
            <w:r>
              <w:rPr>
                <w:b/>
                <w:bCs/>
                <w:color w:val="FFFFFF"/>
                <w:sz w:val="17"/>
                <w:szCs w:val="17"/>
              </w:rPr>
              <w:t>Fundamentação da conclusão</w:t>
            </w:r>
          </w:p>
        </w:tc>
        <w:tc>
          <w:tcPr>
            <w:tcW w:w="1400" w:type="dxa"/>
            <w:shd w:val="clear" w:color="auto" w:fill="1D7044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C6619D" w:rsidRDefault="00000000" w14:paraId="100006F9" w14:textId="1000070A">
            <w:r>
              <w:rPr>
                <w:b/>
                <w:bCs/>
                <w:color w:val="FFFFFF"/>
                <w:sz w:val="17"/>
                <w:szCs w:val="17"/>
              </w:rPr>
              <w:t>CL?</w:t>
            </w:r>
          </w:p>
        </w:tc>
      </w:tr>
      <w:tr w:rsidR="00C6619D" w14:paraId="100007E7" w14:textId="100007F8">
        <w:tc>
          <w:tcPr>
            <w:tcW w:w="2200" w:type="dxa"/>
            <w:shd w:val="clear" w:color="auto" w:fill="E8F5EC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C6619D" w:rsidRDefault="00000000" w14:paraId="1000073D" w14:textId="1000074E">
            <w:r>
              <w:rPr>
                <w:color w:val="1A1A1A"/>
                <w:sz w:val="17"/>
                <w:szCs w:val="17"/>
              </w:rPr>
              <w:t>7.1. Confirmação de Compatibilidade com os Limites de Tolerância</w:t>
            </w:r>
          </w:p>
        </w:tc>
        <w:tc>
          <w:tcPr>
            <w:tcW w:w="1300" w:type="dxa"/>
            <w:shd w:val="clear" w:color="auto" w:fill="E8F5EC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C6619D" w:rsidRDefault="00000000" w14:paraId="1000075F" w14:textId="10000770">
            <w:r>
              <w:rPr>
                <w:color w:val="1A1A1A"/>
                <w:sz w:val="17"/>
                <w:szCs w:val="17"/>
              </w:rPr>
              <w:t>☐ Sim  ☐ Não  ☐ Parcialmente  ☐ N.A.</w:t>
            </w:r>
          </w:p>
        </w:tc>
        <w:tc>
          <w:tcPr>
            <w:tcW w:w="2300" w:type="dxa"/>
            <w:shd w:val="clear" w:color="auto" w:fill="E8F5EC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C6619D" w:rsidRDefault="00C6619D" w14:paraId="10000781" w14:textId="10000792"/>
        </w:tc>
        <w:tc>
          <w:tcPr>
            <w:tcW w:w="2300" w:type="dxa"/>
            <w:shd w:val="clear" w:color="auto" w:fill="E8F5EC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C6619D" w:rsidRDefault="00C6619D" w14:paraId="100007A3" w14:textId="100007B4"/>
        </w:tc>
        <w:tc>
          <w:tcPr>
            <w:tcW w:w="1400" w:type="dxa"/>
            <w:shd w:val="clear" w:color="auto" w:fill="E8F5EC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C6619D" w:rsidRDefault="00000000" w14:paraId="100007C5" w14:textId="100007D6">
            <w:r>
              <w:rPr>
                <w:color w:val="1A1A1A"/>
                <w:sz w:val="17"/>
                <w:szCs w:val="17"/>
              </w:rPr>
              <w:t>☐ Sim  ☐ Não</w:t>
            </w:r>
          </w:p>
        </w:tc>
      </w:tr>
      <w:tr w:rsidR="00C6619D" w14:paraId="100008B3" w14:textId="100008C4">
        <w:tc>
          <w:tcPr>
            <w:tcW w:w="22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C6619D" w:rsidRDefault="00000000" w14:paraId="10000809" w14:textId="1000081A">
            <w:r>
              <w:rPr>
                <w:color w:val="1A1A1A"/>
                <w:sz w:val="17"/>
                <w:szCs w:val="17"/>
              </w:rPr>
              <w:t>7.2. Tratamento de Perdas Identificadas</w:t>
            </w:r>
          </w:p>
        </w:tc>
        <w:tc>
          <w:tcPr>
            <w:tcW w:w="13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C6619D" w:rsidRDefault="00000000" w14:paraId="1000082B" w14:textId="1000083C">
            <w:r>
              <w:rPr>
                <w:color w:val="1A1A1A"/>
                <w:sz w:val="17"/>
                <w:szCs w:val="17"/>
              </w:rPr>
              <w:t>☐ Sim  ☐ Não  ☐ Parcialmente  ☐ N.A.</w:t>
            </w:r>
          </w:p>
        </w:tc>
        <w:tc>
          <w:tcPr>
            <w:tcW w:w="23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C6619D" w:rsidRDefault="00C6619D" w14:paraId="1000084D" w14:textId="1000085E"/>
        </w:tc>
        <w:tc>
          <w:tcPr>
            <w:tcW w:w="23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C6619D" w:rsidRDefault="00C6619D" w14:paraId="1000086F" w14:textId="10000880"/>
        </w:tc>
        <w:tc>
          <w:tcPr>
            <w:tcW w:w="14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C6619D" w:rsidRDefault="00000000" w14:paraId="10000891" w14:textId="100008A2">
            <w:r>
              <w:rPr>
                <w:color w:val="1A1A1A"/>
                <w:sz w:val="17"/>
                <w:szCs w:val="17"/>
              </w:rPr>
              <w:t>☐ Sim  ☐ Não</w:t>
            </w:r>
          </w:p>
        </w:tc>
      </w:tr>
    </w:tbl>
    <w:p w:rsidR="00C6619D" w:rsidRDefault="00000000" w14:paraId="100008D5" w14:textId="100008E6">
      <w:pPr>
        <w:pStyle w:val="Ttulo1"/>
        <w:pBdr>
          <w:bottom w:val="single" w:color="1D7044" w:sz="6" w:space="4"/>
        </w:pBdr>
        <w:spacing w:before="360" w:after="160"/>
        <w:jc w:val="center"/>
      </w:pPr>
      <w:r w:rsidRPr="227371B4" w:rsidR="435E42F5">
        <w:rPr>
          <w:b w:val="1"/>
          <w:bCs w:val="1"/>
          <w:color w:val="155234"/>
          <w:sz w:val="30"/>
          <w:szCs w:val="30"/>
        </w:rPr>
        <w:t>Anexo V — Ficha de Preenchimento — Capítulo 8 — Verificação da Emissão e do Desbloqueio da Reserva de Não Permanência</w:t>
      </w:r>
    </w:p>
    <w:tbl>
      <w:tblPr>
        <w:tblW w:w="950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200"/>
        <w:gridCol w:w="1300"/>
        <w:gridCol w:w="2300"/>
        <w:gridCol w:w="2300"/>
        <w:gridCol w:w="1400"/>
      </w:tblGrid>
      <w:tr w:rsidR="00C6619D" w14:paraId="100009C3" w14:textId="100009D4">
        <w:tc>
          <w:tcPr>
            <w:tcW w:w="2200" w:type="dxa"/>
            <w:shd w:val="clear" w:color="auto" w:fill="1D7044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C6619D" w:rsidRDefault="00000000" w14:paraId="10000919" w14:textId="1000092A">
            <w:r>
              <w:rPr>
                <w:b/>
                <w:bCs/>
                <w:color w:val="FFFFFF"/>
                <w:sz w:val="17"/>
                <w:szCs w:val="17"/>
              </w:rPr>
              <w:t>Item avaliado</w:t>
            </w:r>
          </w:p>
        </w:tc>
        <w:tc>
          <w:tcPr>
            <w:tcW w:w="1300" w:type="dxa"/>
            <w:shd w:val="clear" w:color="auto" w:fill="1D7044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C6619D" w:rsidRDefault="00000000" w14:paraId="1000093B" w14:textId="1000094C">
            <w:r>
              <w:rPr>
                <w:b/>
                <w:bCs/>
                <w:color w:val="FFFFFF"/>
                <w:sz w:val="17"/>
                <w:szCs w:val="17"/>
              </w:rPr>
              <w:t>Conforme?</w:t>
            </w:r>
          </w:p>
        </w:tc>
        <w:tc>
          <w:tcPr>
            <w:tcW w:w="2300" w:type="dxa"/>
            <w:shd w:val="clear" w:color="auto" w:fill="1D7044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C6619D" w:rsidRDefault="00000000" w14:paraId="1000095D" w14:textId="1000096E">
            <w:r>
              <w:rPr>
                <w:b/>
                <w:bCs/>
                <w:color w:val="FFFFFF"/>
                <w:sz w:val="17"/>
                <w:szCs w:val="17"/>
              </w:rPr>
              <w:t>Evidência analisada</w:t>
            </w:r>
          </w:p>
        </w:tc>
        <w:tc>
          <w:tcPr>
            <w:tcW w:w="2300" w:type="dxa"/>
            <w:shd w:val="clear" w:color="auto" w:fill="1D7044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C6619D" w:rsidRDefault="00000000" w14:paraId="1000097F" w14:textId="10000990">
            <w:r>
              <w:rPr>
                <w:b/>
                <w:bCs/>
                <w:color w:val="FFFFFF"/>
                <w:sz w:val="17"/>
                <w:szCs w:val="17"/>
              </w:rPr>
              <w:t>Fundamentação da conclusão</w:t>
            </w:r>
          </w:p>
        </w:tc>
        <w:tc>
          <w:tcPr>
            <w:tcW w:w="1400" w:type="dxa"/>
            <w:shd w:val="clear" w:color="auto" w:fill="1D7044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C6619D" w:rsidRDefault="00000000" w14:paraId="100009A1" w14:textId="100009B2">
            <w:r>
              <w:rPr>
                <w:b/>
                <w:bCs/>
                <w:color w:val="FFFFFF"/>
                <w:sz w:val="17"/>
                <w:szCs w:val="17"/>
              </w:rPr>
              <w:t>CL?</w:t>
            </w:r>
          </w:p>
        </w:tc>
      </w:tr>
      <w:tr w:rsidR="00C6619D" w14:paraId="10000A8F" w14:textId="10000AA0">
        <w:tc>
          <w:tcPr>
            <w:tcW w:w="2200" w:type="dxa"/>
            <w:shd w:val="clear" w:color="auto" w:fill="E8F5EC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C6619D" w:rsidRDefault="00000000" w14:paraId="100009E5" w14:textId="100009F6">
            <w:r>
              <w:rPr>
                <w:color w:val="1A1A1A"/>
                <w:sz w:val="17"/>
                <w:szCs w:val="17"/>
              </w:rPr>
              <w:t>8.1. [M1] Cálculo do Volume Total Emitido e Segregação</w:t>
            </w:r>
          </w:p>
        </w:tc>
        <w:tc>
          <w:tcPr>
            <w:tcW w:w="1300" w:type="dxa"/>
            <w:shd w:val="clear" w:color="auto" w:fill="E8F5EC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C6619D" w:rsidRDefault="00000000" w14:paraId="10000A07" w14:textId="10000A18">
            <w:r>
              <w:rPr>
                <w:color w:val="1A1A1A"/>
                <w:sz w:val="17"/>
                <w:szCs w:val="17"/>
              </w:rPr>
              <w:t>☐ Sim  ☐ Não  ☐ Parcialmente  ☐ N.A.</w:t>
            </w:r>
          </w:p>
        </w:tc>
        <w:tc>
          <w:tcPr>
            <w:tcW w:w="2300" w:type="dxa"/>
            <w:shd w:val="clear" w:color="auto" w:fill="E8F5EC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C6619D" w:rsidRDefault="00C6619D" w14:paraId="10000A29" w14:textId="10000A3A"/>
        </w:tc>
        <w:tc>
          <w:tcPr>
            <w:tcW w:w="2300" w:type="dxa"/>
            <w:shd w:val="clear" w:color="auto" w:fill="E8F5EC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C6619D" w:rsidRDefault="00C6619D" w14:paraId="10000A4B" w14:textId="10000A5C"/>
        </w:tc>
        <w:tc>
          <w:tcPr>
            <w:tcW w:w="1400" w:type="dxa"/>
            <w:shd w:val="clear" w:color="auto" w:fill="E8F5EC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C6619D" w:rsidRDefault="00000000" w14:paraId="10000A6D" w14:textId="10000A7E">
            <w:r>
              <w:rPr>
                <w:color w:val="1A1A1A"/>
                <w:sz w:val="17"/>
                <w:szCs w:val="17"/>
              </w:rPr>
              <w:t>☐ Sim  ☐ Não</w:t>
            </w:r>
          </w:p>
        </w:tc>
      </w:tr>
      <w:tr w:rsidR="00C6619D" w14:paraId="10000B5B" w14:textId="10000B6C">
        <w:tc>
          <w:tcPr>
            <w:tcW w:w="22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C6619D" w:rsidRDefault="00000000" w14:paraId="10000AB1" w14:textId="10000AC2">
            <w:r>
              <w:rPr>
                <w:color w:val="1A1A1A"/>
                <w:sz w:val="17"/>
                <w:szCs w:val="17"/>
              </w:rPr>
              <w:t>8.2. [M2] Nova Análise de Risco — Classificação Mantida ou Reduzida</w:t>
            </w:r>
          </w:p>
        </w:tc>
        <w:tc>
          <w:tcPr>
            <w:tcW w:w="13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C6619D" w:rsidRDefault="00000000" w14:paraId="10000AD3" w14:textId="10000AE4">
            <w:r>
              <w:rPr>
                <w:color w:val="1A1A1A"/>
                <w:sz w:val="17"/>
                <w:szCs w:val="17"/>
              </w:rPr>
              <w:t>☐ Sim  ☐ Não  ☐ Parcialmente  ☐ N.A.</w:t>
            </w:r>
          </w:p>
        </w:tc>
        <w:tc>
          <w:tcPr>
            <w:tcW w:w="23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C6619D" w:rsidRDefault="00C6619D" w14:paraId="10000AF5" w14:textId="10000B06"/>
        </w:tc>
        <w:tc>
          <w:tcPr>
            <w:tcW w:w="23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C6619D" w:rsidRDefault="00C6619D" w14:paraId="10000B17" w14:textId="10000B28"/>
        </w:tc>
        <w:tc>
          <w:tcPr>
            <w:tcW w:w="14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C6619D" w:rsidRDefault="00000000" w14:paraId="10000B39" w14:textId="10000B4A">
            <w:r>
              <w:rPr>
                <w:color w:val="1A1A1A"/>
                <w:sz w:val="17"/>
                <w:szCs w:val="17"/>
              </w:rPr>
              <w:t>☐ Sim  ☐ Não</w:t>
            </w:r>
          </w:p>
        </w:tc>
      </w:tr>
      <w:tr w:rsidR="00C6619D" w14:paraId="10000C27" w14:textId="10000C38">
        <w:tc>
          <w:tcPr>
            <w:tcW w:w="2200" w:type="dxa"/>
            <w:shd w:val="clear" w:color="auto" w:fill="E8F5EC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C6619D" w:rsidRDefault="00000000" w14:paraId="10000B7D" w14:textId="10000B8E">
            <w:r>
              <w:rPr>
                <w:color w:val="1A1A1A"/>
                <w:sz w:val="17"/>
                <w:szCs w:val="17"/>
              </w:rPr>
              <w:t>8.2. [M2] Limite Proporcional ao Volume de Créditos já Aposentados</w:t>
            </w:r>
          </w:p>
        </w:tc>
        <w:tc>
          <w:tcPr>
            <w:tcW w:w="1300" w:type="dxa"/>
            <w:shd w:val="clear" w:color="auto" w:fill="E8F5EC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C6619D" w:rsidRDefault="00000000" w14:paraId="10000B9F" w14:textId="10000BB0">
            <w:r>
              <w:rPr>
                <w:color w:val="1A1A1A"/>
                <w:sz w:val="17"/>
                <w:szCs w:val="17"/>
              </w:rPr>
              <w:t>☐ Sim  ☐ Não  ☐ Parcialmente  ☐ N.A.</w:t>
            </w:r>
          </w:p>
        </w:tc>
        <w:tc>
          <w:tcPr>
            <w:tcW w:w="2300" w:type="dxa"/>
            <w:shd w:val="clear" w:color="auto" w:fill="E8F5EC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C6619D" w:rsidRDefault="00C6619D" w14:paraId="10000BC1" w14:textId="10000BD2"/>
        </w:tc>
        <w:tc>
          <w:tcPr>
            <w:tcW w:w="2300" w:type="dxa"/>
            <w:shd w:val="clear" w:color="auto" w:fill="E8F5EC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C6619D" w:rsidRDefault="00C6619D" w14:paraId="10000BE3" w14:textId="10000BF4"/>
        </w:tc>
        <w:tc>
          <w:tcPr>
            <w:tcW w:w="1400" w:type="dxa"/>
            <w:shd w:val="clear" w:color="auto" w:fill="E8F5EC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C6619D" w:rsidRDefault="00000000" w14:paraId="10000C05" w14:textId="10000C16">
            <w:r>
              <w:rPr>
                <w:color w:val="1A1A1A"/>
                <w:sz w:val="17"/>
                <w:szCs w:val="17"/>
              </w:rPr>
              <w:t>☐ Sim  ☐ Não</w:t>
            </w:r>
          </w:p>
        </w:tc>
      </w:tr>
    </w:tbl>
    <w:p w:rsidR="0061021D" w:rsidP="0060039C" w:rsidRDefault="00000000" w14:paraId="2E81D996" w14:textId="77777777">
      <w:pPr>
        <w:pStyle w:val="Ttulo1"/>
        <w:pBdr>
          <w:bottom w:val="single" w:color="1D7044" w:sz="6" w:space="4"/>
        </w:pBdr>
        <w:spacing w:before="360" w:after="160"/>
        <w:jc w:val="center"/>
      </w:pPr>
      <w:r>
        <w:rPr>
          <w:b/>
          <w:bCs/>
          <w:color w:val="155234"/>
          <w:sz w:val="30"/>
          <w:szCs w:val="30"/>
        </w:rPr>
        <w:t>Anexo VI — Ficha de Inspeção de Campo</w:t>
      </w:r>
    </w:p>
    <w:tbl>
      <w:tblPr>
        <w:tblW w:w="950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200"/>
        <w:gridCol w:w="5300"/>
      </w:tblGrid>
      <w:tr w:rsidR="0061021D" w14:paraId="699E43ED" w14:textId="77777777">
        <w:trPr>
          <w:tblHeader/>
        </w:trPr>
        <w:tc>
          <w:tcPr>
            <w:tcW w:w="4200" w:type="dxa"/>
            <w:shd w:val="clear" w:color="auto" w:fill="1D7044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61021D" w:rsidRDefault="00000000" w14:paraId="46852D3A" w14:textId="77777777">
            <w:r>
              <w:rPr>
                <w:b/>
                <w:bCs/>
                <w:color w:val="FFFFFF"/>
                <w:sz w:val="19"/>
                <w:szCs w:val="19"/>
              </w:rPr>
              <w:t>Campo</w:t>
            </w:r>
          </w:p>
        </w:tc>
        <w:tc>
          <w:tcPr>
            <w:tcW w:w="5300" w:type="dxa"/>
            <w:shd w:val="clear" w:color="auto" w:fill="1D7044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61021D" w:rsidRDefault="00000000" w14:paraId="7E24ECD3" w14:textId="77777777">
            <w:r>
              <w:rPr>
                <w:b/>
                <w:bCs/>
                <w:color w:val="FFFFFF"/>
                <w:sz w:val="19"/>
                <w:szCs w:val="19"/>
              </w:rPr>
              <w:t>Registro</w:t>
            </w:r>
          </w:p>
        </w:tc>
      </w:tr>
      <w:tr w:rsidR="0061021D" w14:paraId="40CFA5B9" w14:textId="77777777">
        <w:tc>
          <w:tcPr>
            <w:tcW w:w="42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61021D" w:rsidRDefault="00000000" w14:paraId="77A0BCE0" w14:textId="77777777">
            <w:r>
              <w:rPr>
                <w:color w:val="1A1A1A"/>
                <w:sz w:val="19"/>
                <w:szCs w:val="19"/>
              </w:rPr>
              <w:t>Data e horário da inspeção</w:t>
            </w:r>
          </w:p>
        </w:tc>
        <w:tc>
          <w:tcPr>
            <w:tcW w:w="53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61021D" w:rsidRDefault="0061021D" w14:paraId="6C7ADF26" w14:textId="77777777"/>
        </w:tc>
      </w:tr>
      <w:tr w:rsidR="0061021D" w14:paraId="75C1D52A" w14:textId="77777777">
        <w:tc>
          <w:tcPr>
            <w:tcW w:w="4200" w:type="dxa"/>
            <w:shd w:val="clear" w:color="auto" w:fill="E8F5EC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61021D" w:rsidRDefault="00000000" w14:paraId="791579DA" w14:textId="77777777">
            <w:r>
              <w:rPr>
                <w:color w:val="1A1A1A"/>
                <w:sz w:val="19"/>
                <w:szCs w:val="19"/>
              </w:rPr>
              <w:t>Integrantes da equipe presentes</w:t>
            </w:r>
          </w:p>
        </w:tc>
        <w:tc>
          <w:tcPr>
            <w:tcW w:w="5300" w:type="dxa"/>
            <w:shd w:val="clear" w:color="auto" w:fill="E8F5EC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61021D" w:rsidRDefault="0061021D" w14:paraId="47F0A39F" w14:textId="77777777"/>
        </w:tc>
      </w:tr>
      <w:tr w:rsidR="0061021D" w14:paraId="191478D7" w14:textId="77777777">
        <w:tc>
          <w:tcPr>
            <w:tcW w:w="42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61021D" w:rsidRDefault="00000000" w14:paraId="281B9443" w14:textId="77777777">
            <w:r>
              <w:rPr>
                <w:color w:val="1A1A1A"/>
                <w:sz w:val="19"/>
                <w:szCs w:val="19"/>
              </w:rPr>
              <w:t>Ponto de inspeção (ID)</w:t>
            </w:r>
          </w:p>
        </w:tc>
        <w:tc>
          <w:tcPr>
            <w:tcW w:w="53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61021D" w:rsidRDefault="0061021D" w14:paraId="45138650" w14:textId="77777777"/>
        </w:tc>
      </w:tr>
      <w:tr w:rsidR="0061021D" w14:paraId="26CEDB78" w14:textId="77777777">
        <w:tc>
          <w:tcPr>
            <w:tcW w:w="4200" w:type="dxa"/>
            <w:shd w:val="clear" w:color="auto" w:fill="E8F5EC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61021D" w:rsidRDefault="00000000" w14:paraId="416C9869" w14:textId="77777777">
            <w:r>
              <w:rPr>
                <w:color w:val="1A1A1A"/>
                <w:sz w:val="19"/>
                <w:szCs w:val="19"/>
              </w:rPr>
              <w:t>Coordenadas (lat/long, datum)</w:t>
            </w:r>
          </w:p>
        </w:tc>
        <w:tc>
          <w:tcPr>
            <w:tcW w:w="5300" w:type="dxa"/>
            <w:shd w:val="clear" w:color="auto" w:fill="E8F5EC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61021D" w:rsidRDefault="0061021D" w14:paraId="7E1FD8D8" w14:textId="77777777"/>
        </w:tc>
      </w:tr>
      <w:tr w:rsidR="0061021D" w14:paraId="710C43D3" w14:textId="77777777">
        <w:tc>
          <w:tcPr>
            <w:tcW w:w="42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61021D" w:rsidRDefault="00000000" w14:paraId="68C64DF4" w14:textId="77777777">
            <w:r>
              <w:rPr>
                <w:color w:val="1A1A1A"/>
                <w:sz w:val="19"/>
                <w:szCs w:val="19"/>
              </w:rPr>
              <w:t>Motivo da seleção do ponto (divergência remota / amostragem aleatória)</w:t>
            </w:r>
          </w:p>
        </w:tc>
        <w:tc>
          <w:tcPr>
            <w:tcW w:w="53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61021D" w:rsidRDefault="0061021D" w14:paraId="1AA96ECC" w14:textId="77777777"/>
        </w:tc>
      </w:tr>
      <w:tr w:rsidR="0061021D" w14:paraId="29640BE9" w14:textId="77777777">
        <w:tc>
          <w:tcPr>
            <w:tcW w:w="4200" w:type="dxa"/>
            <w:shd w:val="clear" w:color="auto" w:fill="E8F5EC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61021D" w:rsidRDefault="00000000" w14:paraId="7E92ECEF" w14:textId="77777777">
            <w:r>
              <w:rPr>
                <w:color w:val="1A1A1A"/>
                <w:sz w:val="19"/>
                <w:szCs w:val="19"/>
              </w:rPr>
              <w:t>Observação de campo</w:t>
            </w:r>
          </w:p>
        </w:tc>
        <w:tc>
          <w:tcPr>
            <w:tcW w:w="5300" w:type="dxa"/>
            <w:shd w:val="clear" w:color="auto" w:fill="E8F5EC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61021D" w:rsidRDefault="0061021D" w14:paraId="6598939E" w14:textId="77777777"/>
        </w:tc>
      </w:tr>
      <w:tr w:rsidR="0061021D" w14:paraId="09939B2A" w14:textId="77777777">
        <w:tc>
          <w:tcPr>
            <w:tcW w:w="42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61021D" w:rsidRDefault="00000000" w14:paraId="7E29B89E" w14:textId="77777777">
            <w:r>
              <w:rPr>
                <w:color w:val="1A1A1A"/>
                <w:sz w:val="19"/>
                <w:szCs w:val="19"/>
              </w:rPr>
              <w:t>Causa observada de eventual regressão</w:t>
            </w:r>
          </w:p>
        </w:tc>
        <w:tc>
          <w:tcPr>
            <w:tcW w:w="53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61021D" w:rsidRDefault="0061021D" w14:paraId="219C7079" w14:textId="77777777"/>
        </w:tc>
      </w:tr>
      <w:tr w:rsidR="0061021D" w14:paraId="313D69A6" w14:textId="77777777">
        <w:tc>
          <w:tcPr>
            <w:tcW w:w="4200" w:type="dxa"/>
            <w:shd w:val="clear" w:color="auto" w:fill="E8F5EC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61021D" w:rsidRDefault="00000000" w14:paraId="7EB45F7D" w14:textId="77777777">
            <w:r>
              <w:rPr>
                <w:color w:val="1A1A1A"/>
                <w:sz w:val="19"/>
                <w:szCs w:val="19"/>
              </w:rPr>
              <w:t>Fotografias associadas (referência/arquivo)</w:t>
            </w:r>
          </w:p>
        </w:tc>
        <w:tc>
          <w:tcPr>
            <w:tcW w:w="5300" w:type="dxa"/>
            <w:shd w:val="clear" w:color="auto" w:fill="E8F5EC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61021D" w:rsidRDefault="0061021D" w14:paraId="68C03851" w14:textId="77777777"/>
        </w:tc>
      </w:tr>
    </w:tbl>
    <w:p w:rsidR="0061021D" w:rsidP="0060039C" w:rsidRDefault="00000000" w14:paraId="0391D8FB" w14:textId="39286230">
      <w:pPr>
        <w:pStyle w:val="Ttulo1"/>
        <w:pBdr>
          <w:bottom w:val="single" w:color="1D7044" w:sz="6" w:space="4"/>
        </w:pBdr>
        <w:spacing w:before="360" w:after="160"/>
        <w:jc w:val="center"/>
      </w:pPr>
      <w:r>
        <w:rPr>
          <w:b/>
          <w:bCs/>
          <w:color w:val="155234"/>
          <w:sz w:val="30"/>
          <w:szCs w:val="30"/>
        </w:rPr>
        <w:t>Anexo VII — Registro de Não Conformidade</w:t>
      </w:r>
    </w:p>
    <w:tbl>
      <w:tblPr>
        <w:tblW w:w="950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200"/>
        <w:gridCol w:w="5300"/>
      </w:tblGrid>
      <w:tr w:rsidR="0061021D" w:rsidTr="22777484" w14:paraId="3DF37BA5" w14:textId="77777777">
        <w:trPr>
          <w:tblHeader/>
        </w:trPr>
        <w:tc>
          <w:tcPr>
            <w:tcW w:w="4200" w:type="dxa"/>
            <w:shd w:val="clear" w:color="auto" w:fill="1D7044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61021D" w:rsidRDefault="00000000" w14:paraId="0D3DCC09" w14:textId="77777777">
            <w:r>
              <w:rPr>
                <w:b/>
                <w:bCs/>
                <w:color w:val="FFFFFF"/>
                <w:sz w:val="19"/>
                <w:szCs w:val="19"/>
              </w:rPr>
              <w:t>Campo</w:t>
            </w:r>
          </w:p>
        </w:tc>
        <w:tc>
          <w:tcPr>
            <w:tcW w:w="5300" w:type="dxa"/>
            <w:shd w:val="clear" w:color="auto" w:fill="1D7044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61021D" w:rsidRDefault="00000000" w14:paraId="16C92740" w14:textId="77777777">
            <w:r>
              <w:rPr>
                <w:b/>
                <w:bCs/>
                <w:color w:val="FFFFFF"/>
                <w:sz w:val="19"/>
                <w:szCs w:val="19"/>
              </w:rPr>
              <w:t>Registro</w:t>
            </w:r>
          </w:p>
        </w:tc>
      </w:tr>
      <w:tr w:rsidR="0061021D" w:rsidTr="22777484" w14:paraId="04C29841" w14:textId="77777777">
        <w:tc>
          <w:tcPr>
            <w:tcW w:w="42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61021D" w:rsidRDefault="00000000" w14:paraId="40DB4807" w14:textId="77777777">
            <w:r>
              <w:rPr>
                <w:color w:val="1A1A1A"/>
                <w:sz w:val="19"/>
                <w:szCs w:val="19"/>
              </w:rPr>
              <w:t>Identificação (nº sequencial)</w:t>
            </w:r>
          </w:p>
        </w:tc>
        <w:tc>
          <w:tcPr>
            <w:tcW w:w="53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61021D" w:rsidRDefault="0061021D" w14:paraId="3766FB47" w14:textId="77777777"/>
        </w:tc>
      </w:tr>
      <w:tr w:rsidR="0061021D" w:rsidTr="22777484" w14:paraId="6549F39C" w14:textId="77777777">
        <w:tc>
          <w:tcPr>
            <w:tcW w:w="4200" w:type="dxa"/>
            <w:shd w:val="clear" w:color="auto" w:fill="E8F5EC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22777484" w:rsidP="22777484" w:rsidRDefault="22777484" w14:paraId="3885D1BD" w14:textId="6437147C">
            <w:pPr>
              <w:rPr>
                <w:rFonts w:ascii="Calibri" w:hAnsi="Calibri" w:eastAsia="Calibri" w:cs="Calibri"/>
                <w:color w:val="1A1A1A"/>
                <w:sz w:val="19"/>
                <w:szCs w:val="19"/>
              </w:rPr>
            </w:pPr>
            <w:r w:rsidRPr="22777484" w:rsidR="22777484">
              <w:rPr>
                <w:rFonts w:ascii="Calibri" w:hAnsi="Calibri" w:eastAsia="Calibri" w:cs="Calibri"/>
                <w:color w:val="1A1A1A"/>
                <w:sz w:val="19"/>
                <w:szCs w:val="19"/>
                <w:lang w:val="pt-BR"/>
              </w:rPr>
              <w:t>Classificação</w:t>
            </w:r>
          </w:p>
        </w:tc>
        <w:tc>
          <w:tcPr>
            <w:tcW w:w="5300" w:type="dxa"/>
            <w:shd w:val="clear" w:color="auto" w:fill="E8F5EC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22777484" w:rsidP="22777484" w:rsidRDefault="22777484" w14:paraId="2A62BD39" w14:textId="7078C689">
            <w:pPr>
              <w:rPr>
                <w:rFonts w:ascii="Calibri" w:hAnsi="Calibri" w:eastAsia="Calibri" w:cs="Calibri"/>
                <w:color w:val="1A1A1A"/>
                <w:sz w:val="19"/>
                <w:szCs w:val="19"/>
              </w:rPr>
            </w:pPr>
            <w:r w:rsidRPr="22777484" w:rsidR="22777484">
              <w:rPr>
                <w:rFonts w:ascii="Calibri" w:hAnsi="Calibri" w:eastAsia="Calibri" w:cs="Calibri"/>
                <w:color w:val="1A1A1A"/>
                <w:sz w:val="19"/>
                <w:szCs w:val="19"/>
                <w:lang w:val="pt-BR"/>
              </w:rPr>
              <w:t>☐ NC Crítica ☐ NC ☐ Observação</w:t>
            </w:r>
          </w:p>
        </w:tc>
      </w:tr>
      <w:tr w:rsidR="0061021D" w:rsidTr="22777484" w14:paraId="51375A0E" w14:textId="77777777">
        <w:tc>
          <w:tcPr>
            <w:tcW w:w="42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61021D" w:rsidRDefault="00000000" w14:paraId="61139896" w14:textId="77777777">
            <w:r>
              <w:rPr>
                <w:color w:val="1A1A1A"/>
                <w:sz w:val="19"/>
                <w:szCs w:val="19"/>
              </w:rPr>
              <w:t>Descrição do achado e evidência que o sustenta</w:t>
            </w:r>
          </w:p>
        </w:tc>
        <w:tc>
          <w:tcPr>
            <w:tcW w:w="53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61021D" w:rsidRDefault="0061021D" w14:paraId="47D1A86E" w14:textId="77777777"/>
        </w:tc>
      </w:tr>
      <w:tr w:rsidR="0061021D" w:rsidTr="22777484" w14:paraId="23E8196A" w14:textId="77777777">
        <w:tc>
          <w:tcPr>
            <w:tcW w:w="42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61021D" w:rsidRDefault="00000000" w14:paraId="41FB4D9D" w14:textId="77777777">
            <w:r>
              <w:rPr>
                <w:color w:val="1A1A1A"/>
                <w:sz w:val="19"/>
                <w:szCs w:val="19"/>
              </w:rPr>
              <w:t>Ação solicitada (CAR/CL)</w:t>
            </w:r>
          </w:p>
        </w:tc>
        <w:tc>
          <w:tcPr>
            <w:tcW w:w="53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61021D" w:rsidRDefault="0061021D" w14:paraId="60DD468A" w14:textId="77777777"/>
        </w:tc>
      </w:tr>
      <w:tr w:rsidR="0061021D" w:rsidTr="22777484" w14:paraId="421AC15F" w14:textId="77777777">
        <w:tc>
          <w:tcPr>
            <w:tcW w:w="4200" w:type="dxa"/>
            <w:shd w:val="clear" w:color="auto" w:fill="E8F5EC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61021D" w:rsidRDefault="00000000" w14:paraId="1A23C5F6" w14:textId="77777777">
            <w:r>
              <w:rPr>
                <w:color w:val="1A1A1A"/>
                <w:sz w:val="19"/>
                <w:szCs w:val="19"/>
              </w:rPr>
              <w:t>Prazo para resposta do proponente</w:t>
            </w:r>
          </w:p>
        </w:tc>
        <w:tc>
          <w:tcPr>
            <w:tcW w:w="5300" w:type="dxa"/>
            <w:shd w:val="clear" w:color="auto" w:fill="E8F5EC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61021D" w:rsidRDefault="0061021D" w14:paraId="696E28A9" w14:textId="77777777"/>
        </w:tc>
      </w:tr>
      <w:tr w:rsidR="0061021D" w:rsidTr="22777484" w14:paraId="4508669F" w14:textId="77777777">
        <w:tc>
          <w:tcPr>
            <w:tcW w:w="42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61021D" w:rsidRDefault="00000000" w14:paraId="17793B85" w14:textId="77777777">
            <w:r>
              <w:rPr>
                <w:color w:val="1A1A1A"/>
                <w:sz w:val="19"/>
                <w:szCs w:val="19"/>
              </w:rPr>
              <w:t>Resposta do proponente</w:t>
            </w:r>
          </w:p>
        </w:tc>
        <w:tc>
          <w:tcPr>
            <w:tcW w:w="53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61021D" w:rsidRDefault="0061021D" w14:paraId="20ED2746" w14:textId="77777777"/>
        </w:tc>
      </w:tr>
      <w:tr w:rsidR="0061021D" w:rsidTr="22777484" w14:paraId="2EFD1421" w14:textId="77777777">
        <w:tc>
          <w:tcPr>
            <w:tcW w:w="4200" w:type="dxa"/>
            <w:shd w:val="clear" w:color="auto" w:fill="E8F5EC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61021D" w:rsidRDefault="00000000" w14:paraId="6E55B275" w14:textId="77777777">
            <w:r>
              <w:rPr>
                <w:color w:val="1A1A1A"/>
                <w:sz w:val="19"/>
                <w:szCs w:val="19"/>
              </w:rPr>
              <w:t>Avaliação da resposta pela OVV</w:t>
            </w:r>
          </w:p>
        </w:tc>
        <w:tc>
          <w:tcPr>
            <w:tcW w:w="5300" w:type="dxa"/>
            <w:shd w:val="clear" w:color="auto" w:fill="E8F5EC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61021D" w:rsidRDefault="0061021D" w14:paraId="68AC2465" w14:textId="77777777"/>
        </w:tc>
      </w:tr>
      <w:tr w:rsidR="0061021D" w:rsidTr="22777484" w14:paraId="146FD7FE" w14:textId="77777777">
        <w:tc>
          <w:tcPr>
            <w:tcW w:w="42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61021D" w:rsidRDefault="00000000" w14:paraId="3DF9FCDF" w14:textId="77777777">
            <w:r>
              <w:rPr>
                <w:color w:val="1A1A1A"/>
                <w:sz w:val="19"/>
                <w:szCs w:val="19"/>
              </w:rPr>
              <w:t>Status de encerramento</w:t>
            </w:r>
          </w:p>
        </w:tc>
        <w:tc>
          <w:tcPr>
            <w:tcW w:w="53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61021D" w:rsidRDefault="00000000" w14:paraId="3A66CA68" w14:textId="77777777">
            <w:r>
              <w:rPr>
                <w:color w:val="1A1A1A"/>
                <w:sz w:val="19"/>
                <w:szCs w:val="19"/>
              </w:rPr>
              <w:t>☐ Encerrada ☐ Pendente ☐ Reclassificada</w:t>
            </w:r>
          </w:p>
        </w:tc>
      </w:tr>
    </w:tbl>
    <w:p w:rsidR="0061021D" w:rsidP="0060039C" w:rsidRDefault="00000000" w14:paraId="21BDE771" w14:textId="3673C854">
      <w:pPr>
        <w:pStyle w:val="Ttulo1"/>
        <w:pBdr>
          <w:bottom w:val="single" w:color="1D7044" w:sz="6" w:space="4"/>
        </w:pBdr>
        <w:spacing w:before="360" w:after="160"/>
        <w:jc w:val="center"/>
      </w:pPr>
      <w:r>
        <w:rPr>
          <w:b/>
          <w:bCs/>
          <w:color w:val="155234"/>
          <w:sz w:val="30"/>
          <w:szCs w:val="30"/>
        </w:rPr>
        <w:t>Anexo VIII — Relatório de Verificação (Modelo)</w:t>
      </w:r>
    </w:p>
    <w:p w:rsidR="0061021D" w:rsidP="227371B4" w:rsidRDefault="00000000" w14:paraId="0D64AE6C" w14:textId="77777777">
      <w:pPr>
        <w:spacing w:after="140" w:line="276" w:lineRule="auto"/>
        <w:ind w:firstLine="708"/>
        <w:jc w:val="both"/>
      </w:pPr>
      <w:r w:rsidRPr="227371B4" w:rsidR="435E42F5">
        <w:rPr>
          <w:color w:val="1A1A1A"/>
        </w:rPr>
        <w:t>Este anexo estrutura o Relatório de Verificação de acordo com o conteúdo mínimo obrigatório estabelecido no Capítulo 17. Os campos abaixo devem ser preenchidos pela OVV ao final do processo de verificação; os registros de apoio (Anexos I, VI e VII) podem ser anexados como evidência complementar, mas não substituem o preenchimento deste modelo consolidado.</w:t>
      </w:r>
    </w:p>
    <w:p w:rsidR="0061021D" w:rsidP="227371B4" w:rsidRDefault="00000000" w14:paraId="6A842CF0" w14:textId="77777777">
      <w:pPr>
        <w:spacing w:after="140" w:line="276" w:lineRule="auto"/>
        <w:ind w:firstLine="708"/>
      </w:pPr>
      <w:r w:rsidRPr="227371B4" w:rsidR="435E42F5">
        <w:rPr>
          <w:color w:val="1A1A1A"/>
        </w:rPr>
        <w:t>Momento da verificação: ☐ [M1] Emissão   ☐ [M2] Verificação Final — Desbloqueio da Reserva de Não Permanência</w:t>
      </w:r>
    </w:p>
    <w:p w:rsidR="0061021D" w:rsidRDefault="00000000" w14:paraId="6BBCECDE" w14:textId="77777777">
      <w:pPr>
        <w:pStyle w:val="Ttulo2"/>
        <w:spacing w:before="280" w:after="120"/>
      </w:pPr>
      <w:r>
        <w:rPr>
          <w:b/>
          <w:bCs/>
          <w:color w:val="1D7044"/>
          <w:sz w:val="25"/>
          <w:szCs w:val="25"/>
        </w:rPr>
        <w:t>1. Identificação do Projeto, do Proponente e da Equipe</w:t>
      </w:r>
    </w:p>
    <w:tbl>
      <w:tblPr>
        <w:tblW w:w="950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200"/>
        <w:gridCol w:w="5300"/>
      </w:tblGrid>
      <w:tr w:rsidR="0061021D" w14:paraId="3B83BAC9" w14:textId="77777777">
        <w:tc>
          <w:tcPr>
            <w:tcW w:w="42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61021D" w:rsidRDefault="00000000" w14:paraId="49D80040" w14:textId="77777777">
            <w:r>
              <w:rPr>
                <w:color w:val="1A1A1A"/>
                <w:sz w:val="19"/>
                <w:szCs w:val="19"/>
              </w:rPr>
              <w:t>Nome e identificação do projeto</w:t>
            </w:r>
          </w:p>
        </w:tc>
        <w:tc>
          <w:tcPr>
            <w:tcW w:w="53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61021D" w:rsidRDefault="0061021D" w14:paraId="7E8E7DF9" w14:textId="77777777"/>
        </w:tc>
      </w:tr>
      <w:tr w:rsidR="0061021D" w14:paraId="0C8F96F2" w14:textId="77777777">
        <w:tc>
          <w:tcPr>
            <w:tcW w:w="4200" w:type="dxa"/>
            <w:shd w:val="clear" w:color="auto" w:fill="E8F5EC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61021D" w:rsidRDefault="00000000" w14:paraId="47A17820" w14:textId="77777777">
            <w:r>
              <w:rPr>
                <w:color w:val="1A1A1A"/>
                <w:sz w:val="19"/>
                <w:szCs w:val="19"/>
              </w:rPr>
              <w:t>Proponente</w:t>
            </w:r>
          </w:p>
        </w:tc>
        <w:tc>
          <w:tcPr>
            <w:tcW w:w="5300" w:type="dxa"/>
            <w:shd w:val="clear" w:color="auto" w:fill="E8F5EC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61021D" w:rsidRDefault="0061021D" w14:paraId="188A4BEE" w14:textId="77777777"/>
        </w:tc>
      </w:tr>
      <w:tr w:rsidR="0061021D" w14:paraId="598DBC24" w14:textId="77777777">
        <w:tc>
          <w:tcPr>
            <w:tcW w:w="42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61021D" w:rsidRDefault="00000000" w14:paraId="7B9E7F34" w14:textId="77777777">
            <w:r>
              <w:rPr>
                <w:color w:val="1A1A1A"/>
                <w:sz w:val="19"/>
                <w:szCs w:val="19"/>
              </w:rPr>
              <w:t>Momento de verificação aplicável ([M1] ou [M2])</w:t>
            </w:r>
          </w:p>
        </w:tc>
        <w:tc>
          <w:tcPr>
            <w:tcW w:w="53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61021D" w:rsidRDefault="0061021D" w14:paraId="0A82DE10" w14:textId="77777777"/>
        </w:tc>
      </w:tr>
      <w:tr w:rsidR="0061021D" w14:paraId="6ADC9F87" w14:textId="77777777">
        <w:tc>
          <w:tcPr>
            <w:tcW w:w="4200" w:type="dxa"/>
            <w:shd w:val="clear" w:color="auto" w:fill="E8F5EC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61021D" w:rsidRDefault="00000000" w14:paraId="2D7790FD" w14:textId="77777777">
            <w:r>
              <w:rPr>
                <w:color w:val="1A1A1A"/>
                <w:sz w:val="19"/>
                <w:szCs w:val="19"/>
              </w:rPr>
              <w:t>Equipe responsável pela verificação (nomes e funções)</w:t>
            </w:r>
          </w:p>
        </w:tc>
        <w:tc>
          <w:tcPr>
            <w:tcW w:w="5300" w:type="dxa"/>
            <w:shd w:val="clear" w:color="auto" w:fill="E8F5EC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61021D" w:rsidRDefault="0061021D" w14:paraId="5F020091" w14:textId="77777777"/>
        </w:tc>
      </w:tr>
      <w:tr w:rsidR="0061021D" w14:paraId="3E242FDB" w14:textId="77777777">
        <w:tc>
          <w:tcPr>
            <w:tcW w:w="42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61021D" w:rsidRDefault="00000000" w14:paraId="2CE0EA9E" w14:textId="77777777">
            <w:r>
              <w:rPr>
                <w:color w:val="1A1A1A"/>
                <w:sz w:val="19"/>
                <w:szCs w:val="19"/>
              </w:rPr>
              <w:t>Declaração de ausência de conflito de interesses</w:t>
            </w:r>
          </w:p>
        </w:tc>
        <w:tc>
          <w:tcPr>
            <w:tcW w:w="53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61021D" w:rsidRDefault="0061021D" w14:paraId="4B956A84" w14:textId="77777777"/>
        </w:tc>
      </w:tr>
    </w:tbl>
    <w:p w:rsidR="0061021D" w:rsidRDefault="00000000" w14:paraId="0D4CBF9A" w14:textId="77777777">
      <w:pPr>
        <w:pStyle w:val="Ttulo2"/>
        <w:spacing w:before="280" w:after="120"/>
      </w:pPr>
      <w:r>
        <w:rPr>
          <w:b/>
          <w:bCs/>
          <w:color w:val="1D7044"/>
          <w:sz w:val="25"/>
          <w:szCs w:val="25"/>
        </w:rPr>
        <w:t>2. Escopo e Limitações da Verificação</w:t>
      </w:r>
    </w:p>
    <w:tbl>
      <w:tblPr>
        <w:tblW w:w="950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200"/>
        <w:gridCol w:w="5300"/>
      </w:tblGrid>
      <w:tr w:rsidR="0061021D" w14:paraId="7843A6D5" w14:textId="77777777">
        <w:tc>
          <w:tcPr>
            <w:tcW w:w="42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61021D" w:rsidRDefault="00000000" w14:paraId="545F1EA8" w14:textId="77777777">
            <w:r>
              <w:rPr>
                <w:color w:val="1A1A1A"/>
                <w:sz w:val="19"/>
                <w:szCs w:val="19"/>
              </w:rPr>
              <w:t>Escopo da verificação</w:t>
            </w:r>
          </w:p>
        </w:tc>
        <w:tc>
          <w:tcPr>
            <w:tcW w:w="53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61021D" w:rsidRDefault="0061021D" w14:paraId="6027F735" w14:textId="77777777"/>
        </w:tc>
      </w:tr>
      <w:tr w:rsidR="0061021D" w14:paraId="3751628D" w14:textId="77777777">
        <w:tc>
          <w:tcPr>
            <w:tcW w:w="4200" w:type="dxa"/>
            <w:shd w:val="clear" w:color="auto" w:fill="E8F5EC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61021D" w:rsidRDefault="00000000" w14:paraId="56643FE0" w14:textId="77777777">
            <w:r>
              <w:rPr>
                <w:color w:val="1A1A1A"/>
                <w:sz w:val="19"/>
                <w:szCs w:val="19"/>
              </w:rPr>
              <w:t>Limitações identificadas</w:t>
            </w:r>
          </w:p>
        </w:tc>
        <w:tc>
          <w:tcPr>
            <w:tcW w:w="5300" w:type="dxa"/>
            <w:shd w:val="clear" w:color="auto" w:fill="E8F5EC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61021D" w:rsidRDefault="0061021D" w14:paraId="5EF35003" w14:textId="77777777"/>
        </w:tc>
      </w:tr>
      <w:tr w:rsidR="0061021D" w14:paraId="32E37B75" w14:textId="77777777">
        <w:tc>
          <w:tcPr>
            <w:tcW w:w="42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61021D" w:rsidRDefault="00000000" w14:paraId="483E7E6F" w14:textId="77777777">
            <w:r>
              <w:rPr>
                <w:color w:val="1A1A1A"/>
                <w:sz w:val="19"/>
                <w:szCs w:val="19"/>
              </w:rPr>
              <w:t>Inspeção de campo dispensada? Justificativa, se aplicável</w:t>
            </w:r>
          </w:p>
        </w:tc>
        <w:tc>
          <w:tcPr>
            <w:tcW w:w="53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61021D" w:rsidRDefault="0061021D" w14:paraId="20853F8B" w14:textId="77777777"/>
        </w:tc>
      </w:tr>
    </w:tbl>
    <w:p w:rsidR="0061021D" w:rsidRDefault="00000000" w14:paraId="5C0407AD" w14:textId="77777777">
      <w:pPr>
        <w:pStyle w:val="Ttulo2"/>
        <w:spacing w:before="280" w:after="120"/>
      </w:pPr>
      <w:r>
        <w:rPr>
          <w:b/>
          <w:bCs/>
          <w:color w:val="1D7044"/>
          <w:sz w:val="25"/>
          <w:szCs w:val="25"/>
        </w:rPr>
        <w:t>3. Síntese da Revisão Documental e Comparação com a Certificação Inicial</w:t>
      </w:r>
    </w:p>
    <w:p w:rsidR="0061021D" w:rsidP="227371B4" w:rsidRDefault="00000000" w14:paraId="21A75F53" w14:textId="77777777">
      <w:pPr>
        <w:spacing w:after="140" w:line="276" w:lineRule="auto"/>
        <w:ind w:firstLine="708"/>
        <w:jc w:val="both"/>
      </w:pPr>
      <w:r w:rsidRPr="227371B4" w:rsidR="435E42F5">
        <w:rPr>
          <w:color w:val="1A1A1A"/>
        </w:rPr>
        <w:t>Síntese conclusiva da revisão documental realizada nos termos do Capítulo 9, incluindo a comparação entre a certificação inicial (ou verificação anterior) e a situação atual da área.</w:t>
      </w:r>
    </w:p>
    <w:tbl>
      <w:tblPr>
        <w:tblW w:w="950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200"/>
        <w:gridCol w:w="5300"/>
      </w:tblGrid>
      <w:tr w:rsidR="0061021D" w14:paraId="229458F1" w14:textId="77777777">
        <w:tc>
          <w:tcPr>
            <w:tcW w:w="42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61021D" w:rsidRDefault="00000000" w14:paraId="2D00C713" w14:textId="77777777">
            <w:r>
              <w:rPr>
                <w:color w:val="1A1A1A"/>
                <w:sz w:val="19"/>
                <w:szCs w:val="19"/>
              </w:rPr>
              <w:t>Principais conclusões da revisão documental (Capítulo 9)</w:t>
            </w:r>
          </w:p>
        </w:tc>
        <w:tc>
          <w:tcPr>
            <w:tcW w:w="53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61021D" w:rsidRDefault="0061021D" w14:paraId="11E1E82A" w14:textId="77777777"/>
        </w:tc>
      </w:tr>
      <w:tr w:rsidR="0061021D" w14:paraId="18B99E8C" w14:textId="77777777">
        <w:tc>
          <w:tcPr>
            <w:tcW w:w="4200" w:type="dxa"/>
            <w:shd w:val="clear" w:color="auto" w:fill="E8F5EC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61021D" w:rsidRDefault="00000000" w14:paraId="3024EC8B" w14:textId="77777777">
            <w:r>
              <w:rPr>
                <w:color w:val="1A1A1A"/>
                <w:sz w:val="19"/>
                <w:szCs w:val="19"/>
              </w:rPr>
              <w:t>Alterações relevantes identificadas frente à certificação inicial ou verificação anterior</w:t>
            </w:r>
          </w:p>
        </w:tc>
        <w:tc>
          <w:tcPr>
            <w:tcW w:w="5300" w:type="dxa"/>
            <w:shd w:val="clear" w:color="auto" w:fill="E8F5EC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61021D" w:rsidRDefault="0061021D" w14:paraId="139365EB" w14:textId="77777777"/>
        </w:tc>
      </w:tr>
    </w:tbl>
    <w:p w:rsidR="0061021D" w:rsidRDefault="00000000" w14:paraId="240420DA" w14:textId="77777777">
      <w:pPr>
        <w:pStyle w:val="Ttulo2"/>
        <w:spacing w:before="280" w:after="120"/>
      </w:pPr>
      <w:r>
        <w:rPr>
          <w:b/>
          <w:bCs/>
          <w:color w:val="1D7044"/>
          <w:sz w:val="25"/>
          <w:szCs w:val="25"/>
        </w:rPr>
        <w:t>4. [M2] Síntese Consolidada da Apuração de Regressões do Ciclo</w:t>
      </w:r>
    </w:p>
    <w:p w:rsidR="0061021D" w:rsidP="227371B4" w:rsidRDefault="00000000" w14:paraId="4D6D0351" w14:textId="77777777">
      <w:pPr>
        <w:spacing w:after="140" w:line="276" w:lineRule="auto"/>
        <w:ind w:firstLine="708"/>
        <w:jc w:val="both"/>
      </w:pPr>
      <w:r w:rsidRPr="227371B4" w:rsidR="435E42F5">
        <w:rPr>
          <w:color w:val="1A1A1A"/>
        </w:rPr>
        <w:t>Aplicável apenas à Verificação Final. Síntese da revisão retroativa dos relatórios de monitoramento simplificados de todo o ciclo (Seção 9.4) e do tratamento aplicado a cada regressão identificada.</w:t>
      </w:r>
    </w:p>
    <w:tbl>
      <w:tblPr>
        <w:tblW w:w="950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200"/>
        <w:gridCol w:w="5300"/>
      </w:tblGrid>
      <w:tr w:rsidR="0061021D" w14:paraId="44840188" w14:textId="77777777">
        <w:tc>
          <w:tcPr>
            <w:tcW w:w="42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61021D" w:rsidRDefault="00000000" w14:paraId="6A251623" w14:textId="77777777">
            <w:r>
              <w:rPr>
                <w:color w:val="1A1A1A"/>
                <w:sz w:val="19"/>
                <w:szCs w:val="19"/>
              </w:rPr>
              <w:t>Regressões identificadas no ciclo (períodos e volumes)</w:t>
            </w:r>
          </w:p>
        </w:tc>
        <w:tc>
          <w:tcPr>
            <w:tcW w:w="53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61021D" w:rsidRDefault="0061021D" w14:paraId="2BCF2325" w14:textId="77777777"/>
        </w:tc>
      </w:tr>
      <w:tr w:rsidR="0061021D" w14:paraId="78C6309E" w14:textId="77777777">
        <w:tc>
          <w:tcPr>
            <w:tcW w:w="4200" w:type="dxa"/>
            <w:shd w:val="clear" w:color="auto" w:fill="E8F5EC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61021D" w:rsidRDefault="00000000" w14:paraId="173B9600" w14:textId="5786168C">
            <w:r>
              <w:rPr>
                <w:color w:val="1A1A1A"/>
                <w:sz w:val="19"/>
                <w:szCs w:val="19"/>
              </w:rPr>
              <w:t>Tratamento aplicado (desconto, transporte de saldo, cobertura pela reserva de não permanência)</w:t>
            </w:r>
          </w:p>
        </w:tc>
        <w:tc>
          <w:tcPr>
            <w:tcW w:w="5300" w:type="dxa"/>
            <w:shd w:val="clear" w:color="auto" w:fill="E8F5EC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61021D" w:rsidRDefault="0061021D" w14:paraId="63F63E70" w14:textId="77777777"/>
        </w:tc>
      </w:tr>
    </w:tbl>
    <w:p w:rsidR="0061021D" w:rsidRDefault="00000000" w14:paraId="664406BF" w14:textId="3D2A4C6E">
      <w:pPr>
        <w:pStyle w:val="Ttulo2"/>
        <w:spacing w:before="280" w:after="120"/>
      </w:pPr>
      <w:r>
        <w:rPr>
          <w:b/>
          <w:bCs/>
          <w:color w:val="1D7044"/>
          <w:sz w:val="25"/>
          <w:szCs w:val="25"/>
        </w:rPr>
        <w:t>5. Síntese da Inspeção de Campo e das Entrevistas, se necessário</w:t>
      </w:r>
    </w:p>
    <w:tbl>
      <w:tblPr>
        <w:tblW w:w="950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200"/>
        <w:gridCol w:w="5300"/>
      </w:tblGrid>
      <w:tr w:rsidR="0061021D" w14:paraId="3CA491C4" w14:textId="77777777">
        <w:tc>
          <w:tcPr>
            <w:tcW w:w="42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61021D" w:rsidRDefault="00000000" w14:paraId="5AC3B60F" w14:textId="77777777">
            <w:r>
              <w:rPr>
                <w:color w:val="1A1A1A"/>
                <w:sz w:val="19"/>
                <w:szCs w:val="19"/>
              </w:rPr>
              <w:t>Inspeção de campo — data(s), amostragem e principais observações (referência ao Anexo VI)</w:t>
            </w:r>
          </w:p>
        </w:tc>
        <w:tc>
          <w:tcPr>
            <w:tcW w:w="53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61021D" w:rsidRDefault="0061021D" w14:paraId="212C5423" w14:textId="77777777"/>
        </w:tc>
      </w:tr>
      <w:tr w:rsidR="0061021D" w14:paraId="75D01D2C" w14:textId="77777777">
        <w:tc>
          <w:tcPr>
            <w:tcW w:w="4200" w:type="dxa"/>
            <w:shd w:val="clear" w:color="auto" w:fill="E8F5EC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61021D" w:rsidRDefault="00000000" w14:paraId="1078D7E2" w14:textId="77777777">
            <w:r>
              <w:rPr>
                <w:color w:val="1A1A1A"/>
                <w:sz w:val="19"/>
                <w:szCs w:val="19"/>
              </w:rPr>
              <w:t>Entrevistas — principais conclusões (referência ao Anexo VII)</w:t>
            </w:r>
          </w:p>
        </w:tc>
        <w:tc>
          <w:tcPr>
            <w:tcW w:w="5300" w:type="dxa"/>
            <w:shd w:val="clear" w:color="auto" w:fill="E8F5EC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61021D" w:rsidRDefault="0061021D" w14:paraId="06FEBE1D" w14:textId="77777777"/>
        </w:tc>
      </w:tr>
    </w:tbl>
    <w:p w:rsidR="0061021D" w:rsidRDefault="00000000" w14:paraId="4BFC1B7E" w14:textId="77777777">
      <w:pPr>
        <w:pStyle w:val="Ttulo2"/>
        <w:spacing w:before="280" w:after="120"/>
      </w:pPr>
      <w:r>
        <w:rPr>
          <w:b/>
          <w:bCs/>
          <w:color w:val="1D7044"/>
          <w:sz w:val="25"/>
          <w:szCs w:val="25"/>
        </w:rPr>
        <w:t>6. Relação de Não Conformidades Identificadas</w:t>
      </w:r>
    </w:p>
    <w:p w:rsidR="0061021D" w:rsidP="227371B4" w:rsidRDefault="00000000" w14:paraId="21B78A04" w14:textId="77777777">
      <w:pPr>
        <w:spacing w:after="140" w:line="276" w:lineRule="auto"/>
        <w:ind w:firstLine="708"/>
        <w:jc w:val="both"/>
      </w:pPr>
      <w:r w:rsidRPr="227371B4" w:rsidR="435E42F5">
        <w:rPr>
          <w:color w:val="1A1A1A"/>
        </w:rPr>
        <w:t>Relação consolidada das não conformidades registradas individualmente no Anexo VII, com sua classificação, tratamento e status de encerramento na data deste relatório.</w:t>
      </w:r>
    </w:p>
    <w:tbl>
      <w:tblPr>
        <w:tblW w:w="950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200"/>
        <w:gridCol w:w="5300"/>
      </w:tblGrid>
      <w:tr w:rsidR="0061021D" w14:paraId="6412170B" w14:textId="77777777">
        <w:tc>
          <w:tcPr>
            <w:tcW w:w="42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61021D" w:rsidRDefault="00000000" w14:paraId="19367BBF" w14:textId="77777777">
            <w:r>
              <w:rPr>
                <w:color w:val="1A1A1A"/>
                <w:sz w:val="19"/>
                <w:szCs w:val="19"/>
              </w:rPr>
              <w:t>Não conformidades maiores — total e status</w:t>
            </w:r>
          </w:p>
        </w:tc>
        <w:tc>
          <w:tcPr>
            <w:tcW w:w="53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61021D" w:rsidRDefault="0061021D" w14:paraId="5A35FC04" w14:textId="77777777"/>
        </w:tc>
      </w:tr>
      <w:tr w:rsidR="0061021D" w14:paraId="5E4A2057" w14:textId="77777777">
        <w:tc>
          <w:tcPr>
            <w:tcW w:w="4200" w:type="dxa"/>
            <w:shd w:val="clear" w:color="auto" w:fill="E8F5EC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61021D" w:rsidRDefault="00000000" w14:paraId="250AE8EC" w14:textId="77777777">
            <w:r>
              <w:rPr>
                <w:color w:val="1A1A1A"/>
                <w:sz w:val="19"/>
                <w:szCs w:val="19"/>
              </w:rPr>
              <w:t>Não conformidades menores — total e status</w:t>
            </w:r>
          </w:p>
        </w:tc>
        <w:tc>
          <w:tcPr>
            <w:tcW w:w="5300" w:type="dxa"/>
            <w:shd w:val="clear" w:color="auto" w:fill="E8F5EC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61021D" w:rsidRDefault="0061021D" w14:paraId="2E967D1A" w14:textId="77777777"/>
        </w:tc>
      </w:tr>
      <w:tr w:rsidR="0061021D" w14:paraId="5FAAD788" w14:textId="77777777">
        <w:tc>
          <w:tcPr>
            <w:tcW w:w="42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61021D" w:rsidRDefault="00000000" w14:paraId="5CC797E6" w14:textId="77777777">
            <w:r>
              <w:rPr>
                <w:color w:val="1A1A1A"/>
                <w:sz w:val="19"/>
                <w:szCs w:val="19"/>
              </w:rPr>
              <w:t>Observações registradas</w:t>
            </w:r>
          </w:p>
        </w:tc>
        <w:tc>
          <w:tcPr>
            <w:tcW w:w="53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61021D" w:rsidRDefault="0061021D" w14:paraId="701B3AC7" w14:textId="77777777"/>
        </w:tc>
      </w:tr>
    </w:tbl>
    <w:p w:rsidR="0061021D" w:rsidRDefault="00000000" w14:paraId="381B642F" w14:textId="77777777">
      <w:pPr>
        <w:pStyle w:val="Ttulo2"/>
        <w:spacing w:before="280" w:after="120"/>
      </w:pPr>
      <w:r>
        <w:rPr>
          <w:b/>
          <w:bCs/>
          <w:color w:val="1D7044"/>
          <w:sz w:val="25"/>
          <w:szCs w:val="25"/>
        </w:rPr>
        <w:t>7. Parecer Conclusivo da OVV</w:t>
      </w:r>
    </w:p>
    <w:p w:rsidR="0061021D" w:rsidP="227371B4" w:rsidRDefault="00000000" w14:paraId="0DDF2882" w14:textId="77777777">
      <w:pPr>
        <w:spacing w:after="140" w:line="276" w:lineRule="auto"/>
        <w:ind w:firstLine="708"/>
        <w:jc w:val="both"/>
      </w:pPr>
      <w:r w:rsidRPr="227371B4" w:rsidR="435E42F5">
        <w:rPr>
          <w:color w:val="1A1A1A"/>
        </w:rPr>
        <w:t>Após análise da documentação, dos relatórios de monitoramento (quando aplicável), da(s) evidência(s) de campo, quando aplicável, e das entrevistas realizadas no âmbito da verificação do projeto identificado no item 1, esta OVV conclui pela:</w:t>
      </w:r>
    </w:p>
    <w:p w:rsidR="0061021D" w:rsidRDefault="00000000" w14:paraId="4521B701" w14:textId="77777777">
      <w:pPr>
        <w:numPr>
          <w:ilvl w:val="0"/>
          <w:numId w:val="1"/>
        </w:numPr>
        <w:spacing w:after="80" w:line="264" w:lineRule="auto"/>
        <w:jc w:val="both"/>
      </w:pPr>
      <w:r>
        <w:rPr>
          <w:color w:val="1A1A1A"/>
        </w:rPr>
        <w:t>☐ Parecer favorável</w:t>
      </w:r>
    </w:p>
    <w:p w:rsidR="0061021D" w:rsidRDefault="00000000" w14:paraId="3976688C" w14:textId="77777777">
      <w:pPr>
        <w:numPr>
          <w:ilvl w:val="0"/>
          <w:numId w:val="1"/>
        </w:numPr>
        <w:spacing w:after="80" w:line="264" w:lineRule="auto"/>
        <w:jc w:val="both"/>
      </w:pPr>
      <w:r>
        <w:rPr>
          <w:color w:val="1A1A1A"/>
        </w:rPr>
        <w:t>☐ Parecer favorável condicionado (descrever)</w:t>
      </w:r>
    </w:p>
    <w:p w:rsidR="0061021D" w:rsidRDefault="00000000" w14:paraId="0E958BC5" w14:textId="77777777">
      <w:pPr>
        <w:numPr>
          <w:ilvl w:val="0"/>
          <w:numId w:val="1"/>
        </w:numPr>
        <w:spacing w:after="80" w:line="264" w:lineRule="auto"/>
        <w:jc w:val="both"/>
      </w:pPr>
      <w:r>
        <w:rPr>
          <w:color w:val="1A1A1A"/>
        </w:rPr>
        <w:t>☐ Parecer desfavorável (listar não conformidades maiores não corrigidas)</w:t>
      </w:r>
    </w:p>
    <w:p w:rsidR="0061021D" w:rsidRDefault="00000000" w14:paraId="1A1FADEE" w14:textId="77777777">
      <w:pPr>
        <w:pStyle w:val="Ttulo2"/>
        <w:spacing w:before="280" w:after="120"/>
      </w:pPr>
      <w:r>
        <w:rPr>
          <w:b/>
          <w:bCs/>
          <w:color w:val="1D7044"/>
          <w:sz w:val="25"/>
          <w:szCs w:val="25"/>
        </w:rPr>
        <w:t>8. Volume Confirmado</w:t>
      </w:r>
    </w:p>
    <w:tbl>
      <w:tblPr>
        <w:tblW w:w="950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200"/>
        <w:gridCol w:w="5300"/>
      </w:tblGrid>
      <w:tr w:rsidR="0061021D" w14:paraId="18672072" w14:textId="77777777">
        <w:tc>
          <w:tcPr>
            <w:tcW w:w="42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61021D" w:rsidRDefault="00000000" w14:paraId="4C604120" w14:textId="77777777">
            <w:r>
              <w:rPr>
                <w:color w:val="1A1A1A"/>
                <w:sz w:val="19"/>
                <w:szCs w:val="19"/>
              </w:rPr>
              <w:t>[M1] Volume total confirmado para emissão (tCO2e), com discriminação do volume no cronograma de liberação anual e do volume retido como reserva de não permanência</w:t>
            </w:r>
          </w:p>
        </w:tc>
        <w:tc>
          <w:tcPr>
            <w:tcW w:w="53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61021D" w:rsidRDefault="0061021D" w14:paraId="23AF5546" w14:textId="77777777"/>
        </w:tc>
      </w:tr>
      <w:tr w:rsidR="0061021D" w14:paraId="783A9C77" w14:textId="77777777">
        <w:tc>
          <w:tcPr>
            <w:tcW w:w="4200" w:type="dxa"/>
            <w:shd w:val="clear" w:color="auto" w:fill="E8F5EC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61021D" w:rsidRDefault="00000000" w14:paraId="475469DD" w14:textId="77777777">
            <w:r>
              <w:rPr>
                <w:color w:val="1A1A1A"/>
                <w:sz w:val="19"/>
                <w:szCs w:val="19"/>
              </w:rPr>
              <w:t>[M2] Volume do saldo de reserva de não permanência desbloqueado confirmado (tCO2e)</w:t>
            </w:r>
          </w:p>
        </w:tc>
        <w:tc>
          <w:tcPr>
            <w:tcW w:w="5300" w:type="dxa"/>
            <w:shd w:val="clear" w:color="auto" w:fill="E8F5EC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61021D" w:rsidRDefault="0061021D" w14:paraId="0C6E22D2" w14:textId="77777777"/>
        </w:tc>
      </w:tr>
      <w:tr w:rsidR="0061021D" w14:paraId="3FB4C5D0" w14:textId="77777777">
        <w:tc>
          <w:tcPr>
            <w:tcW w:w="42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61021D" w:rsidRDefault="00000000" w14:paraId="7B917AB0" w14:textId="77777777">
            <w:r>
              <w:rPr>
                <w:color w:val="1A1A1A"/>
                <w:sz w:val="19"/>
                <w:szCs w:val="19"/>
              </w:rPr>
              <w:t>[M2] Memória de cálculo</w:t>
            </w:r>
          </w:p>
        </w:tc>
        <w:tc>
          <w:tcPr>
            <w:tcW w:w="53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61021D" w:rsidRDefault="0061021D" w14:paraId="171C9CB7" w14:textId="77777777"/>
        </w:tc>
      </w:tr>
    </w:tbl>
    <w:p w:rsidR="0061021D" w:rsidRDefault="00000000" w14:paraId="15159249" w14:textId="77777777">
      <w:pPr>
        <w:pStyle w:val="Ttulo2"/>
        <w:spacing w:before="280" w:after="120"/>
      </w:pPr>
      <w:r>
        <w:rPr>
          <w:b/>
          <w:bCs/>
          <w:color w:val="1D7044"/>
          <w:sz w:val="25"/>
          <w:szCs w:val="25"/>
        </w:rPr>
        <w:t>9. Encerramento</w:t>
      </w:r>
    </w:p>
    <w:p w:rsidR="0061021D" w:rsidRDefault="00000000" w14:paraId="7799A633" w14:textId="77777777">
      <w:pPr>
        <w:spacing w:after="140" w:line="276" w:lineRule="auto"/>
      </w:pPr>
      <w:r>
        <w:rPr>
          <w:color w:val="1A1A1A"/>
        </w:rPr>
        <w:t>Local e data: ____________________.</w:t>
      </w:r>
    </w:p>
    <w:p w:rsidR="0061021D" w:rsidRDefault="00000000" w14:paraId="5C89EEC2" w14:textId="77777777">
      <w:pPr>
        <w:spacing w:after="140" w:line="276" w:lineRule="auto"/>
      </w:pPr>
      <w:r>
        <w:rPr>
          <w:color w:val="1A1A1A"/>
        </w:rPr>
        <w:t>Responsável técnico: ____________________.</w:t>
      </w:r>
    </w:p>
    <w:p w:rsidR="0061021D" w:rsidRDefault="00000000" w14:paraId="32996876" w14:textId="77777777">
      <w:pPr>
        <w:spacing w:after="140" w:line="276" w:lineRule="auto"/>
      </w:pPr>
      <w:r>
        <w:rPr>
          <w:color w:val="1A1A1A"/>
        </w:rPr>
        <w:t>Revisor técnico independente: ____________________.</w:t>
      </w:r>
    </w:p>
    <w:p w:rsidR="0061021D" w:rsidRDefault="00000000" w14:paraId="4249447E" w14:textId="77777777">
      <w:pPr>
        <w:pStyle w:val="Ttulo1"/>
        <w:pBdr>
          <w:bottom w:val="single" w:color="1D7044" w:sz="6" w:space="4"/>
        </w:pBdr>
        <w:spacing w:before="360" w:after="160"/>
      </w:pPr>
      <w:r>
        <w:rPr>
          <w:b/>
          <w:bCs/>
          <w:color w:val="155234"/>
          <w:sz w:val="30"/>
          <w:szCs w:val="30"/>
        </w:rPr>
        <w:t>Histórico de Revisões</w:t>
      </w:r>
    </w:p>
    <w:tbl>
      <w:tblPr>
        <w:tblW w:w="950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500"/>
        <w:gridCol w:w="2000"/>
        <w:gridCol w:w="6000"/>
      </w:tblGrid>
      <w:tr w:rsidR="0061021D" w14:paraId="6E5EE452" w14:textId="77777777">
        <w:trPr>
          <w:tblHeader/>
        </w:trPr>
        <w:tc>
          <w:tcPr>
            <w:tcW w:w="1500" w:type="dxa"/>
            <w:shd w:val="clear" w:color="auto" w:fill="1D7044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61021D" w:rsidRDefault="00000000" w14:paraId="0FD57682" w14:textId="77777777">
            <w:r>
              <w:rPr>
                <w:b/>
                <w:bCs/>
                <w:color w:val="FFFFFF"/>
                <w:sz w:val="19"/>
                <w:szCs w:val="19"/>
              </w:rPr>
              <w:t>VERSÃO</w:t>
            </w:r>
          </w:p>
        </w:tc>
        <w:tc>
          <w:tcPr>
            <w:tcW w:w="2000" w:type="dxa"/>
            <w:shd w:val="clear" w:color="auto" w:fill="1D7044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61021D" w:rsidRDefault="00000000" w14:paraId="0B301FD0" w14:textId="77777777">
            <w:r>
              <w:rPr>
                <w:b/>
                <w:bCs/>
                <w:color w:val="FFFFFF"/>
                <w:sz w:val="19"/>
                <w:szCs w:val="19"/>
              </w:rPr>
              <w:t>DATA</w:t>
            </w:r>
          </w:p>
        </w:tc>
        <w:tc>
          <w:tcPr>
            <w:tcW w:w="6000" w:type="dxa"/>
            <w:shd w:val="clear" w:color="auto" w:fill="1D7044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61021D" w:rsidRDefault="00000000" w14:paraId="50412615" w14:textId="77777777">
            <w:r>
              <w:rPr>
                <w:b/>
                <w:bCs/>
                <w:color w:val="FFFFFF"/>
                <w:sz w:val="19"/>
                <w:szCs w:val="19"/>
              </w:rPr>
              <w:t>HISTÓRICO</w:t>
            </w:r>
          </w:p>
        </w:tc>
      </w:tr>
      <w:tr w:rsidR="0061021D" w14:paraId="5F4C571A" w14:textId="77777777">
        <w:tc>
          <w:tcPr>
            <w:tcW w:w="15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61021D" w:rsidRDefault="00000000" w14:paraId="4969FED2" w14:textId="77777777">
            <w:r>
              <w:rPr>
                <w:color w:val="1A1A1A"/>
                <w:sz w:val="19"/>
                <w:szCs w:val="19"/>
              </w:rPr>
              <w:t>1.0</w:t>
            </w:r>
          </w:p>
        </w:tc>
        <w:tc>
          <w:tcPr>
            <w:tcW w:w="20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61021D" w:rsidRDefault="00000000" w14:paraId="0261A0D3" w14:textId="77777777">
            <w:r>
              <w:rPr>
                <w:color w:val="1A1A1A"/>
                <w:sz w:val="19"/>
                <w:szCs w:val="19"/>
              </w:rPr>
              <w:t>28/07/2026</w:t>
            </w:r>
          </w:p>
        </w:tc>
        <w:tc>
          <w:tcPr>
            <w:tcW w:w="60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61021D" w:rsidRDefault="00000000" w14:paraId="76636CA8" w14:textId="77777777">
            <w:r>
              <w:rPr>
                <w:color w:val="1A1A1A"/>
                <w:sz w:val="19"/>
                <w:szCs w:val="19"/>
              </w:rPr>
              <w:t>Versão inicial</w:t>
            </w:r>
          </w:p>
        </w:tc>
      </w:tr>
    </w:tbl>
    <w:p w:rsidR="002E2DED" w:rsidRDefault="002E2DED" w14:paraId="0EB66AC6" w14:textId="77777777"/>
    <w:sectPr w:rsidR="002E2DED">
      <w:headerReference w:type="default" r:id="rId12"/>
      <w:pgSz w:w="11906" w:h="16838" w:orient="portrait"/>
      <w:pgMar w:top="1300" w:right="1200" w:bottom="1200" w:left="1200" w:header="708" w:footer="708" w:gutter="0"/>
      <w:cols w:space="720"/>
      <w:docGrid w:linePitch="360"/>
      <w:footerReference w:type="default" r:id="Raceaf5554edc4d9d"/>
    </w:sectPr>
  </w:body>
</w:document>
</file>

<file path=word/commentsExtended.xml><?xml version="1.0" encoding="utf-8"?>
<w15:commentsEx xmlns:mc="http://schemas.openxmlformats.org/markup-compatibility/2006" xmlns:w15="http://schemas.microsoft.com/office/word/2012/wordml" mc:Ignorable="w15"/>
</file>

<file path=word/commentsIds.xml><?xml version="1.0" encoding="utf-8"?>
<w16cid:commentsIds xmlns:mc="http://schemas.openxmlformats.org/markup-compatibility/2006" xmlns:w16cid="http://schemas.microsoft.com/office/word/2016/wordml/cid" mc:Ignorable="w16cid"/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:rsidR="005E3FE1" w:rsidRDefault="005E3FE1" w14:paraId="230443F1" w14:textId="77777777">
      <w:r>
        <w:separator/>
      </w:r>
    </w:p>
  </w:endnote>
  <w:endnote w:type="continuationSeparator" w:id="0">
    <w:p w:rsidR="005E3FE1" w:rsidRDefault="005E3FE1" w14:paraId="609BACCB" w14:textId="77777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2.xml><?xml version="1.0" encoding="utf-8"?>
<w:ftr xmlns:wp14="http://schemas.microsoft.com/office/word/2010/wordprocessingDrawing" xmlns:w14="http://schemas.microsoft.com/office/word/2010/wordml" xmlns:w="http://schemas.openxmlformats.org/wordprocessingml/2006/main" xmlns:mc="http://schemas.openxmlformats.org/markup-compatibility/2006" mc:Ignorable="wp14">
  <w:p w:rsidR="00022892" w:rsidP="00022892" w:rsidRDefault="00022892" w14:paraId="56FE1E5A" w14:textId="7F84ABAA">
    <w:pPr>
      <w:pStyle w:val="Footer"/>
      <w:jc w:val="right"/>
    </w:pPr>
    <w:r w:rsidRPr="00022892" w:rsidR="00022892">
      <w:rPr>
        <w:rFonts w:ascii="Calibri" w:hAnsi="Calibri" w:eastAsia="Calibri" w:cs="Calibri"/>
        <w:b w:val="1"/>
        <w:bCs w:val="1"/>
        <w:i w:val="0"/>
        <w:iCs w:val="0"/>
        <w:caps w:val="0"/>
        <w:smallCaps w:val="0"/>
        <w:noProof w:val="0"/>
        <w:color w:val="385623"/>
        <w:sz w:val="22"/>
        <w:szCs w:val="22"/>
        <w:lang w:val="es-ES"/>
      </w:rPr>
      <w:t>_____________________________________________________________________________________</w:t>
    </w:r>
  </w:p>
  <w:p w:rsidR="00022892" w:rsidP="00022892" w:rsidRDefault="00022892" w14:paraId="0D031CB6" w14:textId="148DA8FC">
    <w:pPr>
      <w:pStyle w:val="Footer"/>
      <w:jc w:val="right"/>
    </w:pPr>
    <w:r w:rsidR="00022892">
      <w:rPr/>
      <w:t xml:space="preserve">Versão 1.0                                                                                                                                                               </w:t>
    </w:r>
    <w:r>
      <w:fldChar w:fldCharType="begin"/>
    </w:r>
    <w:r>
      <w:instrText xml:space="preserve">PAGE</w:instrText>
    </w:r>
    <w:r>
      <w:fldChar w:fldCharType="separate"/>
    </w:r>
    <w:r>
      <w:fldChar w:fldCharType="end"/>
    </w:r>
    <w:r w:rsidR="00022892">
      <w:rPr/>
      <w:t xml:space="preserve"> de </w:t>
    </w:r>
    <w:r>
      <w:fldChar w:fldCharType="begin"/>
    </w:r>
    <w:r>
      <w:instrText xml:space="preserve">NUMPAGES</w:instrText>
    </w:r>
    <w:r>
      <w:fldChar w:fldCharType="separate"/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:rsidR="005E3FE1" w:rsidRDefault="005E3FE1" w14:paraId="4C584375" w14:textId="77777777">
      <w:r>
        <w:separator/>
      </w:r>
    </w:p>
  </w:footnote>
  <w:footnote w:type="continuationSeparator" w:id="0">
    <w:p w:rsidR="005E3FE1" w:rsidRDefault="005E3FE1" w14:paraId="10E04638" w14:textId="7777777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p w:rsidR="0061021D" w:rsidP="227371B4" w:rsidRDefault="00000000" w14:paraId="67FB6574" w14:textId="71A86274">
    <w:pPr>
      <w:pStyle w:val="Normal"/>
      <w:pBdr>
        <w:bottom w:val="single" w:color="1D7044" w:sz="8" w:space="4"/>
      </w:pBdr>
      <w:tabs>
        <w:tab w:val="right" w:pos="9026"/>
      </w:tabs>
      <w:rPr>
        <w:b w:val="1"/>
        <w:bCs w:val="1"/>
      </w:rPr>
    </w:pPr>
    <w:r w:rsidR="56B30C0A">
      <w:drawing>
        <wp:anchor distT="0" distB="0" distL="114300" distR="114300" simplePos="0" relativeHeight="251658240" behindDoc="1" locked="0" layoutInCell="1" allowOverlap="1" wp14:editId="09478C1F" wp14:anchorId="0B66D8BA">
          <wp:simplePos x="0" y="0"/>
          <wp:positionH relativeFrom="column">
            <wp:align>left</wp:align>
          </wp:positionH>
          <wp:positionV relativeFrom="paragraph">
            <wp:posOffset>0</wp:posOffset>
          </wp:positionV>
          <wp:extent cx="2047875" cy="295275"/>
          <wp:effectExtent l="0" t="0" r="0" b="0"/>
          <wp:wrapNone/>
          <wp:docPr id="299602365" name="drawing"/>
          <wp:cNvGraphicFramePr>
            <a:graphicFrameLocks noChangeAspect="1"/>
          </wp:cNvGraphicFramePr>
          <a:graphic>
            <a:graphicData xmlns:a="http://schemas.openxmlformats.org/drawingml/2006/main" uri="http://schemas.openxmlformats.org/drawingml/2006/picture">
              <pic:pic xmlns:pic="http://schemas.openxmlformats.org/drawingml/2006/picture">
                <pic:nvPicPr>
                  <pic:cNvPr id="299602365" name="Picture 299602365"/>
                  <pic:cNvPicPr/>
                </pic:nvPicPr>
                <pic:blipFill>
                  <a:blip xmlns:r="http://schemas.openxmlformats.org/officeDocument/2006/relationships" r:embed="rId1572217678">
                    <a:extLst>
                      <a:ext uri="{28A0092B-C50C-407E-A947-70E740481C1C}">
                        <a14:useLocalDpi xmlns:a14="http://schemas.microsoft.com/office/drawing/2010/main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047875" cy="2952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56B30C0A">
      <w:drawing>
        <wp:anchor distT="0" distB="0" distL="114300" distR="114300" simplePos="0" relativeHeight="251658240" behindDoc="0" locked="0" layoutInCell="1" allowOverlap="1" wp14:editId="147108F3" wp14:anchorId="1600CE05">
          <wp:simplePos x="0" y="0"/>
          <wp:positionH relativeFrom="column">
            <wp:posOffset>5191125</wp:posOffset>
          </wp:positionH>
          <wp:positionV relativeFrom="paragraph">
            <wp:posOffset>-257175</wp:posOffset>
          </wp:positionV>
          <wp:extent cx="942975" cy="533400"/>
          <wp:effectExtent l="0" t="0" r="0" b="0"/>
          <wp:wrapNone/>
          <wp:docPr id="1926561319" name="drawing"/>
          <wp:cNvGraphicFramePr>
            <a:graphicFrameLocks noChangeAspect="1"/>
          </wp:cNvGraphicFramePr>
          <a:graphic>
            <a:graphicData xmlns:a="http://schemas.openxmlformats.org/drawingml/2006/main" uri="http://schemas.openxmlformats.org/drawingml/2006/picture">
              <pic:pic xmlns:pic="http://schemas.openxmlformats.org/drawingml/2006/picture">
                <pic:nvPicPr>
                  <pic:cNvPr id="1926561319" name="Picture 1926561319"/>
                  <pic:cNvPicPr/>
                </pic:nvPicPr>
                <pic:blipFill>
                  <a:blip xmlns:r="http://schemas.openxmlformats.org/officeDocument/2006/relationships" r:embed="rId2143019706">
                    <a:extLst>
                      <a:ext uri="{28A0092B-C50C-407E-A947-70E740481C1C}">
                        <a14:useLocalDpi xmlns:a14="http://schemas.microsoft.com/office/drawing/2010/main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42975" cy="5334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B53D201">
      <w:rPr/>
      <w:t xml:space="preserve">                                                                                                                             </w:t>
    </w:r>
    <w:r w:rsidR="0B53D201">
      <w:rPr/>
      <w:t xml:space="preserve">   </w:t>
    </w:r>
    <w:r w:rsidR="0B53D201">
      <w:rPr/>
      <w:t xml:space="preserve">               </w:t>
    </w:r>
    <w:r w:rsidRPr="00022892" w:rsidR="0B53D201">
      <w:rPr>
        <w:b w:val="1"/>
        <w:bCs w:val="1"/>
      </w:rPr>
      <w:t>F</w:t>
    </w:r>
    <w:r w:rsidRPr="00022892" w:rsidR="0B53D201">
      <w:rPr>
        <w:b w:val="1"/>
        <w:bCs w:val="1"/>
      </w:rPr>
      <w:t>ORM TC 01</w:t>
    </w:r>
    <w:r w:rsidRPr="227371B4" w:rsidR="227371B4">
      <w:rPr>
        <w:b w:val="1"/>
        <w:bCs w:val="1"/>
      </w:rPr>
      <w:t>9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761A0512"/>
    <w:multiLevelType w:val="hybridMultilevel"/>
    <w:tmpl w:val="48D0BF9C"/>
    <w:lvl w:ilvl="0" w:tplc="77C2B5E8">
      <w:start w:val="1"/>
      <w:numFmt w:val="bullet"/>
      <w:lvlText w:val="●"/>
      <w:lvlJc w:val="left"/>
      <w:pPr>
        <w:ind w:left="720" w:hanging="360"/>
      </w:pPr>
    </w:lvl>
    <w:lvl w:ilvl="1" w:tplc="0E400A9E">
      <w:start w:val="1"/>
      <w:numFmt w:val="bullet"/>
      <w:lvlText w:val="○"/>
      <w:lvlJc w:val="left"/>
      <w:pPr>
        <w:ind w:left="1440" w:hanging="360"/>
      </w:pPr>
    </w:lvl>
    <w:lvl w:ilvl="2" w:tplc="C67C3988">
      <w:start w:val="1"/>
      <w:numFmt w:val="bullet"/>
      <w:lvlText w:val="■"/>
      <w:lvlJc w:val="left"/>
      <w:pPr>
        <w:ind w:left="2160" w:hanging="360"/>
      </w:pPr>
    </w:lvl>
    <w:lvl w:ilvl="3" w:tplc="6ADE381E">
      <w:start w:val="1"/>
      <w:numFmt w:val="bullet"/>
      <w:lvlText w:val="●"/>
      <w:lvlJc w:val="left"/>
      <w:pPr>
        <w:ind w:left="2880" w:hanging="360"/>
      </w:pPr>
    </w:lvl>
    <w:lvl w:ilvl="4" w:tplc="24BE18B0">
      <w:start w:val="1"/>
      <w:numFmt w:val="bullet"/>
      <w:lvlText w:val="○"/>
      <w:lvlJc w:val="left"/>
      <w:pPr>
        <w:ind w:left="3600" w:hanging="360"/>
      </w:pPr>
    </w:lvl>
    <w:lvl w:ilvl="5" w:tplc="6BD4FDF0">
      <w:start w:val="1"/>
      <w:numFmt w:val="bullet"/>
      <w:lvlText w:val="■"/>
      <w:lvlJc w:val="left"/>
      <w:pPr>
        <w:ind w:left="4320" w:hanging="360"/>
      </w:pPr>
    </w:lvl>
    <w:lvl w:ilvl="6" w:tplc="7CD8ECB0">
      <w:start w:val="1"/>
      <w:numFmt w:val="bullet"/>
      <w:lvlText w:val="●"/>
      <w:lvlJc w:val="left"/>
      <w:pPr>
        <w:ind w:left="5040" w:hanging="360"/>
      </w:pPr>
    </w:lvl>
    <w:lvl w:ilvl="7" w:tplc="B2B8C4B0">
      <w:start w:val="1"/>
      <w:numFmt w:val="bullet"/>
      <w:lvlText w:val="●"/>
      <w:lvlJc w:val="left"/>
      <w:pPr>
        <w:ind w:left="5760" w:hanging="360"/>
      </w:pPr>
    </w:lvl>
    <w:lvl w:ilvl="8" w:tplc="26A25998">
      <w:start w:val="1"/>
      <w:numFmt w:val="bullet"/>
      <w:lvlText w:val="●"/>
      <w:lvlJc w:val="left"/>
      <w:pPr>
        <w:ind w:left="6480" w:hanging="360"/>
      </w:pPr>
    </w:lvl>
  </w:abstractNum>
  <w:abstractNum w:abstractNumId="1" w15:restartNumberingAfterBreak="0">
    <w:nsid w:val="76FB5214"/>
    <w:multiLevelType w:val="hybridMultilevel"/>
    <w:tmpl w:val="FED24C4C"/>
    <w:lvl w:ilvl="0" w:tplc="662E6236">
      <w:start w:val="1"/>
      <w:numFmt w:val="bullet"/>
      <w:lvlText w:val="•"/>
      <w:lvlJc w:val="left"/>
    </w:lvl>
    <w:lvl w:ilvl="1" w:tplc="0DD2A066">
      <w:numFmt w:val="decimal"/>
      <w:lvlText w:val=""/>
      <w:lvlJc w:val="left"/>
    </w:lvl>
    <w:lvl w:ilvl="2" w:tplc="D11CCA5A">
      <w:numFmt w:val="decimal"/>
      <w:lvlText w:val=""/>
      <w:lvlJc w:val="left"/>
    </w:lvl>
    <w:lvl w:ilvl="3" w:tplc="985C985E">
      <w:numFmt w:val="decimal"/>
      <w:lvlText w:val=""/>
      <w:lvlJc w:val="left"/>
    </w:lvl>
    <w:lvl w:ilvl="4" w:tplc="DE3E8878">
      <w:numFmt w:val="decimal"/>
      <w:lvlText w:val=""/>
      <w:lvlJc w:val="left"/>
    </w:lvl>
    <w:lvl w:ilvl="5" w:tplc="E06654AE">
      <w:numFmt w:val="decimal"/>
      <w:lvlText w:val=""/>
      <w:lvlJc w:val="left"/>
    </w:lvl>
    <w:lvl w:ilvl="6" w:tplc="03E4BA18">
      <w:numFmt w:val="decimal"/>
      <w:lvlText w:val=""/>
      <w:lvlJc w:val="left"/>
    </w:lvl>
    <w:lvl w:ilvl="7" w:tplc="B2FC24EC">
      <w:numFmt w:val="decimal"/>
      <w:lvlText w:val=""/>
      <w:lvlJc w:val="left"/>
    </w:lvl>
    <w:lvl w:ilvl="8" w:tplc="F4B0B3F8">
      <w:numFmt w:val="decimal"/>
      <w:lvlText w:val=""/>
      <w:lvlJc w:val="left"/>
    </w:lvl>
  </w:abstractNum>
  <w:num w:numId="1" w16cid:durableId="1167210869">
    <w:abstractNumId w:val="0"/>
    <w:lvlOverride w:ilvl="0">
      <w:startOverride w:val="1"/>
    </w:lvlOverride>
  </w:num>
</w:numbering>
</file>

<file path=word/people.xml><?xml version="1.0" encoding="utf-8"?>
<w15:people xmlns:mc="http://schemas.openxmlformats.org/markup-compatibility/2006" xmlns:w15="http://schemas.microsoft.com/office/word/2012/wordml" mc:Ignorable="w15"/>
</file>

<file path=word/settings.xml><?xml version="1.0" encoding="utf-8"?>
<w:settings xmlns:wp14="http://schemas.microsoft.com/office/word/2010/wordprocessingDrawing"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 wp14">
  <w:zoom w:percent="170"/>
  <w:displayBackgroundShape/>
  <w:trackRevisions w:val="false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1021D"/>
    <w:rsid w:val="00022892"/>
    <w:rsid w:val="001A6C41"/>
    <w:rsid w:val="00251811"/>
    <w:rsid w:val="002E2DED"/>
    <w:rsid w:val="005C557E"/>
    <w:rsid w:val="005E3FE1"/>
    <w:rsid w:val="0060039C"/>
    <w:rsid w:val="0061021D"/>
    <w:rsid w:val="006B3B5F"/>
    <w:rsid w:val="00741F6D"/>
    <w:rsid w:val="0075331C"/>
    <w:rsid w:val="0080282B"/>
    <w:rsid w:val="008F0841"/>
    <w:rsid w:val="00A92968"/>
    <w:rsid w:val="00BA36E6"/>
    <w:rsid w:val="00C573F6"/>
    <w:rsid w:val="00C6619D"/>
    <w:rsid w:val="00C67A29"/>
    <w:rsid w:val="00C81739"/>
    <w:rsid w:val="00CD1BFA"/>
    <w:rsid w:val="00DE7558"/>
    <w:rsid w:val="00EC2C7B"/>
    <w:rsid w:val="0545E2CE"/>
    <w:rsid w:val="0722B3B2"/>
    <w:rsid w:val="0B53D201"/>
    <w:rsid w:val="0D66B017"/>
    <w:rsid w:val="0E37F412"/>
    <w:rsid w:val="0F5800EE"/>
    <w:rsid w:val="0F8AE8A7"/>
    <w:rsid w:val="10F836A1"/>
    <w:rsid w:val="113AF327"/>
    <w:rsid w:val="1267CEC7"/>
    <w:rsid w:val="148DCF5B"/>
    <w:rsid w:val="15F1BEFE"/>
    <w:rsid w:val="17064C5B"/>
    <w:rsid w:val="18E756ED"/>
    <w:rsid w:val="19C17710"/>
    <w:rsid w:val="19FA8B55"/>
    <w:rsid w:val="1B069D45"/>
    <w:rsid w:val="1B30565C"/>
    <w:rsid w:val="1BFBCF47"/>
    <w:rsid w:val="1D131BDE"/>
    <w:rsid w:val="1F2C4315"/>
    <w:rsid w:val="215E0FAD"/>
    <w:rsid w:val="21B3E785"/>
    <w:rsid w:val="227371B4"/>
    <w:rsid w:val="22777484"/>
    <w:rsid w:val="2315A85A"/>
    <w:rsid w:val="2399F0A3"/>
    <w:rsid w:val="27C0E494"/>
    <w:rsid w:val="2880CC69"/>
    <w:rsid w:val="296F8A69"/>
    <w:rsid w:val="2C76C74E"/>
    <w:rsid w:val="2EDBFDC7"/>
    <w:rsid w:val="2FDE1796"/>
    <w:rsid w:val="2FF3E5AA"/>
    <w:rsid w:val="3314DF37"/>
    <w:rsid w:val="333CF033"/>
    <w:rsid w:val="3357CD07"/>
    <w:rsid w:val="35477A55"/>
    <w:rsid w:val="36E4A596"/>
    <w:rsid w:val="37C418A6"/>
    <w:rsid w:val="3880EDAE"/>
    <w:rsid w:val="39676F3C"/>
    <w:rsid w:val="3A0138DC"/>
    <w:rsid w:val="3C18D296"/>
    <w:rsid w:val="3C6F8EB8"/>
    <w:rsid w:val="3D3BC86D"/>
    <w:rsid w:val="3DBBFD01"/>
    <w:rsid w:val="3DFD3910"/>
    <w:rsid w:val="3E64F3B0"/>
    <w:rsid w:val="3EAC6D46"/>
    <w:rsid w:val="3EFCE497"/>
    <w:rsid w:val="435E42F5"/>
    <w:rsid w:val="440E6FC0"/>
    <w:rsid w:val="447ED8F1"/>
    <w:rsid w:val="46CD629F"/>
    <w:rsid w:val="49223909"/>
    <w:rsid w:val="4A96A9B3"/>
    <w:rsid w:val="4AC3FEE1"/>
    <w:rsid w:val="4AD446EE"/>
    <w:rsid w:val="4E4E2B73"/>
    <w:rsid w:val="4F1F4FC7"/>
    <w:rsid w:val="4F753624"/>
    <w:rsid w:val="5115A4F9"/>
    <w:rsid w:val="51DD6440"/>
    <w:rsid w:val="51E99824"/>
    <w:rsid w:val="528D21D1"/>
    <w:rsid w:val="546E76A8"/>
    <w:rsid w:val="5656A661"/>
    <w:rsid w:val="56B30C0A"/>
    <w:rsid w:val="575CDF6C"/>
    <w:rsid w:val="579063D4"/>
    <w:rsid w:val="59B96A11"/>
    <w:rsid w:val="5DE2ADC3"/>
    <w:rsid w:val="5EB2AA3A"/>
    <w:rsid w:val="5F425B95"/>
    <w:rsid w:val="5F68FF08"/>
    <w:rsid w:val="6077B715"/>
    <w:rsid w:val="61B99497"/>
    <w:rsid w:val="633AA6F6"/>
    <w:rsid w:val="65217F99"/>
    <w:rsid w:val="66432C85"/>
    <w:rsid w:val="669149F3"/>
    <w:rsid w:val="675AF0F6"/>
    <w:rsid w:val="6825F6FD"/>
    <w:rsid w:val="6907DB99"/>
    <w:rsid w:val="6A65A51C"/>
    <w:rsid w:val="6AD4AF2E"/>
    <w:rsid w:val="6B5580B0"/>
    <w:rsid w:val="6FD8A2E0"/>
    <w:rsid w:val="73221228"/>
    <w:rsid w:val="73B1D6B4"/>
    <w:rsid w:val="74E4058B"/>
    <w:rsid w:val="77F88A0F"/>
    <w:rsid w:val="7CAD3300"/>
    <w:rsid w:val="7CB51B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754D72FF"/>
  <w15:docId w15:val="{FE59A4C7-F1A3-4F43-9538-AD946D643BA2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 wp14">
  <w:docDefaults>
    <w:rPrDefault>
      <w:rPr>
        <w:rFonts w:ascii="Calibri" w:hAnsi="Calibri" w:eastAsia="Calibri" w:cs="Calibri"/>
        <w:sz w:val="21"/>
        <w:szCs w:val="21"/>
        <w:lang w:val="pt-BR" w:eastAsia="pt-BR" w:bidi="he-I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paragraph" w:styleId="Ttulo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Ttulo2">
    <w:name w:val="heading 2"/>
    <w:uiPriority w:val="9"/>
    <w:unhideWhenUsed/>
    <w:qFormat/>
    <w:pPr>
      <w:outlineLvl w:val="1"/>
    </w:pPr>
    <w:rPr>
      <w:color w:val="2E74B5"/>
      <w:sz w:val="26"/>
      <w:szCs w:val="26"/>
    </w:rPr>
  </w:style>
  <w:style w:type="paragraph" w:styleId="Ttulo3">
    <w:name w:val="heading 3"/>
    <w:uiPriority w:val="9"/>
    <w:unhideWhenUsed/>
    <w:qFormat/>
    <w:pPr>
      <w:outlineLvl w:val="2"/>
    </w:pPr>
    <w:rPr>
      <w:color w:val="1F4D78"/>
      <w:sz w:val="24"/>
      <w:szCs w:val="24"/>
    </w:rPr>
  </w:style>
  <w:style w:type="paragraph" w:styleId="Ttulo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Ttulo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Ttulo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styleId="Fontepargpadro" w:default="1">
    <w:name w:val="Default Paragraph Font"/>
    <w:uiPriority w:val="1"/>
    <w:semiHidden/>
    <w:unhideWhenUsed/>
  </w:style>
  <w:style w:type="table" w:styleId="Tabela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Semlista" w:default="1">
    <w:name w:val="No List"/>
    <w:uiPriority w:val="99"/>
    <w:semiHidden/>
    <w:unhideWhenUsed/>
  </w:style>
  <w:style w:type="paragraph" w:styleId="Ttulo">
    <w:name w:val="Title"/>
    <w:uiPriority w:val="10"/>
    <w:qFormat/>
    <w:rPr>
      <w:sz w:val="56"/>
      <w:szCs w:val="56"/>
    </w:rPr>
  </w:style>
  <w:style w:type="paragraph" w:styleId="Forte1" w:customStyle="1">
    <w:name w:val="Forte1"/>
    <w:qFormat/>
    <w:rPr>
      <w:b/>
      <w:bCs/>
    </w:rPr>
  </w:style>
  <w:style w:type="paragraph" w:styleId="PargrafodaLista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Refdenotaderodap">
    <w:name w:val="footnote reference"/>
    <w:uiPriority w:val="99"/>
    <w:semiHidden/>
    <w:unhideWhenUsed/>
    <w:rPr>
      <w:vertAlign w:val="superscript"/>
    </w:rPr>
  </w:style>
  <w:style w:type="paragraph" w:styleId="Textodenotaderodap">
    <w:name w:val="footnote text"/>
    <w:link w:val="TextodenotaderodapChar"/>
    <w:uiPriority w:val="99"/>
    <w:semiHidden/>
    <w:unhideWhenUsed/>
    <w:rPr>
      <w:sz w:val="20"/>
      <w:szCs w:val="20"/>
    </w:rPr>
  </w:style>
  <w:style w:type="character" w:styleId="TextodenotaderodapChar" w:customStyle="1">
    <w:name w:val="Texto de nota de rodapé Char"/>
    <w:link w:val="Textodenotaderodap"/>
    <w:uiPriority w:val="99"/>
    <w:semiHidden/>
    <w:unhideWhenUsed/>
    <w:rPr>
      <w:sz w:val="20"/>
      <w:szCs w:val="20"/>
    </w:rPr>
  </w:style>
  <w:style w:type="character" w:styleId="Refdenotadefim">
    <w:name w:val="endnote reference"/>
    <w:uiPriority w:val="99"/>
    <w:semiHidden/>
    <w:unhideWhenUsed/>
    <w:rPr>
      <w:vertAlign w:val="superscript"/>
    </w:rPr>
  </w:style>
  <w:style w:type="paragraph" w:styleId="Textodenotadefim">
    <w:name w:val="endnote text"/>
    <w:link w:val="TextodenotadefimChar"/>
    <w:uiPriority w:val="99"/>
    <w:semiHidden/>
    <w:unhideWhenUsed/>
    <w:rPr>
      <w:sz w:val="20"/>
      <w:szCs w:val="20"/>
    </w:rPr>
  </w:style>
  <w:style w:type="character" w:styleId="TextodenotadefimChar" w:customStyle="1">
    <w:name w:val="Texto de nota de fim Char"/>
    <w:link w:val="Textodenotadefim"/>
    <w:uiPriority w:val="99"/>
    <w:semiHidden/>
    <w:unhideWhenUsed/>
    <w:rPr>
      <w:sz w:val="20"/>
      <w:szCs w:val="20"/>
    </w:rPr>
  </w:style>
  <w:style w:type="character" w:styleId="normaltextrun" w:customStyle="1">
    <w:name w:val="normaltextrun"/>
    <w:basedOn w:val="Fontepargpadro"/>
    <w:rsid w:val="008F0841"/>
  </w:style>
  <w:style w:type="character" w:styleId="scxw144872846" w:customStyle="1">
    <w:name w:val="scxw144872846"/>
    <w:basedOn w:val="Fontepargpadro"/>
    <w:rsid w:val="008F0841"/>
  </w:style>
  <w:style w:type="character" w:styleId="eop" w:customStyle="1">
    <w:name w:val="eop"/>
    <w:basedOn w:val="Fontepargpadro"/>
    <w:rsid w:val="008F0841"/>
  </w:style>
  <w:style w:type="character" w:styleId="Refdecomentrio">
    <w:name w:val="annotation reference"/>
    <w:basedOn w:val="Fontepargpadro"/>
    <w:uiPriority w:val="99"/>
    <w:semiHidden/>
    <w:unhideWhenUsed/>
    <w:rsid w:val="0060039C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60039C"/>
    <w:rPr>
      <w:sz w:val="20"/>
      <w:szCs w:val="20"/>
    </w:rPr>
  </w:style>
  <w:style w:type="character" w:styleId="TextodecomentrioChar" w:customStyle="1">
    <w:name w:val="Texto de comentário Char"/>
    <w:basedOn w:val="Fontepargpadro"/>
    <w:link w:val="Textodecomentrio"/>
    <w:uiPriority w:val="99"/>
    <w:semiHidden/>
    <w:rsid w:val="0060039C"/>
    <w:rPr>
      <w:sz w:val="2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60039C"/>
    <w:rPr>
      <w:b/>
      <w:bCs/>
    </w:rPr>
  </w:style>
  <w:style w:type="character" w:styleId="AssuntodocomentrioChar" w:customStyle="1">
    <w:name w:val="Assunto do comentário Char"/>
    <w:basedOn w:val="TextodecomentrioChar"/>
    <w:link w:val="Assuntodocomentrio"/>
    <w:uiPriority w:val="99"/>
    <w:semiHidden/>
    <w:rsid w:val="0060039C"/>
    <w:rPr>
      <w:b/>
      <w:bCs/>
      <w:sz w:val="20"/>
      <w:szCs w:val="20"/>
    </w:rPr>
  </w:style>
  <w:style w:type="paragraph" w:styleId="Header">
    <w:uiPriority w:val="99"/>
    <w:name w:val="header"/>
    <w:basedOn w:val="Normal"/>
    <w:unhideWhenUsed/>
    <w:rsid w:val="00022892"/>
    <w:pPr>
      <w:tabs>
        <w:tab w:val="center" w:leader="none" w:pos="4680"/>
        <w:tab w:val="right" w:leader="none" w:pos="9360"/>
      </w:tabs>
      <w:spacing w:after="0" w:line="240" w:lineRule="auto"/>
    </w:pPr>
  </w:style>
  <w:style w:type="paragraph" w:styleId="Footer">
    <w:uiPriority w:val="99"/>
    <w:name w:val="footer"/>
    <w:basedOn w:val="Normal"/>
    <w:unhideWhenUsed/>
    <w:rsid w:val="00022892"/>
    <w:pPr>
      <w:tabs>
        <w:tab w:val="center" w:leader="none" w:pos="4680"/>
        <w:tab w:val="right" w:leader="none" w:pos="9360"/>
      </w:tabs>
      <w:spacing w:after="0" w:line="240" w:lineRule="auto"/>
    </w:pPr>
  </w:style>
  <w:style xmlns:w="http://schemas.openxmlformats.org/wordprocessingml/2006/main" w:type="table" w:styleId="TableGrid">
    <w:name xmlns:w="http://schemas.openxmlformats.org/wordprocessingml/2006/main" w:val="Table Grid"/>
    <w:basedOn xmlns:w="http://schemas.openxmlformats.org/wordprocessingml/2006/main" w:val="Tabelanormal"/>
    <w:uiPriority xmlns:w="http://schemas.openxmlformats.org/wordprocessingml/2006/main" w:val="59"/>
    <w:rsid xmlns:w="http://schemas.openxmlformats.org/wordprocessingml/2006/main" w:val="00FB4123"/>
    <w:pPr xmlns:w="http://schemas.openxmlformats.org/wordprocessingml/2006/main">
      <w:spacing w:after="0" w:line="240" w:lineRule="auto"/>
    </w:pPr>
    <w:tblPr xmlns:w="http://schemas.openxmlformats.org/wordprocessingml/2006/main"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&#65279;<?xml version="1.0" encoding="utf-8"?><Relationships xmlns="http://schemas.openxmlformats.org/package/2006/relationships"><Relationship Type="http://schemas.openxmlformats.org/officeDocument/2006/relationships/settings" Target="settings.xml" Id="rId3" /><Relationship Type="http://schemas.openxmlformats.org/officeDocument/2006/relationships/header" Target="header1.xml" Id="rId12" /><Relationship Type="http://schemas.openxmlformats.org/officeDocument/2006/relationships/styles" Target="styles.xml" Id="rId2" /><Relationship Type="http://schemas.openxmlformats.org/officeDocument/2006/relationships/theme" Target="theme/theme1.xm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notes" Target="footnotes.xml" Id="rId5" /><Relationship Type="http://schemas.microsoft.com/office/2011/relationships/people" Target="people.xml" Id="rId15" /><Relationship Type="http://schemas.microsoft.com/office/2016/09/relationships/commentsIds" Target="commentsIds.xml" Id="rId10" /><Relationship Type="http://schemas.openxmlformats.org/officeDocument/2006/relationships/webSettings" Target="webSettings.xml" Id="rId4" /><Relationship Type="http://schemas.microsoft.com/office/2011/relationships/commentsExtended" Target="commentsExtended.xml" Id="rId9" /><Relationship Type="http://schemas.openxmlformats.org/officeDocument/2006/relationships/fontTable" Target="fontTable.xml" Id="rId14" /><Relationship Type="http://schemas.openxmlformats.org/officeDocument/2006/relationships/footer" Target="footer2.xml" Id="Raceaf5554edc4d9d" /></Relationships>
</file>

<file path=word/_rels/header1.xml.rels>&#65279;<?xml version="1.0" encoding="utf-8"?><Relationships xmlns="http://schemas.openxmlformats.org/package/2006/relationships"><Relationship Type="http://schemas.openxmlformats.org/officeDocument/2006/relationships/image" Target="/media/image2.png" Id="rId1572217678" /><Relationship Type="http://schemas.openxmlformats.org/officeDocument/2006/relationships/image" Target="/media/image3.png" Id="rId2143019706" /></Relationships>
</file>

<file path=word/theme/theme1.xml><?xml version="1.0" encoding="utf-8"?>
<a:theme xmlns:a="http://schemas.openxmlformats.org/drawingml/2006/main" xmlns:thm15="http://schemas.microsoft.com/office/thememl/2012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/>
</file>