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FA54" w14:textId="0DF491FE" w:rsidR="005C675B" w:rsidRDefault="009F4B79">
      <w:pPr>
        <w:spacing w:after="80"/>
        <w:jc w:val="center"/>
        <w:rPr>
          <w:b/>
          <w:bCs/>
          <w:color w:val="1B4F72"/>
          <w:sz w:val="36"/>
          <w:szCs w:val="36"/>
        </w:rPr>
      </w:pPr>
      <w:r w:rsidRPr="00276598">
        <w:rPr>
          <w:b/>
          <w:bCs/>
          <w:noProof/>
          <w:color w:val="1F3864"/>
          <w:sz w:val="52"/>
          <w:szCs w:val="52"/>
        </w:rPr>
        <w:drawing>
          <wp:anchor distT="0" distB="0" distL="114300" distR="114300" simplePos="0" relativeHeight="251658240" behindDoc="1" locked="0" layoutInCell="1" allowOverlap="1" wp14:anchorId="7A91729E" wp14:editId="40D67A16">
            <wp:simplePos x="0" y="0"/>
            <wp:positionH relativeFrom="column">
              <wp:posOffset>-933450</wp:posOffset>
            </wp:positionH>
            <wp:positionV relativeFrom="paragraph">
              <wp:posOffset>-914400</wp:posOffset>
            </wp:positionV>
            <wp:extent cx="7785312" cy="1943100"/>
            <wp:effectExtent l="0" t="0" r="6350" b="0"/>
            <wp:wrapNone/>
            <wp:docPr id="14070830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083074"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5312"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50F5">
        <w:rPr>
          <w:b/>
          <w:bCs/>
          <w:color w:val="1B4F72"/>
          <w:sz w:val="36"/>
          <w:szCs w:val="36"/>
        </w:rPr>
        <w:tab/>
      </w:r>
    </w:p>
    <w:p w14:paraId="2546CF10" w14:textId="77777777" w:rsidR="005C675B" w:rsidRDefault="005C675B">
      <w:pPr>
        <w:spacing w:after="80"/>
        <w:jc w:val="center"/>
        <w:rPr>
          <w:b/>
          <w:bCs/>
          <w:color w:val="1B4F72"/>
          <w:sz w:val="36"/>
          <w:szCs w:val="36"/>
        </w:rPr>
      </w:pPr>
    </w:p>
    <w:p w14:paraId="2E8F4CB0" w14:textId="77777777" w:rsidR="005C675B" w:rsidRDefault="005C675B">
      <w:pPr>
        <w:spacing w:after="80"/>
        <w:jc w:val="center"/>
        <w:rPr>
          <w:b/>
          <w:bCs/>
          <w:color w:val="1B4F72"/>
          <w:sz w:val="36"/>
          <w:szCs w:val="36"/>
        </w:rPr>
      </w:pPr>
    </w:p>
    <w:p w14:paraId="5617E0A4" w14:textId="77777777" w:rsidR="005C675B" w:rsidRDefault="005C675B">
      <w:pPr>
        <w:spacing w:after="80"/>
        <w:jc w:val="center"/>
        <w:rPr>
          <w:b/>
          <w:bCs/>
          <w:color w:val="1B4F72"/>
          <w:sz w:val="36"/>
          <w:szCs w:val="36"/>
        </w:rPr>
      </w:pPr>
    </w:p>
    <w:p w14:paraId="68F9849C" w14:textId="77777777" w:rsidR="00DB43E6" w:rsidRDefault="00DB43E6" w:rsidP="00DB43E6">
      <w:pPr>
        <w:spacing w:after="80"/>
        <w:rPr>
          <w:b/>
          <w:bCs/>
          <w:color w:val="1B4F72"/>
          <w:sz w:val="36"/>
          <w:szCs w:val="36"/>
        </w:rPr>
      </w:pPr>
    </w:p>
    <w:p w14:paraId="62113402" w14:textId="77777777" w:rsidR="00D36AF5" w:rsidRDefault="00D36AF5" w:rsidP="00DB43E6">
      <w:pPr>
        <w:spacing w:after="80"/>
        <w:rPr>
          <w:b/>
          <w:bCs/>
          <w:color w:val="1B4F72"/>
          <w:sz w:val="36"/>
          <w:szCs w:val="36"/>
        </w:rPr>
      </w:pPr>
    </w:p>
    <w:p w14:paraId="5F1A6A8B" w14:textId="77777777" w:rsidR="00D36AF5" w:rsidRDefault="00D36AF5" w:rsidP="00DB43E6">
      <w:pPr>
        <w:spacing w:after="80"/>
        <w:rPr>
          <w:b/>
          <w:bCs/>
          <w:color w:val="1B4F72"/>
          <w:sz w:val="36"/>
          <w:szCs w:val="36"/>
        </w:rPr>
      </w:pPr>
    </w:p>
    <w:tbl>
      <w:tblPr>
        <w:tblStyle w:val="TableGrid"/>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5"/>
      </w:tblGrid>
      <w:tr w:rsidR="00C25A06" w:rsidRPr="00500457" w14:paraId="72179E05" w14:textId="77777777" w:rsidTr="00110A6E">
        <w:trPr>
          <w:trHeight w:val="386"/>
        </w:trPr>
        <w:tc>
          <w:tcPr>
            <w:tcW w:w="9355" w:type="dxa"/>
            <w:shd w:val="clear" w:color="auto" w:fill="C00000"/>
            <w:vAlign w:val="center"/>
          </w:tcPr>
          <w:p w14:paraId="2F8A9234" w14:textId="77777777" w:rsidR="00C25A06" w:rsidRPr="00C02E3D" w:rsidRDefault="00C25A06" w:rsidP="00B95656">
            <w:pPr>
              <w:spacing w:before="80" w:after="80"/>
              <w:rPr>
                <w:color w:val="FFFFFF" w:themeColor="background1"/>
                <w:sz w:val="20"/>
                <w:szCs w:val="20"/>
              </w:rPr>
            </w:pPr>
            <w:r w:rsidRPr="00C02E3D">
              <w:rPr>
                <w:color w:val="FFFFFF" w:themeColor="background1"/>
                <w:sz w:val="20"/>
                <w:szCs w:val="20"/>
              </w:rPr>
              <w:t>Note for user</w:t>
            </w:r>
          </w:p>
        </w:tc>
      </w:tr>
      <w:tr w:rsidR="00C25A06" w:rsidRPr="00500457" w14:paraId="5B9B8F27" w14:textId="77777777" w:rsidTr="00B95656">
        <w:trPr>
          <w:trHeight w:val="1178"/>
        </w:trPr>
        <w:tc>
          <w:tcPr>
            <w:tcW w:w="9355" w:type="dxa"/>
            <w:shd w:val="clear" w:color="auto" w:fill="FFC9C9"/>
            <w:vAlign w:val="center"/>
          </w:tcPr>
          <w:p w14:paraId="0F160A73" w14:textId="31D1D231" w:rsidR="00C25A06" w:rsidRDefault="00B95656" w:rsidP="00B95656">
            <w:pPr>
              <w:spacing w:before="80" w:after="80"/>
              <w:rPr>
                <w:sz w:val="20"/>
                <w:szCs w:val="20"/>
              </w:rPr>
            </w:pPr>
            <w:r w:rsidRPr="00B95656">
              <w:rPr>
                <w:sz w:val="20"/>
                <w:szCs w:val="20"/>
              </w:rPr>
              <w:t xml:space="preserve">This template illustrates how data findings are presented through tables and charts. To show how each element will look when populated, the tables and charts are filled with sample data. If you are using this document as a starting point for new work, replace this sample data with figures for your own community. All table data appears in </w:t>
            </w:r>
            <w:r w:rsidRPr="00B95656">
              <w:rPr>
                <w:b/>
                <w:bCs/>
                <w:color w:val="C00000"/>
                <w:sz w:val="20"/>
                <w:szCs w:val="20"/>
                <w:u w:val="single"/>
              </w:rPr>
              <w:t>red</w:t>
            </w:r>
            <w:r w:rsidRPr="00B95656">
              <w:rPr>
                <w:color w:val="C00000"/>
                <w:sz w:val="20"/>
                <w:szCs w:val="20"/>
              </w:rPr>
              <w:t xml:space="preserve"> </w:t>
            </w:r>
            <w:r w:rsidRPr="00B95656">
              <w:rPr>
                <w:sz w:val="20"/>
                <w:szCs w:val="20"/>
              </w:rPr>
              <w:t>font as a reminder that it needs to be changed.</w:t>
            </w:r>
          </w:p>
        </w:tc>
      </w:tr>
    </w:tbl>
    <w:p w14:paraId="6D17D666" w14:textId="77777777" w:rsidR="00FB5191" w:rsidRDefault="00FB5191" w:rsidP="003C59F9">
      <w:pPr>
        <w:spacing w:after="80"/>
        <w:rPr>
          <w:b/>
          <w:bCs/>
          <w:color w:val="1B4F72"/>
          <w:sz w:val="36"/>
          <w:szCs w:val="36"/>
        </w:rPr>
      </w:pPr>
    </w:p>
    <w:p w14:paraId="312808C0" w14:textId="77777777" w:rsidR="00FB5191" w:rsidRDefault="00FB5191" w:rsidP="003C59F9">
      <w:pPr>
        <w:spacing w:after="80"/>
        <w:rPr>
          <w:b/>
          <w:bCs/>
          <w:color w:val="1B4F72"/>
          <w:sz w:val="36"/>
          <w:szCs w:val="36"/>
        </w:rPr>
      </w:pPr>
    </w:p>
    <w:p w14:paraId="096D0F4F" w14:textId="0E56B495" w:rsidR="0043538E" w:rsidRPr="003C59F9" w:rsidRDefault="000511ED" w:rsidP="00F76304">
      <w:pPr>
        <w:spacing w:after="80"/>
        <w:rPr>
          <w:rFonts w:ascii="Bahnschrift" w:hAnsi="Bahnschrift"/>
          <w:b/>
          <w:color w:val="42618C" w:themeColor="accent3"/>
          <w:sz w:val="44"/>
          <w:szCs w:val="44"/>
        </w:rPr>
      </w:pPr>
      <w:r w:rsidRPr="003C59F9">
        <w:rPr>
          <w:rFonts w:ascii="Bahnschrift" w:hAnsi="Bahnschrift"/>
          <w:b/>
          <w:color w:val="42618C" w:themeColor="accent3"/>
          <w:sz w:val="44"/>
          <w:szCs w:val="44"/>
        </w:rPr>
        <w:t>HOUSING NEEDS ASSESSMENT</w:t>
      </w:r>
    </w:p>
    <w:p w14:paraId="41DC5DAF" w14:textId="77777777" w:rsidR="00DB43E6" w:rsidRDefault="00DB43E6" w:rsidP="00DA1CB0"/>
    <w:p w14:paraId="75171BE5" w14:textId="77777777" w:rsidR="00DB43E6" w:rsidRDefault="00DB43E6" w:rsidP="00DA1CB0"/>
    <w:p w14:paraId="28470CE5" w14:textId="77777777" w:rsidR="00DB43E6" w:rsidRDefault="00DB43E6" w:rsidP="00DA1CB0"/>
    <w:p w14:paraId="501E1426" w14:textId="77777777" w:rsidR="00254D4B" w:rsidRDefault="00254D4B" w:rsidP="00DA1CB0"/>
    <w:p w14:paraId="577505A9" w14:textId="77777777" w:rsidR="00DA1CB0" w:rsidRDefault="00DA1CB0" w:rsidP="00DA1CB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760"/>
      </w:tblGrid>
      <w:tr w:rsidR="00DA1CB0" w:rsidRPr="00DA1CB0" w14:paraId="0BA295BE" w14:textId="77777777" w:rsidTr="003C59F9">
        <w:trPr>
          <w:trHeight w:val="432"/>
        </w:trPr>
        <w:tc>
          <w:tcPr>
            <w:tcW w:w="3150" w:type="dxa"/>
            <w:vAlign w:val="center"/>
          </w:tcPr>
          <w:p w14:paraId="60E2DC86" w14:textId="4AA421B8" w:rsidR="00DA1CB0" w:rsidRPr="003C59F9" w:rsidRDefault="00DA1CB0" w:rsidP="00DA1CB0">
            <w:pPr>
              <w:rPr>
                <w:rFonts w:ascii="Bahnschrift" w:hAnsi="Bahnschrift"/>
                <w:b/>
                <w:bCs/>
              </w:rPr>
            </w:pPr>
            <w:r w:rsidRPr="003C59F9">
              <w:rPr>
                <w:rFonts w:ascii="Bahnschrift" w:hAnsi="Bahnschrift"/>
                <w:b/>
                <w:bCs/>
              </w:rPr>
              <w:t>Community</w:t>
            </w:r>
            <w:r w:rsidR="000D071D" w:rsidRPr="003C59F9">
              <w:rPr>
                <w:rFonts w:ascii="Bahnschrift" w:hAnsi="Bahnschrift"/>
                <w:b/>
                <w:bCs/>
              </w:rPr>
              <w:t xml:space="preserve"> studied</w:t>
            </w:r>
            <w:r w:rsidRPr="003C59F9">
              <w:rPr>
                <w:rFonts w:ascii="Bahnschrift" w:hAnsi="Bahnschrift"/>
                <w:b/>
                <w:bCs/>
              </w:rPr>
              <w:t>:</w:t>
            </w:r>
          </w:p>
        </w:tc>
        <w:tc>
          <w:tcPr>
            <w:tcW w:w="5760" w:type="dxa"/>
            <w:vAlign w:val="center"/>
          </w:tcPr>
          <w:p w14:paraId="7A32D858" w14:textId="27EF9F66" w:rsidR="00DA1CB0" w:rsidRPr="003C59F9" w:rsidRDefault="002042B1" w:rsidP="00DA1CB0">
            <w:pPr>
              <w:rPr>
                <w:rFonts w:ascii="Bahnschrift" w:hAnsi="Bahnschrift"/>
              </w:rPr>
            </w:pPr>
            <w:r w:rsidRPr="002042B1">
              <w:rPr>
                <w:rFonts w:ascii="Bahnschrift" w:hAnsi="Bahnschrift"/>
                <w:color w:val="C00000"/>
              </w:rPr>
              <w:t>[</w:t>
            </w:r>
            <w:r w:rsidR="00087930">
              <w:rPr>
                <w:rFonts w:ascii="Bahnschrift" w:hAnsi="Bahnschrift"/>
                <w:color w:val="C00000"/>
              </w:rPr>
              <w:t xml:space="preserve"> </w:t>
            </w:r>
            <w:r w:rsidRPr="002042B1">
              <w:rPr>
                <w:rFonts w:ascii="Bahnschrift" w:hAnsi="Bahnschrift"/>
                <w:color w:val="C00000"/>
              </w:rPr>
              <w:t>community name ]</w:t>
            </w:r>
          </w:p>
        </w:tc>
      </w:tr>
      <w:tr w:rsidR="000D071D" w:rsidRPr="00DA1CB0" w14:paraId="5A8A39C5" w14:textId="77777777" w:rsidTr="003C59F9">
        <w:trPr>
          <w:trHeight w:val="432"/>
        </w:trPr>
        <w:tc>
          <w:tcPr>
            <w:tcW w:w="3150" w:type="dxa"/>
            <w:vAlign w:val="center"/>
          </w:tcPr>
          <w:p w14:paraId="1D7560CE" w14:textId="40B198CC" w:rsidR="000D071D" w:rsidRPr="003C59F9" w:rsidRDefault="000D071D" w:rsidP="000D071D">
            <w:pPr>
              <w:rPr>
                <w:rFonts w:ascii="Bahnschrift" w:hAnsi="Bahnschrift"/>
                <w:b/>
                <w:bCs/>
              </w:rPr>
            </w:pPr>
            <w:r w:rsidRPr="003C59F9">
              <w:rPr>
                <w:rFonts w:ascii="Bahnschrift" w:hAnsi="Bahnschrift"/>
                <w:b/>
                <w:bCs/>
              </w:rPr>
              <w:t xml:space="preserve">Census subdivision #: </w:t>
            </w:r>
          </w:p>
        </w:tc>
        <w:tc>
          <w:tcPr>
            <w:tcW w:w="5760" w:type="dxa"/>
            <w:vAlign w:val="center"/>
          </w:tcPr>
          <w:p w14:paraId="3B0F71B6" w14:textId="02C438DB" w:rsidR="000D071D" w:rsidRPr="003C59F9" w:rsidRDefault="002042B1" w:rsidP="000D071D">
            <w:pPr>
              <w:rPr>
                <w:rFonts w:ascii="Bahnschrift" w:hAnsi="Bahnschrift"/>
              </w:rPr>
            </w:pPr>
            <w:r w:rsidRPr="002042B1">
              <w:rPr>
                <w:rFonts w:ascii="Bahnschrift" w:hAnsi="Bahnschrift"/>
                <w:color w:val="C00000"/>
              </w:rPr>
              <w:t>[</w:t>
            </w:r>
            <w:r w:rsidR="00087930">
              <w:rPr>
                <w:rFonts w:ascii="Bahnschrift" w:hAnsi="Bahnschrift"/>
                <w:color w:val="C00000"/>
              </w:rPr>
              <w:t xml:space="preserve"> </w:t>
            </w:r>
            <w:r w:rsidRPr="002042B1">
              <w:rPr>
                <w:rFonts w:ascii="Bahnschrift" w:hAnsi="Bahnschrift"/>
                <w:color w:val="C00000"/>
              </w:rPr>
              <w:t>CSD geocode ]</w:t>
            </w:r>
          </w:p>
        </w:tc>
      </w:tr>
      <w:tr w:rsidR="002267C0" w:rsidRPr="00DA1CB0" w14:paraId="54BD2D6F" w14:textId="77777777" w:rsidTr="003C59F9">
        <w:trPr>
          <w:trHeight w:val="432"/>
        </w:trPr>
        <w:tc>
          <w:tcPr>
            <w:tcW w:w="3150" w:type="dxa"/>
            <w:vAlign w:val="center"/>
          </w:tcPr>
          <w:p w14:paraId="708C152D" w14:textId="77777777" w:rsidR="002267C0" w:rsidRPr="003C59F9" w:rsidRDefault="002267C0" w:rsidP="002267C0">
            <w:pPr>
              <w:rPr>
                <w:rFonts w:ascii="Bahnschrift" w:hAnsi="Bahnschrift"/>
                <w:b/>
                <w:bCs/>
              </w:rPr>
            </w:pPr>
          </w:p>
        </w:tc>
        <w:tc>
          <w:tcPr>
            <w:tcW w:w="5760" w:type="dxa"/>
            <w:vAlign w:val="center"/>
          </w:tcPr>
          <w:p w14:paraId="4915647F" w14:textId="77777777" w:rsidR="002267C0" w:rsidRPr="003C59F9" w:rsidRDefault="002267C0" w:rsidP="002267C0">
            <w:pPr>
              <w:rPr>
                <w:rFonts w:ascii="Bahnschrift" w:hAnsi="Bahnschrift"/>
              </w:rPr>
            </w:pPr>
          </w:p>
        </w:tc>
      </w:tr>
      <w:tr w:rsidR="000D071D" w:rsidRPr="004B13FF" w14:paraId="1D4DA96D" w14:textId="77777777" w:rsidTr="003C59F9">
        <w:trPr>
          <w:trHeight w:val="432"/>
        </w:trPr>
        <w:tc>
          <w:tcPr>
            <w:tcW w:w="3150" w:type="dxa"/>
            <w:vAlign w:val="center"/>
          </w:tcPr>
          <w:p w14:paraId="57FEBD47" w14:textId="1A2FB924" w:rsidR="000D071D" w:rsidRPr="003C59F9" w:rsidRDefault="000D071D" w:rsidP="000D071D">
            <w:pPr>
              <w:rPr>
                <w:rFonts w:ascii="Bahnschrift" w:hAnsi="Bahnschrift"/>
                <w:b/>
                <w:bCs/>
              </w:rPr>
            </w:pPr>
            <w:r w:rsidRPr="003C59F9">
              <w:rPr>
                <w:rFonts w:ascii="Bahnschrift" w:hAnsi="Bahnschrift"/>
                <w:b/>
                <w:bCs/>
              </w:rPr>
              <w:t>Region:</w:t>
            </w:r>
          </w:p>
        </w:tc>
        <w:tc>
          <w:tcPr>
            <w:tcW w:w="5760" w:type="dxa"/>
            <w:vAlign w:val="center"/>
          </w:tcPr>
          <w:p w14:paraId="62B0377D" w14:textId="7EF41099" w:rsidR="000D071D" w:rsidRPr="004B13FF" w:rsidRDefault="002042B1" w:rsidP="000D071D">
            <w:pPr>
              <w:rPr>
                <w:rFonts w:ascii="Bahnschrift" w:hAnsi="Bahnschrift"/>
              </w:rPr>
            </w:pPr>
            <w:r w:rsidRPr="004B13FF">
              <w:rPr>
                <w:rFonts w:ascii="Bahnschrift" w:hAnsi="Bahnschrift"/>
                <w:color w:val="C00000"/>
              </w:rPr>
              <w:t>[</w:t>
            </w:r>
            <w:r w:rsidR="00087930">
              <w:rPr>
                <w:rFonts w:ascii="Bahnschrift" w:hAnsi="Bahnschrift"/>
                <w:color w:val="C00000"/>
              </w:rPr>
              <w:t xml:space="preserve"> </w:t>
            </w:r>
            <w:r w:rsidR="004B13FF" w:rsidRPr="004B13FF">
              <w:rPr>
                <w:rFonts w:ascii="Bahnschrift" w:hAnsi="Bahnschrift"/>
                <w:color w:val="C00000"/>
              </w:rPr>
              <w:t xml:space="preserve">applicable Census Division </w:t>
            </w:r>
            <w:r w:rsidR="004B13FF">
              <w:rPr>
                <w:rFonts w:ascii="Bahnschrift" w:hAnsi="Bahnschrift"/>
                <w:color w:val="C00000"/>
              </w:rPr>
              <w:t xml:space="preserve">name </w:t>
            </w:r>
            <w:r w:rsidR="004B13FF" w:rsidRPr="004B13FF">
              <w:rPr>
                <w:rFonts w:ascii="Bahnschrift" w:hAnsi="Bahnschrift"/>
                <w:color w:val="C00000"/>
              </w:rPr>
              <w:t>(e.g., county, regional district, etc</w:t>
            </w:r>
            <w:r w:rsidR="00700842">
              <w:rPr>
                <w:rFonts w:ascii="Bahnschrift" w:hAnsi="Bahnschrift"/>
                <w:color w:val="C00000"/>
              </w:rPr>
              <w:t>.</w:t>
            </w:r>
            <w:r w:rsidR="004B13FF" w:rsidRPr="004B13FF">
              <w:rPr>
                <w:rFonts w:ascii="Bahnschrift" w:hAnsi="Bahnschrift"/>
                <w:color w:val="C00000"/>
              </w:rPr>
              <w:t>) ]</w:t>
            </w:r>
          </w:p>
        </w:tc>
      </w:tr>
      <w:tr w:rsidR="00DA1CB0" w:rsidRPr="00DA1CB0" w14:paraId="052F9BCA" w14:textId="77777777" w:rsidTr="003C59F9">
        <w:trPr>
          <w:trHeight w:val="432"/>
        </w:trPr>
        <w:tc>
          <w:tcPr>
            <w:tcW w:w="3150" w:type="dxa"/>
            <w:vAlign w:val="center"/>
          </w:tcPr>
          <w:p w14:paraId="6EAC958E" w14:textId="3538AC15" w:rsidR="00DA1CB0" w:rsidRPr="003C59F9" w:rsidRDefault="00DA1CB0" w:rsidP="00DA1CB0">
            <w:pPr>
              <w:rPr>
                <w:rFonts w:ascii="Bahnschrift" w:hAnsi="Bahnschrift"/>
                <w:b/>
                <w:bCs/>
              </w:rPr>
            </w:pPr>
            <w:r w:rsidRPr="003C59F9">
              <w:rPr>
                <w:rFonts w:ascii="Bahnschrift" w:hAnsi="Bahnschrift"/>
                <w:b/>
                <w:bCs/>
              </w:rPr>
              <w:t>Province:</w:t>
            </w:r>
          </w:p>
        </w:tc>
        <w:tc>
          <w:tcPr>
            <w:tcW w:w="5760" w:type="dxa"/>
            <w:vAlign w:val="center"/>
          </w:tcPr>
          <w:p w14:paraId="6DF2583A" w14:textId="5078AF10" w:rsidR="00DA1CB0" w:rsidRPr="003C59F9" w:rsidRDefault="004B13FF" w:rsidP="00DA1CB0">
            <w:pPr>
              <w:rPr>
                <w:rFonts w:ascii="Bahnschrift" w:hAnsi="Bahnschrift"/>
              </w:rPr>
            </w:pPr>
            <w:r w:rsidRPr="004B13FF">
              <w:rPr>
                <w:rFonts w:ascii="Bahnschrift" w:hAnsi="Bahnschrift"/>
                <w:color w:val="C00000"/>
              </w:rPr>
              <w:t>[</w:t>
            </w:r>
            <w:r w:rsidR="00087930">
              <w:rPr>
                <w:rFonts w:ascii="Bahnschrift" w:hAnsi="Bahnschrift"/>
                <w:color w:val="C00000"/>
              </w:rPr>
              <w:t xml:space="preserve"> </w:t>
            </w:r>
            <w:r w:rsidRPr="004B13FF">
              <w:rPr>
                <w:rFonts w:ascii="Bahnschrift" w:hAnsi="Bahnschrift"/>
                <w:color w:val="C00000"/>
              </w:rPr>
              <w:t>applicable province name ]</w:t>
            </w:r>
          </w:p>
        </w:tc>
      </w:tr>
      <w:tr w:rsidR="00DA1CB0" w:rsidRPr="00DA1CB0" w14:paraId="0944A3DE" w14:textId="77777777" w:rsidTr="003C59F9">
        <w:trPr>
          <w:trHeight w:val="432"/>
        </w:trPr>
        <w:tc>
          <w:tcPr>
            <w:tcW w:w="3150" w:type="dxa"/>
            <w:vAlign w:val="center"/>
          </w:tcPr>
          <w:p w14:paraId="444FE3BC" w14:textId="77777777" w:rsidR="00DA1CB0" w:rsidRPr="003C59F9" w:rsidRDefault="00DA1CB0" w:rsidP="00DA1CB0">
            <w:pPr>
              <w:rPr>
                <w:rFonts w:ascii="Bahnschrift" w:hAnsi="Bahnschrift"/>
                <w:b/>
                <w:bCs/>
              </w:rPr>
            </w:pPr>
          </w:p>
        </w:tc>
        <w:tc>
          <w:tcPr>
            <w:tcW w:w="5760" w:type="dxa"/>
            <w:vAlign w:val="center"/>
          </w:tcPr>
          <w:p w14:paraId="47E07711" w14:textId="77777777" w:rsidR="00DA1CB0" w:rsidRPr="003C59F9" w:rsidRDefault="00DA1CB0" w:rsidP="00DA1CB0">
            <w:pPr>
              <w:rPr>
                <w:rFonts w:ascii="Bahnschrift" w:hAnsi="Bahnschrift"/>
              </w:rPr>
            </w:pPr>
          </w:p>
        </w:tc>
      </w:tr>
      <w:tr w:rsidR="00DA1CB0" w:rsidRPr="00DA1CB0" w14:paraId="0C09E428" w14:textId="77777777" w:rsidTr="003C59F9">
        <w:trPr>
          <w:trHeight w:val="432"/>
        </w:trPr>
        <w:tc>
          <w:tcPr>
            <w:tcW w:w="3150" w:type="dxa"/>
            <w:vAlign w:val="center"/>
          </w:tcPr>
          <w:p w14:paraId="05EF6863" w14:textId="72972940" w:rsidR="00DA1CB0" w:rsidRPr="003C59F9" w:rsidRDefault="00DA1CB0" w:rsidP="00DA1CB0">
            <w:pPr>
              <w:rPr>
                <w:rFonts w:ascii="Bahnschrift" w:hAnsi="Bahnschrift"/>
                <w:b/>
                <w:bCs/>
              </w:rPr>
            </w:pPr>
            <w:r w:rsidRPr="003C59F9">
              <w:rPr>
                <w:rFonts w:ascii="Bahnschrift" w:hAnsi="Bahnschrift"/>
                <w:b/>
                <w:bCs/>
              </w:rPr>
              <w:t>Effective data</w:t>
            </w:r>
            <w:r w:rsidR="00BE2EE2" w:rsidRPr="003C59F9">
              <w:rPr>
                <w:rFonts w:ascii="Bahnschrift" w:hAnsi="Bahnschrift"/>
                <w:b/>
                <w:bCs/>
              </w:rPr>
              <w:t>:</w:t>
            </w:r>
          </w:p>
        </w:tc>
        <w:tc>
          <w:tcPr>
            <w:tcW w:w="5760" w:type="dxa"/>
            <w:vAlign w:val="center"/>
          </w:tcPr>
          <w:p w14:paraId="4C8456FC" w14:textId="647D42B6" w:rsidR="00DA1CB0" w:rsidRPr="003C59F9" w:rsidRDefault="004B13FF" w:rsidP="00DA1CB0">
            <w:pPr>
              <w:rPr>
                <w:rFonts w:ascii="Bahnschrift" w:hAnsi="Bahnschrift"/>
              </w:rPr>
            </w:pPr>
            <w:r w:rsidRPr="00087930">
              <w:rPr>
                <w:rFonts w:ascii="Bahnschrift" w:hAnsi="Bahnschrift"/>
                <w:color w:val="C00000"/>
              </w:rPr>
              <w:t>[</w:t>
            </w:r>
            <w:r w:rsidR="00087930" w:rsidRPr="00087930">
              <w:rPr>
                <w:rFonts w:ascii="Bahnschrift" w:hAnsi="Bahnschrift"/>
                <w:color w:val="C00000"/>
              </w:rPr>
              <w:t xml:space="preserve"> date when data pulled ]</w:t>
            </w:r>
            <w:r w:rsidR="00087930">
              <w:rPr>
                <w:rFonts w:ascii="Bahnschrift" w:hAnsi="Bahnschrift"/>
                <w:color w:val="000000"/>
              </w:rPr>
              <w:t xml:space="preserve"> </w:t>
            </w:r>
          </w:p>
        </w:tc>
      </w:tr>
    </w:tbl>
    <w:p w14:paraId="5DF20B81" w14:textId="77777777" w:rsidR="009F4B79" w:rsidRDefault="009F4B79" w:rsidP="003656DC">
      <w:pPr>
        <w:spacing w:after="120"/>
        <w:rPr>
          <w:b/>
          <w:bCs/>
        </w:rPr>
      </w:pPr>
    </w:p>
    <w:p w14:paraId="5C3ECEC0" w14:textId="77777777" w:rsidR="00E7032B" w:rsidRDefault="00E7032B" w:rsidP="003656DC">
      <w:pPr>
        <w:spacing w:after="120"/>
        <w:rPr>
          <w:b/>
          <w:bCs/>
        </w:rPr>
      </w:pPr>
    </w:p>
    <w:p w14:paraId="4193D57C" w14:textId="77777777" w:rsidR="00E7032B" w:rsidRDefault="00E7032B" w:rsidP="003656DC">
      <w:pPr>
        <w:spacing w:after="120"/>
        <w:rPr>
          <w:b/>
          <w:bCs/>
        </w:rPr>
      </w:pPr>
    </w:p>
    <w:p w14:paraId="2D7D3AEA" w14:textId="77777777" w:rsidR="00E7032B" w:rsidRDefault="00E7032B" w:rsidP="003656DC">
      <w:pPr>
        <w:spacing w:after="120"/>
        <w:rPr>
          <w:b/>
          <w:bCs/>
        </w:rPr>
      </w:pPr>
    </w:p>
    <w:p w14:paraId="1988E56D" w14:textId="77777777" w:rsidR="00E7032B" w:rsidRPr="00E7032B" w:rsidRDefault="00E7032B" w:rsidP="00E7032B">
      <w:pPr>
        <w:spacing w:after="120"/>
        <w:rPr>
          <w:sz w:val="16"/>
          <w:szCs w:val="16"/>
        </w:rPr>
      </w:pPr>
      <w:r w:rsidRPr="00E7032B">
        <w:rPr>
          <w:sz w:val="16"/>
          <w:szCs w:val="16"/>
        </w:rPr>
        <w:t>© 2026 Turner Drake &amp; Partners Ltd. Licensed under CC BY 4.0.</w:t>
      </w:r>
    </w:p>
    <w:p w14:paraId="60C80DFA" w14:textId="696B4651" w:rsidR="00E7032B" w:rsidRDefault="00E7032B" w:rsidP="003656DC">
      <w:pPr>
        <w:spacing w:after="120"/>
        <w:rPr>
          <w:b/>
          <w:bCs/>
        </w:rPr>
        <w:sectPr w:rsidR="00E7032B" w:rsidSect="00B41305">
          <w:footerReference w:type="default" r:id="rId12"/>
          <w:pgSz w:w="12240" w:h="15840"/>
          <w:pgMar w:top="1440" w:right="1440" w:bottom="1440" w:left="1440" w:header="708" w:footer="708" w:gutter="0"/>
          <w:pgNumType w:fmt="lowerRoman" w:start="0"/>
          <w:cols w:space="720"/>
          <w:titlePg/>
          <w:docGrid w:linePitch="360"/>
        </w:sectPr>
      </w:pPr>
    </w:p>
    <w:tbl>
      <w:tblPr>
        <w:tblStyle w:val="TableGrid"/>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5"/>
      </w:tblGrid>
      <w:tr w:rsidR="002768BA" w:rsidRPr="00500457" w14:paraId="546166FD" w14:textId="77777777" w:rsidTr="00A73FC0">
        <w:trPr>
          <w:trHeight w:val="386"/>
        </w:trPr>
        <w:tc>
          <w:tcPr>
            <w:tcW w:w="9355" w:type="dxa"/>
            <w:shd w:val="clear" w:color="auto" w:fill="C00000"/>
            <w:vAlign w:val="center"/>
          </w:tcPr>
          <w:p w14:paraId="72AC3B07" w14:textId="11FC4C24" w:rsidR="002768BA" w:rsidRPr="00C841B0" w:rsidRDefault="002768BA" w:rsidP="00DE66E0">
            <w:pPr>
              <w:rPr>
                <w:color w:val="FFFFFF" w:themeColor="background1"/>
                <w:sz w:val="20"/>
                <w:szCs w:val="20"/>
              </w:rPr>
            </w:pPr>
            <w:r>
              <w:rPr>
                <w:color w:val="FFFFFF" w:themeColor="background1"/>
                <w:sz w:val="20"/>
                <w:szCs w:val="20"/>
              </w:rPr>
              <w:lastRenderedPageBreak/>
              <w:t>REPORT DISCLAIMER</w:t>
            </w:r>
          </w:p>
        </w:tc>
      </w:tr>
      <w:tr w:rsidR="002768BA" w:rsidRPr="00500457" w14:paraId="33916067" w14:textId="77777777" w:rsidTr="00A73FC0">
        <w:trPr>
          <w:trHeight w:val="5138"/>
        </w:trPr>
        <w:tc>
          <w:tcPr>
            <w:tcW w:w="9355" w:type="dxa"/>
            <w:shd w:val="clear" w:color="auto" w:fill="FFC9C9"/>
            <w:vAlign w:val="center"/>
          </w:tcPr>
          <w:p w14:paraId="6B5B536E" w14:textId="2219E793" w:rsidR="0057168F" w:rsidRDefault="0057168F" w:rsidP="0057168F">
            <w:pPr>
              <w:rPr>
                <w:sz w:val="20"/>
                <w:szCs w:val="20"/>
              </w:rPr>
            </w:pPr>
            <w:r w:rsidRPr="0057168F">
              <w:rPr>
                <w:sz w:val="20"/>
                <w:szCs w:val="20"/>
              </w:rPr>
              <w:t>This document is intended as a foundation for a Housing Needs Assessment, not a finished product. It provides a structured, data-driven starting point that practitioners are encouraged to adapt freely to suit the needs, context, and priorities of the community being assessed. Users should review all content carefully and satisfy themselves that the analysis, framing, and methodological choices are appropriate for local condition</w:t>
            </w:r>
            <w:r>
              <w:rPr>
                <w:sz w:val="20"/>
                <w:szCs w:val="20"/>
              </w:rPr>
              <w:t xml:space="preserve">s, </w:t>
            </w:r>
            <w:r w:rsidRPr="0057168F">
              <w:rPr>
                <w:sz w:val="20"/>
                <w:szCs w:val="20"/>
              </w:rPr>
              <w:t>and should revise or replace any elements that would be better addressed through a locally grounded approach.</w:t>
            </w:r>
          </w:p>
          <w:p w14:paraId="60969463" w14:textId="77777777" w:rsidR="0057168F" w:rsidRPr="0057168F" w:rsidRDefault="0057168F" w:rsidP="0057168F">
            <w:pPr>
              <w:rPr>
                <w:sz w:val="20"/>
                <w:szCs w:val="20"/>
              </w:rPr>
            </w:pPr>
          </w:p>
          <w:p w14:paraId="299C880B" w14:textId="75E11B45" w:rsidR="0057168F" w:rsidRDefault="0057168F" w:rsidP="0057168F">
            <w:pPr>
              <w:rPr>
                <w:sz w:val="20"/>
                <w:szCs w:val="20"/>
              </w:rPr>
            </w:pPr>
            <w:r w:rsidRPr="0057168F">
              <w:rPr>
                <w:sz w:val="20"/>
                <w:szCs w:val="20"/>
              </w:rPr>
              <w:t>Some sections of this document cannot be completed as part of a standardized foundation. In particular, the qualitative discussion questions required by the federal Housing Needs Assessment template depend on community-specific knowledge, consultation findings, and contextual judgment that fall outside the scope of this work. These sections are identified throughout the document by clearly marked callouts</w:t>
            </w:r>
            <w:r w:rsidR="002C648D">
              <w:rPr>
                <w:sz w:val="20"/>
                <w:szCs w:val="20"/>
              </w:rPr>
              <w:t xml:space="preserve"> (similarly formatted to this one)</w:t>
            </w:r>
            <w:r w:rsidRPr="0057168F">
              <w:rPr>
                <w:sz w:val="20"/>
                <w:szCs w:val="20"/>
              </w:rPr>
              <w:t xml:space="preserve"> indicating where additional information or narrative is required before the report can be considered complete.</w:t>
            </w:r>
          </w:p>
          <w:p w14:paraId="6F15466A" w14:textId="77777777" w:rsidR="00C8624E" w:rsidRPr="0057168F" w:rsidRDefault="00C8624E" w:rsidP="0057168F">
            <w:pPr>
              <w:rPr>
                <w:sz w:val="20"/>
                <w:szCs w:val="20"/>
              </w:rPr>
            </w:pPr>
          </w:p>
          <w:p w14:paraId="265C0750" w14:textId="1ECA9043" w:rsidR="002768BA" w:rsidRDefault="0057168F" w:rsidP="0057168F">
            <w:pPr>
              <w:rPr>
                <w:sz w:val="20"/>
                <w:szCs w:val="20"/>
              </w:rPr>
            </w:pPr>
            <w:r w:rsidRPr="0057168F">
              <w:rPr>
                <w:sz w:val="20"/>
                <w:szCs w:val="20"/>
              </w:rPr>
              <w:t>As a foundation document, this HNA is necessarily limited in scope. Tasks that require substantial effort, direct community engagement, or a high degree of local specificity</w:t>
            </w:r>
            <w:r w:rsidR="00C8624E">
              <w:rPr>
                <w:sz w:val="20"/>
                <w:szCs w:val="20"/>
              </w:rPr>
              <w:t xml:space="preserve"> (e.g., </w:t>
            </w:r>
            <w:r w:rsidRPr="0057168F">
              <w:rPr>
                <w:sz w:val="20"/>
                <w:szCs w:val="20"/>
              </w:rPr>
              <w:t>including stakeholder consultation, institution-level data collection, and locally calibrated analysis</w:t>
            </w:r>
            <w:r w:rsidR="00C8624E">
              <w:rPr>
                <w:sz w:val="20"/>
                <w:szCs w:val="20"/>
              </w:rPr>
              <w:t xml:space="preserve">) </w:t>
            </w:r>
            <w:r w:rsidRPr="0057168F">
              <w:rPr>
                <w:sz w:val="20"/>
                <w:szCs w:val="20"/>
              </w:rPr>
              <w:t xml:space="preserve">are beyond what a broadly applicable starting point can provide. Practitioners seeking guidance on what additional work could meaningfully strengthen this report are encouraged to consult the </w:t>
            </w:r>
            <w:r w:rsidRPr="00C8624E">
              <w:rPr>
                <w:b/>
                <w:bCs/>
                <w:sz w:val="20"/>
                <w:szCs w:val="20"/>
              </w:rPr>
              <w:t>Guidebook</w:t>
            </w:r>
            <w:r w:rsidR="00C8624E" w:rsidRPr="00C8624E">
              <w:rPr>
                <w:b/>
                <w:bCs/>
                <w:sz w:val="20"/>
                <w:szCs w:val="20"/>
              </w:rPr>
              <w:t xml:space="preserve"> – HNA </w:t>
            </w:r>
            <w:r w:rsidRPr="00C8624E">
              <w:rPr>
                <w:b/>
                <w:bCs/>
                <w:sz w:val="20"/>
                <w:szCs w:val="20"/>
              </w:rPr>
              <w:t>Best Practice</w:t>
            </w:r>
            <w:r w:rsidR="0010632C">
              <w:rPr>
                <w:b/>
                <w:bCs/>
                <w:sz w:val="20"/>
                <w:szCs w:val="20"/>
              </w:rPr>
              <w:t xml:space="preserve"> Review </w:t>
            </w:r>
            <w:r w:rsidR="00C8624E">
              <w:rPr>
                <w:sz w:val="20"/>
                <w:szCs w:val="20"/>
              </w:rPr>
              <w:t>document</w:t>
            </w:r>
            <w:r w:rsidRPr="0057168F">
              <w:rPr>
                <w:sz w:val="20"/>
                <w:szCs w:val="20"/>
              </w:rPr>
              <w:t xml:space="preserve">, which identifies the kinds of </w:t>
            </w:r>
            <w:r w:rsidR="00C8624E">
              <w:rPr>
                <w:sz w:val="20"/>
                <w:szCs w:val="20"/>
              </w:rPr>
              <w:t>content</w:t>
            </w:r>
            <w:r w:rsidRPr="0057168F">
              <w:rPr>
                <w:sz w:val="20"/>
                <w:szCs w:val="20"/>
              </w:rPr>
              <w:t xml:space="preserve"> that can improve the depth, rigour, and local relevance of a completed Housing Needs Assessment.</w:t>
            </w:r>
          </w:p>
        </w:tc>
      </w:tr>
    </w:tbl>
    <w:p w14:paraId="051C874D" w14:textId="7BF2D59F" w:rsidR="002768BA" w:rsidRDefault="002768BA">
      <w:pPr>
        <w:rPr>
          <w:rFonts w:ascii="Bahnschrift" w:hAnsi="Bahnschrift"/>
          <w:b/>
          <w:bCs/>
          <w:sz w:val="24"/>
          <w:szCs w:val="24"/>
        </w:rPr>
      </w:pPr>
      <w:r>
        <w:rPr>
          <w:rFonts w:ascii="Bahnschrift" w:hAnsi="Bahnschrift"/>
          <w:b/>
          <w:bCs/>
          <w:sz w:val="24"/>
          <w:szCs w:val="24"/>
        </w:rPr>
        <w:br w:type="page"/>
      </w:r>
    </w:p>
    <w:p w14:paraId="47D9D1B5" w14:textId="7BC30ED2" w:rsidR="00F70336" w:rsidRPr="00BC5C00" w:rsidRDefault="00702FCB" w:rsidP="003656DC">
      <w:pPr>
        <w:spacing w:after="120"/>
        <w:rPr>
          <w:rFonts w:ascii="Bahnschrift" w:hAnsi="Bahnschrift"/>
          <w:b/>
          <w:bCs/>
          <w:sz w:val="26"/>
          <w:szCs w:val="26"/>
        </w:rPr>
      </w:pPr>
      <w:r w:rsidRPr="00BC5C00">
        <w:rPr>
          <w:rFonts w:ascii="Bahnschrift" w:hAnsi="Bahnschrift"/>
          <w:b/>
          <w:bCs/>
          <w:sz w:val="26"/>
          <w:szCs w:val="26"/>
        </w:rPr>
        <w:lastRenderedPageBreak/>
        <w:t>TABLE OF CONTENTS</w:t>
      </w:r>
    </w:p>
    <w:p w14:paraId="1D9FFFB3" w14:textId="77777777" w:rsidR="003F10CD" w:rsidRDefault="003F10CD" w:rsidP="003656DC">
      <w:pPr>
        <w:spacing w:after="120"/>
        <w:rPr>
          <w:b/>
          <w:bCs/>
        </w:rPr>
      </w:pPr>
    </w:p>
    <w:p w14:paraId="4E6CDD64" w14:textId="34BC6BAD" w:rsidR="008E50A4" w:rsidRPr="008E50A4" w:rsidRDefault="00FE540A">
      <w:pPr>
        <w:pStyle w:val="TOC1"/>
        <w:rPr>
          <w:rFonts w:ascii="Bahnschrift" w:eastAsiaTheme="minorEastAsia" w:hAnsi="Bahnschrift" w:cstheme="minorBidi"/>
          <w:noProof/>
          <w:kern w:val="2"/>
          <w:sz w:val="24"/>
          <w:szCs w:val="24"/>
          <w14:ligatures w14:val="standardContextual"/>
        </w:rPr>
      </w:pPr>
      <w:r w:rsidRPr="00894638">
        <w:rPr>
          <w:rFonts w:ascii="Bahnschrift" w:hAnsi="Bahnschrift"/>
          <w:b/>
        </w:rPr>
        <w:fldChar w:fldCharType="begin"/>
      </w:r>
      <w:r w:rsidRPr="00894638">
        <w:rPr>
          <w:rFonts w:ascii="Bahnschrift" w:hAnsi="Bahnschrift"/>
          <w:b/>
        </w:rPr>
        <w:instrText xml:space="preserve"> TOC \o "1-2" \h \z \u </w:instrText>
      </w:r>
      <w:r w:rsidRPr="00894638">
        <w:rPr>
          <w:rFonts w:ascii="Bahnschrift" w:hAnsi="Bahnschrift"/>
          <w:b/>
        </w:rPr>
        <w:fldChar w:fldCharType="separate"/>
      </w:r>
      <w:hyperlink w:anchor="_Toc237355927" w:history="1">
        <w:r w:rsidR="008E50A4" w:rsidRPr="008E50A4">
          <w:rPr>
            <w:rStyle w:val="Hyperlink"/>
            <w:rFonts w:ascii="Bahnschrift" w:hAnsi="Bahnschrift"/>
            <w:noProof/>
          </w:rPr>
          <w:t>1</w:t>
        </w:r>
        <w:r w:rsidR="008E50A4" w:rsidRPr="008E50A4">
          <w:rPr>
            <w:rFonts w:ascii="Bahnschrift" w:eastAsiaTheme="minorEastAsia" w:hAnsi="Bahnschrift" w:cstheme="minorBidi"/>
            <w:noProof/>
            <w:kern w:val="2"/>
            <w:sz w:val="24"/>
            <w:szCs w:val="24"/>
            <w14:ligatures w14:val="standardContextual"/>
          </w:rPr>
          <w:tab/>
        </w:r>
        <w:r w:rsidR="008E50A4" w:rsidRPr="008E50A4">
          <w:rPr>
            <w:rStyle w:val="Hyperlink"/>
            <w:rFonts w:ascii="Bahnschrift" w:hAnsi="Bahnschrift"/>
            <w:noProof/>
          </w:rPr>
          <w:t>INTRODUCTION</w:t>
        </w:r>
        <w:r w:rsidR="008E50A4" w:rsidRPr="008E50A4">
          <w:rPr>
            <w:rFonts w:ascii="Bahnschrift" w:hAnsi="Bahnschrift"/>
            <w:noProof/>
            <w:webHidden/>
          </w:rPr>
          <w:tab/>
        </w:r>
        <w:r w:rsidR="008E50A4" w:rsidRPr="008E50A4">
          <w:rPr>
            <w:rFonts w:ascii="Bahnschrift" w:hAnsi="Bahnschrift"/>
            <w:noProof/>
            <w:webHidden/>
          </w:rPr>
          <w:fldChar w:fldCharType="begin"/>
        </w:r>
        <w:r w:rsidR="008E50A4" w:rsidRPr="008E50A4">
          <w:rPr>
            <w:rFonts w:ascii="Bahnschrift" w:hAnsi="Bahnschrift"/>
            <w:noProof/>
            <w:webHidden/>
          </w:rPr>
          <w:instrText xml:space="preserve"> PAGEREF _Toc237355927 \h </w:instrText>
        </w:r>
        <w:r w:rsidR="008E50A4" w:rsidRPr="008E50A4">
          <w:rPr>
            <w:rFonts w:ascii="Bahnschrift" w:hAnsi="Bahnschrift"/>
            <w:noProof/>
            <w:webHidden/>
          </w:rPr>
        </w:r>
        <w:r w:rsidR="008E50A4" w:rsidRPr="008E50A4">
          <w:rPr>
            <w:rFonts w:ascii="Bahnschrift" w:hAnsi="Bahnschrift"/>
            <w:noProof/>
            <w:webHidden/>
          </w:rPr>
          <w:fldChar w:fldCharType="separate"/>
        </w:r>
        <w:r w:rsidR="008E50A4" w:rsidRPr="008E50A4">
          <w:rPr>
            <w:rFonts w:ascii="Bahnschrift" w:hAnsi="Bahnschrift"/>
            <w:noProof/>
            <w:webHidden/>
          </w:rPr>
          <w:t>1</w:t>
        </w:r>
        <w:r w:rsidR="008E50A4" w:rsidRPr="008E50A4">
          <w:rPr>
            <w:rFonts w:ascii="Bahnschrift" w:hAnsi="Bahnschrift"/>
            <w:noProof/>
            <w:webHidden/>
          </w:rPr>
          <w:fldChar w:fldCharType="end"/>
        </w:r>
      </w:hyperlink>
    </w:p>
    <w:p w14:paraId="4176356C" w14:textId="0E208A30"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28" w:history="1">
        <w:r w:rsidRPr="008E50A4">
          <w:rPr>
            <w:rStyle w:val="Hyperlink"/>
            <w:rFonts w:ascii="Bahnschrift" w:hAnsi="Bahnschrift"/>
            <w:noProof/>
          </w:rPr>
          <w:t>1.1</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COMMUNITY HISTORY</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_Toc237355928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1</w:t>
        </w:r>
        <w:r w:rsidRPr="008E50A4">
          <w:rPr>
            <w:rFonts w:ascii="Bahnschrift" w:hAnsi="Bahnschrift"/>
            <w:noProof/>
            <w:webHidden/>
          </w:rPr>
          <w:fldChar w:fldCharType="end"/>
        </w:r>
      </w:hyperlink>
    </w:p>
    <w:p w14:paraId="6EEC3FE1" w14:textId="77E119FD"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29" w:history="1">
        <w:r w:rsidRPr="008E50A4">
          <w:rPr>
            <w:rStyle w:val="Hyperlink"/>
            <w:rFonts w:ascii="Bahnschrift" w:hAnsi="Bahnschrift"/>
            <w:noProof/>
          </w:rPr>
          <w:t>1.2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LOCAL HOUSING CONTEXT</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_Toc237355929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1</w:t>
        </w:r>
        <w:r w:rsidRPr="008E50A4">
          <w:rPr>
            <w:rFonts w:ascii="Bahnschrift" w:hAnsi="Bahnschrift"/>
            <w:noProof/>
            <w:webHidden/>
          </w:rPr>
          <w:fldChar w:fldCharType="end"/>
        </w:r>
      </w:hyperlink>
    </w:p>
    <w:p w14:paraId="785B9E29" w14:textId="7FE59FA5"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30" w:history="1">
        <w:r w:rsidRPr="008E50A4">
          <w:rPr>
            <w:rStyle w:val="Hyperlink"/>
            <w:rFonts w:ascii="Bahnschrift" w:hAnsi="Bahnschrift"/>
            <w:noProof/>
          </w:rPr>
          <w:t>1.3</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APPROACH</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_Toc237355930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1</w:t>
        </w:r>
        <w:r w:rsidRPr="008E50A4">
          <w:rPr>
            <w:rFonts w:ascii="Bahnschrift" w:hAnsi="Bahnschrift"/>
            <w:noProof/>
            <w:webHidden/>
          </w:rPr>
          <w:fldChar w:fldCharType="end"/>
        </w:r>
      </w:hyperlink>
    </w:p>
    <w:p w14:paraId="6DCF7BCF" w14:textId="20BFCC44"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31" w:history="1">
        <w:r w:rsidRPr="008E50A4">
          <w:rPr>
            <w:rStyle w:val="Hyperlink"/>
            <w:rFonts w:ascii="Bahnschrift" w:hAnsi="Bahnschrift"/>
            <w:noProof/>
          </w:rPr>
          <w:t>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LONG-TERM PLANNING</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_Toc237355931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w:t>
        </w:r>
        <w:r w:rsidRPr="008E50A4">
          <w:rPr>
            <w:rFonts w:ascii="Bahnschrift" w:hAnsi="Bahnschrift"/>
            <w:noProof/>
            <w:webHidden/>
          </w:rPr>
          <w:fldChar w:fldCharType="end"/>
        </w:r>
      </w:hyperlink>
    </w:p>
    <w:p w14:paraId="4BCDAA36" w14:textId="60552981"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32" w:history="1">
        <w:r w:rsidRPr="008E50A4">
          <w:rPr>
            <w:rStyle w:val="Hyperlink"/>
            <w:rFonts w:ascii="Bahnschrift" w:hAnsi="Bahnschrift"/>
            <w:noProof/>
          </w:rPr>
          <w:t>3</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COMMUNITY SNAPSHOT</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_Toc237355932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w:t>
        </w:r>
        <w:r w:rsidRPr="008E50A4">
          <w:rPr>
            <w:rFonts w:ascii="Bahnschrift" w:hAnsi="Bahnschrift"/>
            <w:noProof/>
            <w:webHidden/>
          </w:rPr>
          <w:fldChar w:fldCharType="end"/>
        </w:r>
      </w:hyperlink>
    </w:p>
    <w:p w14:paraId="2C07B6C1" w14:textId="59EAC2BA"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33" w:history="1">
        <w:r w:rsidRPr="008E50A4">
          <w:rPr>
            <w:rStyle w:val="Hyperlink"/>
            <w:rFonts w:ascii="Bahnschrift" w:hAnsi="Bahnschrift"/>
            <w:noProof/>
          </w:rPr>
          <w:t>4</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DEMOGRAPHIC PROFILE</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_Toc237355933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8</w:t>
        </w:r>
        <w:r w:rsidRPr="008E50A4">
          <w:rPr>
            <w:rFonts w:ascii="Bahnschrift" w:hAnsi="Bahnschrift"/>
            <w:noProof/>
            <w:webHidden/>
          </w:rPr>
          <w:fldChar w:fldCharType="end"/>
        </w:r>
      </w:hyperlink>
    </w:p>
    <w:p w14:paraId="3EFADB7C" w14:textId="30C6E854"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34" w:history="1">
        <w:r w:rsidRPr="008E50A4">
          <w:rPr>
            <w:rStyle w:val="Hyperlink"/>
            <w:rFonts w:ascii="Bahnschrift" w:hAnsi="Bahnschrift"/>
            <w:noProof/>
          </w:rPr>
          <w:t>4.1</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POPULATION</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_Toc237355934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8</w:t>
        </w:r>
        <w:r w:rsidRPr="008E50A4">
          <w:rPr>
            <w:rFonts w:ascii="Bahnschrift" w:hAnsi="Bahnschrift"/>
            <w:noProof/>
            <w:webHidden/>
          </w:rPr>
          <w:fldChar w:fldCharType="end"/>
        </w:r>
      </w:hyperlink>
    </w:p>
    <w:p w14:paraId="38C307ED" w14:textId="77A00A66"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35" w:history="1">
        <w:r w:rsidRPr="008E50A4">
          <w:rPr>
            <w:rStyle w:val="Hyperlink"/>
            <w:rFonts w:ascii="Bahnschrift" w:hAnsi="Bahnschrift"/>
            <w:noProof/>
          </w:rPr>
          <w:t>4.2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HOUSEHOLDS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_Toc237355935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11</w:t>
        </w:r>
        <w:r w:rsidRPr="008E50A4">
          <w:rPr>
            <w:rFonts w:ascii="Bahnschrift" w:hAnsi="Bahnschrift"/>
            <w:noProof/>
            <w:webHidden/>
          </w:rPr>
          <w:fldChar w:fldCharType="end"/>
        </w:r>
      </w:hyperlink>
    </w:p>
    <w:p w14:paraId="2D13EDCF" w14:textId="318D911A"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36" w:history="1">
        <w:r w:rsidRPr="008E50A4">
          <w:rPr>
            <w:rStyle w:val="Hyperlink"/>
            <w:rFonts w:ascii="Bahnschrift" w:hAnsi="Bahnschrift"/>
            <w:noProof/>
          </w:rPr>
          <w:t>5</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ECONOMIC PROFILE</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_Toc237355936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15</w:t>
        </w:r>
        <w:r w:rsidRPr="008E50A4">
          <w:rPr>
            <w:rFonts w:ascii="Bahnschrift" w:hAnsi="Bahnschrift"/>
            <w:noProof/>
            <w:webHidden/>
          </w:rPr>
          <w:fldChar w:fldCharType="end"/>
        </w:r>
      </w:hyperlink>
    </w:p>
    <w:p w14:paraId="7096E873" w14:textId="08A99376"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37" w:history="1">
        <w:r w:rsidRPr="008E50A4">
          <w:rPr>
            <w:rStyle w:val="Hyperlink"/>
            <w:rFonts w:ascii="Bahnschrift" w:hAnsi="Bahnschrift"/>
            <w:noProof/>
          </w:rPr>
          <w:t>5.1</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ECONOMY</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_Toc237355937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15</w:t>
        </w:r>
        <w:r w:rsidRPr="008E50A4">
          <w:rPr>
            <w:rFonts w:ascii="Bahnschrift" w:hAnsi="Bahnschrift"/>
            <w:noProof/>
            <w:webHidden/>
          </w:rPr>
          <w:fldChar w:fldCharType="end"/>
        </w:r>
      </w:hyperlink>
    </w:p>
    <w:p w14:paraId="68608434" w14:textId="23C561DC"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38" w:history="1">
        <w:r w:rsidRPr="008E50A4">
          <w:rPr>
            <w:rStyle w:val="Hyperlink"/>
            <w:rFonts w:ascii="Bahnschrift" w:hAnsi="Bahnschrift"/>
            <w:noProof/>
          </w:rPr>
          <w:t>5.2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INCOME</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_Toc237355938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17</w:t>
        </w:r>
        <w:r w:rsidRPr="008E50A4">
          <w:rPr>
            <w:rFonts w:ascii="Bahnschrift" w:hAnsi="Bahnschrift"/>
            <w:noProof/>
            <w:webHidden/>
          </w:rPr>
          <w:fldChar w:fldCharType="end"/>
        </w:r>
      </w:hyperlink>
    </w:p>
    <w:p w14:paraId="59BCA59E" w14:textId="6FC261B0"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39" w:history="1">
        <w:r w:rsidRPr="008E50A4">
          <w:rPr>
            <w:rStyle w:val="Hyperlink"/>
            <w:rFonts w:ascii="Bahnschrift" w:hAnsi="Bahnschrift"/>
            <w:noProof/>
          </w:rPr>
          <w:t>6</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HOUSING PROFILE</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_Toc237355939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22</w:t>
        </w:r>
        <w:r w:rsidRPr="008E50A4">
          <w:rPr>
            <w:rFonts w:ascii="Bahnschrift" w:hAnsi="Bahnschrift"/>
            <w:noProof/>
            <w:webHidden/>
          </w:rPr>
          <w:fldChar w:fldCharType="end"/>
        </w:r>
      </w:hyperlink>
    </w:p>
    <w:p w14:paraId="352A795D" w14:textId="7198F749"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0" w:history="1">
        <w:r w:rsidRPr="008E50A4">
          <w:rPr>
            <w:rStyle w:val="Hyperlink"/>
            <w:rFonts w:ascii="Bahnschrift" w:hAnsi="Bahnschrift"/>
            <w:noProof/>
          </w:rPr>
          <w:t>6.1</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EXISTING INVENTORY</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_Toc237355940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22</w:t>
        </w:r>
        <w:r w:rsidRPr="008E50A4">
          <w:rPr>
            <w:rFonts w:ascii="Bahnschrift" w:hAnsi="Bahnschrift"/>
            <w:noProof/>
            <w:webHidden/>
          </w:rPr>
          <w:fldChar w:fldCharType="end"/>
        </w:r>
      </w:hyperlink>
    </w:p>
    <w:p w14:paraId="397EABE5" w14:textId="69658493"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1" w:history="1">
        <w:r w:rsidRPr="008E50A4">
          <w:rPr>
            <w:rStyle w:val="Hyperlink"/>
            <w:rFonts w:ascii="Bahnschrift" w:hAnsi="Bahnschrift"/>
            <w:noProof/>
          </w:rPr>
          <w:t>6.2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CONSTRUCTION ACTIVITY</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_Toc237355941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23</w:t>
        </w:r>
        <w:r w:rsidRPr="008E50A4">
          <w:rPr>
            <w:rFonts w:ascii="Bahnschrift" w:hAnsi="Bahnschrift"/>
            <w:noProof/>
            <w:webHidden/>
          </w:rPr>
          <w:fldChar w:fldCharType="end"/>
        </w:r>
      </w:hyperlink>
    </w:p>
    <w:p w14:paraId="4B953221" w14:textId="56ABF687"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2" w:history="1">
        <w:r w:rsidRPr="008E50A4">
          <w:rPr>
            <w:rStyle w:val="Hyperlink"/>
            <w:rFonts w:ascii="Bahnschrift" w:hAnsi="Bahnschrift"/>
            <w:noProof/>
          </w:rPr>
          <w:t>6.3</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RENTAL MARKET</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_Toc237355942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24</w:t>
        </w:r>
        <w:r w:rsidRPr="008E50A4">
          <w:rPr>
            <w:rFonts w:ascii="Bahnschrift" w:hAnsi="Bahnschrift"/>
            <w:noProof/>
            <w:webHidden/>
          </w:rPr>
          <w:fldChar w:fldCharType="end"/>
        </w:r>
      </w:hyperlink>
    </w:p>
    <w:p w14:paraId="35B0EFD6" w14:textId="6A0F624F"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3" w:history="1">
        <w:r w:rsidRPr="008E50A4">
          <w:rPr>
            <w:rStyle w:val="Hyperlink"/>
            <w:rFonts w:ascii="Bahnschrift" w:hAnsi="Bahnschrift"/>
            <w:noProof/>
          </w:rPr>
          <w:t>6.4</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HOMEOWNERSHIP MARKET</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_Toc237355943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27</w:t>
        </w:r>
        <w:r w:rsidRPr="008E50A4">
          <w:rPr>
            <w:rFonts w:ascii="Bahnschrift" w:hAnsi="Bahnschrift"/>
            <w:noProof/>
            <w:webHidden/>
          </w:rPr>
          <w:fldChar w:fldCharType="end"/>
        </w:r>
      </w:hyperlink>
    </w:p>
    <w:p w14:paraId="5FEDA208" w14:textId="5D1A5CA1"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4" w:history="1">
        <w:r w:rsidRPr="008E50A4">
          <w:rPr>
            <w:rStyle w:val="Hyperlink"/>
            <w:rFonts w:ascii="Bahnschrift" w:hAnsi="Bahnschrift"/>
            <w:noProof/>
          </w:rPr>
          <w:t>6.5</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AFFORDABLE HOUSING</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_Toc237355944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28</w:t>
        </w:r>
        <w:r w:rsidRPr="008E50A4">
          <w:rPr>
            <w:rFonts w:ascii="Bahnschrift" w:hAnsi="Bahnschrift"/>
            <w:noProof/>
            <w:webHidden/>
          </w:rPr>
          <w:fldChar w:fldCharType="end"/>
        </w:r>
      </w:hyperlink>
    </w:p>
    <w:p w14:paraId="3A6DFD13" w14:textId="2C41C826"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5" w:history="1">
        <w:r w:rsidRPr="008E50A4">
          <w:rPr>
            <w:rStyle w:val="Hyperlink"/>
            <w:rFonts w:ascii="Bahnschrift" w:hAnsi="Bahnschrift"/>
            <w:noProof/>
          </w:rPr>
          <w:t>6.6</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SUBSIDIZED HOUSING</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_Toc237355945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30</w:t>
        </w:r>
        <w:r w:rsidRPr="008E50A4">
          <w:rPr>
            <w:rFonts w:ascii="Bahnschrift" w:hAnsi="Bahnschrift"/>
            <w:noProof/>
            <w:webHidden/>
          </w:rPr>
          <w:fldChar w:fldCharType="end"/>
        </w:r>
      </w:hyperlink>
    </w:p>
    <w:p w14:paraId="28929885" w14:textId="385C636D"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6" w:history="1">
        <w:r w:rsidRPr="008E50A4">
          <w:rPr>
            <w:rStyle w:val="Hyperlink"/>
            <w:rFonts w:ascii="Bahnschrift" w:hAnsi="Bahnschrift"/>
            <w:noProof/>
          </w:rPr>
          <w:t>6.7</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NON-MARKET HOUSING</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_Toc237355946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31</w:t>
        </w:r>
        <w:r w:rsidRPr="008E50A4">
          <w:rPr>
            <w:rFonts w:ascii="Bahnschrift" w:hAnsi="Bahnschrift"/>
            <w:noProof/>
            <w:webHidden/>
          </w:rPr>
          <w:fldChar w:fldCharType="end"/>
        </w:r>
      </w:hyperlink>
    </w:p>
    <w:p w14:paraId="1AF1FF42" w14:textId="1C0D6B77"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47" w:history="1">
        <w:r w:rsidRPr="008E50A4">
          <w:rPr>
            <w:rStyle w:val="Hyperlink"/>
            <w:rFonts w:ascii="Bahnschrift" w:hAnsi="Bahnschrift"/>
            <w:noProof/>
          </w:rPr>
          <w:t>7</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HOUSING NEED</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_Toc237355947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33</w:t>
        </w:r>
        <w:r w:rsidRPr="008E50A4">
          <w:rPr>
            <w:rFonts w:ascii="Bahnschrift" w:hAnsi="Bahnschrift"/>
            <w:noProof/>
            <w:webHidden/>
          </w:rPr>
          <w:fldChar w:fldCharType="end"/>
        </w:r>
      </w:hyperlink>
    </w:p>
    <w:p w14:paraId="50DA51C1" w14:textId="4438F6EC"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8" w:history="1">
        <w:r w:rsidRPr="008E50A4">
          <w:rPr>
            <w:rStyle w:val="Hyperlink"/>
            <w:rFonts w:ascii="Bahnschrift" w:hAnsi="Bahnschrift"/>
            <w:noProof/>
          </w:rPr>
          <w:t>7.1</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INDICATOR SUMMARY</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_Toc237355948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33</w:t>
        </w:r>
        <w:r w:rsidRPr="008E50A4">
          <w:rPr>
            <w:rFonts w:ascii="Bahnschrift" w:hAnsi="Bahnschrift"/>
            <w:noProof/>
            <w:webHidden/>
          </w:rPr>
          <w:fldChar w:fldCharType="end"/>
        </w:r>
      </w:hyperlink>
    </w:p>
    <w:p w14:paraId="627F3D97" w14:textId="4B3684F0"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49" w:history="1">
        <w:r w:rsidRPr="008E50A4">
          <w:rPr>
            <w:rStyle w:val="Hyperlink"/>
            <w:rFonts w:ascii="Bahnschrift" w:hAnsi="Bahnschrift"/>
            <w:noProof/>
          </w:rPr>
          <w:t>7.2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INCOME CATEGORIES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_Toc237355949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34</w:t>
        </w:r>
        <w:r w:rsidRPr="008E50A4">
          <w:rPr>
            <w:rFonts w:ascii="Bahnschrift" w:hAnsi="Bahnschrift"/>
            <w:noProof/>
            <w:webHidden/>
          </w:rPr>
          <w:fldChar w:fldCharType="end"/>
        </w:r>
      </w:hyperlink>
    </w:p>
    <w:p w14:paraId="466AB9F3" w14:textId="0422AE71"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0" w:history="1">
        <w:r w:rsidRPr="008E50A4">
          <w:rPr>
            <w:rStyle w:val="Hyperlink"/>
            <w:rFonts w:ascii="Bahnschrift" w:hAnsi="Bahnschrift"/>
            <w:noProof/>
          </w:rPr>
          <w:t>7.3</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PRIORITY POPULATIONS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_Toc237355950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35</w:t>
        </w:r>
        <w:r w:rsidRPr="008E50A4">
          <w:rPr>
            <w:rFonts w:ascii="Bahnschrift" w:hAnsi="Bahnschrift"/>
            <w:noProof/>
            <w:webHidden/>
          </w:rPr>
          <w:fldChar w:fldCharType="end"/>
        </w:r>
      </w:hyperlink>
    </w:p>
    <w:p w14:paraId="076C6EEE" w14:textId="089B6DF5"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1" w:history="1">
        <w:r w:rsidRPr="008E50A4">
          <w:rPr>
            <w:rStyle w:val="Hyperlink"/>
            <w:rFonts w:ascii="Bahnschrift" w:hAnsi="Bahnschrift"/>
            <w:noProof/>
          </w:rPr>
          <w:t>7.4</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HOMELESSNESS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_Toc237355951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37</w:t>
        </w:r>
        <w:r w:rsidRPr="008E50A4">
          <w:rPr>
            <w:rFonts w:ascii="Bahnschrift" w:hAnsi="Bahnschrift"/>
            <w:noProof/>
            <w:webHidden/>
          </w:rPr>
          <w:fldChar w:fldCharType="end"/>
        </w:r>
      </w:hyperlink>
    </w:p>
    <w:p w14:paraId="65E85728" w14:textId="26C911ED"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52" w:history="1">
        <w:r w:rsidRPr="008E50A4">
          <w:rPr>
            <w:rStyle w:val="Hyperlink"/>
            <w:rFonts w:ascii="Bahnschrift" w:hAnsi="Bahnschrift"/>
            <w:noProof/>
          </w:rPr>
          <w:t>8</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PROJECTED NEEDS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_Toc237355952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40</w:t>
        </w:r>
        <w:r w:rsidRPr="008E50A4">
          <w:rPr>
            <w:rFonts w:ascii="Bahnschrift" w:hAnsi="Bahnschrift"/>
            <w:noProof/>
            <w:webHidden/>
          </w:rPr>
          <w:fldChar w:fldCharType="end"/>
        </w:r>
      </w:hyperlink>
    </w:p>
    <w:p w14:paraId="1D648A4D" w14:textId="3AF98D85"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3" w:history="1">
        <w:r w:rsidRPr="008E50A4">
          <w:rPr>
            <w:rStyle w:val="Hyperlink"/>
            <w:rFonts w:ascii="Bahnschrift" w:hAnsi="Bahnschrift"/>
            <w:noProof/>
          </w:rPr>
          <w:t>8.1</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POPULATION PROJECTIONS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_Toc237355953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40</w:t>
        </w:r>
        <w:r w:rsidRPr="008E50A4">
          <w:rPr>
            <w:rFonts w:ascii="Bahnschrift" w:hAnsi="Bahnschrift"/>
            <w:noProof/>
            <w:webHidden/>
          </w:rPr>
          <w:fldChar w:fldCharType="end"/>
        </w:r>
      </w:hyperlink>
    </w:p>
    <w:p w14:paraId="351A6D9C" w14:textId="106C7BF3"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4" w:history="1">
        <w:r w:rsidRPr="008E50A4">
          <w:rPr>
            <w:rStyle w:val="Hyperlink"/>
            <w:rFonts w:ascii="Bahnschrift" w:hAnsi="Bahnschrift"/>
            <w:noProof/>
          </w:rPr>
          <w:t>8.2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HOUSING PROJECTIONS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_Toc237355954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41</w:t>
        </w:r>
        <w:r w:rsidRPr="008E50A4">
          <w:rPr>
            <w:rFonts w:ascii="Bahnschrift" w:hAnsi="Bahnschrift"/>
            <w:noProof/>
            <w:webHidden/>
          </w:rPr>
          <w:fldChar w:fldCharType="end"/>
        </w:r>
      </w:hyperlink>
    </w:p>
    <w:p w14:paraId="51EBD801" w14:textId="08A3CA45"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55" w:history="1">
        <w:r w:rsidRPr="008E50A4">
          <w:rPr>
            <w:rStyle w:val="Hyperlink"/>
            <w:rFonts w:ascii="Bahnschrift" w:hAnsi="Bahnschrift"/>
            <w:noProof/>
          </w:rPr>
          <w:t>9</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ADDITIONAL MODULES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_Toc237355955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46</w:t>
        </w:r>
        <w:r w:rsidRPr="008E50A4">
          <w:rPr>
            <w:rFonts w:ascii="Bahnschrift" w:hAnsi="Bahnschrift"/>
            <w:noProof/>
            <w:webHidden/>
          </w:rPr>
          <w:fldChar w:fldCharType="end"/>
        </w:r>
      </w:hyperlink>
    </w:p>
    <w:p w14:paraId="5FCA9280" w14:textId="49479BB4"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6" w:history="1">
        <w:r w:rsidRPr="008E50A4">
          <w:rPr>
            <w:rStyle w:val="Hyperlink"/>
            <w:rFonts w:ascii="Bahnschrift" w:hAnsi="Bahnschrift"/>
            <w:noProof/>
          </w:rPr>
          <w:t>9.1</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REGIONAL INTEGRATION</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_Toc237355956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46</w:t>
        </w:r>
        <w:r w:rsidRPr="008E50A4">
          <w:rPr>
            <w:rFonts w:ascii="Bahnschrift" w:hAnsi="Bahnschrift"/>
            <w:noProof/>
            <w:webHidden/>
          </w:rPr>
          <w:fldChar w:fldCharType="end"/>
        </w:r>
      </w:hyperlink>
    </w:p>
    <w:p w14:paraId="7963272A" w14:textId="6B539C73"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7" w:history="1">
        <w:r w:rsidRPr="008E50A4">
          <w:rPr>
            <w:rStyle w:val="Hyperlink"/>
            <w:rFonts w:ascii="Bahnschrift" w:hAnsi="Bahnschrift"/>
            <w:noProof/>
          </w:rPr>
          <w:t>9.2</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TRANSPORTATION COSTS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_Toc237355957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47</w:t>
        </w:r>
        <w:r w:rsidRPr="008E50A4">
          <w:rPr>
            <w:rFonts w:ascii="Bahnschrift" w:hAnsi="Bahnschrift"/>
            <w:noProof/>
            <w:webHidden/>
          </w:rPr>
          <w:fldChar w:fldCharType="end"/>
        </w:r>
      </w:hyperlink>
    </w:p>
    <w:p w14:paraId="6BE28153" w14:textId="55009716"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8" w:history="1">
        <w:r w:rsidRPr="008E50A4">
          <w:rPr>
            <w:rStyle w:val="Hyperlink"/>
            <w:rFonts w:ascii="Bahnschrift" w:hAnsi="Bahnschrift"/>
            <w:noProof/>
          </w:rPr>
          <w:t>9.3</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PUBLIC TRANSIT ACCESS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_Toc237355958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48</w:t>
        </w:r>
        <w:r w:rsidRPr="008E50A4">
          <w:rPr>
            <w:rFonts w:ascii="Bahnschrift" w:hAnsi="Bahnschrift"/>
            <w:noProof/>
            <w:webHidden/>
          </w:rPr>
          <w:fldChar w:fldCharType="end"/>
        </w:r>
      </w:hyperlink>
    </w:p>
    <w:p w14:paraId="6B882BC9" w14:textId="2A5D3552"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59" w:history="1">
        <w:r w:rsidRPr="008E50A4">
          <w:rPr>
            <w:rStyle w:val="Hyperlink"/>
            <w:rFonts w:ascii="Bahnschrift" w:hAnsi="Bahnschrift"/>
            <w:noProof/>
          </w:rPr>
          <w:t>9.4</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CLIMATE CONSIDERATIONS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_Toc237355959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49</w:t>
        </w:r>
        <w:r w:rsidRPr="008E50A4">
          <w:rPr>
            <w:rFonts w:ascii="Bahnschrift" w:hAnsi="Bahnschrift"/>
            <w:noProof/>
            <w:webHidden/>
          </w:rPr>
          <w:fldChar w:fldCharType="end"/>
        </w:r>
      </w:hyperlink>
    </w:p>
    <w:p w14:paraId="6204A7BE" w14:textId="4969ECF5"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0" w:history="1">
        <w:r w:rsidRPr="008E50A4">
          <w:rPr>
            <w:rStyle w:val="Hyperlink"/>
            <w:rFonts w:ascii="Bahnschrift" w:hAnsi="Bahnschrift"/>
            <w:noProof/>
          </w:rPr>
          <w:t>9.5</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SENIORS HOUSING</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_Toc237355960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53</w:t>
        </w:r>
        <w:r w:rsidRPr="008E50A4">
          <w:rPr>
            <w:rFonts w:ascii="Bahnschrift" w:hAnsi="Bahnschrift"/>
            <w:noProof/>
            <w:webHidden/>
          </w:rPr>
          <w:fldChar w:fldCharType="end"/>
        </w:r>
      </w:hyperlink>
    </w:p>
    <w:p w14:paraId="67A40940" w14:textId="4430FDEA"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1" w:history="1">
        <w:r w:rsidRPr="008E50A4">
          <w:rPr>
            <w:rStyle w:val="Hyperlink"/>
            <w:rFonts w:ascii="Bahnschrift" w:hAnsi="Bahnschrift"/>
            <w:noProof/>
          </w:rPr>
          <w:t>9.6</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“ALICE” HOUSEHOLDS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_Toc237355961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54</w:t>
        </w:r>
        <w:r w:rsidRPr="008E50A4">
          <w:rPr>
            <w:rFonts w:ascii="Bahnschrift" w:hAnsi="Bahnschrift"/>
            <w:noProof/>
            <w:webHidden/>
          </w:rPr>
          <w:fldChar w:fldCharType="end"/>
        </w:r>
      </w:hyperlink>
    </w:p>
    <w:p w14:paraId="1B03C54D" w14:textId="118DF220"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2" w:history="1">
        <w:r w:rsidRPr="008E50A4">
          <w:rPr>
            <w:rStyle w:val="Hyperlink"/>
            <w:rFonts w:ascii="Bahnschrift" w:hAnsi="Bahnschrift"/>
            <w:noProof/>
          </w:rPr>
          <w:t>9.7</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VULNERABILITY INDICES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_Toc237355962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55</w:t>
        </w:r>
        <w:r w:rsidRPr="008E50A4">
          <w:rPr>
            <w:rFonts w:ascii="Bahnschrift" w:hAnsi="Bahnschrift"/>
            <w:noProof/>
            <w:webHidden/>
          </w:rPr>
          <w:fldChar w:fldCharType="end"/>
        </w:r>
      </w:hyperlink>
    </w:p>
    <w:p w14:paraId="7AB4E7C5" w14:textId="2E7678AF"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3" w:history="1">
        <w:r w:rsidRPr="008E50A4">
          <w:rPr>
            <w:rStyle w:val="Hyperlink"/>
            <w:rFonts w:ascii="Bahnschrift" w:hAnsi="Bahnschrift"/>
            <w:noProof/>
          </w:rPr>
          <w:t>9.8</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BUILD CANADA HOMES AFFORDABLE RENTS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_Toc237355963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57</w:t>
        </w:r>
        <w:r w:rsidRPr="008E50A4">
          <w:rPr>
            <w:rFonts w:ascii="Bahnschrift" w:hAnsi="Bahnschrift"/>
            <w:noProof/>
            <w:webHidden/>
          </w:rPr>
          <w:fldChar w:fldCharType="end"/>
        </w:r>
      </w:hyperlink>
    </w:p>
    <w:p w14:paraId="092C77BE" w14:textId="3C2D70AB"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4" w:history="1">
        <w:r w:rsidRPr="008E50A4">
          <w:rPr>
            <w:rStyle w:val="Hyperlink"/>
            <w:rFonts w:ascii="Bahnschrift" w:hAnsi="Bahnschrift"/>
            <w:noProof/>
          </w:rPr>
          <w:t>9.9</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POST-SECONDARY STUDENTS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_Toc237355964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58</w:t>
        </w:r>
        <w:r w:rsidRPr="008E50A4">
          <w:rPr>
            <w:rFonts w:ascii="Bahnschrift" w:hAnsi="Bahnschrift"/>
            <w:noProof/>
            <w:webHidden/>
          </w:rPr>
          <w:fldChar w:fldCharType="end"/>
        </w:r>
      </w:hyperlink>
    </w:p>
    <w:p w14:paraId="09FA5B37" w14:textId="0681F672" w:rsidR="008E50A4" w:rsidRPr="008E50A4" w:rsidRDefault="008E50A4">
      <w:pPr>
        <w:pStyle w:val="TOC1"/>
        <w:rPr>
          <w:rFonts w:ascii="Bahnschrift" w:eastAsiaTheme="minorEastAsia" w:hAnsi="Bahnschrift" w:cstheme="minorBidi"/>
          <w:noProof/>
          <w:kern w:val="2"/>
          <w:sz w:val="24"/>
          <w:szCs w:val="24"/>
          <w14:ligatures w14:val="standardContextual"/>
        </w:rPr>
      </w:pPr>
      <w:hyperlink w:anchor="_Toc237355965" w:history="1">
        <w:r w:rsidRPr="008E50A4">
          <w:rPr>
            <w:rStyle w:val="Hyperlink"/>
            <w:rFonts w:ascii="Bahnschrift" w:hAnsi="Bahnschrift"/>
            <w:noProof/>
          </w:rPr>
          <w:t>10</w:t>
        </w:r>
        <w:r w:rsidRPr="008E50A4">
          <w:rPr>
            <w:rFonts w:ascii="Bahnschrift" w:eastAsiaTheme="minorEastAsia" w:hAnsi="Bahnschrift" w:cstheme="minorBidi"/>
            <w:noProof/>
            <w:kern w:val="2"/>
            <w:sz w:val="24"/>
            <w:szCs w:val="24"/>
            <w14:ligatures w14:val="standardContextual"/>
          </w:rPr>
          <w:tab/>
        </w:r>
        <w:r w:rsidRPr="008E50A4">
          <w:rPr>
            <w:rStyle w:val="Hyperlink"/>
            <w:rFonts w:ascii="Bahnschrift" w:hAnsi="Bahnschrift"/>
            <w:noProof/>
          </w:rPr>
          <w:t>APPENDICES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_Toc237355965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59</w:t>
        </w:r>
        <w:r w:rsidRPr="008E50A4">
          <w:rPr>
            <w:rFonts w:ascii="Bahnschrift" w:hAnsi="Bahnschrift"/>
            <w:noProof/>
            <w:webHidden/>
          </w:rPr>
          <w:fldChar w:fldCharType="end"/>
        </w:r>
      </w:hyperlink>
    </w:p>
    <w:p w14:paraId="648A0061" w14:textId="76D4E777"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6" w:history="1">
        <w:r w:rsidRPr="008E50A4">
          <w:rPr>
            <w:rStyle w:val="Hyperlink"/>
            <w:rFonts w:ascii="Bahnschrift" w:hAnsi="Bahnschrift"/>
            <w:noProof/>
          </w:rPr>
          <w:t>APPENDIX A: Federal Template Data Tables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_Toc237355966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59</w:t>
        </w:r>
        <w:r w:rsidRPr="008E50A4">
          <w:rPr>
            <w:rFonts w:ascii="Bahnschrift" w:hAnsi="Bahnschrift"/>
            <w:noProof/>
            <w:webHidden/>
          </w:rPr>
          <w:fldChar w:fldCharType="end"/>
        </w:r>
      </w:hyperlink>
    </w:p>
    <w:p w14:paraId="1D3D7A4F" w14:textId="5DEDF0B5"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7" w:history="1">
        <w:r w:rsidRPr="008E50A4">
          <w:rPr>
            <w:rStyle w:val="Hyperlink"/>
            <w:rFonts w:ascii="Bahnschrift" w:hAnsi="Bahnschrift"/>
            <w:noProof/>
          </w:rPr>
          <w:t>APPENDIX B: Federal Template Question Reference Guide</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_Toc237355967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69</w:t>
        </w:r>
        <w:r w:rsidRPr="008E50A4">
          <w:rPr>
            <w:rFonts w:ascii="Bahnschrift" w:hAnsi="Bahnschrift"/>
            <w:noProof/>
            <w:webHidden/>
          </w:rPr>
          <w:fldChar w:fldCharType="end"/>
        </w:r>
      </w:hyperlink>
    </w:p>
    <w:p w14:paraId="5A89DFD8" w14:textId="63CB44EE"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8" w:history="1">
        <w:r w:rsidRPr="008E50A4">
          <w:rPr>
            <w:rStyle w:val="Hyperlink"/>
            <w:rFonts w:ascii="Bahnschrift" w:hAnsi="Bahnschrift"/>
            <w:noProof/>
          </w:rPr>
          <w:t>APPENDIX C: Community Engagement Results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_Toc237355968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75</w:t>
        </w:r>
        <w:r w:rsidRPr="008E50A4">
          <w:rPr>
            <w:rFonts w:ascii="Bahnschrift" w:hAnsi="Bahnschrift"/>
            <w:noProof/>
            <w:webHidden/>
          </w:rPr>
          <w:fldChar w:fldCharType="end"/>
        </w:r>
      </w:hyperlink>
    </w:p>
    <w:p w14:paraId="765D55AE" w14:textId="589542B4" w:rsidR="008E50A4" w:rsidRPr="008E50A4" w:rsidRDefault="008E50A4">
      <w:pPr>
        <w:pStyle w:val="TOC2"/>
        <w:rPr>
          <w:rFonts w:ascii="Bahnschrift" w:eastAsiaTheme="minorEastAsia" w:hAnsi="Bahnschrift" w:cstheme="minorBidi"/>
          <w:noProof/>
          <w:kern w:val="2"/>
          <w:sz w:val="24"/>
          <w:szCs w:val="24"/>
          <w14:ligatures w14:val="standardContextual"/>
        </w:rPr>
      </w:pPr>
      <w:hyperlink w:anchor="_Toc237355969" w:history="1">
        <w:r w:rsidRPr="008E50A4">
          <w:rPr>
            <w:rStyle w:val="Hyperlink"/>
            <w:rFonts w:ascii="Bahnschrift" w:hAnsi="Bahnschrift"/>
            <w:noProof/>
          </w:rPr>
          <w:t>APPENDIX D: Glossary of Terms</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_Toc237355969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76</w:t>
        </w:r>
        <w:r w:rsidRPr="008E50A4">
          <w:rPr>
            <w:rFonts w:ascii="Bahnschrift" w:hAnsi="Bahnschrift"/>
            <w:noProof/>
            <w:webHidden/>
          </w:rPr>
          <w:fldChar w:fldCharType="end"/>
        </w:r>
      </w:hyperlink>
    </w:p>
    <w:p w14:paraId="75ACE9D8" w14:textId="5E4E87AA" w:rsidR="008E50A4" w:rsidRDefault="008E50A4">
      <w:pPr>
        <w:pStyle w:val="TOC2"/>
        <w:rPr>
          <w:rFonts w:asciiTheme="minorHAnsi" w:eastAsiaTheme="minorEastAsia" w:hAnsiTheme="minorHAnsi" w:cstheme="minorBidi"/>
          <w:noProof/>
          <w:kern w:val="2"/>
          <w:sz w:val="24"/>
          <w:szCs w:val="24"/>
          <w14:ligatures w14:val="standardContextual"/>
        </w:rPr>
      </w:pPr>
      <w:hyperlink w:anchor="_Toc237355970" w:history="1">
        <w:r w:rsidRPr="008E50A4">
          <w:rPr>
            <w:rStyle w:val="Hyperlink"/>
            <w:rFonts w:ascii="Bahnschrift" w:hAnsi="Bahnschrift"/>
            <w:noProof/>
          </w:rPr>
          <w:t>APPENDIX E: Community Vulnerability Profile</w:t>
        </w:r>
        <w:r w:rsidRPr="008E50A4">
          <w:rPr>
            <w:rFonts w:ascii="Bahnschrift" w:hAnsi="Bahnschrift"/>
            <w:noProof/>
            <w:webHidden/>
          </w:rPr>
          <w:tab/>
        </w:r>
        <w:r w:rsidRPr="008E50A4">
          <w:rPr>
            <w:rFonts w:ascii="Bahnschrift" w:hAnsi="Bahnschrift"/>
            <w:noProof/>
            <w:webHidden/>
          </w:rPr>
          <w:fldChar w:fldCharType="begin"/>
        </w:r>
        <w:r w:rsidRPr="008E50A4">
          <w:rPr>
            <w:rFonts w:ascii="Bahnschrift" w:hAnsi="Bahnschrift"/>
            <w:noProof/>
            <w:webHidden/>
          </w:rPr>
          <w:instrText xml:space="preserve"> PAGEREF _Toc237355970 \h </w:instrText>
        </w:r>
        <w:r w:rsidRPr="008E50A4">
          <w:rPr>
            <w:rFonts w:ascii="Bahnschrift" w:hAnsi="Bahnschrift"/>
            <w:noProof/>
            <w:webHidden/>
          </w:rPr>
        </w:r>
        <w:r w:rsidRPr="008E50A4">
          <w:rPr>
            <w:rFonts w:ascii="Bahnschrift" w:hAnsi="Bahnschrift"/>
            <w:noProof/>
            <w:webHidden/>
          </w:rPr>
          <w:fldChar w:fldCharType="separate"/>
        </w:r>
        <w:r w:rsidRPr="008E50A4">
          <w:rPr>
            <w:rFonts w:ascii="Bahnschrift" w:hAnsi="Bahnschrift"/>
            <w:noProof/>
            <w:webHidden/>
          </w:rPr>
          <w:t>81</w:t>
        </w:r>
        <w:r w:rsidRPr="008E50A4">
          <w:rPr>
            <w:rFonts w:ascii="Bahnschrift" w:hAnsi="Bahnschrift"/>
            <w:noProof/>
            <w:webHidden/>
          </w:rPr>
          <w:fldChar w:fldCharType="end"/>
        </w:r>
      </w:hyperlink>
    </w:p>
    <w:p w14:paraId="319FC464" w14:textId="05940A91" w:rsidR="003656DC" w:rsidRPr="003C59F9" w:rsidRDefault="00FE540A" w:rsidP="003656DC">
      <w:pPr>
        <w:rPr>
          <w:rFonts w:ascii="Bahnschrift" w:hAnsi="Bahnschrift"/>
        </w:rPr>
        <w:sectPr w:rsidR="003656DC" w:rsidRPr="003C59F9" w:rsidSect="003C59F9">
          <w:pgSz w:w="12240" w:h="15840"/>
          <w:pgMar w:top="1440" w:right="1440" w:bottom="1440" w:left="1440" w:header="708" w:footer="708" w:gutter="0"/>
          <w:pgNumType w:fmt="lowerRoman" w:start="1"/>
          <w:cols w:space="720"/>
          <w:docGrid w:linePitch="360"/>
        </w:sectPr>
      </w:pPr>
      <w:r w:rsidRPr="00894638">
        <w:rPr>
          <w:rFonts w:ascii="Bahnschrift" w:hAnsi="Bahnschrift"/>
        </w:rPr>
        <w:fldChar w:fldCharType="end"/>
      </w:r>
      <w:bookmarkStart w:id="0" w:name="_Toc223686631"/>
    </w:p>
    <w:p w14:paraId="3112FD53" w14:textId="77777777" w:rsidR="00090130" w:rsidRDefault="003F50B4" w:rsidP="003F50B4">
      <w:pPr>
        <w:pStyle w:val="Heading1"/>
      </w:pPr>
      <w:bookmarkStart w:id="1" w:name="_Toc237355927"/>
      <w:bookmarkEnd w:id="0"/>
      <w:r>
        <w:lastRenderedPageBreak/>
        <w:t>INTRODUCTION</w:t>
      </w:r>
      <w:bookmarkEnd w:id="1"/>
    </w:p>
    <w:p w14:paraId="382A35D1" w14:textId="77777777" w:rsidR="00090130" w:rsidRDefault="00090130" w:rsidP="00090130"/>
    <w:p w14:paraId="1E1F8DEA" w14:textId="27677E6D" w:rsidR="00090130" w:rsidRDefault="00090130" w:rsidP="00090130">
      <w:pPr>
        <w:jc w:val="both"/>
      </w:pPr>
      <w:r w:rsidRPr="00090130">
        <w:t xml:space="preserve">This Housing Needs Assessment (HNA) provides a comprehensive, evidence-based examination of current and projected housing conditions in the community. Drawing on data from Statistics Canada, the Canada Mortgage and Housing Corporation (CMHC), and other authoritative sources, it profiles the community's demographic and economic characteristics, documents the composition and performance of the local housing market, and identifies the populations and household types most at risk of housing need. Where local data are suppressed or unavailable, regional or provincial comparators are </w:t>
      </w:r>
      <w:r>
        <w:t>provided</w:t>
      </w:r>
      <w:r w:rsidRPr="00090130">
        <w:t xml:space="preserve"> to contextualize conditions and minimize gaps in the analysis. The findings are intended to support </w:t>
      </w:r>
      <w:r>
        <w:t>community</w:t>
      </w:r>
      <w:r w:rsidRPr="00090130">
        <w:t xml:space="preserve"> planning and policy decisions, and serve as a reference for applications to federal and provincial </w:t>
      </w:r>
      <w:r>
        <w:t>funding</w:t>
      </w:r>
      <w:r w:rsidRPr="00090130">
        <w:t xml:space="preserve"> programs. </w:t>
      </w:r>
    </w:p>
    <w:p w14:paraId="3830E70E" w14:textId="77777777" w:rsidR="00090130" w:rsidRDefault="00090130" w:rsidP="00090130">
      <w:pPr>
        <w:jc w:val="both"/>
      </w:pPr>
    </w:p>
    <w:p w14:paraId="55B9B974" w14:textId="77777777" w:rsidR="00C36E6B" w:rsidRDefault="00090130" w:rsidP="00090130">
      <w:pPr>
        <w:jc w:val="both"/>
      </w:pPr>
      <w:r w:rsidRPr="00090130">
        <w:t xml:space="preserve">While the report is structured to address the core requirements of a Housing Needs Assessment under </w:t>
      </w:r>
      <w:r>
        <w:t xml:space="preserve">Federal </w:t>
      </w:r>
      <w:r w:rsidR="00C36E6B">
        <w:t>HNA data requirements</w:t>
      </w:r>
      <w:r w:rsidRPr="00090130">
        <w:t xml:space="preserve">, it is also designed to be accessible to a broad audience </w:t>
      </w:r>
      <w:r w:rsidR="00C36E6B">
        <w:t>(e.g.,</w:t>
      </w:r>
      <w:r w:rsidRPr="00090130">
        <w:t xml:space="preserve"> elected officials, community organizations, and residents</w:t>
      </w:r>
      <w:r w:rsidR="00C36E6B">
        <w:t>)</w:t>
      </w:r>
      <w:r w:rsidRPr="00090130">
        <w:t xml:space="preserve"> who may engage with only select sections of the document.</w:t>
      </w:r>
    </w:p>
    <w:p w14:paraId="68313E01" w14:textId="77777777" w:rsidR="00C36E6B" w:rsidRDefault="00C36E6B" w:rsidP="00090130">
      <w:pPr>
        <w:jc w:val="both"/>
      </w:pPr>
    </w:p>
    <w:p w14:paraId="002D10E3" w14:textId="1EFB768E" w:rsidR="00E82176" w:rsidRDefault="00E82176" w:rsidP="00C36E6B">
      <w:pPr>
        <w:pStyle w:val="Heading2"/>
      </w:pPr>
      <w:bookmarkStart w:id="2" w:name="_Toc237355928"/>
      <w:r>
        <w:t>COMMUNITY HISTORY</w:t>
      </w:r>
      <w:bookmarkEnd w:id="2"/>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500457" w:rsidRPr="00500457" w14:paraId="09C5D52C" w14:textId="77777777" w:rsidTr="003A2EA5">
        <w:trPr>
          <w:trHeight w:val="360"/>
        </w:trPr>
        <w:tc>
          <w:tcPr>
            <w:tcW w:w="1345" w:type="dxa"/>
            <w:shd w:val="clear" w:color="auto" w:fill="5F2ADF" w:themeFill="accent4" w:themeFillTint="80"/>
            <w:vAlign w:val="center"/>
          </w:tcPr>
          <w:p w14:paraId="7107E521" w14:textId="76CAF80E" w:rsidR="00500457" w:rsidRPr="003A2EA5" w:rsidRDefault="00CC38DC" w:rsidP="0050045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56EE29C9" w14:textId="2AD5B885" w:rsidR="00500457" w:rsidRPr="003A2EA5" w:rsidRDefault="00500457" w:rsidP="00500457">
            <w:pPr>
              <w:rPr>
                <w:color w:val="FFFFFF" w:themeColor="background1"/>
                <w:sz w:val="20"/>
                <w:szCs w:val="20"/>
              </w:rPr>
            </w:pPr>
            <w:r w:rsidRPr="003A2EA5">
              <w:rPr>
                <w:color w:val="FFFFFF" w:themeColor="background1"/>
                <w:sz w:val="20"/>
                <w:szCs w:val="20"/>
              </w:rPr>
              <w:t>Federal template question</w:t>
            </w:r>
            <w:r w:rsidR="000B4876">
              <w:rPr>
                <w:color w:val="FFFFFF" w:themeColor="background1"/>
                <w:sz w:val="20"/>
                <w:szCs w:val="20"/>
              </w:rPr>
              <w:t xml:space="preserve"> to complete</w:t>
            </w:r>
          </w:p>
        </w:tc>
      </w:tr>
      <w:tr w:rsidR="00500457" w:rsidRPr="00500457" w14:paraId="4A1E1960" w14:textId="77777777" w:rsidTr="003A2EA5">
        <w:trPr>
          <w:trHeight w:val="1097"/>
        </w:trPr>
        <w:tc>
          <w:tcPr>
            <w:tcW w:w="1345" w:type="dxa"/>
            <w:shd w:val="clear" w:color="auto" w:fill="DED3F8" w:themeFill="accent4" w:themeFillTint="1A"/>
            <w:vAlign w:val="center"/>
          </w:tcPr>
          <w:p w14:paraId="058FA199" w14:textId="169B2DCC" w:rsidR="00500457" w:rsidRPr="00500457" w:rsidRDefault="00500457" w:rsidP="00500457">
            <w:pPr>
              <w:rPr>
                <w:sz w:val="20"/>
                <w:szCs w:val="20"/>
              </w:rPr>
            </w:pPr>
            <w:r w:rsidRPr="00500457">
              <w:rPr>
                <w:sz w:val="20"/>
                <w:szCs w:val="20"/>
              </w:rPr>
              <w:t>5.2</w:t>
            </w:r>
          </w:p>
        </w:tc>
        <w:tc>
          <w:tcPr>
            <w:tcW w:w="8005" w:type="dxa"/>
            <w:shd w:val="clear" w:color="auto" w:fill="DED3F8" w:themeFill="accent4" w:themeFillTint="1A"/>
            <w:vAlign w:val="center"/>
          </w:tcPr>
          <w:p w14:paraId="72372F4A" w14:textId="38FD293A" w:rsidR="00500457" w:rsidRPr="00500457" w:rsidRDefault="00500457" w:rsidP="00500457">
            <w:pPr>
              <w:rPr>
                <w:sz w:val="20"/>
                <w:szCs w:val="20"/>
              </w:rPr>
            </w:pPr>
            <w:r w:rsidRPr="00500457">
              <w:rPr>
                <w:sz w:val="20"/>
                <w:szCs w:val="20"/>
              </w:rPr>
              <w:t>Please provide a brief history of how housing in the community, or territory and its communities has been shaped by forces such as employment growth and economic development, infrastructure, transportation, climate impacts, and migration. Please include any long-term housing challenges the community has faced.</w:t>
            </w:r>
          </w:p>
        </w:tc>
      </w:tr>
    </w:tbl>
    <w:p w14:paraId="3CFA8D6A" w14:textId="77777777" w:rsidR="00E82176" w:rsidRDefault="00E82176" w:rsidP="00E82176">
      <w:pPr>
        <w:jc w:val="both"/>
      </w:pPr>
    </w:p>
    <w:p w14:paraId="1C0C4F89" w14:textId="29781E3F" w:rsidR="0034049D" w:rsidRDefault="005900FF" w:rsidP="00C36E6B">
      <w:pPr>
        <w:pStyle w:val="Heading2"/>
      </w:pPr>
      <w:bookmarkStart w:id="3" w:name="_Toc237355929"/>
      <w:r>
        <w:t>LOCAL HOUSING CONTEXT</w:t>
      </w:r>
      <w:bookmarkEnd w:id="3"/>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722D14" w:rsidRPr="00500457" w14:paraId="3BE68D8F" w14:textId="77777777" w:rsidTr="009A4107">
        <w:trPr>
          <w:trHeight w:val="360"/>
        </w:trPr>
        <w:tc>
          <w:tcPr>
            <w:tcW w:w="1345" w:type="dxa"/>
            <w:shd w:val="clear" w:color="auto" w:fill="5F2ADF" w:themeFill="accent4" w:themeFillTint="80"/>
            <w:vAlign w:val="center"/>
          </w:tcPr>
          <w:p w14:paraId="153F72AB" w14:textId="51C1EC98" w:rsidR="00722D14"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3E1EBA86" w14:textId="77777777" w:rsidR="00722D14" w:rsidRPr="003A2EA5" w:rsidRDefault="00722D14"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722D14" w:rsidRPr="00500457" w14:paraId="7D93297A" w14:textId="77777777" w:rsidTr="00A718C5">
        <w:trPr>
          <w:trHeight w:val="872"/>
        </w:trPr>
        <w:tc>
          <w:tcPr>
            <w:tcW w:w="1345" w:type="dxa"/>
            <w:shd w:val="clear" w:color="auto" w:fill="DED3F8" w:themeFill="accent4" w:themeFillTint="1A"/>
            <w:vAlign w:val="center"/>
          </w:tcPr>
          <w:p w14:paraId="16D1697D" w14:textId="6E885661" w:rsidR="00722D14" w:rsidRPr="00500457" w:rsidRDefault="00722D14" w:rsidP="009A4107">
            <w:pPr>
              <w:rPr>
                <w:sz w:val="20"/>
                <w:szCs w:val="20"/>
              </w:rPr>
            </w:pPr>
            <w:r>
              <w:rPr>
                <w:sz w:val="20"/>
                <w:szCs w:val="20"/>
              </w:rPr>
              <w:t>2.1</w:t>
            </w:r>
          </w:p>
        </w:tc>
        <w:tc>
          <w:tcPr>
            <w:tcW w:w="8005" w:type="dxa"/>
            <w:shd w:val="clear" w:color="auto" w:fill="DED3F8" w:themeFill="accent4" w:themeFillTint="1A"/>
            <w:vAlign w:val="center"/>
          </w:tcPr>
          <w:p w14:paraId="7AC89F46" w14:textId="25AA9799" w:rsidR="00722D14" w:rsidRPr="00500457" w:rsidRDefault="00722D14" w:rsidP="009A4107">
            <w:pPr>
              <w:rPr>
                <w:sz w:val="20"/>
                <w:szCs w:val="20"/>
              </w:rPr>
            </w:pPr>
            <w:r w:rsidRPr="00722D14">
              <w:rPr>
                <w:sz w:val="20"/>
                <w:szCs w:val="20"/>
              </w:rPr>
              <w:t>Detail the existing municipal, territorial, and/or community housing policy and regulatory context, such as approved housing strategies, action plans, and relevant official territory and/ or community plans.</w:t>
            </w:r>
          </w:p>
        </w:tc>
      </w:tr>
    </w:tbl>
    <w:p w14:paraId="10FE109E" w14:textId="77777777" w:rsidR="002B7E0B" w:rsidRDefault="002B7E0B" w:rsidP="005900FF"/>
    <w:p w14:paraId="49B6F44D" w14:textId="77777777" w:rsidR="0003267A" w:rsidRDefault="005900FF" w:rsidP="00C36E6B">
      <w:pPr>
        <w:pStyle w:val="Heading2"/>
      </w:pPr>
      <w:bookmarkStart w:id="4" w:name="_Toc237355930"/>
      <w:r>
        <w:t>APPROACH</w:t>
      </w:r>
      <w:bookmarkEnd w:id="4"/>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201166" w:rsidRPr="00500457" w14:paraId="0F1D40CB" w14:textId="77777777" w:rsidTr="00201166">
        <w:trPr>
          <w:trHeight w:val="360"/>
          <w:tblHeader/>
        </w:trPr>
        <w:tc>
          <w:tcPr>
            <w:tcW w:w="1345" w:type="dxa"/>
            <w:shd w:val="clear" w:color="auto" w:fill="5F2ADF" w:themeFill="accent4" w:themeFillTint="80"/>
            <w:vAlign w:val="center"/>
          </w:tcPr>
          <w:p w14:paraId="367B56E9" w14:textId="337E61F0" w:rsidR="00201166"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34C1EFE7" w14:textId="77777777" w:rsidR="00201166" w:rsidRPr="003A2EA5" w:rsidRDefault="00201166"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201166" w:rsidRPr="00500457" w14:paraId="0367966D" w14:textId="77777777" w:rsidTr="009A4107">
        <w:trPr>
          <w:trHeight w:val="1097"/>
        </w:trPr>
        <w:tc>
          <w:tcPr>
            <w:tcW w:w="1345" w:type="dxa"/>
            <w:shd w:val="clear" w:color="auto" w:fill="DED3F8" w:themeFill="accent4" w:themeFillTint="1A"/>
            <w:vAlign w:val="center"/>
          </w:tcPr>
          <w:p w14:paraId="704B7759" w14:textId="1544568D" w:rsidR="00201166" w:rsidRPr="00500457" w:rsidRDefault="00201166" w:rsidP="009A4107">
            <w:pPr>
              <w:rPr>
                <w:sz w:val="20"/>
                <w:szCs w:val="20"/>
              </w:rPr>
            </w:pPr>
            <w:r>
              <w:rPr>
                <w:sz w:val="20"/>
                <w:szCs w:val="20"/>
              </w:rPr>
              <w:t>1.1</w:t>
            </w:r>
          </w:p>
        </w:tc>
        <w:tc>
          <w:tcPr>
            <w:tcW w:w="8005" w:type="dxa"/>
            <w:shd w:val="clear" w:color="auto" w:fill="DED3F8" w:themeFill="accent4" w:themeFillTint="1A"/>
            <w:vAlign w:val="center"/>
          </w:tcPr>
          <w:p w14:paraId="1A2E75BD" w14:textId="7D1EF479" w:rsidR="00201166" w:rsidRPr="00500457" w:rsidRDefault="00201166" w:rsidP="009A4107">
            <w:pPr>
              <w:rPr>
                <w:sz w:val="20"/>
                <w:szCs w:val="20"/>
              </w:rPr>
            </w:pPr>
            <w:r w:rsidRPr="00201166">
              <w:rPr>
                <w:sz w:val="20"/>
                <w:szCs w:val="20"/>
              </w:rPr>
              <w:t>Provide an overview of the quantitative and qualitative methodology and assumptions used to develop this Housing Needs Assessment. This should include both quantitative and qualitative methods. Please also identify the publicly available data sources used to complete this assessment.</w:t>
            </w:r>
          </w:p>
        </w:tc>
      </w:tr>
      <w:tr w:rsidR="00201166" w:rsidRPr="00500457" w14:paraId="627F90FF" w14:textId="77777777" w:rsidTr="00201166">
        <w:trPr>
          <w:trHeight w:val="1340"/>
        </w:trPr>
        <w:tc>
          <w:tcPr>
            <w:tcW w:w="1345" w:type="dxa"/>
            <w:shd w:val="clear" w:color="auto" w:fill="DED3F8" w:themeFill="accent4" w:themeFillTint="1A"/>
            <w:vAlign w:val="center"/>
          </w:tcPr>
          <w:p w14:paraId="54FFD52D" w14:textId="6DA7BE11" w:rsidR="00201166" w:rsidRDefault="00201166" w:rsidP="009A4107">
            <w:pPr>
              <w:rPr>
                <w:sz w:val="20"/>
                <w:szCs w:val="20"/>
              </w:rPr>
            </w:pPr>
            <w:r>
              <w:rPr>
                <w:sz w:val="20"/>
                <w:szCs w:val="20"/>
              </w:rPr>
              <w:t>1.2</w:t>
            </w:r>
          </w:p>
        </w:tc>
        <w:tc>
          <w:tcPr>
            <w:tcW w:w="8005" w:type="dxa"/>
            <w:shd w:val="clear" w:color="auto" w:fill="DED3F8" w:themeFill="accent4" w:themeFillTint="1A"/>
            <w:vAlign w:val="center"/>
          </w:tcPr>
          <w:p w14:paraId="75A1FD4E" w14:textId="74342C0C" w:rsidR="00201166" w:rsidRPr="00201166" w:rsidRDefault="00201166" w:rsidP="009A4107">
            <w:pPr>
              <w:rPr>
                <w:sz w:val="20"/>
                <w:szCs w:val="20"/>
              </w:rPr>
            </w:pPr>
            <w:r w:rsidRPr="00201166">
              <w:rPr>
                <w:sz w:val="20"/>
                <w:szCs w:val="20"/>
              </w:rPr>
              <w:t>Provide an overview of the methodology and assumptions used to engage with key stakeholder groups (e.g., non-profit housing providers, developers, public entities). This should include qualitative and quantitative methods. Please provide a description of who was engaged, the type of engagement that took place, and the nature of the engagement (e.g. interviews, consultations).</w:t>
            </w:r>
          </w:p>
        </w:tc>
      </w:tr>
      <w:tr w:rsidR="00201166" w:rsidRPr="00500457" w14:paraId="19207C55" w14:textId="77777777" w:rsidTr="00201166">
        <w:trPr>
          <w:trHeight w:val="1772"/>
        </w:trPr>
        <w:tc>
          <w:tcPr>
            <w:tcW w:w="1345" w:type="dxa"/>
            <w:shd w:val="clear" w:color="auto" w:fill="DED3F8" w:themeFill="accent4" w:themeFillTint="1A"/>
            <w:vAlign w:val="center"/>
          </w:tcPr>
          <w:p w14:paraId="2CE997C3" w14:textId="48A0742E" w:rsidR="00201166" w:rsidRDefault="00201166" w:rsidP="009A4107">
            <w:pPr>
              <w:rPr>
                <w:sz w:val="20"/>
                <w:szCs w:val="20"/>
              </w:rPr>
            </w:pPr>
            <w:r>
              <w:rPr>
                <w:sz w:val="20"/>
                <w:szCs w:val="20"/>
              </w:rPr>
              <w:lastRenderedPageBreak/>
              <w:t>1.3</w:t>
            </w:r>
          </w:p>
        </w:tc>
        <w:tc>
          <w:tcPr>
            <w:tcW w:w="8005" w:type="dxa"/>
            <w:shd w:val="clear" w:color="auto" w:fill="DED3F8" w:themeFill="accent4" w:themeFillTint="1A"/>
            <w:vAlign w:val="center"/>
          </w:tcPr>
          <w:p w14:paraId="186FEE95" w14:textId="16CB7664" w:rsidR="00201166" w:rsidRPr="00201166" w:rsidRDefault="00201166" w:rsidP="009A4107">
            <w:pPr>
              <w:rPr>
                <w:sz w:val="20"/>
                <w:szCs w:val="20"/>
              </w:rPr>
            </w:pPr>
            <w:r w:rsidRPr="00201166">
              <w:rPr>
                <w:sz w:val="20"/>
                <w:szCs w:val="20"/>
              </w:rPr>
              <w:t>Please provide an overview of the methodology and assumptions used to conduct engagement with the priority groups in the development of this Housing Needs Assessment. This should include qualitative and quantitative methods. Please provide a description of who was engaged, the type of engagement that took place, and the nature of the engagement (e.g., interviews, consultations). If a private individual has been engaged, please anonymize and remove any identifying features from the narrative.</w:t>
            </w:r>
          </w:p>
        </w:tc>
      </w:tr>
      <w:tr w:rsidR="00201166" w:rsidRPr="00500457" w14:paraId="10EB907A" w14:textId="77777777" w:rsidTr="00201166">
        <w:trPr>
          <w:trHeight w:val="800"/>
        </w:trPr>
        <w:tc>
          <w:tcPr>
            <w:tcW w:w="1345" w:type="dxa"/>
            <w:shd w:val="clear" w:color="auto" w:fill="DED3F8" w:themeFill="accent4" w:themeFillTint="1A"/>
            <w:vAlign w:val="center"/>
          </w:tcPr>
          <w:p w14:paraId="0D1E2D5D" w14:textId="70E915AF" w:rsidR="00201166" w:rsidRDefault="00201166" w:rsidP="009A4107">
            <w:pPr>
              <w:rPr>
                <w:sz w:val="20"/>
                <w:szCs w:val="20"/>
              </w:rPr>
            </w:pPr>
            <w:r>
              <w:rPr>
                <w:sz w:val="20"/>
                <w:szCs w:val="20"/>
              </w:rPr>
              <w:t>6.1</w:t>
            </w:r>
          </w:p>
        </w:tc>
        <w:tc>
          <w:tcPr>
            <w:tcW w:w="8005" w:type="dxa"/>
            <w:shd w:val="clear" w:color="auto" w:fill="DED3F8" w:themeFill="accent4" w:themeFillTint="1A"/>
            <w:vAlign w:val="center"/>
          </w:tcPr>
          <w:p w14:paraId="59BF09E6" w14:textId="13795F23" w:rsidR="00201166" w:rsidRPr="00201166" w:rsidRDefault="00201166" w:rsidP="009A4107">
            <w:pPr>
              <w:rPr>
                <w:sz w:val="20"/>
                <w:szCs w:val="20"/>
              </w:rPr>
            </w:pPr>
            <w:r w:rsidRPr="00201166">
              <w:rPr>
                <w:sz w:val="20"/>
                <w:szCs w:val="20"/>
              </w:rPr>
              <w:t xml:space="preserve">Outline the methodology and calculations used to complete the projections, including all assumptions (see </w:t>
            </w:r>
            <w:r w:rsidRPr="00201166">
              <w:rPr>
                <w:b/>
                <w:bCs/>
                <w:sz w:val="20"/>
                <w:szCs w:val="20"/>
              </w:rPr>
              <w:t>Methodology – Projection</w:t>
            </w:r>
            <w:r w:rsidRPr="00201166">
              <w:rPr>
                <w:sz w:val="20"/>
                <w:szCs w:val="20"/>
              </w:rPr>
              <w:t xml:space="preserve"> document).</w:t>
            </w:r>
          </w:p>
        </w:tc>
      </w:tr>
    </w:tbl>
    <w:p w14:paraId="0C3C4D20" w14:textId="18D5664E" w:rsidR="003F50B4" w:rsidRDefault="003F50B4" w:rsidP="0003267A">
      <w:r>
        <w:br w:type="page"/>
      </w:r>
    </w:p>
    <w:p w14:paraId="335ABE1D" w14:textId="77777777" w:rsidR="0098045B" w:rsidRDefault="0098045B" w:rsidP="0098045B">
      <w:pPr>
        <w:pStyle w:val="Heading1"/>
      </w:pPr>
      <w:bookmarkStart w:id="5" w:name="_Toc237355931"/>
      <w:r>
        <w:lastRenderedPageBreak/>
        <w:t>LONG-TERM PLANNING</w:t>
      </w:r>
      <w:bookmarkEnd w:id="5"/>
    </w:p>
    <w:p w14:paraId="763FF2F0" w14:textId="77777777" w:rsidR="00E3007F" w:rsidRDefault="00E3007F" w:rsidP="00E3007F">
      <w:pPr>
        <w:shd w:val="clear" w:color="auto" w:fill="FFFFFF" w:themeFill="background1"/>
        <w:rPr>
          <w:b/>
          <w:bC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B83CC4" w:rsidRPr="00500457" w14:paraId="202463A8" w14:textId="77777777" w:rsidTr="009A4107">
        <w:trPr>
          <w:trHeight w:val="360"/>
          <w:tblHeader/>
        </w:trPr>
        <w:tc>
          <w:tcPr>
            <w:tcW w:w="1345" w:type="dxa"/>
            <w:shd w:val="clear" w:color="auto" w:fill="5F2ADF" w:themeFill="accent4" w:themeFillTint="80"/>
            <w:vAlign w:val="center"/>
          </w:tcPr>
          <w:p w14:paraId="2FFFB992" w14:textId="55145ACF" w:rsidR="00B83CC4"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007EEBB0" w14:textId="77777777" w:rsidR="00B83CC4" w:rsidRPr="003A2EA5" w:rsidRDefault="00B83CC4"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B83CC4" w:rsidRPr="00500457" w14:paraId="2DA3CBE0" w14:textId="77777777" w:rsidTr="00955D90">
        <w:trPr>
          <w:trHeight w:val="5525"/>
        </w:trPr>
        <w:tc>
          <w:tcPr>
            <w:tcW w:w="1345" w:type="dxa"/>
            <w:shd w:val="clear" w:color="auto" w:fill="DED3F8" w:themeFill="accent4" w:themeFillTint="1A"/>
            <w:vAlign w:val="center"/>
          </w:tcPr>
          <w:p w14:paraId="2F0FD7A9" w14:textId="788DBA3F" w:rsidR="00B83CC4" w:rsidRPr="00500457" w:rsidRDefault="00B83CC4" w:rsidP="009A4107">
            <w:pPr>
              <w:rPr>
                <w:sz w:val="20"/>
                <w:szCs w:val="20"/>
              </w:rPr>
            </w:pPr>
            <w:r>
              <w:rPr>
                <w:sz w:val="20"/>
                <w:szCs w:val="20"/>
              </w:rPr>
              <w:t>7.1</w:t>
            </w:r>
          </w:p>
        </w:tc>
        <w:tc>
          <w:tcPr>
            <w:tcW w:w="8005" w:type="dxa"/>
            <w:shd w:val="clear" w:color="auto" w:fill="DED3F8" w:themeFill="accent4" w:themeFillTint="1A"/>
            <w:vAlign w:val="center"/>
          </w:tcPr>
          <w:p w14:paraId="6169ED27" w14:textId="45045BFE" w:rsidR="00B83CC4" w:rsidRPr="00B83CC4" w:rsidRDefault="00B83CC4" w:rsidP="00B83CC4">
            <w:pPr>
              <w:rPr>
                <w:sz w:val="20"/>
                <w:szCs w:val="20"/>
              </w:rPr>
            </w:pPr>
            <w:r w:rsidRPr="00B83CC4">
              <w:rPr>
                <w:sz w:val="20"/>
                <w:szCs w:val="20"/>
              </w:rPr>
              <w:t>Please use the following questions to describe how those linkages will be made.</w:t>
            </w:r>
          </w:p>
          <w:p w14:paraId="37BBE801" w14:textId="77777777" w:rsidR="00B83CC4" w:rsidRPr="00B83CC4" w:rsidRDefault="00B83CC4" w:rsidP="00B83CC4">
            <w:pPr>
              <w:rPr>
                <w:sz w:val="20"/>
                <w:szCs w:val="20"/>
              </w:rPr>
            </w:pPr>
          </w:p>
          <w:p w14:paraId="3EC04B5A" w14:textId="0299EDC9" w:rsidR="00B83CC4" w:rsidRPr="00B83CC4" w:rsidRDefault="00B83CC4" w:rsidP="00B83CC4">
            <w:pPr>
              <w:pStyle w:val="ListParagraph"/>
              <w:numPr>
                <w:ilvl w:val="0"/>
                <w:numId w:val="12"/>
              </w:numPr>
              <w:ind w:left="346" w:hanging="346"/>
              <w:rPr>
                <w:sz w:val="20"/>
                <w:szCs w:val="20"/>
              </w:rPr>
            </w:pPr>
            <w:r w:rsidRPr="00B83CC4">
              <w:rPr>
                <w:sz w:val="20"/>
                <w:szCs w:val="20"/>
              </w:rPr>
              <w:t>How will this HNA inform official community or development plans, housing policies and/or actions going forward? For example, if the HNA identifies specific needs in your communities across the housing spectrum (e.g., housing needed for priority populations, units for large households in denser form factors, more diverse structural types such as missing middle housing, or more affordable and higher-density housing near transit), how could actions and changes in policy and planning help address those needs?</w:t>
            </w:r>
          </w:p>
          <w:p w14:paraId="72177F21" w14:textId="77777777" w:rsidR="00B83CC4" w:rsidRPr="00B83CC4" w:rsidRDefault="00B83CC4" w:rsidP="00B83CC4">
            <w:pPr>
              <w:ind w:left="346" w:hanging="346"/>
              <w:rPr>
                <w:sz w:val="20"/>
                <w:szCs w:val="20"/>
              </w:rPr>
            </w:pPr>
          </w:p>
          <w:p w14:paraId="0A75011D" w14:textId="2C7546F8" w:rsidR="00B83CC4" w:rsidRPr="00B83CC4" w:rsidRDefault="00B83CC4" w:rsidP="00B83CC4">
            <w:pPr>
              <w:pStyle w:val="ListParagraph"/>
              <w:numPr>
                <w:ilvl w:val="0"/>
                <w:numId w:val="12"/>
              </w:numPr>
              <w:ind w:left="346" w:hanging="346"/>
              <w:rPr>
                <w:sz w:val="20"/>
                <w:szCs w:val="20"/>
              </w:rPr>
            </w:pPr>
            <w:r w:rsidRPr="00B83CC4">
              <w:rPr>
                <w:sz w:val="20"/>
                <w:szCs w:val="20"/>
              </w:rPr>
              <w:t xml:space="preserve">How will data </w:t>
            </w:r>
            <w:r w:rsidR="00230FC2">
              <w:rPr>
                <w:sz w:val="20"/>
                <w:szCs w:val="20"/>
              </w:rPr>
              <w:t xml:space="preserve">be </w:t>
            </w:r>
            <w:r w:rsidRPr="00B83CC4">
              <w:rPr>
                <w:sz w:val="20"/>
                <w:szCs w:val="20"/>
              </w:rPr>
              <w:t>collected through this HNA help direct those plans and policies as they aim to improve housing at the territorial and community level, and how will this intersect with major development patterns, growth management strategies, as well as master plans and capital plans that guide infrastructure investments?</w:t>
            </w:r>
          </w:p>
          <w:p w14:paraId="45B86D35" w14:textId="77777777" w:rsidR="00B83CC4" w:rsidRPr="00B83CC4" w:rsidRDefault="00B83CC4" w:rsidP="00B83CC4">
            <w:pPr>
              <w:ind w:left="346" w:hanging="346"/>
              <w:rPr>
                <w:sz w:val="20"/>
                <w:szCs w:val="20"/>
              </w:rPr>
            </w:pPr>
          </w:p>
          <w:p w14:paraId="0DD13325" w14:textId="1747DF88" w:rsidR="00B83CC4" w:rsidRPr="00B83CC4" w:rsidRDefault="00B83CC4" w:rsidP="00B83CC4">
            <w:pPr>
              <w:pStyle w:val="ListParagraph"/>
              <w:numPr>
                <w:ilvl w:val="0"/>
                <w:numId w:val="12"/>
              </w:numPr>
              <w:ind w:left="346" w:hanging="346"/>
              <w:rPr>
                <w:sz w:val="20"/>
                <w:szCs w:val="20"/>
              </w:rPr>
            </w:pPr>
            <w:r w:rsidRPr="00B83CC4">
              <w:rPr>
                <w:sz w:val="20"/>
                <w:szCs w:val="20"/>
              </w:rPr>
              <w:t>Based on the findings of this HNA, and particularly the projected housing needs, please describe any anticipated growth pressures caused by infrastructure gaps that will need to be prioritized and addressed in order to effectively plan and prepare for forecasted growth. This can relate to any type of enabling infrastructure needed for housing, including fixed and non-fixed assets, as well as social, community or natural infrastructure that your local government has identified as a priority for fostering more complete and resilient communities.</w:t>
            </w:r>
          </w:p>
        </w:tc>
      </w:tr>
    </w:tbl>
    <w:p w14:paraId="5C78F8F8" w14:textId="4EBDD74B" w:rsidR="0098045B" w:rsidRDefault="0098045B" w:rsidP="00B83CC4">
      <w:pPr>
        <w:pStyle w:val="ListParagraph"/>
        <w:numPr>
          <w:ilvl w:val="0"/>
          <w:numId w:val="8"/>
        </w:numPr>
        <w:ind w:left="360"/>
        <w:jc w:val="both"/>
      </w:pPr>
      <w:r>
        <w:br w:type="page"/>
      </w:r>
    </w:p>
    <w:p w14:paraId="34B2500E" w14:textId="3E7653C8" w:rsidR="005C675B" w:rsidRPr="00072A93" w:rsidRDefault="008527A8" w:rsidP="003656DC">
      <w:pPr>
        <w:pStyle w:val="Heading1"/>
      </w:pPr>
      <w:bookmarkStart w:id="6" w:name="_Toc237355932"/>
      <w:r>
        <w:lastRenderedPageBreak/>
        <w:t>COMMUNITY SNAPSHOT</w:t>
      </w:r>
      <w:bookmarkEnd w:id="6"/>
    </w:p>
    <w:p w14:paraId="48AE2C4E" w14:textId="77777777" w:rsidR="0094060A" w:rsidRDefault="0094060A" w:rsidP="001903F0">
      <w:pPr>
        <w:jc w:val="both"/>
      </w:pPr>
    </w:p>
    <w:p w14:paraId="3C849408" w14:textId="158C475F" w:rsidR="00450490" w:rsidRDefault="00450490" w:rsidP="00450490">
      <w:pPr>
        <w:jc w:val="both"/>
      </w:pPr>
      <w:r>
        <w:t>The following is a high-level synopsis of the entire Housing Needs Assessment (HNA), distilling key findings into a concise format. It is deliberately positioned at the front of the report so that readers can orient themselves before engaging with the more detailed analysis in later sections.</w:t>
      </w:r>
    </w:p>
    <w:p w14:paraId="770358BF" w14:textId="77777777" w:rsidR="00450490" w:rsidRDefault="00450490" w:rsidP="00450490">
      <w:pPr>
        <w:jc w:val="both"/>
      </w:pPr>
    </w:p>
    <w:p w14:paraId="2F1DC2C0" w14:textId="2E3CCDD7" w:rsidR="00CD710E" w:rsidRDefault="00450490" w:rsidP="00CD710E">
      <w:pPr>
        <w:jc w:val="both"/>
      </w:pPr>
      <w:r>
        <w:t>A</w:t>
      </w:r>
      <w:r w:rsidR="00C80A5F">
        <w:t xml:space="preserve">n </w:t>
      </w:r>
      <w:r>
        <w:t xml:space="preserve">overview ensures that the report's most consequential findings (e.g., housing need indicators, population pressures, projected demand) are immediately visible to those who may not read the full document. It may also serve as an initial reference for funding applications to programs such as the Housing Accelerator Fund (HAF) and the </w:t>
      </w:r>
      <w:r w:rsidR="0066194B">
        <w:t>Build Communities Strong Fund (BCSF)</w:t>
      </w:r>
      <w:r>
        <w:t xml:space="preserve">. However, funding programs will </w:t>
      </w:r>
      <w:r w:rsidR="00B06A3B">
        <w:t>necessitate</w:t>
      </w:r>
      <w:r>
        <w:t xml:space="preserve"> that data and narrative </w:t>
      </w:r>
      <w:r w:rsidR="00297CE3">
        <w:t xml:space="preserve">align with federal </w:t>
      </w:r>
      <w:r>
        <w:t xml:space="preserve">HNA </w:t>
      </w:r>
      <w:r w:rsidR="00B06A3B">
        <w:t>requirements</w:t>
      </w:r>
      <w:r>
        <w:t xml:space="preserve">. Specific data noted in those requirements, along with the discussion questions posed by the federal government, are found in the </w:t>
      </w:r>
      <w:r w:rsidRPr="006028BE">
        <w:rPr>
          <w:b/>
          <w:bCs/>
        </w:rPr>
        <w:t>Appendix</w:t>
      </w:r>
      <w:r>
        <w:t>. While most data tables can be completed using traditional data sources, the majority of discussion questions should be completed by the party submitting this document for funding, as they require nuance not available through data alone</w:t>
      </w:r>
      <w:r w:rsidR="00A53DEF">
        <w:t xml:space="preserve"> (or at all)</w:t>
      </w:r>
      <w:r>
        <w:t>.</w:t>
      </w:r>
      <w:bookmarkStart w:id="7" w:name="_Toc223686633"/>
      <w:bookmarkStart w:id="8" w:name="_Toc222480659"/>
    </w:p>
    <w:p w14:paraId="0347F4EC" w14:textId="77777777" w:rsidR="00FF73F1" w:rsidRDefault="00FF73F1" w:rsidP="00CD710E">
      <w:pPr>
        <w:jc w:val="both"/>
      </w:pPr>
    </w:p>
    <w:p w14:paraId="48C90CAF" w14:textId="68577BD2" w:rsidR="008527A8" w:rsidRPr="003C59F9" w:rsidRDefault="008521B1" w:rsidP="003C59F9">
      <w:pPr>
        <w:shd w:val="clear" w:color="auto" w:fill="FFD07A" w:themeFill="accent5" w:themeFillTint="66"/>
        <w:jc w:val="both"/>
        <w:rPr>
          <w:rFonts w:ascii="Bahnschrift" w:hAnsi="Bahnschrift"/>
          <w:b/>
          <w:bCs/>
          <w:sz w:val="28"/>
          <w:szCs w:val="28"/>
        </w:rPr>
      </w:pPr>
      <w:r w:rsidRPr="003C59F9">
        <w:rPr>
          <w:rFonts w:ascii="Bahnschrift" w:hAnsi="Bahnschrift"/>
          <w:b/>
          <w:bCs/>
          <w:sz w:val="28"/>
          <w:szCs w:val="28"/>
        </w:rPr>
        <w:t>PRIORITY ISSUES</w:t>
      </w:r>
    </w:p>
    <w:p w14:paraId="12618AD3" w14:textId="77777777" w:rsidR="008D3401" w:rsidRDefault="008D3401" w:rsidP="00CD710E">
      <w:pPr>
        <w:jc w:val="both"/>
      </w:pPr>
    </w:p>
    <w:tbl>
      <w:tblPr>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35"/>
        <w:gridCol w:w="7920"/>
      </w:tblGrid>
      <w:tr w:rsidR="00723898" w:rsidRPr="00723898" w14:paraId="2E759DC9" w14:textId="77777777" w:rsidTr="003C59F9">
        <w:trPr>
          <w:trHeight w:val="435"/>
        </w:trPr>
        <w:tc>
          <w:tcPr>
            <w:tcW w:w="1435" w:type="dxa"/>
            <w:shd w:val="clear" w:color="auto" w:fill="42618C" w:themeFill="accent3"/>
            <w:vAlign w:val="center"/>
            <w:hideMark/>
          </w:tcPr>
          <w:p w14:paraId="5BE1712A" w14:textId="33D7682C" w:rsidR="00723898" w:rsidRPr="00723898" w:rsidRDefault="00723898" w:rsidP="00723898">
            <w:pPr>
              <w:rPr>
                <w:rFonts w:eastAsia="Times New Roman"/>
                <w:color w:val="FFFFFF"/>
                <w:sz w:val="18"/>
                <w:szCs w:val="18"/>
              </w:rPr>
            </w:pPr>
            <w:r w:rsidRPr="00723898">
              <w:rPr>
                <w:rFonts w:eastAsia="Times New Roman"/>
                <w:color w:val="FFFFFF"/>
                <w:sz w:val="18"/>
                <w:szCs w:val="18"/>
              </w:rPr>
              <w:t>Issue</w:t>
            </w:r>
          </w:p>
        </w:tc>
        <w:tc>
          <w:tcPr>
            <w:tcW w:w="7920" w:type="dxa"/>
            <w:shd w:val="clear" w:color="auto" w:fill="42618C" w:themeFill="accent3"/>
            <w:vAlign w:val="center"/>
            <w:hideMark/>
          </w:tcPr>
          <w:p w14:paraId="72BF42E1" w14:textId="1294899D" w:rsidR="00723898" w:rsidRPr="00723898" w:rsidRDefault="00354EDB" w:rsidP="00723898">
            <w:pPr>
              <w:rPr>
                <w:rFonts w:eastAsia="Times New Roman"/>
                <w:color w:val="FFFFFF"/>
                <w:sz w:val="18"/>
                <w:szCs w:val="18"/>
              </w:rPr>
            </w:pPr>
            <w:r w:rsidRPr="00321458">
              <w:rPr>
                <w:rFonts w:eastAsia="Times New Roman"/>
                <w:color w:val="FFFFFF"/>
                <w:sz w:val="18"/>
                <w:szCs w:val="18"/>
              </w:rPr>
              <w:t>Local i</w:t>
            </w:r>
            <w:r w:rsidR="00723898" w:rsidRPr="00723898">
              <w:rPr>
                <w:rFonts w:eastAsia="Times New Roman"/>
                <w:color w:val="FFFFFF"/>
                <w:sz w:val="18"/>
                <w:szCs w:val="18"/>
              </w:rPr>
              <w:t>mplication</w:t>
            </w:r>
          </w:p>
        </w:tc>
      </w:tr>
      <w:tr w:rsidR="0078797F" w:rsidRPr="00723898" w14:paraId="0C7D8AB3" w14:textId="77777777" w:rsidTr="003C59F9">
        <w:trPr>
          <w:trHeight w:val="1115"/>
        </w:trPr>
        <w:tc>
          <w:tcPr>
            <w:tcW w:w="1435" w:type="dxa"/>
            <w:shd w:val="clear" w:color="auto" w:fill="DBE2E9" w:themeFill="background2" w:themeFillShade="E6"/>
            <w:vAlign w:val="center"/>
            <w:hideMark/>
          </w:tcPr>
          <w:p w14:paraId="7132FF29" w14:textId="63F22398" w:rsidR="0078797F" w:rsidRPr="00723898" w:rsidRDefault="0078797F" w:rsidP="0078797F">
            <w:pPr>
              <w:spacing w:before="60" w:after="60"/>
              <w:rPr>
                <w:rFonts w:eastAsia="Times New Roman"/>
                <w:b/>
                <w:bCs/>
                <w:color w:val="000000"/>
                <w:sz w:val="18"/>
                <w:szCs w:val="18"/>
              </w:rPr>
            </w:pPr>
            <w:r>
              <w:rPr>
                <w:b/>
                <w:bCs/>
                <w:color w:val="000000"/>
                <w:sz w:val="18"/>
                <w:szCs w:val="18"/>
              </w:rPr>
              <w:t>Social deprivation</w:t>
            </w:r>
          </w:p>
        </w:tc>
        <w:tc>
          <w:tcPr>
            <w:tcW w:w="7920" w:type="dxa"/>
            <w:shd w:val="clear" w:color="F2F2F2" w:fill="FFFFFF"/>
            <w:vAlign w:val="center"/>
            <w:hideMark/>
          </w:tcPr>
          <w:p w14:paraId="4C73AB40" w14:textId="1E2DE2D8" w:rsidR="0078797F" w:rsidRPr="000B22A1" w:rsidRDefault="0078797F" w:rsidP="0078797F">
            <w:pPr>
              <w:spacing w:before="60" w:after="60"/>
              <w:jc w:val="both"/>
              <w:rPr>
                <w:rFonts w:eastAsia="Times New Roman"/>
                <w:color w:val="C00000"/>
                <w:sz w:val="18"/>
                <w:szCs w:val="18"/>
              </w:rPr>
            </w:pPr>
            <w:r w:rsidRPr="000B22A1">
              <w:rPr>
                <w:color w:val="C00000"/>
                <w:sz w:val="18"/>
                <w:szCs w:val="18"/>
              </w:rPr>
              <w:t>Social deprivation measures household fragmentation, lone-parent family prevalence, and social isolation within a community. Social deprivation is high both provincially and nationally, with substantially elevated rates of household fragmentation, lone-parent families, and social isolation. These characteristics are among the strongest predictors of housing instability and core housing need at the individual level.</w:t>
            </w:r>
          </w:p>
        </w:tc>
      </w:tr>
      <w:tr w:rsidR="0078797F" w:rsidRPr="00723898" w14:paraId="16B17574" w14:textId="77777777" w:rsidTr="003C59F9">
        <w:trPr>
          <w:trHeight w:val="593"/>
        </w:trPr>
        <w:tc>
          <w:tcPr>
            <w:tcW w:w="1435" w:type="dxa"/>
            <w:shd w:val="clear" w:color="auto" w:fill="DBE2E9" w:themeFill="background2" w:themeFillShade="E6"/>
            <w:vAlign w:val="center"/>
            <w:hideMark/>
          </w:tcPr>
          <w:p w14:paraId="473E9D57" w14:textId="5C1067E9" w:rsidR="0078797F" w:rsidRPr="00723898" w:rsidRDefault="0078797F" w:rsidP="0078797F">
            <w:pPr>
              <w:spacing w:before="60" w:after="60"/>
              <w:rPr>
                <w:rFonts w:eastAsia="Times New Roman"/>
                <w:b/>
                <w:bCs/>
                <w:color w:val="000000"/>
                <w:sz w:val="18"/>
                <w:szCs w:val="18"/>
              </w:rPr>
            </w:pPr>
            <w:r>
              <w:rPr>
                <w:b/>
                <w:bCs/>
                <w:color w:val="000000"/>
                <w:sz w:val="18"/>
                <w:szCs w:val="18"/>
              </w:rPr>
              <w:t>Ethno-cultural composition</w:t>
            </w:r>
          </w:p>
        </w:tc>
        <w:tc>
          <w:tcPr>
            <w:tcW w:w="7920" w:type="dxa"/>
            <w:shd w:val="clear" w:color="F2F2F2" w:fill="FFFFFF"/>
            <w:vAlign w:val="center"/>
            <w:hideMark/>
          </w:tcPr>
          <w:p w14:paraId="4826E1CE" w14:textId="5323DB32" w:rsidR="0078797F" w:rsidRPr="000B22A1" w:rsidRDefault="0078797F" w:rsidP="0078797F">
            <w:pPr>
              <w:spacing w:before="60" w:after="60"/>
              <w:jc w:val="both"/>
              <w:rPr>
                <w:rFonts w:eastAsia="Times New Roman"/>
                <w:color w:val="C00000"/>
                <w:sz w:val="18"/>
                <w:szCs w:val="18"/>
              </w:rPr>
            </w:pPr>
            <w:r w:rsidRPr="000B22A1">
              <w:rPr>
                <w:color w:val="C00000"/>
                <w:sz w:val="18"/>
                <w:szCs w:val="18"/>
              </w:rPr>
              <w:t>Ethno-cultural composition measures the concentration of immigrant and visible minority populations, including indicators of linguistic isolation and housing crowding, in the context of marginalization risk. Ethno-cultural complexity is high both provincially and nationally. Elevated rates of linguistic isolation, recent immigration, and housing crowding create concrete barriers to navigating the rental market, asserting tenant rights, and accessing housing services; barriers that require culturally responsive approaches to outreach and service delivery.</w:t>
            </w:r>
          </w:p>
        </w:tc>
      </w:tr>
      <w:tr w:rsidR="0078797F" w:rsidRPr="00723898" w14:paraId="7B45BF5E" w14:textId="77777777" w:rsidTr="003C59F9">
        <w:trPr>
          <w:trHeight w:val="980"/>
        </w:trPr>
        <w:tc>
          <w:tcPr>
            <w:tcW w:w="1435" w:type="dxa"/>
            <w:shd w:val="clear" w:color="auto" w:fill="DBE2E9" w:themeFill="background2" w:themeFillShade="E6"/>
            <w:vAlign w:val="center"/>
            <w:hideMark/>
          </w:tcPr>
          <w:p w14:paraId="30F39FE9" w14:textId="1F05B89E" w:rsidR="0078797F" w:rsidRPr="00723898" w:rsidRDefault="0078797F" w:rsidP="0078797F">
            <w:pPr>
              <w:spacing w:before="60" w:after="60"/>
              <w:rPr>
                <w:rFonts w:eastAsia="Times New Roman"/>
                <w:b/>
                <w:bCs/>
                <w:color w:val="000000"/>
                <w:sz w:val="18"/>
                <w:szCs w:val="18"/>
              </w:rPr>
            </w:pPr>
            <w:r>
              <w:rPr>
                <w:b/>
                <w:bCs/>
                <w:color w:val="000000"/>
                <w:sz w:val="18"/>
                <w:szCs w:val="18"/>
              </w:rPr>
              <w:t>Residential instability</w:t>
            </w:r>
          </w:p>
        </w:tc>
        <w:tc>
          <w:tcPr>
            <w:tcW w:w="7920" w:type="dxa"/>
            <w:shd w:val="clear" w:color="F2F2F2" w:fill="FFFFFF"/>
            <w:vAlign w:val="center"/>
            <w:hideMark/>
          </w:tcPr>
          <w:p w14:paraId="0D4A6D0A" w14:textId="3E504921" w:rsidR="0078797F" w:rsidRPr="000B22A1" w:rsidRDefault="0078797F" w:rsidP="0078797F">
            <w:pPr>
              <w:spacing w:before="60" w:after="60"/>
              <w:jc w:val="both"/>
              <w:rPr>
                <w:rFonts w:eastAsia="Times New Roman"/>
                <w:color w:val="C00000"/>
                <w:sz w:val="18"/>
                <w:szCs w:val="18"/>
              </w:rPr>
            </w:pPr>
            <w:r w:rsidRPr="000B22A1">
              <w:rPr>
                <w:color w:val="C00000"/>
                <w:sz w:val="18"/>
                <w:szCs w:val="18"/>
              </w:rPr>
              <w:t>Residential instability measures the degree to which a neighbourhood's population is transient and households are fragile, based on factors such as renting, living alone, and frequent moving. Residential instability is high both provincially and nationally, reflecting a population with substantially elevated rates of renting, living alone, and frequent moves. These households face acute exposure to displacement and have the least capacity to absorb market shocks, making housing security a priority concern for this community.</w:t>
            </w:r>
          </w:p>
        </w:tc>
      </w:tr>
      <w:tr w:rsidR="0078797F" w:rsidRPr="00723898" w14:paraId="2066D5AE" w14:textId="77777777" w:rsidTr="003C59F9">
        <w:trPr>
          <w:trHeight w:val="917"/>
        </w:trPr>
        <w:tc>
          <w:tcPr>
            <w:tcW w:w="1435" w:type="dxa"/>
            <w:shd w:val="clear" w:color="auto" w:fill="DBE2E9" w:themeFill="background2" w:themeFillShade="E6"/>
            <w:vAlign w:val="center"/>
            <w:hideMark/>
          </w:tcPr>
          <w:p w14:paraId="3DCB75D4" w14:textId="3BF6463E" w:rsidR="0078797F" w:rsidRPr="00723898" w:rsidRDefault="0078797F" w:rsidP="0078797F">
            <w:pPr>
              <w:spacing w:before="60" w:after="60"/>
              <w:rPr>
                <w:rFonts w:eastAsia="Times New Roman"/>
                <w:b/>
                <w:bCs/>
                <w:color w:val="000000"/>
                <w:sz w:val="18"/>
                <w:szCs w:val="18"/>
              </w:rPr>
            </w:pPr>
            <w:r>
              <w:rPr>
                <w:b/>
                <w:bCs/>
                <w:color w:val="000000"/>
                <w:sz w:val="18"/>
                <w:szCs w:val="18"/>
              </w:rPr>
              <w:t>Social vulnerability</w:t>
            </w:r>
          </w:p>
        </w:tc>
        <w:tc>
          <w:tcPr>
            <w:tcW w:w="7920" w:type="dxa"/>
            <w:shd w:val="clear" w:color="F2F2F2" w:fill="FFFFFF"/>
            <w:vAlign w:val="center"/>
            <w:hideMark/>
          </w:tcPr>
          <w:p w14:paraId="41742972" w14:textId="07B4D586" w:rsidR="0078797F" w:rsidRPr="000B22A1" w:rsidRDefault="0078797F" w:rsidP="0078797F">
            <w:pPr>
              <w:spacing w:before="60" w:after="60"/>
              <w:jc w:val="both"/>
              <w:rPr>
                <w:rFonts w:eastAsia="Times New Roman"/>
                <w:color w:val="C00000"/>
                <w:sz w:val="18"/>
                <w:szCs w:val="18"/>
              </w:rPr>
            </w:pPr>
            <w:r w:rsidRPr="000B22A1">
              <w:rPr>
                <w:color w:val="C00000"/>
                <w:sz w:val="18"/>
                <w:szCs w:val="18"/>
              </w:rPr>
              <w:t xml:space="preserve">Social vulnerability measures the distribution of risk factors (such as disability, </w:t>
            </w:r>
            <w:r w:rsidR="00055EBB" w:rsidRPr="000B22A1">
              <w:rPr>
                <w:color w:val="C00000"/>
                <w:sz w:val="18"/>
                <w:szCs w:val="18"/>
              </w:rPr>
              <w:t>low-income</w:t>
            </w:r>
            <w:r w:rsidRPr="000B22A1">
              <w:rPr>
                <w:color w:val="C00000"/>
                <w:sz w:val="18"/>
                <w:szCs w:val="18"/>
              </w:rPr>
              <w:t xml:space="preserve">, and housing inadequacy) that amplify harm when disruptions occur. Social vulnerability is above average both provincially and nationally, reflecting a meaningful share of residents whose circumstances (disability, </w:t>
            </w:r>
            <w:r w:rsidR="00055EBB" w:rsidRPr="000B22A1">
              <w:rPr>
                <w:color w:val="C00000"/>
                <w:sz w:val="18"/>
                <w:szCs w:val="18"/>
              </w:rPr>
              <w:t>low-income</w:t>
            </w:r>
            <w:r w:rsidRPr="000B22A1">
              <w:rPr>
                <w:color w:val="C00000"/>
                <w:sz w:val="18"/>
                <w:szCs w:val="18"/>
              </w:rPr>
              <w:t xml:space="preserve">, lone-parent status, or housing inadequacy) would intensify harm during a market disruption. </w:t>
            </w:r>
          </w:p>
        </w:tc>
      </w:tr>
      <w:tr w:rsidR="0078797F" w:rsidRPr="00723898" w14:paraId="6935B965" w14:textId="77777777" w:rsidTr="003C59F9">
        <w:trPr>
          <w:trHeight w:val="917"/>
        </w:trPr>
        <w:tc>
          <w:tcPr>
            <w:tcW w:w="1435" w:type="dxa"/>
            <w:shd w:val="clear" w:color="auto" w:fill="DBE2E9" w:themeFill="background2" w:themeFillShade="E6"/>
            <w:vAlign w:val="center"/>
          </w:tcPr>
          <w:p w14:paraId="42877FB4" w14:textId="194CB41A" w:rsidR="0078797F" w:rsidRPr="00321458" w:rsidRDefault="0078797F" w:rsidP="0078797F">
            <w:pPr>
              <w:spacing w:before="60" w:after="60"/>
              <w:rPr>
                <w:b/>
                <w:bCs/>
                <w:color w:val="000000"/>
                <w:sz w:val="18"/>
                <w:szCs w:val="18"/>
              </w:rPr>
            </w:pPr>
            <w:r>
              <w:rPr>
                <w:b/>
                <w:bCs/>
                <w:color w:val="000000"/>
                <w:sz w:val="18"/>
                <w:szCs w:val="18"/>
              </w:rPr>
              <w:t>Social resilience</w:t>
            </w:r>
          </w:p>
        </w:tc>
        <w:tc>
          <w:tcPr>
            <w:tcW w:w="7920" w:type="dxa"/>
            <w:shd w:val="clear" w:color="F2F2F2" w:fill="FFFFFF"/>
            <w:vAlign w:val="center"/>
          </w:tcPr>
          <w:p w14:paraId="633AFE2C" w14:textId="3271698F" w:rsidR="0078797F" w:rsidRPr="000B22A1" w:rsidRDefault="0078797F" w:rsidP="0078797F">
            <w:pPr>
              <w:spacing w:before="60" w:after="60"/>
              <w:jc w:val="both"/>
              <w:rPr>
                <w:color w:val="C00000"/>
                <w:sz w:val="18"/>
                <w:szCs w:val="18"/>
              </w:rPr>
            </w:pPr>
            <w:r w:rsidRPr="000B22A1">
              <w:rPr>
                <w:color w:val="C00000"/>
                <w:sz w:val="18"/>
                <w:szCs w:val="18"/>
              </w:rPr>
              <w:t>Social resilience measures a community's collective capacity to withstand and recover from natural hazards by measuring its human capital and economic diversity.  Social resilience is below average both provincially and nationally, with the community's collective capacity to absorb and recover from disruptions somewhat below peers. Community infrastructure and institutional support networks are less developed than wider norms.</w:t>
            </w:r>
          </w:p>
        </w:tc>
      </w:tr>
    </w:tbl>
    <w:p w14:paraId="58BDA128" w14:textId="77777777" w:rsidR="008521B1" w:rsidRDefault="008521B1" w:rsidP="00CD710E">
      <w:pPr>
        <w:jc w:val="both"/>
      </w:pPr>
    </w:p>
    <w:p w14:paraId="5E169A58" w14:textId="77777777" w:rsidR="000A0367" w:rsidRDefault="000A0367" w:rsidP="00CD710E">
      <w:pPr>
        <w:jc w:val="both"/>
      </w:pPr>
    </w:p>
    <w:p w14:paraId="4916AC6F" w14:textId="77777777" w:rsidR="005C49CE" w:rsidRDefault="005C49CE">
      <w:pPr>
        <w:rPr>
          <w:b/>
          <w:bCs/>
          <w:sz w:val="28"/>
          <w:szCs w:val="28"/>
        </w:rPr>
      </w:pPr>
      <w:r>
        <w:rPr>
          <w:b/>
          <w:bCs/>
          <w:sz w:val="28"/>
          <w:szCs w:val="28"/>
        </w:rPr>
        <w:br w:type="page"/>
      </w:r>
    </w:p>
    <w:p w14:paraId="4675E445" w14:textId="3401EE10" w:rsidR="00FE7B85" w:rsidRPr="003C59F9" w:rsidRDefault="00CB7B5F" w:rsidP="003C59F9">
      <w:pPr>
        <w:shd w:val="clear" w:color="auto" w:fill="FFD07A" w:themeFill="accent5" w:themeFillTint="66"/>
        <w:jc w:val="both"/>
        <w:rPr>
          <w:rFonts w:ascii="Bahnschrift" w:hAnsi="Bahnschrift"/>
          <w:color w:val="FFFFFF" w:themeColor="background1"/>
          <w:sz w:val="24"/>
          <w:szCs w:val="24"/>
        </w:rPr>
      </w:pPr>
      <w:r w:rsidRPr="003C59F9">
        <w:rPr>
          <w:rFonts w:ascii="Bahnschrift" w:hAnsi="Bahnschrift"/>
          <w:b/>
          <w:bCs/>
          <w:sz w:val="28"/>
          <w:szCs w:val="28"/>
        </w:rPr>
        <w:lastRenderedPageBreak/>
        <w:t>DEMOGRAPHIC</w:t>
      </w:r>
      <w:r w:rsidR="00F445FE" w:rsidRPr="003C59F9">
        <w:rPr>
          <w:rFonts w:ascii="Bahnschrift" w:hAnsi="Bahnschrift"/>
          <w:b/>
          <w:bCs/>
          <w:sz w:val="28"/>
          <w:szCs w:val="28"/>
        </w:rPr>
        <w:t xml:space="preserve"> PROFILE</w:t>
      </w:r>
    </w:p>
    <w:p w14:paraId="58F6D42C" w14:textId="77777777" w:rsidR="00CD710E" w:rsidRDefault="00CD710E" w:rsidP="00CD710E"/>
    <w:tbl>
      <w:tblPr>
        <w:tblW w:w="9355" w:type="dxa"/>
        <w:tblLook w:val="04A0" w:firstRow="1" w:lastRow="0" w:firstColumn="1" w:lastColumn="0" w:noHBand="0" w:noVBand="1"/>
      </w:tblPr>
      <w:tblGrid>
        <w:gridCol w:w="3118"/>
        <w:gridCol w:w="3118"/>
        <w:gridCol w:w="3119"/>
      </w:tblGrid>
      <w:tr w:rsidR="00804490" w:rsidRPr="00646C92" w14:paraId="0A8AAD21" w14:textId="77777777" w:rsidTr="003C59F9">
        <w:trPr>
          <w:trHeight w:val="522"/>
        </w:trPr>
        <w:tc>
          <w:tcPr>
            <w:tcW w:w="3118" w:type="dxa"/>
            <w:shd w:val="clear" w:color="auto" w:fill="E0E7F2" w:themeFill="text2" w:themeFillTint="1A"/>
            <w:vAlign w:val="bottom"/>
            <w:hideMark/>
          </w:tcPr>
          <w:p w14:paraId="45431CC0" w14:textId="7FC8ECD1"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48,120</w:t>
            </w:r>
          </w:p>
        </w:tc>
        <w:tc>
          <w:tcPr>
            <w:tcW w:w="3118" w:type="dxa"/>
            <w:shd w:val="clear" w:color="auto" w:fill="FAFBFC" w:themeFill="background2"/>
            <w:vAlign w:val="bottom"/>
            <w:hideMark/>
          </w:tcPr>
          <w:p w14:paraId="3AB2B9FB" w14:textId="4B5530C1"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+17%</w:t>
            </w:r>
          </w:p>
        </w:tc>
        <w:tc>
          <w:tcPr>
            <w:tcW w:w="3119" w:type="dxa"/>
            <w:shd w:val="clear" w:color="auto" w:fill="E0E7F2" w:themeFill="text2" w:themeFillTint="1A"/>
            <w:vAlign w:val="bottom"/>
            <w:hideMark/>
          </w:tcPr>
          <w:p w14:paraId="7595AFEA" w14:textId="089AF00C"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+1%</w:t>
            </w:r>
          </w:p>
        </w:tc>
      </w:tr>
      <w:tr w:rsidR="00804490" w:rsidRPr="00646C92" w14:paraId="50B2D619" w14:textId="77777777" w:rsidTr="003C59F9">
        <w:trPr>
          <w:trHeight w:val="480"/>
        </w:trPr>
        <w:tc>
          <w:tcPr>
            <w:tcW w:w="3118" w:type="dxa"/>
            <w:shd w:val="clear" w:color="auto" w:fill="E0E7F2" w:themeFill="text2" w:themeFillTint="1A"/>
            <w:hideMark/>
          </w:tcPr>
          <w:p w14:paraId="05208E0E" w14:textId="4B079794" w:rsidR="00804490" w:rsidRPr="00646C92" w:rsidRDefault="00804490" w:rsidP="00804490">
            <w:pPr>
              <w:spacing w:before="20"/>
              <w:jc w:val="center"/>
              <w:rPr>
                <w:rFonts w:eastAsia="Times New Roman"/>
                <w:sz w:val="16"/>
                <w:szCs w:val="16"/>
              </w:rPr>
            </w:pPr>
            <w:r>
              <w:rPr>
                <w:sz w:val="16"/>
                <w:szCs w:val="16"/>
              </w:rPr>
              <w:t>Total population (2025)</w:t>
            </w:r>
          </w:p>
        </w:tc>
        <w:tc>
          <w:tcPr>
            <w:tcW w:w="3118" w:type="dxa"/>
            <w:shd w:val="clear" w:color="auto" w:fill="FAFBFC" w:themeFill="background2"/>
            <w:hideMark/>
          </w:tcPr>
          <w:p w14:paraId="4CF65201" w14:textId="561608F4" w:rsidR="00804490" w:rsidRPr="00646C92" w:rsidRDefault="00804490" w:rsidP="00804490">
            <w:pPr>
              <w:spacing w:before="20"/>
              <w:jc w:val="center"/>
              <w:rPr>
                <w:rFonts w:eastAsia="Times New Roman"/>
                <w:sz w:val="16"/>
                <w:szCs w:val="16"/>
              </w:rPr>
            </w:pPr>
            <w:r>
              <w:rPr>
                <w:sz w:val="16"/>
                <w:szCs w:val="16"/>
              </w:rPr>
              <w:t>Population change (2021-2025)</w:t>
            </w:r>
          </w:p>
        </w:tc>
        <w:tc>
          <w:tcPr>
            <w:tcW w:w="3119" w:type="dxa"/>
            <w:shd w:val="clear" w:color="auto" w:fill="E0E7F2" w:themeFill="text2" w:themeFillTint="1A"/>
            <w:hideMark/>
          </w:tcPr>
          <w:p w14:paraId="20B4BC91" w14:textId="27A96BD6" w:rsidR="00804490" w:rsidRPr="00646C92" w:rsidRDefault="00804490" w:rsidP="00804490">
            <w:pPr>
              <w:spacing w:before="20"/>
              <w:jc w:val="center"/>
              <w:rPr>
                <w:rFonts w:eastAsia="Times New Roman"/>
                <w:sz w:val="16"/>
                <w:szCs w:val="16"/>
              </w:rPr>
            </w:pPr>
            <w:r>
              <w:rPr>
                <w:sz w:val="16"/>
                <w:szCs w:val="16"/>
              </w:rPr>
              <w:t>Change to 0 to 14 year olds (2021-2025)</w:t>
            </w:r>
          </w:p>
        </w:tc>
      </w:tr>
      <w:tr w:rsidR="00804490" w:rsidRPr="00646C92" w14:paraId="13E385FE" w14:textId="77777777" w:rsidTr="003C59F9">
        <w:trPr>
          <w:trHeight w:val="522"/>
        </w:trPr>
        <w:tc>
          <w:tcPr>
            <w:tcW w:w="3118" w:type="dxa"/>
            <w:shd w:val="clear" w:color="auto" w:fill="FAFBFC" w:themeFill="background2"/>
            <w:vAlign w:val="bottom"/>
            <w:hideMark/>
          </w:tcPr>
          <w:p w14:paraId="77CC6B99" w14:textId="3043DFDB"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+40%</w:t>
            </w:r>
          </w:p>
        </w:tc>
        <w:tc>
          <w:tcPr>
            <w:tcW w:w="3118" w:type="dxa"/>
            <w:shd w:val="clear" w:color="auto" w:fill="E0E7F2" w:themeFill="text2" w:themeFillTint="1A"/>
            <w:vAlign w:val="bottom"/>
            <w:hideMark/>
          </w:tcPr>
          <w:p w14:paraId="7848C9B6" w14:textId="23D452CC"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+11%</w:t>
            </w:r>
          </w:p>
        </w:tc>
        <w:tc>
          <w:tcPr>
            <w:tcW w:w="3119" w:type="dxa"/>
            <w:shd w:val="clear" w:color="auto" w:fill="FAFBFC" w:themeFill="background2"/>
            <w:vAlign w:val="bottom"/>
            <w:hideMark/>
          </w:tcPr>
          <w:p w14:paraId="1B6F3225" w14:textId="7A685058"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31%</w:t>
            </w:r>
          </w:p>
        </w:tc>
      </w:tr>
      <w:tr w:rsidR="00804490" w:rsidRPr="00646C92" w14:paraId="02D9EEBA" w14:textId="77777777" w:rsidTr="003C59F9">
        <w:trPr>
          <w:trHeight w:val="480"/>
        </w:trPr>
        <w:tc>
          <w:tcPr>
            <w:tcW w:w="3118" w:type="dxa"/>
            <w:shd w:val="clear" w:color="auto" w:fill="FAFBFC" w:themeFill="background2"/>
            <w:hideMark/>
          </w:tcPr>
          <w:p w14:paraId="1A981EDE" w14:textId="26432302" w:rsidR="00804490" w:rsidRPr="00646C92" w:rsidRDefault="00804490" w:rsidP="00804490">
            <w:pPr>
              <w:spacing w:before="20"/>
              <w:jc w:val="center"/>
              <w:rPr>
                <w:rFonts w:eastAsia="Times New Roman"/>
                <w:sz w:val="16"/>
                <w:szCs w:val="16"/>
              </w:rPr>
            </w:pPr>
            <w:r>
              <w:rPr>
                <w:sz w:val="16"/>
                <w:szCs w:val="16"/>
              </w:rPr>
              <w:t xml:space="preserve">Change to 15 to 34 year olds </w:t>
            </w:r>
            <w:r>
              <w:rPr>
                <w:sz w:val="16"/>
                <w:szCs w:val="16"/>
              </w:rPr>
              <w:br/>
              <w:t>(2021-2025)</w:t>
            </w:r>
          </w:p>
        </w:tc>
        <w:tc>
          <w:tcPr>
            <w:tcW w:w="3118" w:type="dxa"/>
            <w:shd w:val="clear" w:color="auto" w:fill="E0E7F2" w:themeFill="text2" w:themeFillTint="1A"/>
            <w:hideMark/>
          </w:tcPr>
          <w:p w14:paraId="58E4E9F6" w14:textId="18B690E6" w:rsidR="00804490" w:rsidRPr="00646C92" w:rsidRDefault="00804490" w:rsidP="00804490">
            <w:pPr>
              <w:spacing w:before="20"/>
              <w:jc w:val="center"/>
              <w:rPr>
                <w:rFonts w:eastAsia="Times New Roman"/>
                <w:sz w:val="16"/>
                <w:szCs w:val="16"/>
              </w:rPr>
            </w:pPr>
            <w:r>
              <w:rPr>
                <w:sz w:val="16"/>
                <w:szCs w:val="16"/>
              </w:rPr>
              <w:t>Change to 65+ year olds (2021-2025)</w:t>
            </w:r>
          </w:p>
        </w:tc>
        <w:tc>
          <w:tcPr>
            <w:tcW w:w="3119" w:type="dxa"/>
            <w:shd w:val="clear" w:color="auto" w:fill="FAFBFC" w:themeFill="background2"/>
            <w:hideMark/>
          </w:tcPr>
          <w:p w14:paraId="60F06EDD" w14:textId="1A7BFC1E" w:rsidR="00804490" w:rsidRPr="00646C92" w:rsidRDefault="00804490" w:rsidP="00804490">
            <w:pPr>
              <w:spacing w:before="20"/>
              <w:jc w:val="center"/>
              <w:rPr>
                <w:rFonts w:eastAsia="Times New Roman"/>
                <w:sz w:val="16"/>
                <w:szCs w:val="16"/>
              </w:rPr>
            </w:pPr>
            <w:r>
              <w:rPr>
                <w:sz w:val="16"/>
                <w:szCs w:val="16"/>
              </w:rPr>
              <w:t>Share of population that moved to the community between 2016-2021</w:t>
            </w:r>
          </w:p>
        </w:tc>
      </w:tr>
      <w:tr w:rsidR="00804490" w:rsidRPr="00646C92" w14:paraId="2F87CA13" w14:textId="77777777" w:rsidTr="003C59F9">
        <w:trPr>
          <w:trHeight w:val="522"/>
        </w:trPr>
        <w:tc>
          <w:tcPr>
            <w:tcW w:w="3118" w:type="dxa"/>
            <w:shd w:val="clear" w:color="auto" w:fill="E0E7F2" w:themeFill="text2" w:themeFillTint="1A"/>
            <w:vAlign w:val="bottom"/>
            <w:hideMark/>
          </w:tcPr>
          <w:p w14:paraId="7DA81242" w14:textId="569E355F"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22%</w:t>
            </w:r>
          </w:p>
        </w:tc>
        <w:tc>
          <w:tcPr>
            <w:tcW w:w="3118" w:type="dxa"/>
            <w:shd w:val="clear" w:color="auto" w:fill="FAFBFC" w:themeFill="background2"/>
            <w:vAlign w:val="bottom"/>
            <w:hideMark/>
          </w:tcPr>
          <w:p w14:paraId="33D17321" w14:textId="57877B96"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14%</w:t>
            </w:r>
          </w:p>
        </w:tc>
        <w:tc>
          <w:tcPr>
            <w:tcW w:w="3119" w:type="dxa"/>
            <w:shd w:val="clear" w:color="auto" w:fill="E0E7F2" w:themeFill="text2" w:themeFillTint="1A"/>
            <w:vAlign w:val="bottom"/>
            <w:hideMark/>
          </w:tcPr>
          <w:p w14:paraId="053A7ADB" w14:textId="395C2823" w:rsidR="00804490" w:rsidRPr="000B22A1" w:rsidRDefault="00804490" w:rsidP="00804490">
            <w:pPr>
              <w:spacing w:after="20"/>
              <w:jc w:val="center"/>
              <w:rPr>
                <w:rFonts w:eastAsia="Times New Roman"/>
                <w:b/>
                <w:bCs/>
                <w:color w:val="C00000"/>
                <w:sz w:val="26"/>
                <w:szCs w:val="26"/>
              </w:rPr>
            </w:pPr>
            <w:r w:rsidRPr="000B22A1">
              <w:rPr>
                <w:b/>
                <w:bCs/>
                <w:color w:val="C00000"/>
                <w:sz w:val="26"/>
                <w:szCs w:val="26"/>
              </w:rPr>
              <w:t>2%</w:t>
            </w:r>
          </w:p>
        </w:tc>
      </w:tr>
      <w:tr w:rsidR="00804490" w:rsidRPr="00646C92" w14:paraId="58ADF135" w14:textId="77777777" w:rsidTr="003C59F9">
        <w:trPr>
          <w:trHeight w:val="480"/>
        </w:trPr>
        <w:tc>
          <w:tcPr>
            <w:tcW w:w="3118" w:type="dxa"/>
            <w:shd w:val="clear" w:color="auto" w:fill="E0E7F2" w:themeFill="text2" w:themeFillTint="1A"/>
            <w:hideMark/>
          </w:tcPr>
          <w:p w14:paraId="075FFC52" w14:textId="0BF17035" w:rsidR="00804490" w:rsidRPr="00646C92" w:rsidRDefault="00804490" w:rsidP="00804490">
            <w:pPr>
              <w:spacing w:before="20"/>
              <w:jc w:val="center"/>
              <w:rPr>
                <w:rFonts w:eastAsia="Times New Roman"/>
                <w:sz w:val="16"/>
                <w:szCs w:val="16"/>
              </w:rPr>
            </w:pPr>
            <w:r>
              <w:rPr>
                <w:sz w:val="16"/>
                <w:szCs w:val="16"/>
              </w:rPr>
              <w:t>Visible minority identifying persons (2021)</w:t>
            </w:r>
          </w:p>
        </w:tc>
        <w:tc>
          <w:tcPr>
            <w:tcW w:w="3118" w:type="dxa"/>
            <w:shd w:val="clear" w:color="auto" w:fill="FAFBFC" w:themeFill="background2"/>
            <w:hideMark/>
          </w:tcPr>
          <w:p w14:paraId="085F78DC" w14:textId="34F33C91" w:rsidR="00804490" w:rsidRPr="00646C92" w:rsidRDefault="00804490" w:rsidP="00804490">
            <w:pPr>
              <w:spacing w:before="20"/>
              <w:jc w:val="center"/>
              <w:rPr>
                <w:rFonts w:eastAsia="Times New Roman"/>
                <w:sz w:val="16"/>
                <w:szCs w:val="16"/>
              </w:rPr>
            </w:pPr>
            <w:r>
              <w:rPr>
                <w:sz w:val="16"/>
                <w:szCs w:val="16"/>
              </w:rPr>
              <w:t>Immigrants (2021)</w:t>
            </w:r>
          </w:p>
        </w:tc>
        <w:tc>
          <w:tcPr>
            <w:tcW w:w="3119" w:type="dxa"/>
            <w:shd w:val="clear" w:color="auto" w:fill="E0E7F2" w:themeFill="text2" w:themeFillTint="1A"/>
            <w:hideMark/>
          </w:tcPr>
          <w:p w14:paraId="51AC43B2" w14:textId="041F2BEC" w:rsidR="00804490" w:rsidRPr="00646C92" w:rsidRDefault="00804490" w:rsidP="00804490">
            <w:pPr>
              <w:spacing w:before="20"/>
              <w:jc w:val="center"/>
              <w:rPr>
                <w:rFonts w:eastAsia="Times New Roman"/>
                <w:sz w:val="16"/>
                <w:szCs w:val="16"/>
              </w:rPr>
            </w:pPr>
            <w:r>
              <w:rPr>
                <w:sz w:val="16"/>
                <w:szCs w:val="16"/>
              </w:rPr>
              <w:t>Indigenous identifying persons (2021)</w:t>
            </w:r>
          </w:p>
        </w:tc>
      </w:tr>
      <w:tr w:rsidR="00804490" w:rsidRPr="00646C92" w14:paraId="3DD9EE32" w14:textId="77777777" w:rsidTr="003C59F9">
        <w:trPr>
          <w:trHeight w:val="480"/>
        </w:trPr>
        <w:tc>
          <w:tcPr>
            <w:tcW w:w="3118" w:type="dxa"/>
            <w:shd w:val="clear" w:color="auto" w:fill="FAFBFC" w:themeFill="background2"/>
            <w:vAlign w:val="bottom"/>
          </w:tcPr>
          <w:p w14:paraId="253864B3" w14:textId="6FFE73AB" w:rsidR="00804490" w:rsidRPr="000B22A1" w:rsidRDefault="00804490" w:rsidP="00804490">
            <w:pPr>
              <w:spacing w:before="20"/>
              <w:jc w:val="center"/>
              <w:rPr>
                <w:rFonts w:eastAsia="Times New Roman"/>
                <w:color w:val="C00000"/>
                <w:sz w:val="16"/>
                <w:szCs w:val="16"/>
              </w:rPr>
            </w:pPr>
            <w:r w:rsidRPr="000B22A1">
              <w:rPr>
                <w:b/>
                <w:bCs/>
                <w:color w:val="C00000"/>
                <w:sz w:val="26"/>
                <w:szCs w:val="26"/>
              </w:rPr>
              <w:t>17,180</w:t>
            </w:r>
          </w:p>
        </w:tc>
        <w:tc>
          <w:tcPr>
            <w:tcW w:w="3118" w:type="dxa"/>
            <w:shd w:val="clear" w:color="auto" w:fill="E0E7F2" w:themeFill="text2" w:themeFillTint="1A"/>
            <w:vAlign w:val="bottom"/>
          </w:tcPr>
          <w:p w14:paraId="7F7BED15" w14:textId="4A00F35D" w:rsidR="00804490" w:rsidRPr="000B22A1" w:rsidRDefault="00804490" w:rsidP="00804490">
            <w:pPr>
              <w:spacing w:before="20"/>
              <w:jc w:val="center"/>
              <w:rPr>
                <w:rFonts w:eastAsia="Times New Roman"/>
                <w:color w:val="C00000"/>
                <w:sz w:val="16"/>
                <w:szCs w:val="16"/>
              </w:rPr>
            </w:pPr>
            <w:r w:rsidRPr="000B22A1">
              <w:rPr>
                <w:b/>
                <w:bCs/>
                <w:color w:val="C00000"/>
                <w:sz w:val="26"/>
                <w:szCs w:val="26"/>
              </w:rPr>
              <w:t>46%</w:t>
            </w:r>
          </w:p>
        </w:tc>
        <w:tc>
          <w:tcPr>
            <w:tcW w:w="3119" w:type="dxa"/>
            <w:shd w:val="clear" w:color="auto" w:fill="FAFBFC" w:themeFill="background2"/>
            <w:vAlign w:val="bottom"/>
          </w:tcPr>
          <w:p w14:paraId="50433876" w14:textId="0BF7D7FA" w:rsidR="00804490" w:rsidRPr="000B22A1" w:rsidRDefault="00804490" w:rsidP="00804490">
            <w:pPr>
              <w:spacing w:before="20"/>
              <w:jc w:val="center"/>
              <w:rPr>
                <w:rFonts w:eastAsia="Times New Roman"/>
                <w:color w:val="C00000"/>
                <w:sz w:val="16"/>
                <w:szCs w:val="16"/>
              </w:rPr>
            </w:pPr>
            <w:r w:rsidRPr="000B22A1">
              <w:rPr>
                <w:b/>
                <w:bCs/>
                <w:color w:val="C00000"/>
                <w:sz w:val="26"/>
                <w:szCs w:val="26"/>
              </w:rPr>
              <w:t>54%</w:t>
            </w:r>
          </w:p>
        </w:tc>
      </w:tr>
      <w:tr w:rsidR="00804490" w:rsidRPr="00646C92" w14:paraId="519A34FC" w14:textId="77777777" w:rsidTr="003C59F9">
        <w:trPr>
          <w:trHeight w:val="480"/>
        </w:trPr>
        <w:tc>
          <w:tcPr>
            <w:tcW w:w="3118" w:type="dxa"/>
            <w:shd w:val="clear" w:color="auto" w:fill="FAFBFC" w:themeFill="background2"/>
          </w:tcPr>
          <w:p w14:paraId="5AD7E3D5" w14:textId="383656E4" w:rsidR="00804490" w:rsidRPr="00646C92" w:rsidRDefault="00804490" w:rsidP="00804490">
            <w:pPr>
              <w:spacing w:before="20"/>
              <w:jc w:val="center"/>
              <w:rPr>
                <w:rFonts w:eastAsia="Times New Roman"/>
                <w:sz w:val="16"/>
                <w:szCs w:val="16"/>
              </w:rPr>
            </w:pPr>
            <w:r>
              <w:rPr>
                <w:sz w:val="16"/>
                <w:szCs w:val="16"/>
              </w:rPr>
              <w:t>Total households (2021)</w:t>
            </w:r>
          </w:p>
        </w:tc>
        <w:tc>
          <w:tcPr>
            <w:tcW w:w="3118" w:type="dxa"/>
            <w:shd w:val="clear" w:color="auto" w:fill="E0E7F2" w:themeFill="text2" w:themeFillTint="1A"/>
          </w:tcPr>
          <w:p w14:paraId="274C3D7E" w14:textId="61283E36" w:rsidR="00804490" w:rsidRPr="00646C92" w:rsidRDefault="00804490" w:rsidP="00804490">
            <w:pPr>
              <w:spacing w:before="20"/>
              <w:jc w:val="center"/>
              <w:rPr>
                <w:rFonts w:eastAsia="Times New Roman"/>
                <w:sz w:val="16"/>
                <w:szCs w:val="16"/>
              </w:rPr>
            </w:pPr>
            <w:r>
              <w:rPr>
                <w:sz w:val="16"/>
                <w:szCs w:val="16"/>
              </w:rPr>
              <w:t>Owner households (2021)</w:t>
            </w:r>
          </w:p>
        </w:tc>
        <w:tc>
          <w:tcPr>
            <w:tcW w:w="3119" w:type="dxa"/>
            <w:shd w:val="clear" w:color="auto" w:fill="FAFBFC" w:themeFill="background2"/>
          </w:tcPr>
          <w:p w14:paraId="32DFDFD1" w14:textId="51F2063B" w:rsidR="00804490" w:rsidRPr="00646C92" w:rsidRDefault="00804490" w:rsidP="00804490">
            <w:pPr>
              <w:spacing w:before="20"/>
              <w:jc w:val="center"/>
              <w:rPr>
                <w:rFonts w:eastAsia="Times New Roman"/>
                <w:sz w:val="16"/>
                <w:szCs w:val="16"/>
              </w:rPr>
            </w:pPr>
            <w:r>
              <w:rPr>
                <w:sz w:val="16"/>
                <w:szCs w:val="16"/>
              </w:rPr>
              <w:t>Renter households (2021)</w:t>
            </w:r>
          </w:p>
        </w:tc>
      </w:tr>
      <w:tr w:rsidR="00804490" w:rsidRPr="00646C92" w14:paraId="3C19901A" w14:textId="77777777" w:rsidTr="003C59F9">
        <w:trPr>
          <w:trHeight w:val="480"/>
        </w:trPr>
        <w:tc>
          <w:tcPr>
            <w:tcW w:w="3118" w:type="dxa"/>
            <w:shd w:val="clear" w:color="auto" w:fill="E0E7F2" w:themeFill="text2" w:themeFillTint="1A"/>
            <w:vAlign w:val="bottom"/>
          </w:tcPr>
          <w:p w14:paraId="08AB2C58" w14:textId="29AAB27E" w:rsidR="00804490" w:rsidRPr="000B22A1" w:rsidRDefault="00804490" w:rsidP="00804490">
            <w:pPr>
              <w:spacing w:before="20"/>
              <w:jc w:val="center"/>
              <w:rPr>
                <w:rFonts w:eastAsia="Times New Roman"/>
                <w:color w:val="C00000"/>
                <w:sz w:val="16"/>
                <w:szCs w:val="16"/>
              </w:rPr>
            </w:pPr>
            <w:r w:rsidRPr="000B22A1">
              <w:rPr>
                <w:b/>
                <w:bCs/>
                <w:color w:val="C00000"/>
                <w:sz w:val="26"/>
                <w:szCs w:val="26"/>
              </w:rPr>
              <w:t>35%</w:t>
            </w:r>
          </w:p>
        </w:tc>
        <w:tc>
          <w:tcPr>
            <w:tcW w:w="3118" w:type="dxa"/>
            <w:shd w:val="clear" w:color="auto" w:fill="FAFBFC" w:themeFill="background2"/>
            <w:vAlign w:val="bottom"/>
          </w:tcPr>
          <w:p w14:paraId="29D0E1B2" w14:textId="31E6575C" w:rsidR="00804490" w:rsidRPr="000B22A1" w:rsidRDefault="00804490" w:rsidP="00804490">
            <w:pPr>
              <w:spacing w:before="20"/>
              <w:jc w:val="center"/>
              <w:rPr>
                <w:rFonts w:eastAsia="Times New Roman"/>
                <w:color w:val="C00000"/>
                <w:sz w:val="16"/>
                <w:szCs w:val="16"/>
              </w:rPr>
            </w:pPr>
            <w:r w:rsidRPr="000B22A1">
              <w:rPr>
                <w:b/>
                <w:bCs/>
                <w:color w:val="C00000"/>
                <w:sz w:val="26"/>
                <w:szCs w:val="26"/>
              </w:rPr>
              <w:t>9%</w:t>
            </w:r>
          </w:p>
        </w:tc>
        <w:tc>
          <w:tcPr>
            <w:tcW w:w="3119" w:type="dxa"/>
            <w:shd w:val="clear" w:color="auto" w:fill="E0E7F2" w:themeFill="text2" w:themeFillTint="1A"/>
            <w:vAlign w:val="bottom"/>
          </w:tcPr>
          <w:p w14:paraId="4D6F2635" w14:textId="0C844818" w:rsidR="00804490" w:rsidRPr="000B22A1" w:rsidRDefault="00804490" w:rsidP="00804490">
            <w:pPr>
              <w:spacing w:before="20"/>
              <w:jc w:val="center"/>
              <w:rPr>
                <w:rFonts w:eastAsia="Times New Roman"/>
                <w:color w:val="C00000"/>
                <w:sz w:val="16"/>
                <w:szCs w:val="16"/>
              </w:rPr>
            </w:pPr>
            <w:r w:rsidRPr="000B22A1">
              <w:rPr>
                <w:b/>
                <w:bCs/>
                <w:color w:val="C00000"/>
                <w:sz w:val="26"/>
                <w:szCs w:val="26"/>
              </w:rPr>
              <w:t>265</w:t>
            </w:r>
          </w:p>
        </w:tc>
      </w:tr>
      <w:tr w:rsidR="00804490" w:rsidRPr="00646C92" w14:paraId="62EF159A" w14:textId="77777777" w:rsidTr="003C59F9">
        <w:trPr>
          <w:trHeight w:val="480"/>
        </w:trPr>
        <w:tc>
          <w:tcPr>
            <w:tcW w:w="3118" w:type="dxa"/>
            <w:shd w:val="clear" w:color="auto" w:fill="E0E7F2" w:themeFill="text2" w:themeFillTint="1A"/>
          </w:tcPr>
          <w:p w14:paraId="516DFF03" w14:textId="1085F141" w:rsidR="00804490" w:rsidRPr="00646C92" w:rsidRDefault="00804490" w:rsidP="00804490">
            <w:pPr>
              <w:spacing w:before="20"/>
              <w:jc w:val="center"/>
              <w:rPr>
                <w:rFonts w:eastAsia="Times New Roman"/>
                <w:sz w:val="16"/>
                <w:szCs w:val="16"/>
              </w:rPr>
            </w:pPr>
            <w:r>
              <w:rPr>
                <w:sz w:val="16"/>
                <w:szCs w:val="16"/>
              </w:rPr>
              <w:t>Single person households</w:t>
            </w:r>
          </w:p>
        </w:tc>
        <w:tc>
          <w:tcPr>
            <w:tcW w:w="3118" w:type="dxa"/>
            <w:shd w:val="clear" w:color="auto" w:fill="FAFBFC" w:themeFill="background2"/>
          </w:tcPr>
          <w:p w14:paraId="03DCF374" w14:textId="7128D4A1" w:rsidR="00804490" w:rsidRPr="00646C92" w:rsidRDefault="00804490" w:rsidP="00804490">
            <w:pPr>
              <w:spacing w:before="20"/>
              <w:jc w:val="center"/>
              <w:rPr>
                <w:rFonts w:eastAsia="Times New Roman"/>
                <w:sz w:val="16"/>
                <w:szCs w:val="16"/>
              </w:rPr>
            </w:pPr>
            <w:r>
              <w:rPr>
                <w:sz w:val="16"/>
                <w:szCs w:val="16"/>
              </w:rPr>
              <w:t>Lone parent households</w:t>
            </w:r>
          </w:p>
        </w:tc>
        <w:tc>
          <w:tcPr>
            <w:tcW w:w="3119" w:type="dxa"/>
            <w:shd w:val="clear" w:color="auto" w:fill="E0E7F2" w:themeFill="text2" w:themeFillTint="1A"/>
          </w:tcPr>
          <w:p w14:paraId="4E74690E" w14:textId="22CB7980" w:rsidR="00804490" w:rsidRPr="00646C92" w:rsidRDefault="00804490" w:rsidP="00804490">
            <w:pPr>
              <w:spacing w:before="20"/>
              <w:jc w:val="center"/>
              <w:rPr>
                <w:rFonts w:eastAsia="Times New Roman"/>
                <w:sz w:val="16"/>
                <w:szCs w:val="16"/>
              </w:rPr>
            </w:pPr>
            <w:r>
              <w:rPr>
                <w:sz w:val="16"/>
                <w:szCs w:val="16"/>
              </w:rPr>
              <w:t>Suppressed 25 to 34 year old led households (2021)</w:t>
            </w:r>
          </w:p>
        </w:tc>
      </w:tr>
    </w:tbl>
    <w:p w14:paraId="153CD291" w14:textId="77777777" w:rsidR="00EC1196" w:rsidRDefault="00EC1196" w:rsidP="00CD710E"/>
    <w:p w14:paraId="6722E29F" w14:textId="4C6E02A9" w:rsidR="00CB7B5F" w:rsidRPr="003C59F9" w:rsidRDefault="00F445FE" w:rsidP="003C59F9">
      <w:pPr>
        <w:shd w:val="clear" w:color="auto" w:fill="FFD07A" w:themeFill="accent5" w:themeFillTint="66"/>
        <w:jc w:val="both"/>
        <w:rPr>
          <w:rFonts w:ascii="Bahnschrift" w:hAnsi="Bahnschrift"/>
          <w:color w:val="FFFFFF" w:themeColor="background1"/>
          <w:sz w:val="24"/>
          <w:szCs w:val="24"/>
        </w:rPr>
      </w:pPr>
      <w:r w:rsidRPr="003C59F9">
        <w:rPr>
          <w:rFonts w:ascii="Bahnschrift" w:hAnsi="Bahnschrift"/>
          <w:b/>
          <w:bCs/>
          <w:sz w:val="28"/>
          <w:szCs w:val="28"/>
        </w:rPr>
        <w:t>ECONOMIC PROFILE</w:t>
      </w:r>
    </w:p>
    <w:p w14:paraId="77845A5D" w14:textId="77777777" w:rsidR="00CD710E" w:rsidRDefault="00CD710E" w:rsidP="00CD710E"/>
    <w:tbl>
      <w:tblPr>
        <w:tblW w:w="9355" w:type="dxa"/>
        <w:tblLook w:val="04A0" w:firstRow="1" w:lastRow="0" w:firstColumn="1" w:lastColumn="0" w:noHBand="0" w:noVBand="1"/>
      </w:tblPr>
      <w:tblGrid>
        <w:gridCol w:w="3118"/>
        <w:gridCol w:w="3118"/>
        <w:gridCol w:w="3119"/>
      </w:tblGrid>
      <w:tr w:rsidR="0067132A" w:rsidRPr="00646C92" w14:paraId="5B90CFFE" w14:textId="77777777" w:rsidTr="003C59F9">
        <w:trPr>
          <w:trHeight w:val="522"/>
        </w:trPr>
        <w:tc>
          <w:tcPr>
            <w:tcW w:w="3118" w:type="dxa"/>
            <w:shd w:val="clear" w:color="auto" w:fill="E0E7F2" w:themeFill="text2" w:themeFillTint="1A"/>
            <w:vAlign w:val="bottom"/>
            <w:hideMark/>
          </w:tcPr>
          <w:p w14:paraId="5F12D925" w14:textId="72910D5C"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$66,000</w:t>
            </w:r>
          </w:p>
        </w:tc>
        <w:tc>
          <w:tcPr>
            <w:tcW w:w="3118" w:type="dxa"/>
            <w:shd w:val="clear" w:color="auto" w:fill="FAFBFC" w:themeFill="background2"/>
            <w:vAlign w:val="bottom"/>
            <w:hideMark/>
          </w:tcPr>
          <w:p w14:paraId="712139FA" w14:textId="27946F84"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$36,400</w:t>
            </w:r>
          </w:p>
        </w:tc>
        <w:tc>
          <w:tcPr>
            <w:tcW w:w="3119" w:type="dxa"/>
            <w:shd w:val="clear" w:color="auto" w:fill="E0E7F2" w:themeFill="text2" w:themeFillTint="1A"/>
            <w:vAlign w:val="bottom"/>
            <w:hideMark/>
          </w:tcPr>
          <w:p w14:paraId="22BA2E59" w14:textId="47085153"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13%</w:t>
            </w:r>
          </w:p>
        </w:tc>
      </w:tr>
      <w:tr w:rsidR="0067132A" w:rsidRPr="00646C92" w14:paraId="7FC2E765" w14:textId="77777777" w:rsidTr="003C59F9">
        <w:trPr>
          <w:trHeight w:val="480"/>
        </w:trPr>
        <w:tc>
          <w:tcPr>
            <w:tcW w:w="3118" w:type="dxa"/>
            <w:shd w:val="clear" w:color="auto" w:fill="E0E7F2" w:themeFill="text2" w:themeFillTint="1A"/>
            <w:hideMark/>
          </w:tcPr>
          <w:p w14:paraId="5D881DEF" w14:textId="0DB512A1" w:rsidR="0067132A" w:rsidRPr="00646C92" w:rsidRDefault="0067132A" w:rsidP="0067132A">
            <w:pPr>
              <w:spacing w:before="20"/>
              <w:jc w:val="center"/>
              <w:rPr>
                <w:rFonts w:eastAsia="Times New Roman"/>
                <w:sz w:val="16"/>
                <w:szCs w:val="16"/>
              </w:rPr>
            </w:pPr>
            <w:r>
              <w:rPr>
                <w:sz w:val="16"/>
                <w:szCs w:val="16"/>
              </w:rPr>
              <w:t>Median before-tax household income (2020)</w:t>
            </w:r>
          </w:p>
        </w:tc>
        <w:tc>
          <w:tcPr>
            <w:tcW w:w="3118" w:type="dxa"/>
            <w:shd w:val="clear" w:color="auto" w:fill="FAFBFC" w:themeFill="background2"/>
            <w:hideMark/>
          </w:tcPr>
          <w:p w14:paraId="49F151C9" w14:textId="4DE98372" w:rsidR="0067132A" w:rsidRPr="00646C92" w:rsidRDefault="0067132A" w:rsidP="0067132A">
            <w:pPr>
              <w:spacing w:before="20"/>
              <w:jc w:val="center"/>
              <w:rPr>
                <w:rFonts w:eastAsia="Times New Roman"/>
                <w:sz w:val="16"/>
                <w:szCs w:val="16"/>
              </w:rPr>
            </w:pPr>
            <w:r>
              <w:rPr>
                <w:sz w:val="16"/>
                <w:szCs w:val="16"/>
              </w:rPr>
              <w:t>Before-tax single person income (2020)</w:t>
            </w:r>
          </w:p>
        </w:tc>
        <w:tc>
          <w:tcPr>
            <w:tcW w:w="3119" w:type="dxa"/>
            <w:shd w:val="clear" w:color="auto" w:fill="E0E7F2" w:themeFill="text2" w:themeFillTint="1A"/>
            <w:hideMark/>
          </w:tcPr>
          <w:p w14:paraId="49DB5E71" w14:textId="3687B163" w:rsidR="0067132A" w:rsidRPr="00646C92" w:rsidRDefault="0067132A" w:rsidP="0067132A">
            <w:pPr>
              <w:spacing w:before="20"/>
              <w:jc w:val="center"/>
              <w:rPr>
                <w:rFonts w:eastAsia="Times New Roman"/>
                <w:sz w:val="16"/>
                <w:szCs w:val="16"/>
              </w:rPr>
            </w:pPr>
            <w:r>
              <w:rPr>
                <w:sz w:val="16"/>
                <w:szCs w:val="16"/>
              </w:rPr>
              <w:t xml:space="preserve">Largest employer: </w:t>
            </w:r>
            <w:r w:rsidRPr="0064710F">
              <w:rPr>
                <w:color w:val="C00000"/>
                <w:sz w:val="16"/>
                <w:szCs w:val="16"/>
              </w:rPr>
              <w:t>Retail trade [44-45]</w:t>
            </w:r>
          </w:p>
        </w:tc>
      </w:tr>
      <w:tr w:rsidR="0067132A" w:rsidRPr="00646C92" w14:paraId="50D2A597" w14:textId="77777777" w:rsidTr="003C59F9">
        <w:trPr>
          <w:trHeight w:val="522"/>
        </w:trPr>
        <w:tc>
          <w:tcPr>
            <w:tcW w:w="3118" w:type="dxa"/>
            <w:shd w:val="clear" w:color="auto" w:fill="FAFBFC" w:themeFill="background2"/>
            <w:vAlign w:val="bottom"/>
            <w:hideMark/>
          </w:tcPr>
          <w:p w14:paraId="7333FF6E" w14:textId="1E067587"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9,670</w:t>
            </w:r>
          </w:p>
        </w:tc>
        <w:tc>
          <w:tcPr>
            <w:tcW w:w="3118" w:type="dxa"/>
            <w:shd w:val="clear" w:color="auto" w:fill="E0E7F2" w:themeFill="text2" w:themeFillTint="1A"/>
            <w:vAlign w:val="bottom"/>
            <w:hideMark/>
          </w:tcPr>
          <w:p w14:paraId="2CDB14F9" w14:textId="7CF20692"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65.2%</w:t>
            </w:r>
          </w:p>
        </w:tc>
        <w:tc>
          <w:tcPr>
            <w:tcW w:w="3119" w:type="dxa"/>
            <w:shd w:val="clear" w:color="auto" w:fill="FAFBFC" w:themeFill="background2"/>
            <w:vAlign w:val="bottom"/>
            <w:hideMark/>
          </w:tcPr>
          <w:p w14:paraId="6BC07197" w14:textId="64C5247A"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9.7%</w:t>
            </w:r>
          </w:p>
        </w:tc>
      </w:tr>
      <w:tr w:rsidR="0067132A" w:rsidRPr="00646C92" w14:paraId="2B5601A8" w14:textId="77777777" w:rsidTr="003C59F9">
        <w:trPr>
          <w:trHeight w:val="480"/>
        </w:trPr>
        <w:tc>
          <w:tcPr>
            <w:tcW w:w="3118" w:type="dxa"/>
            <w:shd w:val="clear" w:color="auto" w:fill="FAFBFC" w:themeFill="background2"/>
            <w:hideMark/>
          </w:tcPr>
          <w:p w14:paraId="3C2775E3" w14:textId="1F54E052" w:rsidR="0067132A" w:rsidRPr="00646C92" w:rsidRDefault="0067132A" w:rsidP="0067132A">
            <w:pPr>
              <w:spacing w:before="20"/>
              <w:jc w:val="center"/>
              <w:rPr>
                <w:rFonts w:eastAsia="Times New Roman"/>
                <w:sz w:val="16"/>
                <w:szCs w:val="16"/>
              </w:rPr>
            </w:pPr>
            <w:r>
              <w:rPr>
                <w:sz w:val="16"/>
                <w:szCs w:val="16"/>
              </w:rPr>
              <w:t>Net inflow of commuters (2021)</w:t>
            </w:r>
          </w:p>
        </w:tc>
        <w:tc>
          <w:tcPr>
            <w:tcW w:w="3118" w:type="dxa"/>
            <w:shd w:val="clear" w:color="auto" w:fill="E0E7F2" w:themeFill="text2" w:themeFillTint="1A"/>
            <w:hideMark/>
          </w:tcPr>
          <w:p w14:paraId="50E24BBF" w14:textId="0F26A410" w:rsidR="0067132A" w:rsidRPr="00646C92" w:rsidRDefault="0067132A" w:rsidP="0067132A">
            <w:pPr>
              <w:spacing w:before="20"/>
              <w:jc w:val="center"/>
              <w:rPr>
                <w:rFonts w:eastAsia="Times New Roman"/>
                <w:sz w:val="16"/>
                <w:szCs w:val="16"/>
              </w:rPr>
            </w:pPr>
            <w:r>
              <w:rPr>
                <w:sz w:val="16"/>
                <w:szCs w:val="16"/>
              </w:rPr>
              <w:t>Persons 15+ in the labour force (2021)</w:t>
            </w:r>
          </w:p>
        </w:tc>
        <w:tc>
          <w:tcPr>
            <w:tcW w:w="3119" w:type="dxa"/>
            <w:shd w:val="clear" w:color="auto" w:fill="FAFBFC" w:themeFill="background2"/>
            <w:hideMark/>
          </w:tcPr>
          <w:p w14:paraId="1480C6C4" w14:textId="779D6B91" w:rsidR="0067132A" w:rsidRPr="00646C92" w:rsidRDefault="0067132A" w:rsidP="0067132A">
            <w:pPr>
              <w:spacing w:before="20"/>
              <w:jc w:val="center"/>
              <w:rPr>
                <w:rFonts w:eastAsia="Times New Roman"/>
                <w:sz w:val="16"/>
                <w:szCs w:val="16"/>
              </w:rPr>
            </w:pPr>
            <w:r>
              <w:rPr>
                <w:sz w:val="16"/>
                <w:szCs w:val="16"/>
              </w:rPr>
              <w:t>Persons 15+ unemployed (2021)</w:t>
            </w:r>
          </w:p>
        </w:tc>
      </w:tr>
      <w:tr w:rsidR="0067132A" w:rsidRPr="00646C92" w14:paraId="2EBBCE8D" w14:textId="77777777" w:rsidTr="003C59F9">
        <w:trPr>
          <w:trHeight w:val="522"/>
        </w:trPr>
        <w:tc>
          <w:tcPr>
            <w:tcW w:w="3118" w:type="dxa"/>
            <w:shd w:val="clear" w:color="auto" w:fill="E0E7F2" w:themeFill="text2" w:themeFillTint="1A"/>
            <w:vAlign w:val="bottom"/>
            <w:hideMark/>
          </w:tcPr>
          <w:p w14:paraId="1D8A4334" w14:textId="146DB098"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14%</w:t>
            </w:r>
          </w:p>
        </w:tc>
        <w:tc>
          <w:tcPr>
            <w:tcW w:w="3118" w:type="dxa"/>
            <w:shd w:val="clear" w:color="auto" w:fill="FAFBFC" w:themeFill="background2"/>
            <w:vAlign w:val="bottom"/>
            <w:hideMark/>
          </w:tcPr>
          <w:p w14:paraId="5C40EC11" w14:textId="116C725F"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20%</w:t>
            </w:r>
          </w:p>
        </w:tc>
        <w:tc>
          <w:tcPr>
            <w:tcW w:w="3119" w:type="dxa"/>
            <w:shd w:val="clear" w:color="auto" w:fill="E0E7F2" w:themeFill="text2" w:themeFillTint="1A"/>
            <w:vAlign w:val="bottom"/>
            <w:hideMark/>
          </w:tcPr>
          <w:p w14:paraId="41AD41A2" w14:textId="41FE36FA" w:rsidR="0067132A" w:rsidRPr="000B22A1" w:rsidRDefault="0067132A" w:rsidP="0067132A">
            <w:pPr>
              <w:spacing w:after="20"/>
              <w:jc w:val="center"/>
              <w:rPr>
                <w:rFonts w:eastAsia="Times New Roman"/>
                <w:b/>
                <w:bCs/>
                <w:color w:val="C00000"/>
                <w:sz w:val="26"/>
                <w:szCs w:val="26"/>
              </w:rPr>
            </w:pPr>
            <w:r w:rsidRPr="000B22A1">
              <w:rPr>
                <w:b/>
                <w:bCs/>
                <w:color w:val="C00000"/>
                <w:sz w:val="26"/>
                <w:szCs w:val="26"/>
              </w:rPr>
              <w:t>+24%</w:t>
            </w:r>
          </w:p>
        </w:tc>
      </w:tr>
      <w:tr w:rsidR="0067132A" w:rsidRPr="00646C92" w14:paraId="4AEF6CF7" w14:textId="77777777" w:rsidTr="003C59F9">
        <w:trPr>
          <w:trHeight w:val="480"/>
        </w:trPr>
        <w:tc>
          <w:tcPr>
            <w:tcW w:w="3118" w:type="dxa"/>
            <w:shd w:val="clear" w:color="auto" w:fill="E0E7F2" w:themeFill="text2" w:themeFillTint="1A"/>
            <w:hideMark/>
          </w:tcPr>
          <w:p w14:paraId="75EFC3DF" w14:textId="3B25ADB1" w:rsidR="0067132A" w:rsidRPr="00646C92" w:rsidRDefault="0067132A" w:rsidP="0067132A">
            <w:pPr>
              <w:spacing w:before="20"/>
              <w:jc w:val="center"/>
              <w:rPr>
                <w:rFonts w:eastAsia="Times New Roman"/>
                <w:sz w:val="16"/>
                <w:szCs w:val="16"/>
              </w:rPr>
            </w:pPr>
            <w:r>
              <w:rPr>
                <w:sz w:val="16"/>
                <w:szCs w:val="16"/>
              </w:rPr>
              <w:t>Persons living below the poverty line (2021)</w:t>
            </w:r>
          </w:p>
        </w:tc>
        <w:tc>
          <w:tcPr>
            <w:tcW w:w="3118" w:type="dxa"/>
            <w:shd w:val="clear" w:color="auto" w:fill="FAFBFC" w:themeFill="background2"/>
            <w:hideMark/>
          </w:tcPr>
          <w:p w14:paraId="0A3A3B40" w14:textId="4DE1C9F4" w:rsidR="0067132A" w:rsidRPr="00646C92" w:rsidRDefault="0067132A" w:rsidP="0067132A">
            <w:pPr>
              <w:spacing w:before="20"/>
              <w:jc w:val="center"/>
              <w:rPr>
                <w:rFonts w:eastAsia="Times New Roman"/>
                <w:sz w:val="16"/>
                <w:szCs w:val="16"/>
              </w:rPr>
            </w:pPr>
            <w:r>
              <w:rPr>
                <w:sz w:val="16"/>
                <w:szCs w:val="16"/>
              </w:rPr>
              <w:t xml:space="preserve">Households with </w:t>
            </w:r>
            <w:r w:rsidR="00BD7490">
              <w:rPr>
                <w:sz w:val="16"/>
                <w:szCs w:val="16"/>
              </w:rPr>
              <w:t>very low</w:t>
            </w:r>
            <w:r w:rsidR="00055EBB">
              <w:rPr>
                <w:sz w:val="16"/>
                <w:szCs w:val="16"/>
              </w:rPr>
              <w:t>-</w:t>
            </w:r>
            <w:r>
              <w:rPr>
                <w:sz w:val="16"/>
                <w:szCs w:val="16"/>
              </w:rPr>
              <w:t xml:space="preserve"> or low</w:t>
            </w:r>
            <w:r w:rsidR="00055EBB">
              <w:rPr>
                <w:sz w:val="16"/>
                <w:szCs w:val="16"/>
              </w:rPr>
              <w:t>-</w:t>
            </w:r>
            <w:r>
              <w:rPr>
                <w:sz w:val="16"/>
                <w:szCs w:val="16"/>
              </w:rPr>
              <w:t>incomes</w:t>
            </w:r>
          </w:p>
        </w:tc>
        <w:tc>
          <w:tcPr>
            <w:tcW w:w="3119" w:type="dxa"/>
            <w:shd w:val="clear" w:color="auto" w:fill="E0E7F2" w:themeFill="text2" w:themeFillTint="1A"/>
            <w:hideMark/>
          </w:tcPr>
          <w:p w14:paraId="76FFB5D4" w14:textId="0C3860F0" w:rsidR="0067132A" w:rsidRPr="00646C92" w:rsidRDefault="0067132A" w:rsidP="0067132A">
            <w:pPr>
              <w:spacing w:before="20"/>
              <w:jc w:val="center"/>
              <w:rPr>
                <w:rFonts w:eastAsia="Times New Roman"/>
                <w:sz w:val="16"/>
                <w:szCs w:val="16"/>
              </w:rPr>
            </w:pPr>
            <w:r>
              <w:rPr>
                <w:sz w:val="16"/>
                <w:szCs w:val="16"/>
              </w:rPr>
              <w:t>Change in province-wide wage/salaries (2019-2024)</w:t>
            </w:r>
          </w:p>
        </w:tc>
      </w:tr>
    </w:tbl>
    <w:p w14:paraId="4471F35A" w14:textId="77777777" w:rsidR="00543E61" w:rsidRDefault="00543E61" w:rsidP="00CD710E"/>
    <w:p w14:paraId="47E374CD" w14:textId="77777777" w:rsidR="000A0367" w:rsidRDefault="000A0367" w:rsidP="00CD710E"/>
    <w:p w14:paraId="5AB93968" w14:textId="77777777" w:rsidR="000A0367" w:rsidRDefault="000A0367" w:rsidP="00CD710E"/>
    <w:p w14:paraId="316C974B" w14:textId="77777777" w:rsidR="000A0367" w:rsidRDefault="000A0367" w:rsidP="00CD710E"/>
    <w:p w14:paraId="26D5E03D" w14:textId="77777777" w:rsidR="000A0367" w:rsidRDefault="000A0367" w:rsidP="00CD710E"/>
    <w:p w14:paraId="36959F81" w14:textId="77777777" w:rsidR="000A0367" w:rsidRDefault="000A0367" w:rsidP="00CD710E"/>
    <w:p w14:paraId="2FFC52E4" w14:textId="77777777" w:rsidR="000A0367" w:rsidRDefault="000A0367" w:rsidP="00CD710E"/>
    <w:p w14:paraId="17B31C3B" w14:textId="77777777" w:rsidR="000A0367" w:rsidRDefault="000A0367" w:rsidP="00CD710E"/>
    <w:p w14:paraId="5F925CE7" w14:textId="77777777" w:rsidR="000A0367" w:rsidRDefault="000A0367" w:rsidP="00CD710E"/>
    <w:p w14:paraId="43B19218" w14:textId="77777777" w:rsidR="000A0367" w:rsidRDefault="000A0367" w:rsidP="00CD710E"/>
    <w:p w14:paraId="10EF2C96" w14:textId="77777777" w:rsidR="000A0367" w:rsidRDefault="000A0367" w:rsidP="00CD710E"/>
    <w:p w14:paraId="641D930E" w14:textId="77777777" w:rsidR="000A0367" w:rsidRDefault="000A0367" w:rsidP="00CD710E"/>
    <w:p w14:paraId="48BF02F0" w14:textId="77777777" w:rsidR="000A0367" w:rsidRDefault="000A0367" w:rsidP="00CD710E"/>
    <w:p w14:paraId="5AB2A3AE" w14:textId="77777777" w:rsidR="000A0367" w:rsidRDefault="000A0367" w:rsidP="00CD710E"/>
    <w:p w14:paraId="3EFA7992" w14:textId="77777777" w:rsidR="00CD710E" w:rsidRPr="003C59F9" w:rsidRDefault="00CD710E" w:rsidP="003C59F9">
      <w:pPr>
        <w:shd w:val="clear" w:color="auto" w:fill="FFD07A" w:themeFill="accent5" w:themeFillTint="66"/>
        <w:rPr>
          <w:rFonts w:ascii="Bahnschrift" w:hAnsi="Bahnschrift"/>
          <w:b/>
          <w:bCs/>
          <w:sz w:val="24"/>
          <w:szCs w:val="24"/>
        </w:rPr>
      </w:pPr>
      <w:r w:rsidRPr="003C59F9">
        <w:rPr>
          <w:rFonts w:ascii="Bahnschrift" w:hAnsi="Bahnschrift"/>
          <w:b/>
          <w:bCs/>
          <w:sz w:val="28"/>
          <w:szCs w:val="28"/>
        </w:rPr>
        <w:lastRenderedPageBreak/>
        <w:t>HOUSING PROFILE</w:t>
      </w:r>
    </w:p>
    <w:p w14:paraId="2A16B2E1" w14:textId="77777777" w:rsidR="00CD710E" w:rsidRDefault="00CD710E" w:rsidP="00CD710E"/>
    <w:tbl>
      <w:tblPr>
        <w:tblW w:w="9355" w:type="dxa"/>
        <w:tblLook w:val="04A0" w:firstRow="1" w:lastRow="0" w:firstColumn="1" w:lastColumn="0" w:noHBand="0" w:noVBand="1"/>
      </w:tblPr>
      <w:tblGrid>
        <w:gridCol w:w="3118"/>
        <w:gridCol w:w="3118"/>
        <w:gridCol w:w="3119"/>
      </w:tblGrid>
      <w:tr w:rsidR="00AF13F3" w:rsidRPr="00646C92" w14:paraId="31059014" w14:textId="77777777" w:rsidTr="003C59F9">
        <w:trPr>
          <w:trHeight w:val="522"/>
        </w:trPr>
        <w:tc>
          <w:tcPr>
            <w:tcW w:w="3118" w:type="dxa"/>
            <w:shd w:val="clear" w:color="auto" w:fill="E0E7F2" w:themeFill="text2" w:themeFillTint="1A"/>
            <w:vAlign w:val="bottom"/>
            <w:hideMark/>
          </w:tcPr>
          <w:p w14:paraId="1A242104" w14:textId="296B90CD"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18,364</w:t>
            </w:r>
          </w:p>
        </w:tc>
        <w:tc>
          <w:tcPr>
            <w:tcW w:w="3118" w:type="dxa"/>
            <w:shd w:val="clear" w:color="auto" w:fill="FAFBFC" w:themeFill="background2"/>
            <w:vAlign w:val="bottom"/>
            <w:hideMark/>
          </w:tcPr>
          <w:p w14:paraId="771343A2" w14:textId="4BAB5ECB"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6%</w:t>
            </w:r>
          </w:p>
        </w:tc>
        <w:tc>
          <w:tcPr>
            <w:tcW w:w="3119" w:type="dxa"/>
            <w:shd w:val="clear" w:color="auto" w:fill="E0E7F2" w:themeFill="text2" w:themeFillTint="1A"/>
            <w:vAlign w:val="bottom"/>
            <w:hideMark/>
          </w:tcPr>
          <w:p w14:paraId="39168BFF" w14:textId="756B3267"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44%</w:t>
            </w:r>
          </w:p>
        </w:tc>
      </w:tr>
      <w:tr w:rsidR="00AF13F3" w:rsidRPr="00646C92" w14:paraId="33DF4241" w14:textId="77777777" w:rsidTr="003C59F9">
        <w:trPr>
          <w:trHeight w:val="480"/>
        </w:trPr>
        <w:tc>
          <w:tcPr>
            <w:tcW w:w="3118" w:type="dxa"/>
            <w:shd w:val="clear" w:color="auto" w:fill="E0E7F2" w:themeFill="text2" w:themeFillTint="1A"/>
            <w:hideMark/>
          </w:tcPr>
          <w:p w14:paraId="3D750BF5" w14:textId="500CFA40" w:rsidR="00AF13F3" w:rsidRPr="00646C92" w:rsidRDefault="00AF13F3" w:rsidP="00AF13F3">
            <w:pPr>
              <w:spacing w:before="20"/>
              <w:jc w:val="center"/>
              <w:rPr>
                <w:rFonts w:eastAsia="Times New Roman"/>
                <w:sz w:val="16"/>
                <w:szCs w:val="16"/>
              </w:rPr>
            </w:pPr>
            <w:r>
              <w:rPr>
                <w:sz w:val="16"/>
                <w:szCs w:val="16"/>
              </w:rPr>
              <w:t>Total dwellings (2021)</w:t>
            </w:r>
          </w:p>
        </w:tc>
        <w:tc>
          <w:tcPr>
            <w:tcW w:w="3118" w:type="dxa"/>
            <w:shd w:val="clear" w:color="auto" w:fill="FAFBFC" w:themeFill="background2"/>
            <w:hideMark/>
          </w:tcPr>
          <w:p w14:paraId="4E5894CA" w14:textId="3B7D7E01" w:rsidR="00AF13F3" w:rsidRPr="00646C92" w:rsidRDefault="00AF13F3" w:rsidP="00AF13F3">
            <w:pPr>
              <w:spacing w:before="20"/>
              <w:jc w:val="center"/>
              <w:rPr>
                <w:rFonts w:eastAsia="Times New Roman"/>
                <w:sz w:val="16"/>
                <w:szCs w:val="16"/>
              </w:rPr>
            </w:pPr>
            <w:r>
              <w:rPr>
                <w:sz w:val="16"/>
                <w:szCs w:val="16"/>
              </w:rPr>
              <w:t>Not occupied by usual residents (e.g., vacant, STRs, second homes - 2021)</w:t>
            </w:r>
          </w:p>
        </w:tc>
        <w:tc>
          <w:tcPr>
            <w:tcW w:w="3119" w:type="dxa"/>
            <w:shd w:val="clear" w:color="auto" w:fill="E0E7F2" w:themeFill="text2" w:themeFillTint="1A"/>
            <w:hideMark/>
          </w:tcPr>
          <w:p w14:paraId="3750DA9B" w14:textId="373F4E63" w:rsidR="00AF13F3" w:rsidRPr="00646C92" w:rsidRDefault="00AF13F3" w:rsidP="00AF13F3">
            <w:pPr>
              <w:spacing w:before="20"/>
              <w:jc w:val="center"/>
              <w:rPr>
                <w:rFonts w:eastAsia="Times New Roman"/>
                <w:sz w:val="16"/>
                <w:szCs w:val="16"/>
              </w:rPr>
            </w:pPr>
            <w:r>
              <w:rPr>
                <w:sz w:val="16"/>
                <w:szCs w:val="16"/>
              </w:rPr>
              <w:t>Single-detached dwellings (2021)</w:t>
            </w:r>
          </w:p>
        </w:tc>
      </w:tr>
      <w:tr w:rsidR="00AF13F3" w:rsidRPr="00646C92" w14:paraId="5DEA1E88" w14:textId="77777777" w:rsidTr="003C59F9">
        <w:trPr>
          <w:trHeight w:val="522"/>
        </w:trPr>
        <w:tc>
          <w:tcPr>
            <w:tcW w:w="3118" w:type="dxa"/>
            <w:shd w:val="clear" w:color="auto" w:fill="FAFBFC" w:themeFill="background2"/>
            <w:vAlign w:val="bottom"/>
            <w:hideMark/>
          </w:tcPr>
          <w:p w14:paraId="16FD7834" w14:textId="5E05F273"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416</w:t>
            </w:r>
          </w:p>
        </w:tc>
        <w:tc>
          <w:tcPr>
            <w:tcW w:w="3118" w:type="dxa"/>
            <w:shd w:val="clear" w:color="auto" w:fill="E0E7F2" w:themeFill="text2" w:themeFillTint="1A"/>
            <w:vAlign w:val="bottom"/>
            <w:hideMark/>
          </w:tcPr>
          <w:p w14:paraId="14F92C66" w14:textId="30DE3E10"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50%</w:t>
            </w:r>
          </w:p>
        </w:tc>
        <w:tc>
          <w:tcPr>
            <w:tcW w:w="3119" w:type="dxa"/>
            <w:shd w:val="clear" w:color="auto" w:fill="FAFBFC" w:themeFill="background2"/>
            <w:vAlign w:val="bottom"/>
            <w:hideMark/>
          </w:tcPr>
          <w:p w14:paraId="3628FFCD" w14:textId="65575FF8"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34%</w:t>
            </w:r>
          </w:p>
        </w:tc>
      </w:tr>
      <w:tr w:rsidR="00AF13F3" w:rsidRPr="00646C92" w14:paraId="7B0024B4" w14:textId="77777777" w:rsidTr="003C59F9">
        <w:trPr>
          <w:trHeight w:val="480"/>
        </w:trPr>
        <w:tc>
          <w:tcPr>
            <w:tcW w:w="3118" w:type="dxa"/>
            <w:shd w:val="clear" w:color="auto" w:fill="FAFBFC" w:themeFill="background2"/>
            <w:hideMark/>
          </w:tcPr>
          <w:p w14:paraId="79A2370C" w14:textId="6110BC60" w:rsidR="00AF13F3" w:rsidRPr="00646C92" w:rsidRDefault="00AF13F3" w:rsidP="00AF13F3">
            <w:pPr>
              <w:spacing w:before="20"/>
              <w:jc w:val="center"/>
              <w:rPr>
                <w:rFonts w:eastAsia="Times New Roman"/>
                <w:sz w:val="16"/>
                <w:szCs w:val="16"/>
              </w:rPr>
            </w:pPr>
            <w:r>
              <w:rPr>
                <w:sz w:val="16"/>
                <w:szCs w:val="16"/>
              </w:rPr>
              <w:t>Average annual permit totals (2018-2023)</w:t>
            </w:r>
          </w:p>
        </w:tc>
        <w:tc>
          <w:tcPr>
            <w:tcW w:w="3118" w:type="dxa"/>
            <w:shd w:val="clear" w:color="auto" w:fill="E0E7F2" w:themeFill="text2" w:themeFillTint="1A"/>
            <w:hideMark/>
          </w:tcPr>
          <w:p w14:paraId="5F26B9EC" w14:textId="57E6D7FB" w:rsidR="00AF13F3" w:rsidRPr="00646C92" w:rsidRDefault="00AF13F3" w:rsidP="00AF13F3">
            <w:pPr>
              <w:spacing w:before="20"/>
              <w:jc w:val="center"/>
              <w:rPr>
                <w:rFonts w:eastAsia="Times New Roman"/>
                <w:sz w:val="16"/>
                <w:szCs w:val="16"/>
              </w:rPr>
            </w:pPr>
            <w:r>
              <w:rPr>
                <w:sz w:val="16"/>
                <w:szCs w:val="16"/>
              </w:rPr>
              <w:t>Dwellings built pre-1980</w:t>
            </w:r>
          </w:p>
        </w:tc>
        <w:tc>
          <w:tcPr>
            <w:tcW w:w="3119" w:type="dxa"/>
            <w:shd w:val="clear" w:color="auto" w:fill="FAFBFC" w:themeFill="background2"/>
            <w:hideMark/>
          </w:tcPr>
          <w:p w14:paraId="6BB78898" w14:textId="57B2B790" w:rsidR="00AF13F3" w:rsidRPr="00646C92" w:rsidRDefault="00AF13F3" w:rsidP="00AF13F3">
            <w:pPr>
              <w:spacing w:before="20"/>
              <w:jc w:val="center"/>
              <w:rPr>
                <w:rFonts w:eastAsia="Times New Roman"/>
                <w:sz w:val="16"/>
                <w:szCs w:val="16"/>
              </w:rPr>
            </w:pPr>
            <w:r>
              <w:rPr>
                <w:sz w:val="16"/>
                <w:szCs w:val="16"/>
              </w:rPr>
              <w:t>Estimated dwellings with moderate to high flood susceptibility</w:t>
            </w:r>
          </w:p>
        </w:tc>
      </w:tr>
      <w:tr w:rsidR="00AF13F3" w:rsidRPr="00646C92" w14:paraId="1C7D9625" w14:textId="77777777" w:rsidTr="003C59F9">
        <w:trPr>
          <w:trHeight w:val="522"/>
        </w:trPr>
        <w:tc>
          <w:tcPr>
            <w:tcW w:w="3118" w:type="dxa"/>
            <w:shd w:val="clear" w:color="auto" w:fill="E0E7F2" w:themeFill="text2" w:themeFillTint="1A"/>
            <w:vAlign w:val="bottom"/>
            <w:hideMark/>
          </w:tcPr>
          <w:p w14:paraId="4F8D0666" w14:textId="67893805"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+36%</w:t>
            </w:r>
          </w:p>
        </w:tc>
        <w:tc>
          <w:tcPr>
            <w:tcW w:w="3118" w:type="dxa"/>
            <w:shd w:val="clear" w:color="auto" w:fill="FAFBFC" w:themeFill="background2"/>
            <w:vAlign w:val="bottom"/>
            <w:hideMark/>
          </w:tcPr>
          <w:p w14:paraId="703B5E61" w14:textId="586DE2D6"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1.5%</w:t>
            </w:r>
          </w:p>
        </w:tc>
        <w:tc>
          <w:tcPr>
            <w:tcW w:w="3119" w:type="dxa"/>
            <w:shd w:val="clear" w:color="auto" w:fill="E0E7F2" w:themeFill="text2" w:themeFillTint="1A"/>
            <w:vAlign w:val="bottom"/>
            <w:hideMark/>
          </w:tcPr>
          <w:p w14:paraId="30A09B96" w14:textId="51B633F4" w:rsidR="00AF13F3" w:rsidRPr="000B22A1" w:rsidRDefault="00AF13F3" w:rsidP="00AF13F3">
            <w:pPr>
              <w:spacing w:after="20"/>
              <w:jc w:val="center"/>
              <w:rPr>
                <w:rFonts w:eastAsia="Times New Roman"/>
                <w:b/>
                <w:bCs/>
                <w:color w:val="C00000"/>
                <w:sz w:val="26"/>
                <w:szCs w:val="26"/>
              </w:rPr>
            </w:pPr>
            <w:r w:rsidRPr="000B22A1">
              <w:rPr>
                <w:b/>
                <w:bCs/>
                <w:color w:val="C00000"/>
                <w:sz w:val="26"/>
                <w:szCs w:val="26"/>
              </w:rPr>
              <w:t>32%</w:t>
            </w:r>
          </w:p>
        </w:tc>
      </w:tr>
      <w:tr w:rsidR="00AF13F3" w:rsidRPr="00646C92" w14:paraId="6E29C926" w14:textId="77777777" w:rsidTr="003C59F9">
        <w:trPr>
          <w:trHeight w:val="480"/>
        </w:trPr>
        <w:tc>
          <w:tcPr>
            <w:tcW w:w="3118" w:type="dxa"/>
            <w:shd w:val="clear" w:color="auto" w:fill="E0E7F2" w:themeFill="text2" w:themeFillTint="1A"/>
            <w:hideMark/>
          </w:tcPr>
          <w:p w14:paraId="18F5DC51" w14:textId="0E1BA3F9" w:rsidR="00AF13F3" w:rsidRPr="00646C92" w:rsidRDefault="00AF13F3" w:rsidP="00AF13F3">
            <w:pPr>
              <w:spacing w:before="20"/>
              <w:jc w:val="center"/>
              <w:rPr>
                <w:rFonts w:eastAsia="Times New Roman"/>
                <w:sz w:val="16"/>
                <w:szCs w:val="16"/>
              </w:rPr>
            </w:pPr>
            <w:r>
              <w:rPr>
                <w:sz w:val="16"/>
                <w:szCs w:val="16"/>
              </w:rPr>
              <w:t>Change in average rents (2020-2025)</w:t>
            </w:r>
          </w:p>
        </w:tc>
        <w:tc>
          <w:tcPr>
            <w:tcW w:w="3118" w:type="dxa"/>
            <w:shd w:val="clear" w:color="auto" w:fill="FAFBFC" w:themeFill="background2"/>
            <w:hideMark/>
          </w:tcPr>
          <w:p w14:paraId="2B11BEDB" w14:textId="045E4BE4" w:rsidR="00AF13F3" w:rsidRPr="00646C92" w:rsidRDefault="00AF13F3" w:rsidP="00AF13F3">
            <w:pPr>
              <w:spacing w:before="20"/>
              <w:jc w:val="center"/>
              <w:rPr>
                <w:rFonts w:eastAsia="Times New Roman"/>
                <w:sz w:val="16"/>
                <w:szCs w:val="16"/>
              </w:rPr>
            </w:pPr>
            <w:r>
              <w:rPr>
                <w:sz w:val="16"/>
                <w:szCs w:val="16"/>
              </w:rPr>
              <w:t>Local rental vacancy rate</w:t>
            </w:r>
          </w:p>
        </w:tc>
        <w:tc>
          <w:tcPr>
            <w:tcW w:w="3119" w:type="dxa"/>
            <w:shd w:val="clear" w:color="auto" w:fill="E0E7F2" w:themeFill="text2" w:themeFillTint="1A"/>
            <w:hideMark/>
          </w:tcPr>
          <w:p w14:paraId="62D3B092" w14:textId="71F679EF" w:rsidR="00AF13F3" w:rsidRPr="00646C92" w:rsidRDefault="00AF13F3" w:rsidP="00AF13F3">
            <w:pPr>
              <w:spacing w:before="20"/>
              <w:jc w:val="center"/>
              <w:rPr>
                <w:rFonts w:eastAsia="Times New Roman"/>
                <w:sz w:val="16"/>
                <w:szCs w:val="16"/>
              </w:rPr>
            </w:pPr>
            <w:r>
              <w:rPr>
                <w:sz w:val="16"/>
                <w:szCs w:val="16"/>
              </w:rPr>
              <w:t>Rentals considered affordable (2021)</w:t>
            </w:r>
          </w:p>
        </w:tc>
      </w:tr>
      <w:tr w:rsidR="00AF13F3" w:rsidRPr="00646C92" w14:paraId="0B1A0C40" w14:textId="77777777" w:rsidTr="003C59F9">
        <w:trPr>
          <w:trHeight w:val="480"/>
        </w:trPr>
        <w:tc>
          <w:tcPr>
            <w:tcW w:w="3118" w:type="dxa"/>
            <w:shd w:val="clear" w:color="auto" w:fill="FAFBFC" w:themeFill="background2"/>
            <w:vAlign w:val="bottom"/>
          </w:tcPr>
          <w:p w14:paraId="54169729" w14:textId="23AC681D" w:rsidR="00AF13F3" w:rsidRPr="000B22A1" w:rsidRDefault="00AF13F3" w:rsidP="00AF13F3">
            <w:pPr>
              <w:spacing w:before="20"/>
              <w:jc w:val="center"/>
              <w:rPr>
                <w:rFonts w:eastAsia="Times New Roman"/>
                <w:color w:val="C00000"/>
                <w:sz w:val="16"/>
                <w:szCs w:val="16"/>
              </w:rPr>
            </w:pPr>
            <w:r w:rsidRPr="000B22A1">
              <w:rPr>
                <w:b/>
                <w:bCs/>
                <w:color w:val="C00000"/>
                <w:sz w:val="26"/>
                <w:szCs w:val="26"/>
              </w:rPr>
              <w:t>-</w:t>
            </w:r>
            <w:r w:rsidR="002420ED" w:rsidRPr="000B22A1">
              <w:rPr>
                <w:b/>
                <w:bCs/>
                <w:color w:val="C00000"/>
                <w:sz w:val="26"/>
                <w:szCs w:val="26"/>
              </w:rPr>
              <w:t>430</w:t>
            </w:r>
          </w:p>
        </w:tc>
        <w:tc>
          <w:tcPr>
            <w:tcW w:w="3118" w:type="dxa"/>
            <w:shd w:val="clear" w:color="auto" w:fill="E0E7F2" w:themeFill="text2" w:themeFillTint="1A"/>
            <w:vAlign w:val="bottom"/>
          </w:tcPr>
          <w:p w14:paraId="01B1F084" w14:textId="1E2B47C2" w:rsidR="00AF13F3" w:rsidRPr="000B22A1" w:rsidRDefault="00AF13F3" w:rsidP="00AF13F3">
            <w:pPr>
              <w:spacing w:before="20"/>
              <w:jc w:val="center"/>
              <w:rPr>
                <w:rFonts w:eastAsia="Times New Roman"/>
                <w:color w:val="C00000"/>
                <w:sz w:val="16"/>
                <w:szCs w:val="16"/>
              </w:rPr>
            </w:pPr>
            <w:r w:rsidRPr="000B22A1">
              <w:rPr>
                <w:b/>
                <w:bCs/>
                <w:color w:val="C00000"/>
                <w:sz w:val="26"/>
                <w:szCs w:val="26"/>
              </w:rPr>
              <w:t>+42%</w:t>
            </w:r>
          </w:p>
        </w:tc>
        <w:tc>
          <w:tcPr>
            <w:tcW w:w="3119" w:type="dxa"/>
            <w:shd w:val="clear" w:color="auto" w:fill="FAFBFC" w:themeFill="background2"/>
            <w:vAlign w:val="bottom"/>
          </w:tcPr>
          <w:p w14:paraId="2264ABA8" w14:textId="4CADA806" w:rsidR="00AF13F3" w:rsidRPr="000B22A1" w:rsidRDefault="00AF13F3" w:rsidP="00AF13F3">
            <w:pPr>
              <w:spacing w:before="20"/>
              <w:jc w:val="center"/>
              <w:rPr>
                <w:rFonts w:eastAsia="Times New Roman"/>
                <w:color w:val="C00000"/>
                <w:sz w:val="16"/>
                <w:szCs w:val="16"/>
              </w:rPr>
            </w:pPr>
            <w:r w:rsidRPr="000B22A1">
              <w:rPr>
                <w:b/>
                <w:bCs/>
                <w:color w:val="C00000"/>
                <w:sz w:val="26"/>
                <w:szCs w:val="26"/>
              </w:rPr>
              <w:t>318</w:t>
            </w:r>
          </w:p>
        </w:tc>
      </w:tr>
      <w:tr w:rsidR="00AF13F3" w:rsidRPr="00646C92" w14:paraId="62EE744F" w14:textId="77777777" w:rsidTr="003C59F9">
        <w:trPr>
          <w:trHeight w:val="480"/>
        </w:trPr>
        <w:tc>
          <w:tcPr>
            <w:tcW w:w="3118" w:type="dxa"/>
            <w:shd w:val="clear" w:color="auto" w:fill="FAFBFC" w:themeFill="background2"/>
          </w:tcPr>
          <w:p w14:paraId="0154B0EC" w14:textId="3A24028B" w:rsidR="00AF13F3" w:rsidRPr="00646C92" w:rsidRDefault="00AF13F3" w:rsidP="00AF13F3">
            <w:pPr>
              <w:spacing w:before="20"/>
              <w:jc w:val="center"/>
              <w:rPr>
                <w:rFonts w:eastAsia="Times New Roman"/>
                <w:sz w:val="16"/>
                <w:szCs w:val="16"/>
              </w:rPr>
            </w:pPr>
            <w:r>
              <w:rPr>
                <w:sz w:val="16"/>
                <w:szCs w:val="16"/>
              </w:rPr>
              <w:t xml:space="preserve">Change in affordable rentals </w:t>
            </w:r>
            <w:r>
              <w:rPr>
                <w:sz w:val="16"/>
                <w:szCs w:val="16"/>
              </w:rPr>
              <w:br/>
              <w:t>(2016-2021)</w:t>
            </w:r>
          </w:p>
        </w:tc>
        <w:tc>
          <w:tcPr>
            <w:tcW w:w="3118" w:type="dxa"/>
            <w:shd w:val="clear" w:color="auto" w:fill="E0E7F2" w:themeFill="text2" w:themeFillTint="1A"/>
          </w:tcPr>
          <w:p w14:paraId="2913EDA8" w14:textId="2D151D81" w:rsidR="00AF13F3" w:rsidRPr="00646C92" w:rsidRDefault="00AF13F3" w:rsidP="00AF13F3">
            <w:pPr>
              <w:spacing w:before="20"/>
              <w:jc w:val="center"/>
              <w:rPr>
                <w:rFonts w:eastAsia="Times New Roman"/>
                <w:sz w:val="16"/>
                <w:szCs w:val="16"/>
              </w:rPr>
            </w:pPr>
            <w:r>
              <w:rPr>
                <w:sz w:val="16"/>
                <w:szCs w:val="16"/>
              </w:rPr>
              <w:t>Change in average sale prices (2020-2025)</w:t>
            </w:r>
          </w:p>
        </w:tc>
        <w:tc>
          <w:tcPr>
            <w:tcW w:w="3119" w:type="dxa"/>
            <w:shd w:val="clear" w:color="auto" w:fill="FAFBFC" w:themeFill="background2"/>
          </w:tcPr>
          <w:p w14:paraId="7C91080A" w14:textId="5BFF822E" w:rsidR="00AF13F3" w:rsidRPr="00646C92" w:rsidRDefault="00AF13F3" w:rsidP="00AF13F3">
            <w:pPr>
              <w:spacing w:before="20"/>
              <w:jc w:val="center"/>
              <w:rPr>
                <w:rFonts w:eastAsia="Times New Roman"/>
                <w:sz w:val="16"/>
                <w:szCs w:val="16"/>
              </w:rPr>
            </w:pPr>
            <w:r>
              <w:rPr>
                <w:sz w:val="16"/>
                <w:szCs w:val="16"/>
              </w:rPr>
              <w:t>Estimated short-term rentals that are potentially long-term housing (2025)</w:t>
            </w:r>
          </w:p>
        </w:tc>
      </w:tr>
      <w:tr w:rsidR="00AF13F3" w:rsidRPr="00646C92" w14:paraId="57C62930" w14:textId="77777777" w:rsidTr="003C59F9">
        <w:trPr>
          <w:trHeight w:val="480"/>
        </w:trPr>
        <w:tc>
          <w:tcPr>
            <w:tcW w:w="3118" w:type="dxa"/>
            <w:shd w:val="clear" w:color="auto" w:fill="E0E7F2" w:themeFill="text2" w:themeFillTint="1A"/>
            <w:vAlign w:val="bottom"/>
          </w:tcPr>
          <w:p w14:paraId="70F0E8EB" w14:textId="407FD833" w:rsidR="00AF13F3" w:rsidRPr="000B22A1" w:rsidRDefault="00AF13F3" w:rsidP="00AF13F3">
            <w:pPr>
              <w:spacing w:before="20"/>
              <w:jc w:val="center"/>
              <w:rPr>
                <w:rFonts w:eastAsia="Times New Roman"/>
                <w:color w:val="C00000"/>
                <w:sz w:val="16"/>
                <w:szCs w:val="16"/>
              </w:rPr>
            </w:pPr>
            <w:r w:rsidRPr="000B22A1">
              <w:rPr>
                <w:b/>
                <w:bCs/>
                <w:color w:val="C00000"/>
                <w:sz w:val="26"/>
                <w:szCs w:val="26"/>
              </w:rPr>
              <w:t>17%</w:t>
            </w:r>
          </w:p>
        </w:tc>
        <w:tc>
          <w:tcPr>
            <w:tcW w:w="3118" w:type="dxa"/>
            <w:shd w:val="clear" w:color="auto" w:fill="FAFBFC" w:themeFill="background2"/>
            <w:vAlign w:val="bottom"/>
          </w:tcPr>
          <w:p w14:paraId="652460A0" w14:textId="3168D84A" w:rsidR="00AF13F3" w:rsidRPr="000B22A1" w:rsidRDefault="004E61A1" w:rsidP="00AF13F3">
            <w:pPr>
              <w:spacing w:before="20"/>
              <w:jc w:val="center"/>
              <w:rPr>
                <w:rFonts w:eastAsia="Times New Roman"/>
                <w:color w:val="C00000"/>
                <w:sz w:val="16"/>
                <w:szCs w:val="16"/>
              </w:rPr>
            </w:pPr>
            <w:r w:rsidRPr="000B22A1">
              <w:rPr>
                <w:b/>
                <w:bCs/>
                <w:color w:val="C00000"/>
                <w:sz w:val="26"/>
                <w:szCs w:val="26"/>
              </w:rPr>
              <w:t>1,203</w:t>
            </w:r>
          </w:p>
        </w:tc>
        <w:tc>
          <w:tcPr>
            <w:tcW w:w="3119" w:type="dxa"/>
            <w:shd w:val="clear" w:color="auto" w:fill="E0E7F2" w:themeFill="text2" w:themeFillTint="1A"/>
            <w:vAlign w:val="bottom"/>
          </w:tcPr>
          <w:p w14:paraId="3F9BD1A3" w14:textId="6DBAD311" w:rsidR="00AF13F3" w:rsidRPr="000B22A1" w:rsidRDefault="004E61A1" w:rsidP="00AF13F3">
            <w:pPr>
              <w:spacing w:before="20"/>
              <w:jc w:val="center"/>
              <w:rPr>
                <w:rFonts w:eastAsia="Times New Roman"/>
                <w:color w:val="C00000"/>
                <w:sz w:val="16"/>
                <w:szCs w:val="16"/>
              </w:rPr>
            </w:pPr>
            <w:r w:rsidRPr="000B22A1">
              <w:rPr>
                <w:b/>
                <w:bCs/>
                <w:color w:val="C00000"/>
                <w:sz w:val="26"/>
                <w:szCs w:val="26"/>
              </w:rPr>
              <w:t>86</w:t>
            </w:r>
          </w:p>
        </w:tc>
      </w:tr>
      <w:tr w:rsidR="00AF13F3" w:rsidRPr="00646C92" w14:paraId="1FBC73A0" w14:textId="77777777" w:rsidTr="003C59F9">
        <w:trPr>
          <w:trHeight w:val="480"/>
        </w:trPr>
        <w:tc>
          <w:tcPr>
            <w:tcW w:w="3118" w:type="dxa"/>
            <w:shd w:val="clear" w:color="auto" w:fill="E0E7F2" w:themeFill="text2" w:themeFillTint="1A"/>
          </w:tcPr>
          <w:p w14:paraId="68270182" w14:textId="2A0A63A5" w:rsidR="00AF13F3" w:rsidRPr="00646C92" w:rsidRDefault="00AF13F3" w:rsidP="00AF13F3">
            <w:pPr>
              <w:spacing w:before="20"/>
              <w:jc w:val="center"/>
              <w:rPr>
                <w:rFonts w:eastAsia="Times New Roman"/>
                <w:sz w:val="16"/>
                <w:szCs w:val="16"/>
              </w:rPr>
            </w:pPr>
            <w:r>
              <w:rPr>
                <w:sz w:val="16"/>
                <w:szCs w:val="16"/>
              </w:rPr>
              <w:t>Renters living in subsidized housing (2021)</w:t>
            </w:r>
          </w:p>
        </w:tc>
        <w:tc>
          <w:tcPr>
            <w:tcW w:w="3118" w:type="dxa"/>
            <w:shd w:val="clear" w:color="auto" w:fill="FAFBFC" w:themeFill="background2"/>
          </w:tcPr>
          <w:p w14:paraId="5B27BE4C" w14:textId="77777777" w:rsidR="00AF13F3" w:rsidRDefault="00AF13F3" w:rsidP="00AF13F3">
            <w:pPr>
              <w:spacing w:before="20"/>
              <w:jc w:val="center"/>
              <w:rPr>
                <w:sz w:val="16"/>
                <w:szCs w:val="16"/>
              </w:rPr>
            </w:pPr>
            <w:r>
              <w:rPr>
                <w:sz w:val="16"/>
                <w:szCs w:val="16"/>
              </w:rPr>
              <w:t>Non-market housing inventory</w:t>
            </w:r>
          </w:p>
          <w:p w14:paraId="3B71C7B8" w14:textId="55A42234" w:rsidR="00AF13F3" w:rsidRPr="00646C92" w:rsidRDefault="004E61A1" w:rsidP="00AF13F3">
            <w:pPr>
              <w:spacing w:before="20"/>
              <w:jc w:val="center"/>
              <w:rPr>
                <w:rFonts w:eastAsia="Times New Roman"/>
                <w:sz w:val="16"/>
                <w:szCs w:val="16"/>
              </w:rPr>
            </w:pPr>
            <w:r>
              <w:rPr>
                <w:rFonts w:eastAsia="Times New Roman"/>
                <w:sz w:val="16"/>
                <w:szCs w:val="16"/>
              </w:rPr>
              <w:t>(beds and units)</w:t>
            </w:r>
          </w:p>
        </w:tc>
        <w:tc>
          <w:tcPr>
            <w:tcW w:w="3119" w:type="dxa"/>
            <w:shd w:val="clear" w:color="auto" w:fill="E0E7F2" w:themeFill="text2" w:themeFillTint="1A"/>
          </w:tcPr>
          <w:p w14:paraId="1707C27A" w14:textId="654928A2" w:rsidR="00AF13F3" w:rsidRPr="00646C92" w:rsidRDefault="00AF13F3" w:rsidP="00AF13F3">
            <w:pPr>
              <w:spacing w:before="20"/>
              <w:jc w:val="center"/>
              <w:rPr>
                <w:rFonts w:eastAsia="Times New Roman"/>
                <w:sz w:val="16"/>
                <w:szCs w:val="16"/>
              </w:rPr>
            </w:pPr>
            <w:r>
              <w:rPr>
                <w:sz w:val="16"/>
                <w:szCs w:val="16"/>
              </w:rPr>
              <w:t>Shelters for various population groups</w:t>
            </w:r>
          </w:p>
        </w:tc>
      </w:tr>
    </w:tbl>
    <w:p w14:paraId="502754B9" w14:textId="77777777" w:rsidR="001F70AC" w:rsidRDefault="001F70AC" w:rsidP="00CD710E"/>
    <w:p w14:paraId="3FACE823" w14:textId="77777777" w:rsidR="00CD710E" w:rsidRPr="003C59F9" w:rsidRDefault="00CD710E" w:rsidP="003C59F9">
      <w:pPr>
        <w:shd w:val="clear" w:color="auto" w:fill="FFD07A" w:themeFill="accent5" w:themeFillTint="66"/>
        <w:rPr>
          <w:rFonts w:ascii="Bahnschrift" w:hAnsi="Bahnschrift"/>
          <w:b/>
          <w:bCs/>
          <w:sz w:val="28"/>
          <w:szCs w:val="28"/>
        </w:rPr>
      </w:pPr>
      <w:r w:rsidRPr="003C59F9">
        <w:rPr>
          <w:rFonts w:ascii="Bahnschrift" w:hAnsi="Bahnschrift"/>
          <w:b/>
          <w:bCs/>
          <w:sz w:val="28"/>
          <w:szCs w:val="28"/>
        </w:rPr>
        <w:t>HOUSING NEED</w:t>
      </w:r>
    </w:p>
    <w:p w14:paraId="3F3CC1F3" w14:textId="30B6FBD8" w:rsidR="00CD710E" w:rsidRDefault="00CD710E" w:rsidP="00CD710E">
      <w:pPr>
        <w:rPr>
          <w:b/>
          <w:bCs/>
          <w:sz w:val="24"/>
          <w:szCs w:val="24"/>
        </w:rPr>
      </w:pPr>
    </w:p>
    <w:tbl>
      <w:tblPr>
        <w:tblW w:w="9355" w:type="dxa"/>
        <w:tblLook w:val="04A0" w:firstRow="1" w:lastRow="0" w:firstColumn="1" w:lastColumn="0" w:noHBand="0" w:noVBand="1"/>
      </w:tblPr>
      <w:tblGrid>
        <w:gridCol w:w="3118"/>
        <w:gridCol w:w="3118"/>
        <w:gridCol w:w="3119"/>
      </w:tblGrid>
      <w:tr w:rsidR="009D739B" w:rsidRPr="00646C92" w14:paraId="3A4C4BE5" w14:textId="77777777" w:rsidTr="003C59F9">
        <w:trPr>
          <w:trHeight w:val="522"/>
        </w:trPr>
        <w:tc>
          <w:tcPr>
            <w:tcW w:w="3118" w:type="dxa"/>
            <w:shd w:val="clear" w:color="auto" w:fill="E0E7F2" w:themeFill="text2" w:themeFillTint="1A"/>
            <w:vAlign w:val="bottom"/>
            <w:hideMark/>
          </w:tcPr>
          <w:p w14:paraId="342AEF2E" w14:textId="13AE876D"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5%</w:t>
            </w:r>
          </w:p>
        </w:tc>
        <w:tc>
          <w:tcPr>
            <w:tcW w:w="3118" w:type="dxa"/>
            <w:shd w:val="clear" w:color="auto" w:fill="FAFBFC" w:themeFill="background2"/>
            <w:vAlign w:val="bottom"/>
            <w:hideMark/>
          </w:tcPr>
          <w:p w14:paraId="6E2696DE" w14:textId="4D2BB17A"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6%</w:t>
            </w:r>
          </w:p>
        </w:tc>
        <w:tc>
          <w:tcPr>
            <w:tcW w:w="3119" w:type="dxa"/>
            <w:shd w:val="clear" w:color="auto" w:fill="E0E7F2" w:themeFill="text2" w:themeFillTint="1A"/>
            <w:vAlign w:val="bottom"/>
            <w:hideMark/>
          </w:tcPr>
          <w:p w14:paraId="5976B6B6" w14:textId="7B5DF597"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24%</w:t>
            </w:r>
          </w:p>
        </w:tc>
      </w:tr>
      <w:tr w:rsidR="009D739B" w:rsidRPr="00646C92" w14:paraId="677CF159" w14:textId="77777777" w:rsidTr="003C59F9">
        <w:trPr>
          <w:trHeight w:val="480"/>
        </w:trPr>
        <w:tc>
          <w:tcPr>
            <w:tcW w:w="3118" w:type="dxa"/>
            <w:shd w:val="clear" w:color="auto" w:fill="E0E7F2" w:themeFill="text2" w:themeFillTint="1A"/>
            <w:hideMark/>
          </w:tcPr>
          <w:p w14:paraId="1C0859A0" w14:textId="466D4C8B" w:rsidR="009D739B" w:rsidRPr="00646C92" w:rsidRDefault="009D739B" w:rsidP="009D739B">
            <w:pPr>
              <w:spacing w:before="20"/>
              <w:jc w:val="center"/>
              <w:rPr>
                <w:rFonts w:eastAsia="Times New Roman"/>
                <w:sz w:val="16"/>
                <w:szCs w:val="16"/>
              </w:rPr>
            </w:pPr>
            <w:r w:rsidRPr="009D739B">
              <w:rPr>
                <w:sz w:val="16"/>
                <w:szCs w:val="16"/>
              </w:rPr>
              <w:t>Overcrowded households (2021)</w:t>
            </w:r>
          </w:p>
        </w:tc>
        <w:tc>
          <w:tcPr>
            <w:tcW w:w="3118" w:type="dxa"/>
            <w:shd w:val="clear" w:color="auto" w:fill="FAFBFC" w:themeFill="background2"/>
            <w:hideMark/>
          </w:tcPr>
          <w:p w14:paraId="076302E7" w14:textId="2810ABAA" w:rsidR="009D739B" w:rsidRPr="00646C92" w:rsidRDefault="009D739B" w:rsidP="009D739B">
            <w:pPr>
              <w:spacing w:before="20"/>
              <w:jc w:val="center"/>
              <w:rPr>
                <w:rFonts w:eastAsia="Times New Roman"/>
                <w:sz w:val="16"/>
                <w:szCs w:val="16"/>
              </w:rPr>
            </w:pPr>
            <w:r w:rsidRPr="009D739B">
              <w:rPr>
                <w:sz w:val="16"/>
                <w:szCs w:val="16"/>
              </w:rPr>
              <w:t>Dwellings needing major repair (2021)</w:t>
            </w:r>
          </w:p>
        </w:tc>
        <w:tc>
          <w:tcPr>
            <w:tcW w:w="3119" w:type="dxa"/>
            <w:shd w:val="clear" w:color="auto" w:fill="E0E7F2" w:themeFill="text2" w:themeFillTint="1A"/>
            <w:hideMark/>
          </w:tcPr>
          <w:p w14:paraId="7C731F19" w14:textId="7EA920EB" w:rsidR="009D739B" w:rsidRPr="00646C92" w:rsidRDefault="009D739B" w:rsidP="009D739B">
            <w:pPr>
              <w:spacing w:before="20"/>
              <w:jc w:val="center"/>
              <w:rPr>
                <w:rFonts w:eastAsia="Times New Roman"/>
                <w:sz w:val="16"/>
                <w:szCs w:val="16"/>
              </w:rPr>
            </w:pPr>
            <w:r w:rsidRPr="009D739B">
              <w:rPr>
                <w:sz w:val="16"/>
                <w:szCs w:val="16"/>
              </w:rPr>
              <w:t>Dwellings deemed unaffordable (2021)</w:t>
            </w:r>
          </w:p>
        </w:tc>
      </w:tr>
      <w:tr w:rsidR="009D739B" w:rsidRPr="00646C92" w14:paraId="583CBA1B" w14:textId="77777777" w:rsidTr="003C59F9">
        <w:trPr>
          <w:trHeight w:val="522"/>
        </w:trPr>
        <w:tc>
          <w:tcPr>
            <w:tcW w:w="3118" w:type="dxa"/>
            <w:shd w:val="clear" w:color="auto" w:fill="FAFBFC" w:themeFill="background2"/>
            <w:vAlign w:val="bottom"/>
            <w:hideMark/>
          </w:tcPr>
          <w:p w14:paraId="3F43D97F" w14:textId="5132ABA2"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9%</w:t>
            </w:r>
          </w:p>
        </w:tc>
        <w:tc>
          <w:tcPr>
            <w:tcW w:w="3118" w:type="dxa"/>
            <w:shd w:val="clear" w:color="auto" w:fill="E0E7F2" w:themeFill="text2" w:themeFillTint="1A"/>
            <w:vAlign w:val="bottom"/>
            <w:hideMark/>
          </w:tcPr>
          <w:p w14:paraId="28FBA1C6" w14:textId="373D688D"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3%</w:t>
            </w:r>
          </w:p>
        </w:tc>
        <w:tc>
          <w:tcPr>
            <w:tcW w:w="3119" w:type="dxa"/>
            <w:shd w:val="clear" w:color="auto" w:fill="FAFBFC" w:themeFill="background2"/>
            <w:vAlign w:val="bottom"/>
            <w:hideMark/>
          </w:tcPr>
          <w:p w14:paraId="5879EB17" w14:textId="5031DCC4"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14%</w:t>
            </w:r>
          </w:p>
        </w:tc>
      </w:tr>
      <w:tr w:rsidR="009D739B" w:rsidRPr="00646C92" w14:paraId="69049AF2" w14:textId="77777777" w:rsidTr="003C59F9">
        <w:trPr>
          <w:trHeight w:val="480"/>
        </w:trPr>
        <w:tc>
          <w:tcPr>
            <w:tcW w:w="3118" w:type="dxa"/>
            <w:shd w:val="clear" w:color="auto" w:fill="FAFBFC" w:themeFill="background2"/>
            <w:hideMark/>
          </w:tcPr>
          <w:p w14:paraId="2CBC751A" w14:textId="29FC76B1" w:rsidR="009D739B" w:rsidRPr="00646C92" w:rsidRDefault="009D739B" w:rsidP="009D739B">
            <w:pPr>
              <w:spacing w:before="20"/>
              <w:jc w:val="center"/>
              <w:rPr>
                <w:rFonts w:eastAsia="Times New Roman"/>
                <w:sz w:val="16"/>
                <w:szCs w:val="16"/>
              </w:rPr>
            </w:pPr>
            <w:r w:rsidRPr="009D739B">
              <w:rPr>
                <w:sz w:val="16"/>
                <w:szCs w:val="16"/>
              </w:rPr>
              <w:t>Total households in core housing need (2021)</w:t>
            </w:r>
          </w:p>
        </w:tc>
        <w:tc>
          <w:tcPr>
            <w:tcW w:w="3118" w:type="dxa"/>
            <w:shd w:val="clear" w:color="auto" w:fill="E0E7F2" w:themeFill="text2" w:themeFillTint="1A"/>
            <w:hideMark/>
          </w:tcPr>
          <w:p w14:paraId="54E5315F" w14:textId="354A1900" w:rsidR="009D739B" w:rsidRPr="00646C92" w:rsidRDefault="009D739B" w:rsidP="009D739B">
            <w:pPr>
              <w:spacing w:before="20"/>
              <w:jc w:val="center"/>
              <w:rPr>
                <w:rFonts w:eastAsia="Times New Roman"/>
                <w:sz w:val="16"/>
                <w:szCs w:val="16"/>
              </w:rPr>
            </w:pPr>
            <w:r w:rsidRPr="009D739B">
              <w:rPr>
                <w:sz w:val="16"/>
                <w:szCs w:val="16"/>
              </w:rPr>
              <w:t>Owner households in core housing need (2021)</w:t>
            </w:r>
          </w:p>
        </w:tc>
        <w:tc>
          <w:tcPr>
            <w:tcW w:w="3119" w:type="dxa"/>
            <w:shd w:val="clear" w:color="auto" w:fill="FAFBFC" w:themeFill="background2"/>
            <w:hideMark/>
          </w:tcPr>
          <w:p w14:paraId="77A3FBED" w14:textId="08F5A830" w:rsidR="009D739B" w:rsidRPr="00646C92" w:rsidRDefault="009D739B" w:rsidP="009D739B">
            <w:pPr>
              <w:spacing w:before="20"/>
              <w:jc w:val="center"/>
              <w:rPr>
                <w:rFonts w:eastAsia="Times New Roman"/>
                <w:sz w:val="16"/>
                <w:szCs w:val="16"/>
              </w:rPr>
            </w:pPr>
            <w:r w:rsidRPr="009D739B">
              <w:rPr>
                <w:sz w:val="16"/>
                <w:szCs w:val="16"/>
              </w:rPr>
              <w:t>Renter households in core housing need (2021)</w:t>
            </w:r>
          </w:p>
        </w:tc>
      </w:tr>
      <w:tr w:rsidR="009D739B" w:rsidRPr="00646C92" w14:paraId="25DBA0C9" w14:textId="77777777" w:rsidTr="003C59F9">
        <w:trPr>
          <w:trHeight w:val="522"/>
        </w:trPr>
        <w:tc>
          <w:tcPr>
            <w:tcW w:w="3118" w:type="dxa"/>
            <w:shd w:val="clear" w:color="auto" w:fill="E0E7F2" w:themeFill="text2" w:themeFillTint="1A"/>
            <w:vAlign w:val="bottom"/>
            <w:hideMark/>
          </w:tcPr>
          <w:p w14:paraId="70B92CD3" w14:textId="2302607E"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66%</w:t>
            </w:r>
          </w:p>
        </w:tc>
        <w:tc>
          <w:tcPr>
            <w:tcW w:w="3118" w:type="dxa"/>
            <w:shd w:val="clear" w:color="auto" w:fill="FAFBFC" w:themeFill="background2"/>
            <w:vAlign w:val="bottom"/>
            <w:hideMark/>
          </w:tcPr>
          <w:p w14:paraId="0AF97E9C" w14:textId="063F4956"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88%</w:t>
            </w:r>
          </w:p>
        </w:tc>
        <w:tc>
          <w:tcPr>
            <w:tcW w:w="3119" w:type="dxa"/>
            <w:shd w:val="clear" w:color="auto" w:fill="E0E7F2" w:themeFill="text2" w:themeFillTint="1A"/>
            <w:vAlign w:val="bottom"/>
            <w:hideMark/>
          </w:tcPr>
          <w:p w14:paraId="207AE623" w14:textId="56D478F2" w:rsidR="009D739B" w:rsidRPr="000B22A1" w:rsidRDefault="009D739B" w:rsidP="009D739B">
            <w:pPr>
              <w:spacing w:after="20"/>
              <w:jc w:val="center"/>
              <w:rPr>
                <w:rFonts w:eastAsia="Times New Roman"/>
                <w:b/>
                <w:bCs/>
                <w:color w:val="C00000"/>
                <w:sz w:val="26"/>
                <w:szCs w:val="26"/>
              </w:rPr>
            </w:pPr>
            <w:r w:rsidRPr="000B22A1">
              <w:rPr>
                <w:b/>
                <w:bCs/>
                <w:color w:val="C00000"/>
                <w:sz w:val="26"/>
                <w:szCs w:val="26"/>
              </w:rPr>
              <w:t>4%</w:t>
            </w:r>
          </w:p>
        </w:tc>
      </w:tr>
      <w:tr w:rsidR="009D739B" w:rsidRPr="00646C92" w14:paraId="5309A337" w14:textId="77777777" w:rsidTr="003C59F9">
        <w:trPr>
          <w:trHeight w:val="480"/>
        </w:trPr>
        <w:tc>
          <w:tcPr>
            <w:tcW w:w="3118" w:type="dxa"/>
            <w:shd w:val="clear" w:color="auto" w:fill="E0E7F2" w:themeFill="text2" w:themeFillTint="1A"/>
            <w:hideMark/>
          </w:tcPr>
          <w:p w14:paraId="75B41137" w14:textId="5A995DAD" w:rsidR="009D739B" w:rsidRPr="00646C92" w:rsidRDefault="009D739B" w:rsidP="009D739B">
            <w:pPr>
              <w:spacing w:before="20"/>
              <w:jc w:val="center"/>
              <w:rPr>
                <w:rFonts w:eastAsia="Times New Roman"/>
                <w:sz w:val="16"/>
                <w:szCs w:val="16"/>
              </w:rPr>
            </w:pPr>
            <w:r w:rsidRPr="009D739B">
              <w:rPr>
                <w:sz w:val="16"/>
                <w:szCs w:val="16"/>
              </w:rPr>
              <w:t>Households in core need that are single persons (2021)</w:t>
            </w:r>
          </w:p>
        </w:tc>
        <w:tc>
          <w:tcPr>
            <w:tcW w:w="3118" w:type="dxa"/>
            <w:shd w:val="clear" w:color="auto" w:fill="FAFBFC" w:themeFill="background2"/>
            <w:hideMark/>
          </w:tcPr>
          <w:p w14:paraId="18054ECA" w14:textId="6A0D61C4" w:rsidR="009D739B" w:rsidRPr="00646C92" w:rsidRDefault="009D739B" w:rsidP="009D739B">
            <w:pPr>
              <w:spacing w:before="20"/>
              <w:jc w:val="center"/>
              <w:rPr>
                <w:rFonts w:eastAsia="Times New Roman"/>
                <w:sz w:val="16"/>
                <w:szCs w:val="16"/>
              </w:rPr>
            </w:pPr>
            <w:r w:rsidRPr="009D739B">
              <w:rPr>
                <w:sz w:val="16"/>
                <w:szCs w:val="16"/>
              </w:rPr>
              <w:t>Households in core need that are very low</w:t>
            </w:r>
            <w:r w:rsidR="00055EBB">
              <w:rPr>
                <w:sz w:val="16"/>
                <w:szCs w:val="16"/>
              </w:rPr>
              <w:t>-</w:t>
            </w:r>
            <w:r w:rsidRPr="009D739B">
              <w:rPr>
                <w:sz w:val="16"/>
                <w:szCs w:val="16"/>
              </w:rPr>
              <w:t xml:space="preserve"> or low</w:t>
            </w:r>
            <w:r w:rsidR="00055EBB">
              <w:rPr>
                <w:sz w:val="16"/>
                <w:szCs w:val="16"/>
              </w:rPr>
              <w:t>-</w:t>
            </w:r>
            <w:r w:rsidRPr="009D739B">
              <w:rPr>
                <w:sz w:val="16"/>
                <w:szCs w:val="16"/>
              </w:rPr>
              <w:t>income earning (2021)</w:t>
            </w:r>
          </w:p>
        </w:tc>
        <w:tc>
          <w:tcPr>
            <w:tcW w:w="3119" w:type="dxa"/>
            <w:shd w:val="clear" w:color="auto" w:fill="E0E7F2" w:themeFill="text2" w:themeFillTint="1A"/>
            <w:hideMark/>
          </w:tcPr>
          <w:p w14:paraId="1EAC4CC3" w14:textId="305EDCCE" w:rsidR="009D739B" w:rsidRPr="00646C92" w:rsidRDefault="009D739B" w:rsidP="009D739B">
            <w:pPr>
              <w:spacing w:before="20"/>
              <w:jc w:val="center"/>
              <w:rPr>
                <w:rFonts w:eastAsia="Times New Roman"/>
                <w:sz w:val="16"/>
                <w:szCs w:val="16"/>
              </w:rPr>
            </w:pPr>
            <w:r w:rsidRPr="009D739B">
              <w:rPr>
                <w:sz w:val="16"/>
                <w:szCs w:val="16"/>
              </w:rPr>
              <w:t xml:space="preserve">Total households in </w:t>
            </w:r>
            <w:r w:rsidRPr="009D739B">
              <w:rPr>
                <w:b/>
                <w:bCs/>
                <w:sz w:val="16"/>
                <w:szCs w:val="16"/>
              </w:rPr>
              <w:t xml:space="preserve">extreme </w:t>
            </w:r>
            <w:r w:rsidRPr="009D739B">
              <w:rPr>
                <w:sz w:val="16"/>
                <w:szCs w:val="16"/>
              </w:rPr>
              <w:t>core housing need (2021)</w:t>
            </w:r>
          </w:p>
        </w:tc>
      </w:tr>
    </w:tbl>
    <w:p w14:paraId="74F39BCE" w14:textId="77777777" w:rsidR="00EC1196" w:rsidRDefault="00EC1196" w:rsidP="00CD710E"/>
    <w:p w14:paraId="770AC098" w14:textId="77777777" w:rsidR="000A0367" w:rsidRDefault="000A0367" w:rsidP="00CD710E"/>
    <w:p w14:paraId="6F1EBD3C" w14:textId="77777777" w:rsidR="000A0367" w:rsidRDefault="000A0367" w:rsidP="00CD710E"/>
    <w:p w14:paraId="28FC41AA" w14:textId="77777777" w:rsidR="000A0367" w:rsidRDefault="000A0367" w:rsidP="00CD710E"/>
    <w:p w14:paraId="0D2100CA" w14:textId="77777777" w:rsidR="000A0367" w:rsidRDefault="000A0367" w:rsidP="00CD710E"/>
    <w:p w14:paraId="074658CE" w14:textId="77777777" w:rsidR="000A0367" w:rsidRDefault="000A0367" w:rsidP="00CD710E"/>
    <w:p w14:paraId="3CFA45B0" w14:textId="77777777" w:rsidR="000A0367" w:rsidRDefault="000A0367" w:rsidP="00CD710E"/>
    <w:p w14:paraId="67D0AE50" w14:textId="77777777" w:rsidR="000A0367" w:rsidRDefault="000A0367" w:rsidP="00CD710E"/>
    <w:p w14:paraId="0B2D6A3A" w14:textId="77777777" w:rsidR="000A0367" w:rsidRDefault="000A0367" w:rsidP="00CD710E"/>
    <w:p w14:paraId="043BC86E" w14:textId="77777777" w:rsidR="000A0367" w:rsidRDefault="000A0367" w:rsidP="00CD710E"/>
    <w:p w14:paraId="76FEF8B8" w14:textId="77777777" w:rsidR="000A0367" w:rsidRDefault="000A0367" w:rsidP="00CD710E"/>
    <w:p w14:paraId="30A4CB98" w14:textId="77777777" w:rsidR="000A0367" w:rsidRDefault="000A0367" w:rsidP="00CD710E"/>
    <w:p w14:paraId="0C914605" w14:textId="77777777" w:rsidR="000A0367" w:rsidRDefault="000A0367" w:rsidP="00CD710E"/>
    <w:p w14:paraId="4403F173" w14:textId="073960E0" w:rsidR="00CD710E" w:rsidRPr="003C59F9" w:rsidRDefault="00950795" w:rsidP="003C59F9">
      <w:pPr>
        <w:shd w:val="clear" w:color="auto" w:fill="FFD07A" w:themeFill="accent5" w:themeFillTint="66"/>
        <w:rPr>
          <w:rFonts w:ascii="Bahnschrift" w:hAnsi="Bahnschrift"/>
          <w:b/>
          <w:bCs/>
          <w:sz w:val="28"/>
          <w:szCs w:val="28"/>
        </w:rPr>
      </w:pPr>
      <w:r w:rsidRPr="003C59F9">
        <w:rPr>
          <w:rFonts w:ascii="Bahnschrift" w:hAnsi="Bahnschrift"/>
          <w:b/>
          <w:bCs/>
          <w:sz w:val="28"/>
          <w:szCs w:val="28"/>
        </w:rPr>
        <w:lastRenderedPageBreak/>
        <w:t xml:space="preserve">UNIT DEMAND / </w:t>
      </w:r>
      <w:r w:rsidR="00CD710E" w:rsidRPr="003C59F9">
        <w:rPr>
          <w:rFonts w:ascii="Bahnschrift" w:hAnsi="Bahnschrift"/>
          <w:b/>
          <w:bCs/>
          <w:sz w:val="28"/>
          <w:szCs w:val="28"/>
        </w:rPr>
        <w:t>PROJECTED NEEDS</w:t>
      </w:r>
    </w:p>
    <w:p w14:paraId="6652A443" w14:textId="77777777" w:rsidR="00CD710E" w:rsidRDefault="00CD710E" w:rsidP="00CD710E"/>
    <w:tbl>
      <w:tblPr>
        <w:tblW w:w="9355" w:type="dxa"/>
        <w:tblLook w:val="04A0" w:firstRow="1" w:lastRow="0" w:firstColumn="1" w:lastColumn="0" w:noHBand="0" w:noVBand="1"/>
      </w:tblPr>
      <w:tblGrid>
        <w:gridCol w:w="3118"/>
        <w:gridCol w:w="3118"/>
        <w:gridCol w:w="3119"/>
      </w:tblGrid>
      <w:tr w:rsidR="0024349A" w:rsidRPr="00646C92" w14:paraId="13D8E635" w14:textId="77777777" w:rsidTr="003C59F9">
        <w:trPr>
          <w:trHeight w:val="522"/>
        </w:trPr>
        <w:tc>
          <w:tcPr>
            <w:tcW w:w="3118" w:type="dxa"/>
            <w:shd w:val="clear" w:color="auto" w:fill="E0E7F2" w:themeFill="text2" w:themeFillTint="1A"/>
            <w:vAlign w:val="bottom"/>
            <w:hideMark/>
          </w:tcPr>
          <w:p w14:paraId="5E901C41" w14:textId="72C5924D" w:rsidR="0024349A" w:rsidRPr="000B22A1" w:rsidRDefault="0024349A" w:rsidP="0024349A">
            <w:pPr>
              <w:spacing w:after="20"/>
              <w:jc w:val="center"/>
              <w:rPr>
                <w:rFonts w:eastAsia="Times New Roman"/>
                <w:b/>
                <w:bCs/>
                <w:color w:val="C00000"/>
                <w:sz w:val="26"/>
                <w:szCs w:val="26"/>
              </w:rPr>
            </w:pPr>
            <w:r w:rsidRPr="000B22A1">
              <w:rPr>
                <w:b/>
                <w:bCs/>
                <w:color w:val="C00000"/>
                <w:sz w:val="26"/>
                <w:szCs w:val="26"/>
              </w:rPr>
              <w:t>53,870</w:t>
            </w:r>
          </w:p>
        </w:tc>
        <w:tc>
          <w:tcPr>
            <w:tcW w:w="3118" w:type="dxa"/>
            <w:shd w:val="clear" w:color="auto" w:fill="FAFBFC" w:themeFill="background2"/>
            <w:vAlign w:val="bottom"/>
            <w:hideMark/>
          </w:tcPr>
          <w:p w14:paraId="5998CB05" w14:textId="7D83499D" w:rsidR="0024349A" w:rsidRPr="000B22A1" w:rsidRDefault="0024349A" w:rsidP="0024349A">
            <w:pPr>
              <w:spacing w:after="20"/>
              <w:jc w:val="center"/>
              <w:rPr>
                <w:rFonts w:eastAsia="Times New Roman"/>
                <w:b/>
                <w:bCs/>
                <w:color w:val="C00000"/>
                <w:sz w:val="26"/>
                <w:szCs w:val="26"/>
              </w:rPr>
            </w:pPr>
            <w:r w:rsidRPr="000B22A1">
              <w:rPr>
                <w:b/>
                <w:bCs/>
                <w:color w:val="C00000"/>
                <w:sz w:val="26"/>
                <w:szCs w:val="26"/>
              </w:rPr>
              <w:t>+12%</w:t>
            </w:r>
          </w:p>
        </w:tc>
        <w:tc>
          <w:tcPr>
            <w:tcW w:w="3119" w:type="dxa"/>
            <w:shd w:val="clear" w:color="auto" w:fill="E0E7F2" w:themeFill="text2" w:themeFillTint="1A"/>
            <w:vAlign w:val="bottom"/>
            <w:hideMark/>
          </w:tcPr>
          <w:p w14:paraId="55B174C1" w14:textId="52F3F6C4" w:rsidR="0024349A" w:rsidRPr="000B22A1" w:rsidRDefault="0024349A" w:rsidP="0024349A">
            <w:pPr>
              <w:spacing w:after="20"/>
              <w:jc w:val="center"/>
              <w:rPr>
                <w:rFonts w:eastAsia="Times New Roman"/>
                <w:b/>
                <w:bCs/>
                <w:color w:val="C00000"/>
                <w:sz w:val="26"/>
                <w:szCs w:val="26"/>
              </w:rPr>
            </w:pPr>
            <w:r w:rsidRPr="000B22A1">
              <w:rPr>
                <w:b/>
                <w:bCs/>
                <w:color w:val="C00000"/>
                <w:sz w:val="26"/>
                <w:szCs w:val="26"/>
              </w:rPr>
              <w:t>+1%</w:t>
            </w:r>
          </w:p>
        </w:tc>
      </w:tr>
      <w:tr w:rsidR="0024349A" w:rsidRPr="00646C92" w14:paraId="67A28174" w14:textId="77777777" w:rsidTr="003C59F9">
        <w:trPr>
          <w:trHeight w:val="480"/>
        </w:trPr>
        <w:tc>
          <w:tcPr>
            <w:tcW w:w="3118" w:type="dxa"/>
            <w:shd w:val="clear" w:color="auto" w:fill="E0E7F2" w:themeFill="text2" w:themeFillTint="1A"/>
            <w:hideMark/>
          </w:tcPr>
          <w:p w14:paraId="03044DC8" w14:textId="07E55D13" w:rsidR="0024349A" w:rsidRPr="00646C92" w:rsidRDefault="0024349A" w:rsidP="0024349A">
            <w:pPr>
              <w:spacing w:before="20"/>
              <w:jc w:val="center"/>
              <w:rPr>
                <w:rFonts w:eastAsia="Times New Roman"/>
                <w:sz w:val="16"/>
                <w:szCs w:val="16"/>
              </w:rPr>
            </w:pPr>
            <w:r>
              <w:rPr>
                <w:sz w:val="16"/>
                <w:szCs w:val="16"/>
              </w:rPr>
              <w:t>Projected population (2035)</w:t>
            </w:r>
          </w:p>
        </w:tc>
        <w:tc>
          <w:tcPr>
            <w:tcW w:w="3118" w:type="dxa"/>
            <w:shd w:val="clear" w:color="auto" w:fill="FAFBFC" w:themeFill="background2"/>
            <w:hideMark/>
          </w:tcPr>
          <w:p w14:paraId="5728B2EB" w14:textId="2A92F88D" w:rsidR="0024349A" w:rsidRPr="00646C92" w:rsidRDefault="0024349A" w:rsidP="0024349A">
            <w:pPr>
              <w:spacing w:before="20"/>
              <w:jc w:val="center"/>
              <w:rPr>
                <w:rFonts w:eastAsia="Times New Roman"/>
                <w:sz w:val="16"/>
                <w:szCs w:val="16"/>
              </w:rPr>
            </w:pPr>
            <w:r>
              <w:rPr>
                <w:sz w:val="16"/>
                <w:szCs w:val="16"/>
              </w:rPr>
              <w:t>Projected population change (2025-2035)</w:t>
            </w:r>
          </w:p>
        </w:tc>
        <w:tc>
          <w:tcPr>
            <w:tcW w:w="3119" w:type="dxa"/>
            <w:shd w:val="clear" w:color="auto" w:fill="E0E7F2" w:themeFill="text2" w:themeFillTint="1A"/>
            <w:hideMark/>
          </w:tcPr>
          <w:p w14:paraId="4F64C33B" w14:textId="7385D3C4" w:rsidR="0024349A" w:rsidRPr="00646C92" w:rsidRDefault="0024349A" w:rsidP="0024349A">
            <w:pPr>
              <w:spacing w:before="20"/>
              <w:jc w:val="center"/>
              <w:rPr>
                <w:rFonts w:eastAsia="Times New Roman"/>
                <w:sz w:val="16"/>
                <w:szCs w:val="16"/>
              </w:rPr>
            </w:pPr>
            <w:r>
              <w:rPr>
                <w:sz w:val="16"/>
                <w:szCs w:val="16"/>
              </w:rPr>
              <w:t>Change to 0 to 14 year olds (2025-2035)</w:t>
            </w:r>
          </w:p>
        </w:tc>
      </w:tr>
      <w:tr w:rsidR="0024349A" w:rsidRPr="00646C92" w14:paraId="016D2B46" w14:textId="77777777" w:rsidTr="003C59F9">
        <w:trPr>
          <w:trHeight w:val="522"/>
        </w:trPr>
        <w:tc>
          <w:tcPr>
            <w:tcW w:w="3118" w:type="dxa"/>
            <w:shd w:val="clear" w:color="auto" w:fill="FAFBFC" w:themeFill="background2"/>
            <w:vAlign w:val="bottom"/>
            <w:hideMark/>
          </w:tcPr>
          <w:p w14:paraId="604D22DE" w14:textId="2D1F0773" w:rsidR="0024349A" w:rsidRPr="000B22A1" w:rsidRDefault="0024349A" w:rsidP="0024349A">
            <w:pPr>
              <w:spacing w:after="20"/>
              <w:jc w:val="center"/>
              <w:rPr>
                <w:rFonts w:eastAsia="Times New Roman"/>
                <w:b/>
                <w:bCs/>
                <w:color w:val="C00000"/>
                <w:sz w:val="26"/>
                <w:szCs w:val="26"/>
              </w:rPr>
            </w:pPr>
            <w:r w:rsidRPr="000B22A1">
              <w:rPr>
                <w:b/>
                <w:bCs/>
                <w:color w:val="C00000"/>
                <w:sz w:val="26"/>
                <w:szCs w:val="26"/>
              </w:rPr>
              <w:t>+4%</w:t>
            </w:r>
          </w:p>
        </w:tc>
        <w:tc>
          <w:tcPr>
            <w:tcW w:w="3118" w:type="dxa"/>
            <w:shd w:val="clear" w:color="auto" w:fill="E0E7F2" w:themeFill="text2" w:themeFillTint="1A"/>
            <w:vAlign w:val="bottom"/>
            <w:hideMark/>
          </w:tcPr>
          <w:p w14:paraId="0A3F95CA" w14:textId="78A0F71F" w:rsidR="0024349A" w:rsidRPr="000B22A1" w:rsidRDefault="0024349A" w:rsidP="0024349A">
            <w:pPr>
              <w:spacing w:after="20"/>
              <w:jc w:val="center"/>
              <w:rPr>
                <w:rFonts w:eastAsia="Times New Roman"/>
                <w:b/>
                <w:bCs/>
                <w:color w:val="C00000"/>
                <w:sz w:val="26"/>
                <w:szCs w:val="26"/>
              </w:rPr>
            </w:pPr>
            <w:r w:rsidRPr="000B22A1">
              <w:rPr>
                <w:b/>
                <w:bCs/>
                <w:color w:val="C00000"/>
                <w:sz w:val="26"/>
                <w:szCs w:val="26"/>
              </w:rPr>
              <w:t>+21%</w:t>
            </w:r>
          </w:p>
        </w:tc>
        <w:tc>
          <w:tcPr>
            <w:tcW w:w="3119" w:type="dxa"/>
            <w:shd w:val="clear" w:color="auto" w:fill="FAFBFC" w:themeFill="background2"/>
            <w:vAlign w:val="bottom"/>
            <w:hideMark/>
          </w:tcPr>
          <w:p w14:paraId="44621284" w14:textId="5E329262" w:rsidR="0024349A" w:rsidRPr="000B22A1" w:rsidRDefault="00086CE3" w:rsidP="0024349A">
            <w:pPr>
              <w:spacing w:after="20"/>
              <w:jc w:val="center"/>
              <w:rPr>
                <w:rFonts w:eastAsia="Times New Roman"/>
                <w:b/>
                <w:bCs/>
                <w:color w:val="C00000"/>
                <w:sz w:val="26"/>
                <w:szCs w:val="26"/>
              </w:rPr>
            </w:pPr>
            <w:r w:rsidRPr="000B22A1">
              <w:rPr>
                <w:b/>
                <w:bCs/>
                <w:color w:val="C00000"/>
                <w:sz w:val="26"/>
                <w:szCs w:val="26"/>
              </w:rPr>
              <w:t>4,395</w:t>
            </w:r>
          </w:p>
        </w:tc>
      </w:tr>
      <w:tr w:rsidR="0024349A" w:rsidRPr="00646C92" w14:paraId="7145A50E" w14:textId="77777777" w:rsidTr="003C59F9">
        <w:trPr>
          <w:trHeight w:val="480"/>
        </w:trPr>
        <w:tc>
          <w:tcPr>
            <w:tcW w:w="3118" w:type="dxa"/>
            <w:shd w:val="clear" w:color="auto" w:fill="FAFBFC" w:themeFill="background2"/>
            <w:hideMark/>
          </w:tcPr>
          <w:p w14:paraId="5421BD53" w14:textId="742B7C91" w:rsidR="0024349A" w:rsidRPr="00646C92" w:rsidRDefault="0024349A" w:rsidP="0024349A">
            <w:pPr>
              <w:spacing w:before="20"/>
              <w:jc w:val="center"/>
              <w:rPr>
                <w:rFonts w:eastAsia="Times New Roman"/>
                <w:sz w:val="16"/>
                <w:szCs w:val="16"/>
              </w:rPr>
            </w:pPr>
            <w:r>
              <w:rPr>
                <w:sz w:val="16"/>
                <w:szCs w:val="16"/>
              </w:rPr>
              <w:t xml:space="preserve">Change to 15 to 34 year olds </w:t>
            </w:r>
            <w:r>
              <w:rPr>
                <w:sz w:val="16"/>
                <w:szCs w:val="16"/>
              </w:rPr>
              <w:br/>
              <w:t>(2021-2025)</w:t>
            </w:r>
          </w:p>
        </w:tc>
        <w:tc>
          <w:tcPr>
            <w:tcW w:w="3118" w:type="dxa"/>
            <w:shd w:val="clear" w:color="auto" w:fill="E0E7F2" w:themeFill="text2" w:themeFillTint="1A"/>
            <w:hideMark/>
          </w:tcPr>
          <w:p w14:paraId="2D68E907" w14:textId="73BC5009" w:rsidR="0024349A" w:rsidRPr="00646C92" w:rsidRDefault="0024349A" w:rsidP="0024349A">
            <w:pPr>
              <w:spacing w:before="20"/>
              <w:jc w:val="center"/>
              <w:rPr>
                <w:rFonts w:eastAsia="Times New Roman"/>
                <w:sz w:val="16"/>
                <w:szCs w:val="16"/>
              </w:rPr>
            </w:pPr>
            <w:r>
              <w:rPr>
                <w:sz w:val="16"/>
                <w:szCs w:val="16"/>
              </w:rPr>
              <w:t>Change to 65+ year olds (2021-2025)</w:t>
            </w:r>
          </w:p>
        </w:tc>
        <w:tc>
          <w:tcPr>
            <w:tcW w:w="3119" w:type="dxa"/>
            <w:shd w:val="clear" w:color="auto" w:fill="FAFBFC" w:themeFill="background2"/>
            <w:hideMark/>
          </w:tcPr>
          <w:p w14:paraId="2CC0889C" w14:textId="25AFC1B4" w:rsidR="0024349A" w:rsidRPr="00646C92" w:rsidRDefault="0024349A" w:rsidP="0024349A">
            <w:pPr>
              <w:spacing w:before="20"/>
              <w:jc w:val="center"/>
              <w:rPr>
                <w:rFonts w:eastAsia="Times New Roman"/>
                <w:sz w:val="16"/>
                <w:szCs w:val="16"/>
              </w:rPr>
            </w:pPr>
            <w:r>
              <w:rPr>
                <w:sz w:val="16"/>
                <w:szCs w:val="16"/>
              </w:rPr>
              <w:t>Estimated 2025 dwelling deficit</w:t>
            </w:r>
          </w:p>
        </w:tc>
      </w:tr>
      <w:tr w:rsidR="0024349A" w:rsidRPr="00646C92" w14:paraId="59CD4B31" w14:textId="77777777" w:rsidTr="003C59F9">
        <w:trPr>
          <w:trHeight w:val="522"/>
        </w:trPr>
        <w:tc>
          <w:tcPr>
            <w:tcW w:w="3118" w:type="dxa"/>
            <w:shd w:val="clear" w:color="auto" w:fill="E0E7F2" w:themeFill="text2" w:themeFillTint="1A"/>
            <w:vAlign w:val="bottom"/>
            <w:hideMark/>
          </w:tcPr>
          <w:p w14:paraId="17DA08DE" w14:textId="136B3D94" w:rsidR="0024349A" w:rsidRPr="000B22A1" w:rsidRDefault="00086CE3" w:rsidP="0024349A">
            <w:pPr>
              <w:spacing w:after="20"/>
              <w:jc w:val="center"/>
              <w:rPr>
                <w:rFonts w:eastAsia="Times New Roman"/>
                <w:b/>
                <w:bCs/>
                <w:color w:val="C00000"/>
                <w:sz w:val="26"/>
                <w:szCs w:val="26"/>
              </w:rPr>
            </w:pPr>
            <w:r w:rsidRPr="000B22A1">
              <w:rPr>
                <w:b/>
                <w:bCs/>
                <w:color w:val="C00000"/>
                <w:sz w:val="26"/>
                <w:szCs w:val="26"/>
              </w:rPr>
              <w:t>8,490</w:t>
            </w:r>
          </w:p>
        </w:tc>
        <w:tc>
          <w:tcPr>
            <w:tcW w:w="3118" w:type="dxa"/>
            <w:shd w:val="clear" w:color="auto" w:fill="FAFBFC" w:themeFill="background2"/>
            <w:vAlign w:val="bottom"/>
            <w:hideMark/>
          </w:tcPr>
          <w:p w14:paraId="2292ED04" w14:textId="2475D524" w:rsidR="0024349A" w:rsidRPr="000B22A1" w:rsidRDefault="0024349A" w:rsidP="0024349A">
            <w:pPr>
              <w:spacing w:after="20"/>
              <w:jc w:val="center"/>
              <w:rPr>
                <w:rFonts w:eastAsia="Times New Roman"/>
                <w:b/>
                <w:bCs/>
                <w:color w:val="C00000"/>
                <w:sz w:val="26"/>
                <w:szCs w:val="26"/>
              </w:rPr>
            </w:pPr>
            <w:r w:rsidRPr="000B22A1">
              <w:rPr>
                <w:b/>
                <w:bCs/>
                <w:color w:val="C00000"/>
                <w:sz w:val="26"/>
                <w:szCs w:val="26"/>
              </w:rPr>
              <w:t>4</w:t>
            </w:r>
            <w:r w:rsidR="001E6FCF" w:rsidRPr="000B22A1">
              <w:rPr>
                <w:b/>
                <w:bCs/>
                <w:color w:val="C00000"/>
                <w:sz w:val="26"/>
                <w:szCs w:val="26"/>
              </w:rPr>
              <w:t>1</w:t>
            </w:r>
            <w:r w:rsidRPr="000B22A1">
              <w:rPr>
                <w:b/>
                <w:bCs/>
                <w:color w:val="C00000"/>
                <w:sz w:val="26"/>
                <w:szCs w:val="26"/>
              </w:rPr>
              <w:t>%</w:t>
            </w:r>
          </w:p>
        </w:tc>
        <w:tc>
          <w:tcPr>
            <w:tcW w:w="3119" w:type="dxa"/>
            <w:shd w:val="clear" w:color="auto" w:fill="E0E7F2" w:themeFill="text2" w:themeFillTint="1A"/>
            <w:vAlign w:val="bottom"/>
            <w:hideMark/>
          </w:tcPr>
          <w:p w14:paraId="799B670D" w14:textId="55180FF2" w:rsidR="0024349A" w:rsidRPr="000B22A1" w:rsidRDefault="0024349A" w:rsidP="0024349A">
            <w:pPr>
              <w:spacing w:after="20"/>
              <w:jc w:val="center"/>
              <w:rPr>
                <w:rFonts w:eastAsia="Times New Roman"/>
                <w:b/>
                <w:bCs/>
                <w:color w:val="C00000"/>
                <w:sz w:val="26"/>
                <w:szCs w:val="26"/>
              </w:rPr>
            </w:pPr>
            <w:r w:rsidRPr="000B22A1">
              <w:rPr>
                <w:b/>
                <w:bCs/>
                <w:color w:val="C00000"/>
                <w:sz w:val="26"/>
                <w:szCs w:val="26"/>
              </w:rPr>
              <w:t>59%</w:t>
            </w:r>
          </w:p>
        </w:tc>
      </w:tr>
      <w:tr w:rsidR="0024349A" w:rsidRPr="00646C92" w14:paraId="08225638" w14:textId="77777777" w:rsidTr="003C59F9">
        <w:trPr>
          <w:trHeight w:val="480"/>
        </w:trPr>
        <w:tc>
          <w:tcPr>
            <w:tcW w:w="3118" w:type="dxa"/>
            <w:shd w:val="clear" w:color="auto" w:fill="E0E7F2" w:themeFill="text2" w:themeFillTint="1A"/>
            <w:hideMark/>
          </w:tcPr>
          <w:p w14:paraId="33CA7F2D" w14:textId="0BDB5B8E" w:rsidR="0024349A" w:rsidRPr="00646C92" w:rsidRDefault="0024349A" w:rsidP="0024349A">
            <w:pPr>
              <w:spacing w:before="20"/>
              <w:jc w:val="center"/>
              <w:rPr>
                <w:rFonts w:eastAsia="Times New Roman"/>
                <w:sz w:val="16"/>
                <w:szCs w:val="16"/>
              </w:rPr>
            </w:pPr>
            <w:r>
              <w:rPr>
                <w:sz w:val="16"/>
                <w:szCs w:val="16"/>
              </w:rPr>
              <w:t>Projected total new dwelling demand (2025-2035)</w:t>
            </w:r>
          </w:p>
        </w:tc>
        <w:tc>
          <w:tcPr>
            <w:tcW w:w="3118" w:type="dxa"/>
            <w:shd w:val="clear" w:color="auto" w:fill="FAFBFC" w:themeFill="background2"/>
            <w:hideMark/>
          </w:tcPr>
          <w:p w14:paraId="7A7DBC28" w14:textId="272A03F6" w:rsidR="0024349A" w:rsidRPr="00646C92" w:rsidRDefault="0024349A" w:rsidP="0024349A">
            <w:pPr>
              <w:spacing w:before="20"/>
              <w:jc w:val="center"/>
              <w:rPr>
                <w:rFonts w:eastAsia="Times New Roman"/>
                <w:sz w:val="16"/>
                <w:szCs w:val="16"/>
              </w:rPr>
            </w:pPr>
            <w:r>
              <w:rPr>
                <w:sz w:val="16"/>
                <w:szCs w:val="16"/>
              </w:rPr>
              <w:t>Demand for affordable units (2025-2035)</w:t>
            </w:r>
          </w:p>
        </w:tc>
        <w:tc>
          <w:tcPr>
            <w:tcW w:w="3119" w:type="dxa"/>
            <w:shd w:val="clear" w:color="auto" w:fill="E0E7F2" w:themeFill="text2" w:themeFillTint="1A"/>
            <w:hideMark/>
          </w:tcPr>
          <w:p w14:paraId="44A8506E" w14:textId="5CBB6D5C" w:rsidR="0024349A" w:rsidRPr="00646C92" w:rsidRDefault="0024349A" w:rsidP="0024349A">
            <w:pPr>
              <w:spacing w:before="20"/>
              <w:jc w:val="center"/>
              <w:rPr>
                <w:rFonts w:eastAsia="Times New Roman"/>
                <w:sz w:val="16"/>
                <w:szCs w:val="16"/>
              </w:rPr>
            </w:pPr>
            <w:r>
              <w:rPr>
                <w:sz w:val="16"/>
                <w:szCs w:val="16"/>
              </w:rPr>
              <w:t>Demand for rental units (2025-2035)</w:t>
            </w:r>
          </w:p>
        </w:tc>
      </w:tr>
      <w:tr w:rsidR="0024349A" w:rsidRPr="00646C92" w14:paraId="10CFE950" w14:textId="77777777" w:rsidTr="003C59F9">
        <w:trPr>
          <w:trHeight w:val="480"/>
        </w:trPr>
        <w:tc>
          <w:tcPr>
            <w:tcW w:w="3118" w:type="dxa"/>
            <w:shd w:val="clear" w:color="auto" w:fill="FAFBFC" w:themeFill="background2"/>
            <w:vAlign w:val="bottom"/>
          </w:tcPr>
          <w:p w14:paraId="2852560C" w14:textId="695E2A99" w:rsidR="0024349A" w:rsidRPr="000B22A1" w:rsidRDefault="0024349A" w:rsidP="0024349A">
            <w:pPr>
              <w:spacing w:before="20"/>
              <w:jc w:val="center"/>
              <w:rPr>
                <w:rFonts w:eastAsia="Times New Roman"/>
                <w:color w:val="C00000"/>
                <w:sz w:val="16"/>
                <w:szCs w:val="16"/>
              </w:rPr>
            </w:pPr>
            <w:r w:rsidRPr="000B22A1">
              <w:rPr>
                <w:b/>
                <w:bCs/>
                <w:color w:val="C00000"/>
                <w:sz w:val="26"/>
                <w:szCs w:val="26"/>
              </w:rPr>
              <w:t>4,900</w:t>
            </w:r>
          </w:p>
        </w:tc>
        <w:tc>
          <w:tcPr>
            <w:tcW w:w="3118" w:type="dxa"/>
            <w:shd w:val="clear" w:color="auto" w:fill="E0E7F2" w:themeFill="text2" w:themeFillTint="1A"/>
            <w:vAlign w:val="bottom"/>
          </w:tcPr>
          <w:p w14:paraId="79BBCA92" w14:textId="5D607CDA" w:rsidR="0024349A" w:rsidRPr="000B22A1" w:rsidRDefault="0024349A" w:rsidP="0024349A">
            <w:pPr>
              <w:spacing w:before="20"/>
              <w:jc w:val="center"/>
              <w:rPr>
                <w:rFonts w:eastAsia="Times New Roman"/>
                <w:color w:val="C00000"/>
                <w:sz w:val="16"/>
                <w:szCs w:val="16"/>
              </w:rPr>
            </w:pPr>
            <w:r w:rsidRPr="000B22A1">
              <w:rPr>
                <w:b/>
                <w:bCs/>
                <w:color w:val="C00000"/>
                <w:sz w:val="26"/>
                <w:szCs w:val="26"/>
              </w:rPr>
              <w:t>2,245</w:t>
            </w:r>
          </w:p>
        </w:tc>
        <w:tc>
          <w:tcPr>
            <w:tcW w:w="3119" w:type="dxa"/>
            <w:shd w:val="clear" w:color="auto" w:fill="FFFFFF" w:themeFill="background1"/>
            <w:vAlign w:val="center"/>
          </w:tcPr>
          <w:p w14:paraId="3457366E" w14:textId="08B2A8CE" w:rsidR="0024349A" w:rsidRPr="00646C92" w:rsidRDefault="0024349A" w:rsidP="0024349A">
            <w:pPr>
              <w:spacing w:before="20"/>
              <w:jc w:val="center"/>
              <w:rPr>
                <w:rFonts w:eastAsia="Times New Roman"/>
                <w:sz w:val="16"/>
                <w:szCs w:val="16"/>
              </w:rPr>
            </w:pPr>
          </w:p>
        </w:tc>
      </w:tr>
      <w:tr w:rsidR="0024349A" w:rsidRPr="00646C92" w14:paraId="7D5C0C66" w14:textId="77777777" w:rsidTr="003C59F9">
        <w:trPr>
          <w:trHeight w:val="480"/>
        </w:trPr>
        <w:tc>
          <w:tcPr>
            <w:tcW w:w="3118" w:type="dxa"/>
            <w:shd w:val="clear" w:color="auto" w:fill="FAFBFC" w:themeFill="background2"/>
          </w:tcPr>
          <w:p w14:paraId="13366341" w14:textId="4F54B8E7" w:rsidR="0024349A" w:rsidRPr="00646C92" w:rsidRDefault="0024349A" w:rsidP="0024349A">
            <w:pPr>
              <w:spacing w:before="20"/>
              <w:jc w:val="center"/>
              <w:rPr>
                <w:rFonts w:eastAsia="Times New Roman"/>
                <w:sz w:val="16"/>
                <w:szCs w:val="16"/>
              </w:rPr>
            </w:pPr>
            <w:r>
              <w:rPr>
                <w:sz w:val="16"/>
                <w:szCs w:val="16"/>
              </w:rPr>
              <w:t>Potential inflow of unit demand from employment pressures (2025)</w:t>
            </w:r>
          </w:p>
        </w:tc>
        <w:tc>
          <w:tcPr>
            <w:tcW w:w="3118" w:type="dxa"/>
            <w:shd w:val="clear" w:color="auto" w:fill="E0E7F2" w:themeFill="text2" w:themeFillTint="1A"/>
          </w:tcPr>
          <w:p w14:paraId="288A6924" w14:textId="259F4971" w:rsidR="0024349A" w:rsidRPr="00646C92" w:rsidRDefault="0024349A" w:rsidP="0024349A">
            <w:pPr>
              <w:spacing w:before="20"/>
              <w:jc w:val="center"/>
              <w:rPr>
                <w:rFonts w:eastAsia="Times New Roman"/>
                <w:sz w:val="16"/>
                <w:szCs w:val="16"/>
              </w:rPr>
            </w:pPr>
            <w:r>
              <w:rPr>
                <w:sz w:val="16"/>
                <w:szCs w:val="16"/>
              </w:rPr>
              <w:t>Total senior housing bed/unit demand (by 2035)</w:t>
            </w:r>
          </w:p>
        </w:tc>
        <w:tc>
          <w:tcPr>
            <w:tcW w:w="3119" w:type="dxa"/>
            <w:shd w:val="clear" w:color="auto" w:fill="FFFFFF" w:themeFill="background1"/>
            <w:vAlign w:val="center"/>
          </w:tcPr>
          <w:p w14:paraId="60F04A37" w14:textId="09D24B3B" w:rsidR="0024349A" w:rsidRPr="00646C92" w:rsidRDefault="0024349A" w:rsidP="0024349A">
            <w:pPr>
              <w:spacing w:before="20"/>
              <w:jc w:val="center"/>
              <w:rPr>
                <w:rFonts w:eastAsia="Times New Roman"/>
                <w:sz w:val="16"/>
                <w:szCs w:val="16"/>
              </w:rPr>
            </w:pPr>
          </w:p>
        </w:tc>
      </w:tr>
    </w:tbl>
    <w:p w14:paraId="5D7B7962" w14:textId="77777777" w:rsidR="00CD710E" w:rsidRDefault="00CD710E" w:rsidP="00CD710E"/>
    <w:p w14:paraId="31C66C12" w14:textId="77777777" w:rsidR="00CD710E" w:rsidRDefault="00CD710E" w:rsidP="00CD710E"/>
    <w:p w14:paraId="242CB07A" w14:textId="77777777" w:rsidR="00CD710E" w:rsidRDefault="00CD710E" w:rsidP="00CD710E"/>
    <w:p w14:paraId="617B0C2A" w14:textId="77777777" w:rsidR="00CD710E" w:rsidRDefault="00CD710E" w:rsidP="00CD710E">
      <w:pPr>
        <w:pStyle w:val="Heading2"/>
        <w:sectPr w:rsidR="00CD710E" w:rsidSect="007A144D">
          <w:headerReference w:type="default" r:id="rId13"/>
          <w:footerReference w:type="default" r:id="rId14"/>
          <w:pgSz w:w="12240" w:h="15840"/>
          <w:pgMar w:top="1440" w:right="1440" w:bottom="1440" w:left="1440" w:header="708" w:footer="708" w:gutter="0"/>
          <w:pgNumType w:start="1"/>
          <w:cols w:space="720"/>
          <w:docGrid w:linePitch="360"/>
        </w:sectPr>
      </w:pPr>
    </w:p>
    <w:p w14:paraId="5F188796" w14:textId="456C86D1" w:rsidR="00072A93" w:rsidRDefault="006924BE" w:rsidP="00072A93">
      <w:pPr>
        <w:pStyle w:val="Heading1"/>
      </w:pPr>
      <w:bookmarkStart w:id="9" w:name="_Toc223686635"/>
      <w:bookmarkStart w:id="10" w:name="_Toc237355933"/>
      <w:bookmarkEnd w:id="7"/>
      <w:r>
        <w:lastRenderedPageBreak/>
        <w:t>DEMOGRAPHIC</w:t>
      </w:r>
      <w:r w:rsidR="00072A93">
        <w:t xml:space="preserve"> PROFILE</w:t>
      </w:r>
      <w:bookmarkEnd w:id="9"/>
      <w:bookmarkEnd w:id="10"/>
    </w:p>
    <w:bookmarkEnd w:id="8"/>
    <w:p w14:paraId="03FB0682" w14:textId="77777777" w:rsidR="00075E75" w:rsidRDefault="00075E75" w:rsidP="00075E75"/>
    <w:p w14:paraId="38F20390" w14:textId="603BA652" w:rsidR="00075E75" w:rsidRDefault="00D83931" w:rsidP="00075E75">
      <w:pPr>
        <w:jc w:val="both"/>
      </w:pPr>
      <w:r w:rsidRPr="00D83931">
        <w:t>This section provides key population and household information to contextualize the sections that follow. It covers who lives in the community, how migration has shaped it, and how households are formed and structured.</w:t>
      </w:r>
      <w:r w:rsidR="00A9142E">
        <w:t xml:space="preserve"> Where possible, comparisons are made between the </w:t>
      </w:r>
      <w:r w:rsidR="00AA474D">
        <w:t xml:space="preserve">local community and the county / region and province </w:t>
      </w:r>
      <w:r w:rsidR="00EC0231">
        <w:t>said community belongs to.</w:t>
      </w:r>
    </w:p>
    <w:p w14:paraId="0AD1F28C" w14:textId="77777777" w:rsidR="00D83931" w:rsidRDefault="00D83931" w:rsidP="00075E75">
      <w:pPr>
        <w:jc w:val="both"/>
      </w:pPr>
    </w:p>
    <w:p w14:paraId="71EC0199" w14:textId="17342640" w:rsidR="0043538E" w:rsidRDefault="00072A93" w:rsidP="00072A93">
      <w:pPr>
        <w:pStyle w:val="Heading2"/>
      </w:pPr>
      <w:bookmarkStart w:id="11" w:name="_Toc223686636"/>
      <w:bookmarkStart w:id="12" w:name="_Toc237355934"/>
      <w:r>
        <w:t>POPULATION</w:t>
      </w:r>
      <w:bookmarkEnd w:id="11"/>
      <w:bookmarkEnd w:id="12"/>
    </w:p>
    <w:p w14:paraId="57200AE0" w14:textId="32E863C7" w:rsidR="0099781C" w:rsidRDefault="00524ACA" w:rsidP="00991791">
      <w:pPr>
        <w:jc w:val="both"/>
      </w:pPr>
      <w:r>
        <w:t>The following is an examination into</w:t>
      </w:r>
      <w:r w:rsidR="00991791" w:rsidRPr="00991791">
        <w:t xml:space="preserve"> the community's demographic structure and trends, including total population, growth or decline, age distribution, and the presence of key population groups such as Indigenous Peoples, recent immigrants, and migrants.</w:t>
      </w:r>
    </w:p>
    <w:p w14:paraId="7E6AB42C" w14:textId="77777777" w:rsidR="00991791" w:rsidRDefault="00991791" w:rsidP="0099781C"/>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EC7B98" w:rsidRPr="00500457" w14:paraId="32765A79" w14:textId="77777777" w:rsidTr="009A4107">
        <w:trPr>
          <w:trHeight w:val="360"/>
        </w:trPr>
        <w:tc>
          <w:tcPr>
            <w:tcW w:w="1345" w:type="dxa"/>
            <w:shd w:val="clear" w:color="auto" w:fill="5F2ADF" w:themeFill="accent4" w:themeFillTint="80"/>
            <w:vAlign w:val="center"/>
          </w:tcPr>
          <w:p w14:paraId="25C57A28" w14:textId="7933FF65" w:rsidR="00EC7B98"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23EC11DF" w14:textId="77777777" w:rsidR="00EC7B98" w:rsidRPr="003A2EA5" w:rsidRDefault="00EC7B98"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EC7B98" w:rsidRPr="00500457" w14:paraId="651C0598" w14:textId="77777777" w:rsidTr="00EC7B98">
        <w:trPr>
          <w:trHeight w:val="710"/>
        </w:trPr>
        <w:tc>
          <w:tcPr>
            <w:tcW w:w="1345" w:type="dxa"/>
            <w:shd w:val="clear" w:color="auto" w:fill="DED3F8" w:themeFill="accent4" w:themeFillTint="1A"/>
            <w:vAlign w:val="center"/>
          </w:tcPr>
          <w:p w14:paraId="0179B239" w14:textId="581A1617" w:rsidR="00EC7B98" w:rsidRPr="00500457" w:rsidRDefault="00EC7B98" w:rsidP="009A4107">
            <w:pPr>
              <w:rPr>
                <w:sz w:val="20"/>
                <w:szCs w:val="20"/>
              </w:rPr>
            </w:pPr>
            <w:r>
              <w:rPr>
                <w:sz w:val="20"/>
                <w:szCs w:val="20"/>
              </w:rPr>
              <w:t>2.3</w:t>
            </w:r>
          </w:p>
        </w:tc>
        <w:tc>
          <w:tcPr>
            <w:tcW w:w="8005" w:type="dxa"/>
            <w:shd w:val="clear" w:color="auto" w:fill="DED3F8" w:themeFill="accent4" w:themeFillTint="1A"/>
            <w:vAlign w:val="center"/>
          </w:tcPr>
          <w:p w14:paraId="34B6D527" w14:textId="11A144BA" w:rsidR="00EC7B98" w:rsidRPr="00500457" w:rsidRDefault="00EC7B98" w:rsidP="009A4107">
            <w:pPr>
              <w:rPr>
                <w:sz w:val="20"/>
                <w:szCs w:val="20"/>
              </w:rPr>
            </w:pPr>
            <w:r w:rsidRPr="00EC7B98">
              <w:rPr>
                <w:sz w:val="20"/>
                <w:szCs w:val="20"/>
              </w:rPr>
              <w:t>How have population changes in your community, or territory and its communities impacted your housing market?</w:t>
            </w:r>
          </w:p>
        </w:tc>
      </w:tr>
    </w:tbl>
    <w:p w14:paraId="5690F4C8" w14:textId="77777777" w:rsidR="00EC7B98" w:rsidRDefault="00EC7B98" w:rsidP="009C7472"/>
    <w:p w14:paraId="1C4BC082" w14:textId="61BDD43B" w:rsidR="0043538E" w:rsidRDefault="000511ED" w:rsidP="00072A93">
      <w:pPr>
        <w:pStyle w:val="Heading3"/>
      </w:pPr>
      <w:bookmarkStart w:id="13" w:name="_Toc222480660"/>
      <w:r>
        <w:t xml:space="preserve">Population </w:t>
      </w:r>
      <w:bookmarkEnd w:id="13"/>
      <w:r w:rsidR="0062137F">
        <w:t>Change</w:t>
      </w:r>
    </w:p>
    <w:p w14:paraId="67325AC3" w14:textId="67A96FF9" w:rsidR="009B4BBB" w:rsidRDefault="004D6A28" w:rsidP="004D6A28">
      <w:pPr>
        <w:jc w:val="both"/>
      </w:pPr>
      <w:r w:rsidRPr="004D6A28">
        <w:t xml:space="preserve">Population trends are a leading indicator of housing demand. </w:t>
      </w:r>
      <w:r w:rsidR="004070F7">
        <w:t>For example, r</w:t>
      </w:r>
      <w:r w:rsidRPr="004D6A28">
        <w:t>apid growth in the 25-to-34 age group</w:t>
      </w:r>
      <w:r w:rsidR="004070F7">
        <w:t xml:space="preserve"> may </w:t>
      </w:r>
      <w:r w:rsidRPr="004D6A28">
        <w:t>signal</w:t>
      </w:r>
      <w:r w:rsidR="004070F7">
        <w:t xml:space="preserve"> </w:t>
      </w:r>
      <w:r w:rsidRPr="004D6A28">
        <w:t xml:space="preserve">rising demand for starter rentals and first-time ownership options, while growth in the 65+ age group </w:t>
      </w:r>
      <w:r w:rsidR="004070F7">
        <w:t xml:space="preserve">could </w:t>
      </w:r>
      <w:r w:rsidRPr="004D6A28">
        <w:t>point toward future need for accessible, age-appropriate, and potentially supported housing.</w:t>
      </w:r>
    </w:p>
    <w:p w14:paraId="4B879A96" w14:textId="77777777" w:rsidR="004D6A28" w:rsidRDefault="004D6A28" w:rsidP="009B4BBB">
      <w:pPr>
        <w:jc w:val="both"/>
      </w:pPr>
    </w:p>
    <w:p w14:paraId="5C009510" w14:textId="328196B1" w:rsidR="002A0AFF" w:rsidRDefault="009B4BBB" w:rsidP="009B4BBB">
      <w:pPr>
        <w:jc w:val="both"/>
      </w:pPr>
      <w:r w:rsidRPr="009B4BBB">
        <w:rPr>
          <w:rStyle w:val="Figure-textChar"/>
        </w:rPr>
        <w:fldChar w:fldCharType="begin"/>
      </w:r>
      <w:r w:rsidRPr="009B4BBB">
        <w:rPr>
          <w:rStyle w:val="Figure-textChar"/>
        </w:rPr>
        <w:instrText xml:space="preserve"> REF _Ref222758146 \h  \* MERGEFORMAT </w:instrText>
      </w:r>
      <w:r w:rsidRPr="009B4BBB">
        <w:rPr>
          <w:rStyle w:val="Figure-textChar"/>
        </w:rPr>
      </w:r>
      <w:r w:rsidRPr="009B4BBB">
        <w:rPr>
          <w:rStyle w:val="Figure-textChar"/>
        </w:rPr>
        <w:fldChar w:fldCharType="separate"/>
      </w:r>
      <w:r w:rsidR="00CA6116" w:rsidRPr="00CA6116">
        <w:rPr>
          <w:rStyle w:val="Figure-textChar"/>
        </w:rPr>
        <w:t>Table 4.1</w:t>
      </w:r>
      <w:r w:rsidRPr="009B4BBB">
        <w:rPr>
          <w:rStyle w:val="Figure-textChar"/>
        </w:rPr>
        <w:fldChar w:fldCharType="end"/>
      </w:r>
      <w:r>
        <w:t xml:space="preserve"> </w:t>
      </w:r>
      <w:r w:rsidR="004D6A28" w:rsidRPr="004D6A28">
        <w:t>provides a snapshot of the current local population and how it has shifted since the most recent Census, alongside a comparison of age distributions across local, regional, and provincial levels to situate the community within a broader demographic context.</w:t>
      </w:r>
    </w:p>
    <w:p w14:paraId="6F2A763A" w14:textId="77777777" w:rsidR="00237706" w:rsidRDefault="00237706" w:rsidP="00075E75"/>
    <w:p w14:paraId="0C010B66" w14:textId="50FBF469" w:rsidR="00C008F9" w:rsidRDefault="00C008F9" w:rsidP="00307770">
      <w:pPr>
        <w:pStyle w:val="Caption"/>
      </w:pPr>
      <w:bookmarkStart w:id="14" w:name="_Ref222758146"/>
      <w:r w:rsidRPr="00307770">
        <w:t xml:space="preserve">Table </w:t>
      </w:r>
      <w:fldSimple w:instr=" STYLEREF 1 \s ">
        <w:r w:rsidR="005E459C">
          <w:rPr>
            <w:noProof/>
          </w:rPr>
          <w:t>4</w:t>
        </w:r>
      </w:fldSimple>
      <w:r w:rsidR="00BD4359">
        <w:t>.</w:t>
      </w:r>
      <w:fldSimple w:instr=" SEQ Table \* ARABIC \s 1 ">
        <w:r w:rsidR="005E459C">
          <w:rPr>
            <w:noProof/>
          </w:rPr>
          <w:t>1</w:t>
        </w:r>
      </w:fldSimple>
      <w:bookmarkEnd w:id="14"/>
      <w:r w:rsidRPr="00307770">
        <w:t xml:space="preserve">: Population estimates by age group (2025) compared to most recent </w:t>
      </w:r>
      <w:r w:rsidR="00307770" w:rsidRPr="00307770">
        <w:t>c</w:t>
      </w:r>
      <w:r w:rsidRPr="00307770">
        <w:t>ensus (2021)</w:t>
      </w:r>
      <w:r w:rsidR="00C41B52">
        <w:t xml:space="preserve"> and comparison of age distribution by geography</w:t>
      </w:r>
    </w:p>
    <w:tbl>
      <w:tblPr>
        <w:tblW w:w="9355" w:type="dxa"/>
        <w:tblLayout w:type="fixed"/>
        <w:tblLook w:val="04A0" w:firstRow="1" w:lastRow="0" w:firstColumn="1" w:lastColumn="0" w:noHBand="0" w:noVBand="1"/>
      </w:tblPr>
      <w:tblGrid>
        <w:gridCol w:w="1320"/>
        <w:gridCol w:w="1004"/>
        <w:gridCol w:w="1004"/>
        <w:gridCol w:w="1005"/>
        <w:gridCol w:w="1004"/>
        <w:gridCol w:w="1004"/>
        <w:gridCol w:w="1005"/>
        <w:gridCol w:w="1004"/>
        <w:gridCol w:w="1005"/>
      </w:tblGrid>
      <w:tr w:rsidR="000C546F" w:rsidRPr="000C546F" w14:paraId="6EB87328" w14:textId="77777777" w:rsidTr="003C59F9">
        <w:trPr>
          <w:trHeight w:val="402"/>
        </w:trPr>
        <w:tc>
          <w:tcPr>
            <w:tcW w:w="132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5C89CB43" w14:textId="77777777" w:rsidR="000C546F" w:rsidRPr="000C546F" w:rsidRDefault="000C546F" w:rsidP="000C546F">
            <w:pPr>
              <w:rPr>
                <w:rFonts w:eastAsia="Times New Roman"/>
                <w:color w:val="FFFFFF"/>
                <w:sz w:val="18"/>
                <w:szCs w:val="18"/>
              </w:rPr>
            </w:pPr>
            <w:r w:rsidRPr="000C546F">
              <w:rPr>
                <w:rFonts w:eastAsia="Times New Roman"/>
                <w:color w:val="FFFFFF"/>
                <w:sz w:val="18"/>
                <w:szCs w:val="18"/>
              </w:rPr>
              <w:t> </w:t>
            </w:r>
          </w:p>
        </w:tc>
        <w:tc>
          <w:tcPr>
            <w:tcW w:w="100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2D47A820"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Total</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109A4D9"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0 to 14</w:t>
            </w:r>
          </w:p>
        </w:tc>
        <w:tc>
          <w:tcPr>
            <w:tcW w:w="100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A05EEC6"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15 to 24</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0A608E2"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25 to 34</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CAF8F9B"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35 to 54</w:t>
            </w:r>
          </w:p>
        </w:tc>
        <w:tc>
          <w:tcPr>
            <w:tcW w:w="100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6250E6B"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55 to 64</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6A6E1EE"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65 to 84</w:t>
            </w:r>
          </w:p>
        </w:tc>
        <w:tc>
          <w:tcPr>
            <w:tcW w:w="1005"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B36571A" w14:textId="77777777" w:rsidR="000C546F" w:rsidRPr="000C546F" w:rsidRDefault="000C546F" w:rsidP="000C546F">
            <w:pPr>
              <w:jc w:val="right"/>
              <w:rPr>
                <w:rFonts w:eastAsia="Times New Roman"/>
                <w:color w:val="FFFFFF"/>
                <w:sz w:val="18"/>
                <w:szCs w:val="18"/>
              </w:rPr>
            </w:pPr>
            <w:r w:rsidRPr="000C546F">
              <w:rPr>
                <w:rFonts w:eastAsia="Times New Roman"/>
                <w:color w:val="FFFFFF"/>
                <w:sz w:val="18"/>
                <w:szCs w:val="18"/>
              </w:rPr>
              <w:t>85+</w:t>
            </w:r>
          </w:p>
        </w:tc>
      </w:tr>
      <w:tr w:rsidR="000C546F" w:rsidRPr="000C546F" w14:paraId="2C0688D6" w14:textId="77777777" w:rsidTr="003C59F9">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3526C955" w14:textId="77777777" w:rsidR="000C546F" w:rsidRPr="000C546F" w:rsidRDefault="000C546F" w:rsidP="000C546F">
            <w:pPr>
              <w:rPr>
                <w:rFonts w:eastAsia="Times New Roman"/>
                <w:color w:val="000000"/>
                <w:sz w:val="18"/>
                <w:szCs w:val="18"/>
              </w:rPr>
            </w:pPr>
            <w:r w:rsidRPr="000C546F">
              <w:rPr>
                <w:rFonts w:eastAsia="Times New Roman"/>
                <w:color w:val="000000"/>
                <w:sz w:val="18"/>
                <w:szCs w:val="18"/>
              </w:rPr>
              <w:t>Local population</w:t>
            </w:r>
          </w:p>
        </w:tc>
      </w:tr>
      <w:tr w:rsidR="00BC01E5" w:rsidRPr="000C546F" w14:paraId="7DDDE635" w14:textId="77777777" w:rsidTr="000C546F">
        <w:trPr>
          <w:trHeight w:val="402"/>
        </w:trPr>
        <w:tc>
          <w:tcPr>
            <w:tcW w:w="1320" w:type="dxa"/>
            <w:tcBorders>
              <w:top w:val="nil"/>
              <w:left w:val="single" w:sz="4" w:space="0" w:color="auto"/>
              <w:bottom w:val="single" w:sz="4" w:space="0" w:color="BFBFBF"/>
              <w:right w:val="single" w:sz="4" w:space="0" w:color="auto"/>
            </w:tcBorders>
            <w:shd w:val="clear" w:color="000000" w:fill="F2F2F2"/>
            <w:noWrap/>
            <w:vAlign w:val="center"/>
            <w:hideMark/>
          </w:tcPr>
          <w:p w14:paraId="11BC541C" w14:textId="77777777" w:rsidR="00BC01E5" w:rsidRPr="000C546F" w:rsidRDefault="00BC01E5" w:rsidP="00BC01E5">
            <w:pPr>
              <w:rPr>
                <w:rFonts w:eastAsia="Times New Roman"/>
                <w:color w:val="0D0D0D"/>
                <w:sz w:val="18"/>
                <w:szCs w:val="18"/>
              </w:rPr>
            </w:pPr>
            <w:r w:rsidRPr="000C546F">
              <w:rPr>
                <w:rFonts w:eastAsia="Times New Roman"/>
                <w:color w:val="0D0D0D"/>
                <w:sz w:val="18"/>
                <w:szCs w:val="18"/>
              </w:rPr>
              <w:t>2025 total</w:t>
            </w:r>
          </w:p>
        </w:tc>
        <w:tc>
          <w:tcPr>
            <w:tcW w:w="1004" w:type="dxa"/>
            <w:tcBorders>
              <w:top w:val="nil"/>
              <w:left w:val="nil"/>
              <w:bottom w:val="single" w:sz="4" w:space="0" w:color="BFBFBF"/>
              <w:right w:val="single" w:sz="4" w:space="0" w:color="auto"/>
            </w:tcBorders>
            <w:shd w:val="clear" w:color="000000" w:fill="F2F2F2"/>
            <w:noWrap/>
            <w:vAlign w:val="center"/>
            <w:hideMark/>
          </w:tcPr>
          <w:p w14:paraId="00F36BE6" w14:textId="263E030F" w:rsidR="00BC01E5" w:rsidRPr="000B22A1" w:rsidRDefault="00BC01E5" w:rsidP="00BC01E5">
            <w:pPr>
              <w:jc w:val="right"/>
              <w:rPr>
                <w:rFonts w:eastAsia="Times New Roman"/>
                <w:color w:val="C00000"/>
                <w:sz w:val="18"/>
                <w:szCs w:val="18"/>
              </w:rPr>
            </w:pPr>
            <w:r w:rsidRPr="000B22A1">
              <w:rPr>
                <w:color w:val="C00000"/>
                <w:sz w:val="18"/>
                <w:szCs w:val="18"/>
              </w:rPr>
              <w:t>48,120</w:t>
            </w:r>
          </w:p>
        </w:tc>
        <w:tc>
          <w:tcPr>
            <w:tcW w:w="1004" w:type="dxa"/>
            <w:tcBorders>
              <w:top w:val="nil"/>
              <w:left w:val="nil"/>
              <w:bottom w:val="single" w:sz="4" w:space="0" w:color="BFBFBF"/>
              <w:right w:val="single" w:sz="4" w:space="0" w:color="BFBFBF"/>
            </w:tcBorders>
            <w:shd w:val="clear" w:color="000000" w:fill="F2F2F2"/>
            <w:noWrap/>
            <w:vAlign w:val="center"/>
            <w:hideMark/>
          </w:tcPr>
          <w:p w14:paraId="157F131A" w14:textId="36CA343B" w:rsidR="00BC01E5" w:rsidRPr="000B22A1" w:rsidRDefault="00BC01E5" w:rsidP="00BC01E5">
            <w:pPr>
              <w:jc w:val="right"/>
              <w:rPr>
                <w:rFonts w:eastAsia="Times New Roman"/>
                <w:color w:val="C00000"/>
                <w:sz w:val="18"/>
                <w:szCs w:val="18"/>
              </w:rPr>
            </w:pPr>
            <w:r w:rsidRPr="000B22A1">
              <w:rPr>
                <w:color w:val="C00000"/>
                <w:sz w:val="18"/>
                <w:szCs w:val="18"/>
              </w:rPr>
              <w:t>5,500</w:t>
            </w:r>
          </w:p>
        </w:tc>
        <w:tc>
          <w:tcPr>
            <w:tcW w:w="1005" w:type="dxa"/>
            <w:tcBorders>
              <w:top w:val="nil"/>
              <w:left w:val="nil"/>
              <w:bottom w:val="single" w:sz="4" w:space="0" w:color="BFBFBF"/>
              <w:right w:val="single" w:sz="4" w:space="0" w:color="BFBFBF"/>
            </w:tcBorders>
            <w:shd w:val="clear" w:color="000000" w:fill="F2F2F2"/>
            <w:noWrap/>
            <w:vAlign w:val="center"/>
            <w:hideMark/>
          </w:tcPr>
          <w:p w14:paraId="470C76EE" w14:textId="4342F1A7" w:rsidR="00BC01E5" w:rsidRPr="000B22A1" w:rsidRDefault="00BC01E5" w:rsidP="00BC01E5">
            <w:pPr>
              <w:jc w:val="right"/>
              <w:rPr>
                <w:rFonts w:eastAsia="Times New Roman"/>
                <w:color w:val="C00000"/>
                <w:sz w:val="18"/>
                <w:szCs w:val="18"/>
              </w:rPr>
            </w:pPr>
            <w:r w:rsidRPr="000B22A1">
              <w:rPr>
                <w:color w:val="C00000"/>
                <w:sz w:val="18"/>
                <w:szCs w:val="18"/>
              </w:rPr>
              <w:t>8,440</w:t>
            </w:r>
          </w:p>
        </w:tc>
        <w:tc>
          <w:tcPr>
            <w:tcW w:w="1004" w:type="dxa"/>
            <w:tcBorders>
              <w:top w:val="nil"/>
              <w:left w:val="nil"/>
              <w:bottom w:val="single" w:sz="4" w:space="0" w:color="BFBFBF"/>
              <w:right w:val="single" w:sz="4" w:space="0" w:color="BFBFBF"/>
            </w:tcBorders>
            <w:shd w:val="clear" w:color="000000" w:fill="F2F2F2"/>
            <w:noWrap/>
            <w:vAlign w:val="center"/>
            <w:hideMark/>
          </w:tcPr>
          <w:p w14:paraId="443B6D6D" w14:textId="23371389" w:rsidR="00BC01E5" w:rsidRPr="000B22A1" w:rsidRDefault="00BC01E5" w:rsidP="00BC01E5">
            <w:pPr>
              <w:jc w:val="right"/>
              <w:rPr>
                <w:rFonts w:eastAsia="Times New Roman"/>
                <w:color w:val="C00000"/>
                <w:sz w:val="18"/>
                <w:szCs w:val="18"/>
              </w:rPr>
            </w:pPr>
            <w:r w:rsidRPr="000B22A1">
              <w:rPr>
                <w:color w:val="C00000"/>
                <w:sz w:val="18"/>
                <w:szCs w:val="18"/>
              </w:rPr>
              <w:t>8,880</w:t>
            </w:r>
          </w:p>
        </w:tc>
        <w:tc>
          <w:tcPr>
            <w:tcW w:w="1004" w:type="dxa"/>
            <w:tcBorders>
              <w:top w:val="nil"/>
              <w:left w:val="nil"/>
              <w:bottom w:val="single" w:sz="4" w:space="0" w:color="BFBFBF"/>
              <w:right w:val="single" w:sz="4" w:space="0" w:color="BFBFBF"/>
            </w:tcBorders>
            <w:shd w:val="clear" w:color="000000" w:fill="F2F2F2"/>
            <w:noWrap/>
            <w:vAlign w:val="center"/>
            <w:hideMark/>
          </w:tcPr>
          <w:p w14:paraId="36E1D267" w14:textId="65686BEE" w:rsidR="00BC01E5" w:rsidRPr="000B22A1" w:rsidRDefault="00BC01E5" w:rsidP="00BC01E5">
            <w:pPr>
              <w:jc w:val="right"/>
              <w:rPr>
                <w:rFonts w:eastAsia="Times New Roman"/>
                <w:color w:val="C00000"/>
                <w:sz w:val="18"/>
                <w:szCs w:val="18"/>
              </w:rPr>
            </w:pPr>
            <w:r w:rsidRPr="000B22A1">
              <w:rPr>
                <w:color w:val="C00000"/>
                <w:sz w:val="18"/>
                <w:szCs w:val="18"/>
              </w:rPr>
              <w:t>10,800</w:t>
            </w:r>
          </w:p>
        </w:tc>
        <w:tc>
          <w:tcPr>
            <w:tcW w:w="1005" w:type="dxa"/>
            <w:tcBorders>
              <w:top w:val="nil"/>
              <w:left w:val="nil"/>
              <w:bottom w:val="single" w:sz="4" w:space="0" w:color="BFBFBF"/>
              <w:right w:val="single" w:sz="4" w:space="0" w:color="BFBFBF"/>
            </w:tcBorders>
            <w:shd w:val="clear" w:color="000000" w:fill="F2F2F2"/>
            <w:noWrap/>
            <w:vAlign w:val="center"/>
            <w:hideMark/>
          </w:tcPr>
          <w:p w14:paraId="1051912A" w14:textId="3DBAEB12" w:rsidR="00BC01E5" w:rsidRPr="000B22A1" w:rsidRDefault="00BC01E5" w:rsidP="00BC01E5">
            <w:pPr>
              <w:jc w:val="right"/>
              <w:rPr>
                <w:rFonts w:eastAsia="Times New Roman"/>
                <w:color w:val="C00000"/>
                <w:sz w:val="18"/>
                <w:szCs w:val="18"/>
              </w:rPr>
            </w:pPr>
            <w:r w:rsidRPr="000B22A1">
              <w:rPr>
                <w:color w:val="C00000"/>
                <w:sz w:val="18"/>
                <w:szCs w:val="18"/>
              </w:rPr>
              <w:t>4,925</w:t>
            </w:r>
          </w:p>
        </w:tc>
        <w:tc>
          <w:tcPr>
            <w:tcW w:w="1004" w:type="dxa"/>
            <w:tcBorders>
              <w:top w:val="nil"/>
              <w:left w:val="nil"/>
              <w:bottom w:val="single" w:sz="4" w:space="0" w:color="BFBFBF"/>
              <w:right w:val="single" w:sz="4" w:space="0" w:color="BFBFBF"/>
            </w:tcBorders>
            <w:shd w:val="clear" w:color="000000" w:fill="F2F2F2"/>
            <w:noWrap/>
            <w:vAlign w:val="center"/>
            <w:hideMark/>
          </w:tcPr>
          <w:p w14:paraId="243AA046" w14:textId="0B773227" w:rsidR="00BC01E5" w:rsidRPr="000B22A1" w:rsidRDefault="00BC01E5" w:rsidP="00BC01E5">
            <w:pPr>
              <w:jc w:val="right"/>
              <w:rPr>
                <w:rFonts w:eastAsia="Times New Roman"/>
                <w:color w:val="C00000"/>
                <w:sz w:val="18"/>
                <w:szCs w:val="18"/>
              </w:rPr>
            </w:pPr>
            <w:r w:rsidRPr="000B22A1">
              <w:rPr>
                <w:color w:val="C00000"/>
                <w:sz w:val="18"/>
                <w:szCs w:val="18"/>
              </w:rPr>
              <w:t>8,210</w:t>
            </w:r>
          </w:p>
        </w:tc>
        <w:tc>
          <w:tcPr>
            <w:tcW w:w="1005" w:type="dxa"/>
            <w:tcBorders>
              <w:top w:val="nil"/>
              <w:left w:val="nil"/>
              <w:bottom w:val="single" w:sz="4" w:space="0" w:color="BFBFBF"/>
              <w:right w:val="single" w:sz="4" w:space="0" w:color="auto"/>
            </w:tcBorders>
            <w:shd w:val="clear" w:color="000000" w:fill="F2F2F2"/>
            <w:noWrap/>
            <w:vAlign w:val="center"/>
            <w:hideMark/>
          </w:tcPr>
          <w:p w14:paraId="782350C1" w14:textId="032368AA" w:rsidR="00BC01E5" w:rsidRPr="000B22A1" w:rsidRDefault="00BC01E5" w:rsidP="00BC01E5">
            <w:pPr>
              <w:jc w:val="right"/>
              <w:rPr>
                <w:rFonts w:eastAsia="Times New Roman"/>
                <w:color w:val="C00000"/>
                <w:sz w:val="18"/>
                <w:szCs w:val="18"/>
              </w:rPr>
            </w:pPr>
            <w:r w:rsidRPr="000B22A1">
              <w:rPr>
                <w:color w:val="C00000"/>
                <w:sz w:val="18"/>
                <w:szCs w:val="18"/>
              </w:rPr>
              <w:t>1,365</w:t>
            </w:r>
          </w:p>
        </w:tc>
      </w:tr>
      <w:tr w:rsidR="00BC01E5" w:rsidRPr="000C546F" w14:paraId="567A000B" w14:textId="77777777" w:rsidTr="000C546F">
        <w:trPr>
          <w:trHeight w:val="402"/>
        </w:trPr>
        <w:tc>
          <w:tcPr>
            <w:tcW w:w="1320" w:type="dxa"/>
            <w:tcBorders>
              <w:top w:val="nil"/>
              <w:left w:val="single" w:sz="4" w:space="0" w:color="auto"/>
              <w:bottom w:val="single" w:sz="4" w:space="0" w:color="auto"/>
              <w:right w:val="single" w:sz="4" w:space="0" w:color="auto"/>
            </w:tcBorders>
            <w:shd w:val="clear" w:color="000000" w:fill="FFFFFF"/>
            <w:vAlign w:val="center"/>
            <w:hideMark/>
          </w:tcPr>
          <w:p w14:paraId="44D58740" w14:textId="77777777" w:rsidR="00BC01E5" w:rsidRPr="000C546F" w:rsidRDefault="00BC01E5" w:rsidP="00BC01E5">
            <w:pPr>
              <w:rPr>
                <w:rFonts w:eastAsia="Times New Roman"/>
                <w:color w:val="0D0D0D"/>
                <w:sz w:val="18"/>
                <w:szCs w:val="18"/>
              </w:rPr>
            </w:pPr>
            <w:r w:rsidRPr="000C546F">
              <w:rPr>
                <w:rFonts w:eastAsia="Times New Roman"/>
                <w:color w:val="0D0D0D"/>
                <w:sz w:val="18"/>
                <w:szCs w:val="18"/>
              </w:rPr>
              <w:t>Since 2021</w:t>
            </w:r>
          </w:p>
        </w:tc>
        <w:tc>
          <w:tcPr>
            <w:tcW w:w="1004" w:type="dxa"/>
            <w:tcBorders>
              <w:top w:val="nil"/>
              <w:left w:val="nil"/>
              <w:bottom w:val="single" w:sz="4" w:space="0" w:color="auto"/>
              <w:right w:val="single" w:sz="4" w:space="0" w:color="auto"/>
            </w:tcBorders>
            <w:shd w:val="clear" w:color="000000" w:fill="FFFFFF"/>
            <w:noWrap/>
            <w:vAlign w:val="center"/>
            <w:hideMark/>
          </w:tcPr>
          <w:p w14:paraId="4EB26FCD" w14:textId="55EEC831" w:rsidR="00BC01E5" w:rsidRPr="000B22A1" w:rsidRDefault="00BC01E5" w:rsidP="00BC01E5">
            <w:pPr>
              <w:jc w:val="right"/>
              <w:rPr>
                <w:rFonts w:eastAsia="Times New Roman"/>
                <w:color w:val="C00000"/>
                <w:sz w:val="18"/>
                <w:szCs w:val="18"/>
              </w:rPr>
            </w:pPr>
            <w:r w:rsidRPr="000B22A1">
              <w:rPr>
                <w:color w:val="C00000"/>
                <w:sz w:val="18"/>
                <w:szCs w:val="18"/>
              </w:rPr>
              <w:t>+17%</w:t>
            </w:r>
          </w:p>
        </w:tc>
        <w:tc>
          <w:tcPr>
            <w:tcW w:w="1004" w:type="dxa"/>
            <w:tcBorders>
              <w:top w:val="nil"/>
              <w:left w:val="nil"/>
              <w:bottom w:val="single" w:sz="4" w:space="0" w:color="auto"/>
              <w:right w:val="single" w:sz="4" w:space="0" w:color="BFBFBF"/>
            </w:tcBorders>
            <w:shd w:val="clear" w:color="000000" w:fill="FFFFFF"/>
            <w:noWrap/>
            <w:vAlign w:val="center"/>
            <w:hideMark/>
          </w:tcPr>
          <w:p w14:paraId="2E77E53D" w14:textId="6EFD3193" w:rsidR="00BC01E5" w:rsidRPr="000B22A1" w:rsidRDefault="00BC01E5" w:rsidP="00BC01E5">
            <w:pPr>
              <w:jc w:val="right"/>
              <w:rPr>
                <w:rFonts w:eastAsia="Times New Roman"/>
                <w:color w:val="C00000"/>
                <w:sz w:val="18"/>
                <w:szCs w:val="18"/>
              </w:rPr>
            </w:pPr>
            <w:r w:rsidRPr="000B22A1">
              <w:rPr>
                <w:color w:val="C00000"/>
                <w:sz w:val="18"/>
                <w:szCs w:val="18"/>
              </w:rPr>
              <w:t>+1%</w:t>
            </w:r>
          </w:p>
        </w:tc>
        <w:tc>
          <w:tcPr>
            <w:tcW w:w="1005" w:type="dxa"/>
            <w:tcBorders>
              <w:top w:val="nil"/>
              <w:left w:val="nil"/>
              <w:bottom w:val="single" w:sz="4" w:space="0" w:color="auto"/>
              <w:right w:val="single" w:sz="4" w:space="0" w:color="BFBFBF"/>
            </w:tcBorders>
            <w:shd w:val="clear" w:color="000000" w:fill="FFFFFF"/>
            <w:noWrap/>
            <w:vAlign w:val="center"/>
            <w:hideMark/>
          </w:tcPr>
          <w:p w14:paraId="48A21FDD" w14:textId="47C6B3C0" w:rsidR="00BC01E5" w:rsidRPr="000B22A1" w:rsidRDefault="00BC01E5" w:rsidP="00BC01E5">
            <w:pPr>
              <w:jc w:val="right"/>
              <w:rPr>
                <w:rFonts w:eastAsia="Times New Roman"/>
                <w:color w:val="C00000"/>
                <w:sz w:val="18"/>
                <w:szCs w:val="18"/>
              </w:rPr>
            </w:pPr>
            <w:r w:rsidRPr="000B22A1">
              <w:rPr>
                <w:color w:val="C00000"/>
                <w:sz w:val="18"/>
                <w:szCs w:val="18"/>
              </w:rPr>
              <w:t>+29%</w:t>
            </w:r>
          </w:p>
        </w:tc>
        <w:tc>
          <w:tcPr>
            <w:tcW w:w="1004" w:type="dxa"/>
            <w:tcBorders>
              <w:top w:val="nil"/>
              <w:left w:val="nil"/>
              <w:bottom w:val="single" w:sz="4" w:space="0" w:color="auto"/>
              <w:right w:val="single" w:sz="4" w:space="0" w:color="BFBFBF"/>
            </w:tcBorders>
            <w:shd w:val="clear" w:color="000000" w:fill="FFFFFF"/>
            <w:noWrap/>
            <w:vAlign w:val="center"/>
            <w:hideMark/>
          </w:tcPr>
          <w:p w14:paraId="0EAD3ECD" w14:textId="3FFA838F" w:rsidR="00BC01E5" w:rsidRPr="000B22A1" w:rsidRDefault="00BC01E5" w:rsidP="00BC01E5">
            <w:pPr>
              <w:jc w:val="right"/>
              <w:rPr>
                <w:rFonts w:eastAsia="Times New Roman"/>
                <w:color w:val="C00000"/>
                <w:sz w:val="18"/>
                <w:szCs w:val="18"/>
              </w:rPr>
            </w:pPr>
            <w:r w:rsidRPr="000B22A1">
              <w:rPr>
                <w:color w:val="C00000"/>
                <w:sz w:val="18"/>
                <w:szCs w:val="18"/>
              </w:rPr>
              <w:t>+52%</w:t>
            </w:r>
          </w:p>
        </w:tc>
        <w:tc>
          <w:tcPr>
            <w:tcW w:w="1004" w:type="dxa"/>
            <w:tcBorders>
              <w:top w:val="nil"/>
              <w:left w:val="nil"/>
              <w:bottom w:val="single" w:sz="4" w:space="0" w:color="auto"/>
              <w:right w:val="single" w:sz="4" w:space="0" w:color="BFBFBF"/>
            </w:tcBorders>
            <w:shd w:val="clear" w:color="000000" w:fill="FFFFFF"/>
            <w:noWrap/>
            <w:vAlign w:val="center"/>
            <w:hideMark/>
          </w:tcPr>
          <w:p w14:paraId="274EE5F6" w14:textId="77154E1F" w:rsidR="00BC01E5" w:rsidRPr="000B22A1" w:rsidRDefault="00BC01E5" w:rsidP="00BC01E5">
            <w:pPr>
              <w:jc w:val="right"/>
              <w:rPr>
                <w:rFonts w:eastAsia="Times New Roman"/>
                <w:color w:val="C00000"/>
                <w:sz w:val="18"/>
                <w:szCs w:val="18"/>
              </w:rPr>
            </w:pPr>
            <w:r w:rsidRPr="000B22A1">
              <w:rPr>
                <w:color w:val="C00000"/>
                <w:sz w:val="18"/>
                <w:szCs w:val="18"/>
              </w:rPr>
              <w:t>+14%</w:t>
            </w:r>
          </w:p>
        </w:tc>
        <w:tc>
          <w:tcPr>
            <w:tcW w:w="1005" w:type="dxa"/>
            <w:tcBorders>
              <w:top w:val="nil"/>
              <w:left w:val="nil"/>
              <w:bottom w:val="single" w:sz="4" w:space="0" w:color="auto"/>
              <w:right w:val="single" w:sz="4" w:space="0" w:color="BFBFBF"/>
            </w:tcBorders>
            <w:shd w:val="clear" w:color="000000" w:fill="FFFFFF"/>
            <w:noWrap/>
            <w:vAlign w:val="center"/>
            <w:hideMark/>
          </w:tcPr>
          <w:p w14:paraId="18D8DDA5" w14:textId="7C4D0ADA" w:rsidR="00BC01E5" w:rsidRPr="000B22A1" w:rsidRDefault="00BC01E5" w:rsidP="00BC01E5">
            <w:pPr>
              <w:jc w:val="right"/>
              <w:rPr>
                <w:rFonts w:eastAsia="Times New Roman"/>
                <w:color w:val="C00000"/>
                <w:sz w:val="18"/>
                <w:szCs w:val="18"/>
              </w:rPr>
            </w:pPr>
            <w:r w:rsidRPr="000B22A1">
              <w:rPr>
                <w:color w:val="C00000"/>
                <w:sz w:val="18"/>
                <w:szCs w:val="18"/>
              </w:rPr>
              <w:t>-4%</w:t>
            </w:r>
          </w:p>
        </w:tc>
        <w:tc>
          <w:tcPr>
            <w:tcW w:w="1004" w:type="dxa"/>
            <w:tcBorders>
              <w:top w:val="nil"/>
              <w:left w:val="nil"/>
              <w:bottom w:val="single" w:sz="4" w:space="0" w:color="auto"/>
              <w:right w:val="single" w:sz="4" w:space="0" w:color="BFBFBF"/>
            </w:tcBorders>
            <w:shd w:val="clear" w:color="000000" w:fill="FFFFFF"/>
            <w:noWrap/>
            <w:vAlign w:val="center"/>
            <w:hideMark/>
          </w:tcPr>
          <w:p w14:paraId="52BBBD29" w14:textId="308F7841" w:rsidR="00BC01E5" w:rsidRPr="000B22A1" w:rsidRDefault="00BC01E5" w:rsidP="00BC01E5">
            <w:pPr>
              <w:jc w:val="right"/>
              <w:rPr>
                <w:rFonts w:eastAsia="Times New Roman"/>
                <w:color w:val="C00000"/>
                <w:sz w:val="18"/>
                <w:szCs w:val="18"/>
              </w:rPr>
            </w:pPr>
            <w:r w:rsidRPr="000B22A1">
              <w:rPr>
                <w:color w:val="C00000"/>
                <w:sz w:val="18"/>
                <w:szCs w:val="18"/>
              </w:rPr>
              <w:t>+12%</w:t>
            </w:r>
          </w:p>
        </w:tc>
        <w:tc>
          <w:tcPr>
            <w:tcW w:w="1005" w:type="dxa"/>
            <w:tcBorders>
              <w:top w:val="nil"/>
              <w:left w:val="nil"/>
              <w:bottom w:val="single" w:sz="4" w:space="0" w:color="auto"/>
              <w:right w:val="single" w:sz="4" w:space="0" w:color="auto"/>
            </w:tcBorders>
            <w:shd w:val="clear" w:color="000000" w:fill="FFFFFF"/>
            <w:noWrap/>
            <w:vAlign w:val="center"/>
            <w:hideMark/>
          </w:tcPr>
          <w:p w14:paraId="0754ACE8" w14:textId="5F87777E" w:rsidR="00BC01E5" w:rsidRPr="000B22A1" w:rsidRDefault="00BC01E5" w:rsidP="00BC01E5">
            <w:pPr>
              <w:jc w:val="right"/>
              <w:rPr>
                <w:rFonts w:eastAsia="Times New Roman"/>
                <w:color w:val="C00000"/>
                <w:sz w:val="18"/>
                <w:szCs w:val="18"/>
              </w:rPr>
            </w:pPr>
            <w:r w:rsidRPr="000B22A1">
              <w:rPr>
                <w:color w:val="C00000"/>
                <w:sz w:val="18"/>
                <w:szCs w:val="18"/>
              </w:rPr>
              <w:t>+6%</w:t>
            </w:r>
          </w:p>
        </w:tc>
      </w:tr>
      <w:tr w:rsidR="000C546F" w:rsidRPr="000C546F" w14:paraId="11650044" w14:textId="77777777" w:rsidTr="003C59F9">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216095F1" w14:textId="77777777" w:rsidR="000C546F" w:rsidRPr="000C546F" w:rsidRDefault="000C546F" w:rsidP="000C546F">
            <w:pPr>
              <w:rPr>
                <w:rFonts w:eastAsia="Times New Roman"/>
                <w:color w:val="000000"/>
                <w:sz w:val="18"/>
                <w:szCs w:val="18"/>
              </w:rPr>
            </w:pPr>
            <w:r w:rsidRPr="000C546F">
              <w:rPr>
                <w:rFonts w:eastAsia="Times New Roman"/>
                <w:color w:val="000000"/>
                <w:sz w:val="18"/>
                <w:szCs w:val="18"/>
              </w:rPr>
              <w:t>Age distribution comparison to higher geographies</w:t>
            </w:r>
          </w:p>
        </w:tc>
      </w:tr>
      <w:tr w:rsidR="000C546F" w:rsidRPr="000C546F" w14:paraId="691AF0CC" w14:textId="77777777" w:rsidTr="000C546F">
        <w:trPr>
          <w:trHeight w:val="402"/>
        </w:trPr>
        <w:tc>
          <w:tcPr>
            <w:tcW w:w="1320" w:type="dxa"/>
            <w:tcBorders>
              <w:top w:val="nil"/>
              <w:left w:val="single" w:sz="4" w:space="0" w:color="auto"/>
              <w:bottom w:val="single" w:sz="4" w:space="0" w:color="BFBFBF"/>
              <w:right w:val="single" w:sz="4" w:space="0" w:color="auto"/>
            </w:tcBorders>
            <w:shd w:val="clear" w:color="000000" w:fill="F2F2F2"/>
            <w:noWrap/>
            <w:vAlign w:val="center"/>
            <w:hideMark/>
          </w:tcPr>
          <w:p w14:paraId="6AC7EFA4" w14:textId="3860E472" w:rsidR="000C546F" w:rsidRPr="000C546F" w:rsidRDefault="0021601B" w:rsidP="000C546F">
            <w:pPr>
              <w:rPr>
                <w:rFonts w:eastAsia="Times New Roman"/>
                <w:color w:val="0D0D0D"/>
                <w:sz w:val="18"/>
                <w:szCs w:val="18"/>
              </w:rPr>
            </w:pPr>
            <w:r>
              <w:rPr>
                <w:rFonts w:eastAsia="Times New Roman"/>
                <w:color w:val="0D0D0D"/>
                <w:sz w:val="18"/>
                <w:szCs w:val="18"/>
              </w:rPr>
              <w:t>Local</w:t>
            </w:r>
          </w:p>
        </w:tc>
        <w:tc>
          <w:tcPr>
            <w:tcW w:w="1004" w:type="dxa"/>
            <w:tcBorders>
              <w:top w:val="nil"/>
              <w:left w:val="nil"/>
              <w:bottom w:val="single" w:sz="4" w:space="0" w:color="BFBFBF"/>
              <w:right w:val="single" w:sz="4" w:space="0" w:color="auto"/>
            </w:tcBorders>
            <w:shd w:val="clear" w:color="000000" w:fill="F2F2F2"/>
            <w:noWrap/>
            <w:vAlign w:val="center"/>
            <w:hideMark/>
          </w:tcPr>
          <w:p w14:paraId="13415699" w14:textId="77777777" w:rsidR="000C546F" w:rsidRPr="000C546F" w:rsidRDefault="000C546F" w:rsidP="000C546F">
            <w:pPr>
              <w:jc w:val="right"/>
              <w:rPr>
                <w:rFonts w:eastAsia="Times New Roman"/>
                <w:color w:val="0D0D0D"/>
                <w:sz w:val="18"/>
                <w:szCs w:val="18"/>
              </w:rPr>
            </w:pPr>
            <w:r w:rsidRPr="000C546F">
              <w:rPr>
                <w:rFonts w:eastAsia="Times New Roman"/>
                <w:color w:val="0D0D0D"/>
                <w:sz w:val="18"/>
                <w:szCs w:val="18"/>
              </w:rPr>
              <w:t>100%</w:t>
            </w:r>
          </w:p>
        </w:tc>
        <w:tc>
          <w:tcPr>
            <w:tcW w:w="1004" w:type="dxa"/>
            <w:tcBorders>
              <w:top w:val="nil"/>
              <w:left w:val="nil"/>
              <w:bottom w:val="single" w:sz="4" w:space="0" w:color="BFBFBF"/>
              <w:right w:val="single" w:sz="4" w:space="0" w:color="BFBFBF"/>
            </w:tcBorders>
            <w:shd w:val="clear" w:color="000000" w:fill="F2F2F2"/>
            <w:noWrap/>
            <w:vAlign w:val="center"/>
            <w:hideMark/>
          </w:tcPr>
          <w:p w14:paraId="4CA3F456"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11%</w:t>
            </w:r>
          </w:p>
        </w:tc>
        <w:tc>
          <w:tcPr>
            <w:tcW w:w="1005" w:type="dxa"/>
            <w:tcBorders>
              <w:top w:val="nil"/>
              <w:left w:val="nil"/>
              <w:bottom w:val="single" w:sz="4" w:space="0" w:color="BFBFBF"/>
              <w:right w:val="single" w:sz="4" w:space="0" w:color="BFBFBF"/>
            </w:tcBorders>
            <w:shd w:val="clear" w:color="000000" w:fill="F2F2F2"/>
            <w:noWrap/>
            <w:vAlign w:val="center"/>
            <w:hideMark/>
          </w:tcPr>
          <w:p w14:paraId="48E16F64"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18%</w:t>
            </w:r>
          </w:p>
        </w:tc>
        <w:tc>
          <w:tcPr>
            <w:tcW w:w="1004" w:type="dxa"/>
            <w:tcBorders>
              <w:top w:val="nil"/>
              <w:left w:val="nil"/>
              <w:bottom w:val="single" w:sz="4" w:space="0" w:color="BFBFBF"/>
              <w:right w:val="single" w:sz="4" w:space="0" w:color="BFBFBF"/>
            </w:tcBorders>
            <w:shd w:val="clear" w:color="000000" w:fill="F2F2F2"/>
            <w:noWrap/>
            <w:vAlign w:val="center"/>
            <w:hideMark/>
          </w:tcPr>
          <w:p w14:paraId="0B7B3B9A"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18%</w:t>
            </w:r>
          </w:p>
        </w:tc>
        <w:tc>
          <w:tcPr>
            <w:tcW w:w="1004" w:type="dxa"/>
            <w:tcBorders>
              <w:top w:val="nil"/>
              <w:left w:val="nil"/>
              <w:bottom w:val="single" w:sz="4" w:space="0" w:color="BFBFBF"/>
              <w:right w:val="single" w:sz="4" w:space="0" w:color="BFBFBF"/>
            </w:tcBorders>
            <w:shd w:val="clear" w:color="000000" w:fill="F2F2F2"/>
            <w:noWrap/>
            <w:vAlign w:val="center"/>
            <w:hideMark/>
          </w:tcPr>
          <w:p w14:paraId="11AA487B"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22%</w:t>
            </w:r>
          </w:p>
        </w:tc>
        <w:tc>
          <w:tcPr>
            <w:tcW w:w="1005" w:type="dxa"/>
            <w:tcBorders>
              <w:top w:val="nil"/>
              <w:left w:val="nil"/>
              <w:bottom w:val="single" w:sz="4" w:space="0" w:color="BFBFBF"/>
              <w:right w:val="single" w:sz="4" w:space="0" w:color="BFBFBF"/>
            </w:tcBorders>
            <w:shd w:val="clear" w:color="000000" w:fill="F2F2F2"/>
            <w:noWrap/>
            <w:vAlign w:val="center"/>
            <w:hideMark/>
          </w:tcPr>
          <w:p w14:paraId="4CAB5FBD"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10%</w:t>
            </w:r>
          </w:p>
        </w:tc>
        <w:tc>
          <w:tcPr>
            <w:tcW w:w="1004" w:type="dxa"/>
            <w:tcBorders>
              <w:top w:val="nil"/>
              <w:left w:val="nil"/>
              <w:bottom w:val="single" w:sz="4" w:space="0" w:color="BFBFBF"/>
              <w:right w:val="single" w:sz="4" w:space="0" w:color="BFBFBF"/>
            </w:tcBorders>
            <w:shd w:val="clear" w:color="000000" w:fill="F2F2F2"/>
            <w:noWrap/>
            <w:vAlign w:val="center"/>
            <w:hideMark/>
          </w:tcPr>
          <w:p w14:paraId="6584B352"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17%</w:t>
            </w:r>
          </w:p>
        </w:tc>
        <w:tc>
          <w:tcPr>
            <w:tcW w:w="1005" w:type="dxa"/>
            <w:tcBorders>
              <w:top w:val="nil"/>
              <w:left w:val="nil"/>
              <w:bottom w:val="single" w:sz="4" w:space="0" w:color="BFBFBF"/>
              <w:right w:val="single" w:sz="4" w:space="0" w:color="auto"/>
            </w:tcBorders>
            <w:shd w:val="clear" w:color="000000" w:fill="F2F2F2"/>
            <w:noWrap/>
            <w:vAlign w:val="center"/>
            <w:hideMark/>
          </w:tcPr>
          <w:p w14:paraId="2EE02C94"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3%</w:t>
            </w:r>
          </w:p>
        </w:tc>
      </w:tr>
      <w:tr w:rsidR="000C546F" w:rsidRPr="000C546F" w14:paraId="1ED3A1F2" w14:textId="77777777" w:rsidTr="000C546F">
        <w:trPr>
          <w:trHeight w:val="402"/>
        </w:trPr>
        <w:tc>
          <w:tcPr>
            <w:tcW w:w="1320" w:type="dxa"/>
            <w:tcBorders>
              <w:top w:val="nil"/>
              <w:left w:val="single" w:sz="4" w:space="0" w:color="auto"/>
              <w:bottom w:val="single" w:sz="4" w:space="0" w:color="BFBFBF"/>
              <w:right w:val="single" w:sz="4" w:space="0" w:color="auto"/>
            </w:tcBorders>
            <w:shd w:val="clear" w:color="000000" w:fill="FFFFFF"/>
            <w:noWrap/>
            <w:vAlign w:val="center"/>
            <w:hideMark/>
          </w:tcPr>
          <w:p w14:paraId="4994A371" w14:textId="77777777" w:rsidR="000C546F" w:rsidRPr="000C546F" w:rsidRDefault="000C546F" w:rsidP="000C546F">
            <w:pPr>
              <w:rPr>
                <w:rFonts w:eastAsia="Times New Roman"/>
                <w:color w:val="0D0D0D"/>
                <w:sz w:val="18"/>
                <w:szCs w:val="18"/>
              </w:rPr>
            </w:pPr>
            <w:r w:rsidRPr="000C546F">
              <w:rPr>
                <w:rFonts w:eastAsia="Times New Roman"/>
                <w:color w:val="0D0D0D"/>
                <w:sz w:val="18"/>
                <w:szCs w:val="18"/>
              </w:rPr>
              <w:t>Region</w:t>
            </w:r>
          </w:p>
        </w:tc>
        <w:tc>
          <w:tcPr>
            <w:tcW w:w="1004" w:type="dxa"/>
            <w:tcBorders>
              <w:top w:val="nil"/>
              <w:left w:val="nil"/>
              <w:bottom w:val="single" w:sz="4" w:space="0" w:color="BFBFBF"/>
              <w:right w:val="single" w:sz="4" w:space="0" w:color="auto"/>
            </w:tcBorders>
            <w:shd w:val="clear" w:color="000000" w:fill="FFFFFF"/>
            <w:noWrap/>
            <w:vAlign w:val="center"/>
            <w:hideMark/>
          </w:tcPr>
          <w:p w14:paraId="664EFE04" w14:textId="77777777" w:rsidR="000C546F" w:rsidRPr="000C546F" w:rsidRDefault="000C546F" w:rsidP="000C546F">
            <w:pPr>
              <w:jc w:val="right"/>
              <w:rPr>
                <w:rFonts w:eastAsia="Times New Roman"/>
                <w:color w:val="0D0D0D"/>
                <w:sz w:val="18"/>
                <w:szCs w:val="18"/>
              </w:rPr>
            </w:pPr>
            <w:r w:rsidRPr="000C546F">
              <w:rPr>
                <w:rFonts w:eastAsia="Times New Roman"/>
                <w:color w:val="0D0D0D"/>
                <w:sz w:val="18"/>
                <w:szCs w:val="18"/>
              </w:rPr>
              <w:t>100%</w:t>
            </w:r>
          </w:p>
        </w:tc>
        <w:tc>
          <w:tcPr>
            <w:tcW w:w="1004" w:type="dxa"/>
            <w:tcBorders>
              <w:top w:val="nil"/>
              <w:left w:val="nil"/>
              <w:bottom w:val="single" w:sz="4" w:space="0" w:color="BFBFBF"/>
              <w:right w:val="single" w:sz="4" w:space="0" w:color="BFBFBF"/>
            </w:tcBorders>
            <w:shd w:val="clear" w:color="000000" w:fill="FFFFFF"/>
            <w:noWrap/>
            <w:vAlign w:val="center"/>
            <w:hideMark/>
          </w:tcPr>
          <w:p w14:paraId="7F73C2BB"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14%</w:t>
            </w:r>
          </w:p>
        </w:tc>
        <w:tc>
          <w:tcPr>
            <w:tcW w:w="1005" w:type="dxa"/>
            <w:tcBorders>
              <w:top w:val="nil"/>
              <w:left w:val="nil"/>
              <w:bottom w:val="single" w:sz="4" w:space="0" w:color="BFBFBF"/>
              <w:right w:val="single" w:sz="4" w:space="0" w:color="BFBFBF"/>
            </w:tcBorders>
            <w:shd w:val="clear" w:color="000000" w:fill="FFFFFF"/>
            <w:noWrap/>
            <w:vAlign w:val="center"/>
            <w:hideMark/>
          </w:tcPr>
          <w:p w14:paraId="170273A0"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15%</w:t>
            </w:r>
          </w:p>
        </w:tc>
        <w:tc>
          <w:tcPr>
            <w:tcW w:w="1004" w:type="dxa"/>
            <w:tcBorders>
              <w:top w:val="nil"/>
              <w:left w:val="nil"/>
              <w:bottom w:val="single" w:sz="4" w:space="0" w:color="BFBFBF"/>
              <w:right w:val="single" w:sz="4" w:space="0" w:color="BFBFBF"/>
            </w:tcBorders>
            <w:shd w:val="clear" w:color="000000" w:fill="FFFFFF"/>
            <w:noWrap/>
            <w:vAlign w:val="center"/>
            <w:hideMark/>
          </w:tcPr>
          <w:p w14:paraId="541A85FC"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17%</w:t>
            </w:r>
          </w:p>
        </w:tc>
        <w:tc>
          <w:tcPr>
            <w:tcW w:w="1004" w:type="dxa"/>
            <w:tcBorders>
              <w:top w:val="nil"/>
              <w:left w:val="nil"/>
              <w:bottom w:val="single" w:sz="4" w:space="0" w:color="BFBFBF"/>
              <w:right w:val="single" w:sz="4" w:space="0" w:color="BFBFBF"/>
            </w:tcBorders>
            <w:shd w:val="clear" w:color="000000" w:fill="FFFFFF"/>
            <w:noWrap/>
            <w:vAlign w:val="center"/>
            <w:hideMark/>
          </w:tcPr>
          <w:p w14:paraId="1892EB9E"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24%</w:t>
            </w:r>
          </w:p>
        </w:tc>
        <w:tc>
          <w:tcPr>
            <w:tcW w:w="1005" w:type="dxa"/>
            <w:tcBorders>
              <w:top w:val="nil"/>
              <w:left w:val="nil"/>
              <w:bottom w:val="single" w:sz="4" w:space="0" w:color="BFBFBF"/>
              <w:right w:val="single" w:sz="4" w:space="0" w:color="BFBFBF"/>
            </w:tcBorders>
            <w:shd w:val="clear" w:color="000000" w:fill="FFFFFF"/>
            <w:noWrap/>
            <w:vAlign w:val="center"/>
            <w:hideMark/>
          </w:tcPr>
          <w:p w14:paraId="5765C26C"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12%</w:t>
            </w:r>
          </w:p>
        </w:tc>
        <w:tc>
          <w:tcPr>
            <w:tcW w:w="1004" w:type="dxa"/>
            <w:tcBorders>
              <w:top w:val="nil"/>
              <w:left w:val="nil"/>
              <w:bottom w:val="single" w:sz="4" w:space="0" w:color="BFBFBF"/>
              <w:right w:val="single" w:sz="4" w:space="0" w:color="BFBFBF"/>
            </w:tcBorders>
            <w:shd w:val="clear" w:color="000000" w:fill="FFFFFF"/>
            <w:noWrap/>
            <w:vAlign w:val="center"/>
            <w:hideMark/>
          </w:tcPr>
          <w:p w14:paraId="75E081A6"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17%</w:t>
            </w:r>
          </w:p>
        </w:tc>
        <w:tc>
          <w:tcPr>
            <w:tcW w:w="1005" w:type="dxa"/>
            <w:tcBorders>
              <w:top w:val="nil"/>
              <w:left w:val="nil"/>
              <w:bottom w:val="single" w:sz="4" w:space="0" w:color="BFBFBF"/>
              <w:right w:val="single" w:sz="4" w:space="0" w:color="auto"/>
            </w:tcBorders>
            <w:shd w:val="clear" w:color="000000" w:fill="FFFFFF"/>
            <w:noWrap/>
            <w:vAlign w:val="center"/>
            <w:hideMark/>
          </w:tcPr>
          <w:p w14:paraId="40DAA408"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2%</w:t>
            </w:r>
          </w:p>
        </w:tc>
      </w:tr>
      <w:tr w:rsidR="000C546F" w:rsidRPr="000C546F" w14:paraId="19095942" w14:textId="77777777" w:rsidTr="000C546F">
        <w:trPr>
          <w:trHeight w:val="402"/>
        </w:trPr>
        <w:tc>
          <w:tcPr>
            <w:tcW w:w="1320" w:type="dxa"/>
            <w:tcBorders>
              <w:top w:val="nil"/>
              <w:left w:val="single" w:sz="4" w:space="0" w:color="auto"/>
              <w:bottom w:val="single" w:sz="4" w:space="0" w:color="auto"/>
              <w:right w:val="single" w:sz="4" w:space="0" w:color="auto"/>
            </w:tcBorders>
            <w:shd w:val="clear" w:color="000000" w:fill="F2F2F2"/>
            <w:noWrap/>
            <w:vAlign w:val="center"/>
            <w:hideMark/>
          </w:tcPr>
          <w:p w14:paraId="37F88EFD" w14:textId="77777777" w:rsidR="000C546F" w:rsidRPr="000C546F" w:rsidRDefault="000C546F" w:rsidP="000C546F">
            <w:pPr>
              <w:rPr>
                <w:rFonts w:eastAsia="Times New Roman"/>
                <w:color w:val="0D0D0D"/>
                <w:sz w:val="18"/>
                <w:szCs w:val="18"/>
              </w:rPr>
            </w:pPr>
            <w:r w:rsidRPr="000C546F">
              <w:rPr>
                <w:rFonts w:eastAsia="Times New Roman"/>
                <w:color w:val="0D0D0D"/>
                <w:sz w:val="18"/>
                <w:szCs w:val="18"/>
              </w:rPr>
              <w:t>Province</w:t>
            </w:r>
          </w:p>
        </w:tc>
        <w:tc>
          <w:tcPr>
            <w:tcW w:w="1004" w:type="dxa"/>
            <w:tcBorders>
              <w:top w:val="nil"/>
              <w:left w:val="nil"/>
              <w:bottom w:val="single" w:sz="4" w:space="0" w:color="auto"/>
              <w:right w:val="single" w:sz="4" w:space="0" w:color="auto"/>
            </w:tcBorders>
            <w:shd w:val="clear" w:color="000000" w:fill="F2F2F2"/>
            <w:noWrap/>
            <w:vAlign w:val="center"/>
            <w:hideMark/>
          </w:tcPr>
          <w:p w14:paraId="55926417" w14:textId="77777777" w:rsidR="000C546F" w:rsidRPr="000C546F" w:rsidRDefault="000C546F" w:rsidP="000C546F">
            <w:pPr>
              <w:jc w:val="right"/>
              <w:rPr>
                <w:rFonts w:eastAsia="Times New Roman"/>
                <w:color w:val="0D0D0D"/>
                <w:sz w:val="18"/>
                <w:szCs w:val="18"/>
              </w:rPr>
            </w:pPr>
            <w:r w:rsidRPr="000C546F">
              <w:rPr>
                <w:rFonts w:eastAsia="Times New Roman"/>
                <w:color w:val="0D0D0D"/>
                <w:sz w:val="18"/>
                <w:szCs w:val="18"/>
              </w:rPr>
              <w:t>100%</w:t>
            </w:r>
          </w:p>
        </w:tc>
        <w:tc>
          <w:tcPr>
            <w:tcW w:w="1004" w:type="dxa"/>
            <w:tcBorders>
              <w:top w:val="nil"/>
              <w:left w:val="nil"/>
              <w:bottom w:val="single" w:sz="4" w:space="0" w:color="auto"/>
              <w:right w:val="single" w:sz="4" w:space="0" w:color="BFBFBF"/>
            </w:tcBorders>
            <w:shd w:val="clear" w:color="000000" w:fill="F2F2F2"/>
            <w:noWrap/>
            <w:vAlign w:val="center"/>
            <w:hideMark/>
          </w:tcPr>
          <w:p w14:paraId="6C169A93"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14%</w:t>
            </w:r>
          </w:p>
        </w:tc>
        <w:tc>
          <w:tcPr>
            <w:tcW w:w="1005" w:type="dxa"/>
            <w:tcBorders>
              <w:top w:val="nil"/>
              <w:left w:val="nil"/>
              <w:bottom w:val="single" w:sz="4" w:space="0" w:color="auto"/>
              <w:right w:val="single" w:sz="4" w:space="0" w:color="BFBFBF"/>
            </w:tcBorders>
            <w:shd w:val="clear" w:color="000000" w:fill="F2F2F2"/>
            <w:noWrap/>
            <w:vAlign w:val="center"/>
            <w:hideMark/>
          </w:tcPr>
          <w:p w14:paraId="3A34D989"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13%</w:t>
            </w:r>
          </w:p>
        </w:tc>
        <w:tc>
          <w:tcPr>
            <w:tcW w:w="1004" w:type="dxa"/>
            <w:tcBorders>
              <w:top w:val="nil"/>
              <w:left w:val="nil"/>
              <w:bottom w:val="single" w:sz="4" w:space="0" w:color="auto"/>
              <w:right w:val="single" w:sz="4" w:space="0" w:color="BFBFBF"/>
            </w:tcBorders>
            <w:shd w:val="clear" w:color="000000" w:fill="F2F2F2"/>
            <w:noWrap/>
            <w:vAlign w:val="center"/>
            <w:hideMark/>
          </w:tcPr>
          <w:p w14:paraId="188A3869"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15%</w:t>
            </w:r>
          </w:p>
        </w:tc>
        <w:tc>
          <w:tcPr>
            <w:tcW w:w="1004" w:type="dxa"/>
            <w:tcBorders>
              <w:top w:val="nil"/>
              <w:left w:val="nil"/>
              <w:bottom w:val="single" w:sz="4" w:space="0" w:color="auto"/>
              <w:right w:val="single" w:sz="4" w:space="0" w:color="BFBFBF"/>
            </w:tcBorders>
            <w:shd w:val="clear" w:color="000000" w:fill="F2F2F2"/>
            <w:noWrap/>
            <w:vAlign w:val="center"/>
            <w:hideMark/>
          </w:tcPr>
          <w:p w14:paraId="09A2CD3E"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24%</w:t>
            </w:r>
          </w:p>
        </w:tc>
        <w:tc>
          <w:tcPr>
            <w:tcW w:w="1005" w:type="dxa"/>
            <w:tcBorders>
              <w:top w:val="nil"/>
              <w:left w:val="nil"/>
              <w:bottom w:val="single" w:sz="4" w:space="0" w:color="auto"/>
              <w:right w:val="single" w:sz="4" w:space="0" w:color="BFBFBF"/>
            </w:tcBorders>
            <w:shd w:val="clear" w:color="000000" w:fill="F2F2F2"/>
            <w:noWrap/>
            <w:vAlign w:val="center"/>
            <w:hideMark/>
          </w:tcPr>
          <w:p w14:paraId="45A886BC"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13%</w:t>
            </w:r>
          </w:p>
        </w:tc>
        <w:tc>
          <w:tcPr>
            <w:tcW w:w="1004" w:type="dxa"/>
            <w:tcBorders>
              <w:top w:val="nil"/>
              <w:left w:val="nil"/>
              <w:bottom w:val="single" w:sz="4" w:space="0" w:color="auto"/>
              <w:right w:val="single" w:sz="4" w:space="0" w:color="BFBFBF"/>
            </w:tcBorders>
            <w:shd w:val="clear" w:color="000000" w:fill="F2F2F2"/>
            <w:noWrap/>
            <w:vAlign w:val="center"/>
            <w:hideMark/>
          </w:tcPr>
          <w:p w14:paraId="6D45B183"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19%</w:t>
            </w:r>
          </w:p>
        </w:tc>
        <w:tc>
          <w:tcPr>
            <w:tcW w:w="1005" w:type="dxa"/>
            <w:tcBorders>
              <w:top w:val="nil"/>
              <w:left w:val="nil"/>
              <w:bottom w:val="single" w:sz="4" w:space="0" w:color="auto"/>
              <w:right w:val="single" w:sz="4" w:space="0" w:color="auto"/>
            </w:tcBorders>
            <w:shd w:val="clear" w:color="000000" w:fill="F2F2F2"/>
            <w:noWrap/>
            <w:vAlign w:val="center"/>
            <w:hideMark/>
          </w:tcPr>
          <w:p w14:paraId="25B7D8EA" w14:textId="77777777" w:rsidR="000C546F" w:rsidRPr="000B22A1" w:rsidRDefault="000C546F" w:rsidP="000C546F">
            <w:pPr>
              <w:jc w:val="right"/>
              <w:rPr>
                <w:rFonts w:eastAsia="Times New Roman"/>
                <w:color w:val="C00000"/>
                <w:sz w:val="18"/>
                <w:szCs w:val="18"/>
              </w:rPr>
            </w:pPr>
            <w:r w:rsidRPr="000B22A1">
              <w:rPr>
                <w:rFonts w:eastAsia="Times New Roman"/>
                <w:color w:val="C00000"/>
                <w:sz w:val="18"/>
                <w:szCs w:val="18"/>
              </w:rPr>
              <w:t>2%</w:t>
            </w:r>
          </w:p>
        </w:tc>
      </w:tr>
    </w:tbl>
    <w:p w14:paraId="4E8B4CA7" w14:textId="1090F828" w:rsidR="00C85EE6" w:rsidRPr="00307770" w:rsidRDefault="00C85EE6" w:rsidP="00307770">
      <w:pPr>
        <w:pStyle w:val="Source"/>
      </w:pPr>
      <w:r w:rsidRPr="00307770">
        <w:t xml:space="preserve">Source: </w:t>
      </w:r>
      <w:r w:rsidR="006E024A">
        <w:t xml:space="preserve">derived from </w:t>
      </w:r>
      <w:r w:rsidRPr="00307770">
        <w:t xml:space="preserve">Statistics Canada Table </w:t>
      </w:r>
      <w:r w:rsidR="00C008F9" w:rsidRPr="00307770">
        <w:t>17-10-0162</w:t>
      </w:r>
      <w:r w:rsidR="006E024A">
        <w:t xml:space="preserve"> and Statistics Canada 2021 Census Profile</w:t>
      </w:r>
    </w:p>
    <w:p w14:paraId="748F9DF6" w14:textId="77777777" w:rsidR="000C546F" w:rsidRDefault="000C546F" w:rsidP="000C546F"/>
    <w:p w14:paraId="730FE511" w14:textId="77777777" w:rsidR="00906E65" w:rsidRDefault="00885FCB" w:rsidP="00753BC8">
      <w:pPr>
        <w:jc w:val="both"/>
      </w:pPr>
      <w:r w:rsidRPr="00885FCB">
        <w:t xml:space="preserve">A local age profile that skews younger than the region or province may signal stronger near-term demand for rental housing and entry-level ownership, reflecting a population at or approaching </w:t>
      </w:r>
      <w:r w:rsidRPr="00885FCB">
        <w:lastRenderedPageBreak/>
        <w:t xml:space="preserve">household formation age. Conversely, a disproportionately older age structure may point toward growing demand for accessible, age-appropriate, and potentially supported housing in the coming years. Notable growth or decline in a given age group since the last Census warrants particular attention, as it may reflect shifts in migration behaviour, labour market conditions, or life-stage transitions with direct implications for the type and volume of housing demanded. </w:t>
      </w:r>
    </w:p>
    <w:p w14:paraId="2CFB253A" w14:textId="77777777" w:rsidR="00906E65" w:rsidRDefault="00906E65" w:rsidP="00753BC8">
      <w:pPr>
        <w:jc w:val="both"/>
      </w:pPr>
    </w:p>
    <w:p w14:paraId="7CD97CFC" w14:textId="340FD940" w:rsidR="00906E65" w:rsidRDefault="00753BC8" w:rsidP="00906E65">
      <w:pPr>
        <w:jc w:val="both"/>
      </w:pPr>
      <w:r w:rsidRPr="00753BC8">
        <w:rPr>
          <w:rStyle w:val="Figure-textChar"/>
        </w:rPr>
        <w:fldChar w:fldCharType="begin"/>
      </w:r>
      <w:r w:rsidRPr="00753BC8">
        <w:rPr>
          <w:rStyle w:val="Figure-textChar"/>
        </w:rPr>
        <w:instrText xml:space="preserve"> REF _Ref222758234 \h </w:instrText>
      </w:r>
      <w:r>
        <w:rPr>
          <w:rStyle w:val="Figure-textChar"/>
        </w:rPr>
        <w:instrText xml:space="preserve"> \* MERGEFORMAT </w:instrText>
      </w:r>
      <w:r w:rsidRPr="00753BC8">
        <w:rPr>
          <w:rStyle w:val="Figure-textChar"/>
        </w:rPr>
      </w:r>
      <w:r w:rsidRPr="00753BC8">
        <w:rPr>
          <w:rStyle w:val="Figure-textChar"/>
        </w:rPr>
        <w:fldChar w:fldCharType="separate"/>
      </w:r>
      <w:r w:rsidR="00CA6116" w:rsidRPr="00CA6116">
        <w:rPr>
          <w:rStyle w:val="Figure-textChar"/>
        </w:rPr>
        <w:t>Figure 4.1</w:t>
      </w:r>
      <w:r w:rsidRPr="00753BC8">
        <w:rPr>
          <w:rStyle w:val="Figure-textChar"/>
        </w:rPr>
        <w:fldChar w:fldCharType="end"/>
      </w:r>
      <w:r>
        <w:t xml:space="preserve"> </w:t>
      </w:r>
      <w:r w:rsidR="00885FCB" w:rsidRPr="00885FCB">
        <w:t>situates these trends in time by illustrating how the total population has changed on an annual basis.</w:t>
      </w:r>
      <w:r w:rsidR="00906E65">
        <w:t xml:space="preserve"> It </w:t>
      </w:r>
      <w:r w:rsidR="00906E65" w:rsidRPr="00906E65">
        <w:t>offers important context for understanding whether recent population change is accelerating, stabilizing, or reversing. Sustained growth typically signals ongoing in-migration and, less commonly, natural increase (i.e., births surpassing deaths), each of which generates demand across different housing market segments and at different time horizons.</w:t>
      </w:r>
    </w:p>
    <w:p w14:paraId="6D2B0519" w14:textId="77777777" w:rsidR="00753BC8" w:rsidRDefault="00753BC8" w:rsidP="000C546F"/>
    <w:p w14:paraId="24E21C94" w14:textId="39EAAAC4" w:rsidR="004D1F7F" w:rsidRDefault="004D1F7F" w:rsidP="004D1F7F">
      <w:pPr>
        <w:pStyle w:val="Caption"/>
      </w:pPr>
      <w:bookmarkStart w:id="15" w:name="_Ref222758234"/>
      <w:r>
        <w:t xml:space="preserve">Figure </w:t>
      </w:r>
      <w:fldSimple w:instr=" STYLEREF 1 \s ">
        <w:r w:rsidR="005E459C">
          <w:rPr>
            <w:noProof/>
          </w:rPr>
          <w:t>4</w:t>
        </w:r>
      </w:fldSimple>
      <w:r w:rsidR="00542115">
        <w:t>.</w:t>
      </w:r>
      <w:fldSimple w:instr=" SEQ Figure \* ARABIC \s 1 ">
        <w:r w:rsidR="005E459C">
          <w:rPr>
            <w:noProof/>
          </w:rPr>
          <w:t>1</w:t>
        </w:r>
      </w:fldSimple>
      <w:bookmarkEnd w:id="15"/>
      <w:r>
        <w:t>: Annual change in total population from previous year's population</w:t>
      </w:r>
    </w:p>
    <w:p w14:paraId="49AA6A12" w14:textId="03EC616E" w:rsidR="00EB7B21" w:rsidRDefault="0026555A" w:rsidP="00075E75">
      <w:r w:rsidRPr="003C59F9">
        <w:rPr>
          <w:noProof/>
          <w:shd w:val="clear" w:color="auto" w:fill="42618C" w:themeFill="accent3"/>
        </w:rPr>
        <w:drawing>
          <wp:inline distT="0" distB="0" distL="0" distR="0" wp14:anchorId="1E626DDD" wp14:editId="43556883">
            <wp:extent cx="5905500" cy="2599766"/>
            <wp:effectExtent l="0" t="0" r="0" b="0"/>
            <wp:docPr id="1909109040" name="Chart 1">
              <a:extLst xmlns:a="http://schemas.openxmlformats.org/drawingml/2006/main">
                <a:ext uri="{FF2B5EF4-FFF2-40B4-BE49-F238E27FC236}">
                  <a16:creationId xmlns:a16="http://schemas.microsoft.com/office/drawing/2014/main" id="{F2F216E6-A9B4-4E76-BEC6-EB5458B19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7964CA" w14:textId="29CC389D" w:rsidR="00AE42E3" w:rsidRPr="00441BA3" w:rsidRDefault="00AE42E3" w:rsidP="00307770">
      <w:pPr>
        <w:pStyle w:val="Source"/>
      </w:pPr>
      <w:r w:rsidRPr="00441BA3">
        <w:t>Source:</w:t>
      </w:r>
      <w:r w:rsidR="00B32155" w:rsidRPr="00441BA3">
        <w:t xml:space="preserve"> </w:t>
      </w:r>
      <w:r w:rsidR="004D1F7F">
        <w:t xml:space="preserve">derived from </w:t>
      </w:r>
      <w:r w:rsidR="00B32155" w:rsidRPr="00C85EE6">
        <w:t>Statistics</w:t>
      </w:r>
      <w:r w:rsidR="00B32155" w:rsidRPr="00441BA3">
        <w:t xml:space="preserve"> Canada Table </w:t>
      </w:r>
      <w:r w:rsidR="00441BA3" w:rsidRPr="00441BA3">
        <w:t>17-10-0155</w:t>
      </w:r>
    </w:p>
    <w:p w14:paraId="1C271071" w14:textId="77777777" w:rsidR="00EC12D5" w:rsidRDefault="00EC12D5" w:rsidP="00075E75"/>
    <w:p w14:paraId="69344FF9" w14:textId="117AACE2" w:rsidR="008D51C0" w:rsidRDefault="008D51C0" w:rsidP="008D51C0">
      <w:pPr>
        <w:pStyle w:val="Heading3"/>
      </w:pPr>
      <w:r>
        <w:t>Migration</w:t>
      </w:r>
    </w:p>
    <w:p w14:paraId="20E4745C" w14:textId="66BE5520" w:rsidR="00B37D7B" w:rsidRDefault="00B37D7B" w:rsidP="00B37D7B">
      <w:pPr>
        <w:jc w:val="both"/>
      </w:pPr>
      <w:r>
        <w:t xml:space="preserve">Year-to-year volatility can reflect economic shifts, changes in migration flows, or short-term demographic events, and may warrant cautious interpretation rather than extrapolation. The components driving these trends are explored in </w:t>
      </w:r>
      <w:r w:rsidR="0062137F" w:rsidRPr="0062137F">
        <w:rPr>
          <w:rStyle w:val="Figure-textChar"/>
        </w:rPr>
        <w:fldChar w:fldCharType="begin"/>
      </w:r>
      <w:r w:rsidR="0062137F" w:rsidRPr="0062137F">
        <w:rPr>
          <w:rStyle w:val="Figure-textChar"/>
        </w:rPr>
        <w:instrText xml:space="preserve"> REF _Ref222758358 \h </w:instrText>
      </w:r>
      <w:r w:rsidR="0062137F">
        <w:rPr>
          <w:rStyle w:val="Figure-textChar"/>
        </w:rPr>
        <w:instrText xml:space="preserve"> \* MERGEFORMAT </w:instrText>
      </w:r>
      <w:r w:rsidR="0062137F" w:rsidRPr="0062137F">
        <w:rPr>
          <w:rStyle w:val="Figure-textChar"/>
        </w:rPr>
      </w:r>
      <w:r w:rsidR="0062137F" w:rsidRPr="0062137F">
        <w:rPr>
          <w:rStyle w:val="Figure-textChar"/>
        </w:rPr>
        <w:fldChar w:fldCharType="separate"/>
      </w:r>
      <w:r w:rsidR="00CA6116" w:rsidRPr="00CA6116">
        <w:rPr>
          <w:rStyle w:val="Figure-textChar"/>
        </w:rPr>
        <w:t>Figure 4.2</w:t>
      </w:r>
      <w:r w:rsidR="0062137F" w:rsidRPr="0062137F">
        <w:rPr>
          <w:rStyle w:val="Figure-textChar"/>
        </w:rPr>
        <w:fldChar w:fldCharType="end"/>
      </w:r>
      <w:r>
        <w:t xml:space="preserve">, which disaggregates </w:t>
      </w:r>
      <w:r w:rsidRPr="00C5338E">
        <w:rPr>
          <w:b/>
          <w:bCs/>
          <w:u w:val="single"/>
        </w:rPr>
        <w:t>regional</w:t>
      </w:r>
      <w:r>
        <w:t xml:space="preserve"> population change into its constituent parts, and </w:t>
      </w:r>
      <w:r w:rsidR="0062137F" w:rsidRPr="0062137F">
        <w:rPr>
          <w:rStyle w:val="Figure-textChar"/>
        </w:rPr>
        <w:fldChar w:fldCharType="begin"/>
      </w:r>
      <w:r w:rsidR="0062137F" w:rsidRPr="0062137F">
        <w:rPr>
          <w:rStyle w:val="Figure-textChar"/>
        </w:rPr>
        <w:instrText xml:space="preserve"> REF _Ref222758512 \h </w:instrText>
      </w:r>
      <w:r w:rsidR="0062137F">
        <w:rPr>
          <w:rStyle w:val="Figure-textChar"/>
        </w:rPr>
        <w:instrText xml:space="preserve"> \* MERGEFORMAT </w:instrText>
      </w:r>
      <w:r w:rsidR="0062137F" w:rsidRPr="0062137F">
        <w:rPr>
          <w:rStyle w:val="Figure-textChar"/>
        </w:rPr>
      </w:r>
      <w:r w:rsidR="0062137F" w:rsidRPr="0062137F">
        <w:rPr>
          <w:rStyle w:val="Figure-textChar"/>
        </w:rPr>
        <w:fldChar w:fldCharType="separate"/>
      </w:r>
      <w:r w:rsidR="00CA6116" w:rsidRPr="00CA6116">
        <w:rPr>
          <w:rStyle w:val="Figure-textChar"/>
        </w:rPr>
        <w:t>Table 4.2</w:t>
      </w:r>
      <w:r w:rsidR="0062137F" w:rsidRPr="0062137F">
        <w:rPr>
          <w:rStyle w:val="Figure-textChar"/>
        </w:rPr>
        <w:fldChar w:fldCharType="end"/>
      </w:r>
      <w:r>
        <w:t>, which draws on Census data to examine where recent movers within the local population originated.</w:t>
      </w:r>
    </w:p>
    <w:p w14:paraId="18163D60" w14:textId="77777777" w:rsidR="00B37D7B" w:rsidRDefault="00B37D7B" w:rsidP="00B37D7B">
      <w:pPr>
        <w:jc w:val="both"/>
      </w:pPr>
    </w:p>
    <w:p w14:paraId="5E698A2B" w14:textId="788A700C" w:rsidR="00B37D7B" w:rsidRDefault="00C8352F" w:rsidP="00B37D7B">
      <w:pPr>
        <w:jc w:val="both"/>
      </w:pPr>
      <w:r>
        <w:t xml:space="preserve">More specifically, </w:t>
      </w:r>
      <w:r w:rsidR="00B37D7B" w:rsidRPr="00B37D7B">
        <w:rPr>
          <w:rStyle w:val="Figure-textChar"/>
        </w:rPr>
        <w:fldChar w:fldCharType="begin"/>
      </w:r>
      <w:r w:rsidR="00B37D7B" w:rsidRPr="00B37D7B">
        <w:rPr>
          <w:rStyle w:val="Figure-textChar"/>
        </w:rPr>
        <w:instrText xml:space="preserve"> REF _Ref222758358 \h </w:instrText>
      </w:r>
      <w:r w:rsidR="00B37D7B">
        <w:rPr>
          <w:rStyle w:val="Figure-textChar"/>
        </w:rPr>
        <w:instrText xml:space="preserve"> \* MERGEFORMAT </w:instrText>
      </w:r>
      <w:r w:rsidR="00B37D7B" w:rsidRPr="00B37D7B">
        <w:rPr>
          <w:rStyle w:val="Figure-textChar"/>
        </w:rPr>
      </w:r>
      <w:r w:rsidR="00B37D7B" w:rsidRPr="00B37D7B">
        <w:rPr>
          <w:rStyle w:val="Figure-textChar"/>
        </w:rPr>
        <w:fldChar w:fldCharType="separate"/>
      </w:r>
      <w:r w:rsidR="00CA6116" w:rsidRPr="00CA6116">
        <w:rPr>
          <w:rStyle w:val="Figure-textChar"/>
        </w:rPr>
        <w:t>Figure 4.2</w:t>
      </w:r>
      <w:r w:rsidR="00B37D7B" w:rsidRPr="00B37D7B">
        <w:rPr>
          <w:rStyle w:val="Figure-textChar"/>
        </w:rPr>
        <w:fldChar w:fldCharType="end"/>
      </w:r>
      <w:r w:rsidR="00B37D7B">
        <w:t xml:space="preserve"> illustrates the relative contribution of different components (natural change, </w:t>
      </w:r>
      <w:proofErr w:type="spellStart"/>
      <w:r w:rsidR="00B37D7B">
        <w:t>intraprovincial</w:t>
      </w:r>
      <w:proofErr w:type="spellEnd"/>
      <w:r w:rsidR="00B37D7B">
        <w:t xml:space="preserve"> migration, interprovincial migration, and international migration) to overall regional population change, providing a basis for understanding which forces </w:t>
      </w:r>
      <w:r w:rsidR="00A745F0">
        <w:t xml:space="preserve">may be </w:t>
      </w:r>
      <w:r w:rsidR="00B37D7B">
        <w:t>most responsible for local growth or decline.</w:t>
      </w:r>
    </w:p>
    <w:p w14:paraId="41F187A7" w14:textId="77777777" w:rsidR="00503259" w:rsidRDefault="00503259" w:rsidP="00B37D7B">
      <w:pPr>
        <w:jc w:val="both"/>
      </w:pPr>
    </w:p>
    <w:p w14:paraId="4E02B428" w14:textId="3B8A8EE7" w:rsidR="00704483" w:rsidRDefault="00704483" w:rsidP="00704483">
      <w:pPr>
        <w:pStyle w:val="Caption"/>
      </w:pPr>
      <w:bookmarkStart w:id="16" w:name="_Ref222758358"/>
      <w:r>
        <w:lastRenderedPageBreak/>
        <w:t xml:space="preserve">Figure </w:t>
      </w:r>
      <w:fldSimple w:instr=" STYLEREF 1 \s ">
        <w:r w:rsidR="005E459C">
          <w:rPr>
            <w:noProof/>
          </w:rPr>
          <w:t>4</w:t>
        </w:r>
      </w:fldSimple>
      <w:r w:rsidR="00542115">
        <w:t>.</w:t>
      </w:r>
      <w:fldSimple w:instr=" SEQ Figure \* ARABIC \s 1 ">
        <w:r w:rsidR="005E459C">
          <w:rPr>
            <w:noProof/>
          </w:rPr>
          <w:t>2</w:t>
        </w:r>
      </w:fldSimple>
      <w:bookmarkEnd w:id="16"/>
      <w:r>
        <w:t>: Annual regional demographic component shares of population change</w:t>
      </w:r>
    </w:p>
    <w:p w14:paraId="5105619F" w14:textId="302D5E12" w:rsidR="0036316E" w:rsidRDefault="00E25999" w:rsidP="00075E75">
      <w:r>
        <w:rPr>
          <w:noProof/>
        </w:rPr>
        <w:drawing>
          <wp:inline distT="0" distB="0" distL="0" distR="0" wp14:anchorId="577EB5C0" wp14:editId="3E9750B1">
            <wp:extent cx="5919828" cy="2703419"/>
            <wp:effectExtent l="0" t="0" r="5080" b="1905"/>
            <wp:docPr id="1422878785" name="Chart 1">
              <a:extLst xmlns:a="http://schemas.openxmlformats.org/drawingml/2006/main">
                <a:ext uri="{FF2B5EF4-FFF2-40B4-BE49-F238E27FC236}">
                  <a16:creationId xmlns:a16="http://schemas.microsoft.com/office/drawing/2014/main" id="{9ECBBA02-3BE8-4360-9270-5BCA2A32D2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BA6C65" w14:textId="5D783F6A" w:rsidR="00704483" w:rsidRDefault="00704483" w:rsidP="00FB178F">
      <w:pPr>
        <w:pStyle w:val="Source"/>
      </w:pPr>
      <w:r>
        <w:t xml:space="preserve">Source: derived from Statistics Canada Tables </w:t>
      </w:r>
      <w:r w:rsidR="00FB178F" w:rsidRPr="00FB178F">
        <w:t>17</w:t>
      </w:r>
      <w:r w:rsidR="00FB178F">
        <w:t>-</w:t>
      </w:r>
      <w:r w:rsidR="00FB178F" w:rsidRPr="00FB178F">
        <w:t>10</w:t>
      </w:r>
      <w:r w:rsidR="00FB178F">
        <w:t>-</w:t>
      </w:r>
      <w:r w:rsidR="00FB178F" w:rsidRPr="00FB178F">
        <w:t>0152</w:t>
      </w:r>
      <w:r w:rsidR="00FB178F">
        <w:t xml:space="preserve"> and </w:t>
      </w:r>
      <w:r w:rsidR="00FB178F" w:rsidRPr="00FB178F">
        <w:t>17</w:t>
      </w:r>
      <w:r w:rsidR="00FB178F">
        <w:t>-</w:t>
      </w:r>
      <w:r w:rsidR="00FB178F" w:rsidRPr="00FB178F">
        <w:t>10</w:t>
      </w:r>
      <w:r w:rsidR="00FB178F">
        <w:t>-</w:t>
      </w:r>
      <w:r w:rsidR="00FB178F" w:rsidRPr="00FB178F">
        <w:t>0153</w:t>
      </w:r>
    </w:p>
    <w:p w14:paraId="611443EC" w14:textId="77777777" w:rsidR="0036316E" w:rsidRDefault="0036316E" w:rsidP="00075E75"/>
    <w:p w14:paraId="5976508F" w14:textId="4C8658DA" w:rsidR="00643E2D" w:rsidRDefault="00643E2D" w:rsidP="00643E2D">
      <w:pPr>
        <w:jc w:val="both"/>
      </w:pPr>
      <w:r w:rsidRPr="00643E2D">
        <w:t xml:space="preserve">Communities where in-migration accounts for a large share of regional population change may face more unpredictable housing demand, as migrant populations tend to arrive rapidly and concentrate in specific segments of the market, </w:t>
      </w:r>
      <w:r>
        <w:t>such as</w:t>
      </w:r>
      <w:r w:rsidRPr="00643E2D">
        <w:t xml:space="preserve"> rentals</w:t>
      </w:r>
      <w:r w:rsidR="00C9069B">
        <w:t xml:space="preserve"> for newcomers or younger adults</w:t>
      </w:r>
      <w:r w:rsidRPr="00643E2D">
        <w:t xml:space="preserve">. Conversely, regions where natural increase is the dominant driver typically experience more gradual and demographically predictable growth. A declining share of natural increase alongside flat or negative in-migration may indicate structural demographic challenges that will exert downward pressure on household formation over </w:t>
      </w:r>
      <w:r w:rsidR="008B7380">
        <w:t>at least the</w:t>
      </w:r>
      <w:r w:rsidRPr="00643E2D">
        <w:t xml:space="preserve"> medium term. </w:t>
      </w:r>
    </w:p>
    <w:p w14:paraId="572E6EBF" w14:textId="77777777" w:rsidR="00643E2D" w:rsidRDefault="00643E2D" w:rsidP="00643E2D">
      <w:pPr>
        <w:jc w:val="both"/>
      </w:pPr>
    </w:p>
    <w:p w14:paraId="401C4BBD" w14:textId="1EB9E072" w:rsidR="00643E2D" w:rsidRDefault="00643E2D" w:rsidP="00643E2D">
      <w:pPr>
        <w:jc w:val="both"/>
      </w:pPr>
      <w:r w:rsidRPr="00643E2D">
        <w:rPr>
          <w:rStyle w:val="Figure-textChar"/>
        </w:rPr>
        <w:fldChar w:fldCharType="begin"/>
      </w:r>
      <w:r w:rsidRPr="00643E2D">
        <w:rPr>
          <w:rStyle w:val="Figure-textChar"/>
        </w:rPr>
        <w:instrText xml:space="preserve"> REF _Ref222758512 \h </w:instrText>
      </w:r>
      <w:r>
        <w:rPr>
          <w:rStyle w:val="Figure-textChar"/>
        </w:rPr>
        <w:instrText xml:space="preserve"> \* MERGEFORMAT </w:instrText>
      </w:r>
      <w:r w:rsidRPr="00643E2D">
        <w:rPr>
          <w:rStyle w:val="Figure-textChar"/>
        </w:rPr>
      </w:r>
      <w:r w:rsidRPr="00643E2D">
        <w:rPr>
          <w:rStyle w:val="Figure-textChar"/>
        </w:rPr>
        <w:fldChar w:fldCharType="separate"/>
      </w:r>
      <w:r w:rsidR="00CA6116" w:rsidRPr="00CA6116">
        <w:rPr>
          <w:rStyle w:val="Figure-textChar"/>
        </w:rPr>
        <w:t>Table 4.2</w:t>
      </w:r>
      <w:r w:rsidRPr="00643E2D">
        <w:rPr>
          <w:rStyle w:val="Figure-textChar"/>
        </w:rPr>
        <w:fldChar w:fldCharType="end"/>
      </w:r>
      <w:r>
        <w:t xml:space="preserve"> </w:t>
      </w:r>
      <w:r w:rsidRPr="00643E2D">
        <w:t xml:space="preserve">complements </w:t>
      </w:r>
      <w:r w:rsidRPr="00643E2D">
        <w:rPr>
          <w:rStyle w:val="Figure-textChar"/>
        </w:rPr>
        <w:fldChar w:fldCharType="begin"/>
      </w:r>
      <w:r w:rsidRPr="00643E2D">
        <w:rPr>
          <w:rStyle w:val="Figure-textChar"/>
        </w:rPr>
        <w:instrText xml:space="preserve"> REF _Ref222758358 \h </w:instrText>
      </w:r>
      <w:r>
        <w:rPr>
          <w:rStyle w:val="Figure-textChar"/>
        </w:rPr>
        <w:instrText xml:space="preserve"> \* MERGEFORMAT </w:instrText>
      </w:r>
      <w:r w:rsidRPr="00643E2D">
        <w:rPr>
          <w:rStyle w:val="Figure-textChar"/>
        </w:rPr>
      </w:r>
      <w:r w:rsidRPr="00643E2D">
        <w:rPr>
          <w:rStyle w:val="Figure-textChar"/>
        </w:rPr>
        <w:fldChar w:fldCharType="separate"/>
      </w:r>
      <w:r w:rsidR="00CA6116" w:rsidRPr="00CA6116">
        <w:rPr>
          <w:rStyle w:val="Figure-textChar"/>
        </w:rPr>
        <w:t>Figure 4.2</w:t>
      </w:r>
      <w:r w:rsidRPr="00643E2D">
        <w:rPr>
          <w:rStyle w:val="Figure-textChar"/>
        </w:rPr>
        <w:fldChar w:fldCharType="end"/>
      </w:r>
      <w:r w:rsidRPr="00643E2D">
        <w:t xml:space="preserve"> by drawing on 2021 Census data to show the origins of those who moved to and within the local community in the </w:t>
      </w:r>
      <w:r w:rsidR="00E920CE">
        <w:t xml:space="preserve">five </w:t>
      </w:r>
      <w:r w:rsidRPr="00643E2D">
        <w:t>year</w:t>
      </w:r>
      <w:r w:rsidR="00E920CE">
        <w:t>s</w:t>
      </w:r>
      <w:r w:rsidRPr="00643E2D">
        <w:t xml:space="preserve"> prior to the Census.</w:t>
      </w:r>
    </w:p>
    <w:p w14:paraId="51249892" w14:textId="77777777" w:rsidR="0036316E" w:rsidRDefault="0036316E" w:rsidP="00075E75"/>
    <w:p w14:paraId="69947A79" w14:textId="0E774030" w:rsidR="009E34C2" w:rsidRDefault="009E34C2" w:rsidP="009E34C2">
      <w:pPr>
        <w:pStyle w:val="Caption"/>
      </w:pPr>
      <w:bookmarkStart w:id="17" w:name="_Ref222758512"/>
      <w:bookmarkStart w:id="18" w:name="_Ref222758507"/>
      <w:r w:rsidRPr="00E10FC9">
        <w:t xml:space="preserve">Table </w:t>
      </w:r>
      <w:fldSimple w:instr=" STYLEREF 1 \s ">
        <w:r w:rsidR="005E459C">
          <w:rPr>
            <w:noProof/>
          </w:rPr>
          <w:t>4</w:t>
        </w:r>
      </w:fldSimple>
      <w:r w:rsidR="00BD4359">
        <w:t>.</w:t>
      </w:r>
      <w:fldSimple w:instr=" SEQ Table \* ARABIC \s 1 ">
        <w:r w:rsidR="005E459C">
          <w:rPr>
            <w:noProof/>
          </w:rPr>
          <w:t>2</w:t>
        </w:r>
      </w:fldSimple>
      <w:bookmarkEnd w:id="17"/>
      <w:r w:rsidRPr="00E10FC9">
        <w:t xml:space="preserve">: </w:t>
      </w:r>
      <w:r w:rsidR="00E920CE" w:rsidRPr="00E10FC9">
        <w:t>Five</w:t>
      </w:r>
      <w:r w:rsidRPr="00E10FC9">
        <w:t>-year mobility by origin</w:t>
      </w:r>
      <w:r w:rsidR="00B034EB">
        <w:t xml:space="preserve"> and geography</w:t>
      </w:r>
      <w:r>
        <w:t>, 2021</w:t>
      </w:r>
      <w:bookmarkEnd w:id="18"/>
    </w:p>
    <w:tbl>
      <w:tblPr>
        <w:tblW w:w="9355" w:type="dxa"/>
        <w:tblLayout w:type="fixed"/>
        <w:tblLook w:val="04A0" w:firstRow="1" w:lastRow="0" w:firstColumn="1" w:lastColumn="0" w:noHBand="0" w:noVBand="1"/>
      </w:tblPr>
      <w:tblGrid>
        <w:gridCol w:w="3719"/>
        <w:gridCol w:w="1878"/>
        <w:gridCol w:w="1879"/>
        <w:gridCol w:w="1879"/>
      </w:tblGrid>
      <w:tr w:rsidR="00C6746D" w:rsidRPr="00C6746D" w14:paraId="36BB7F27" w14:textId="77777777" w:rsidTr="003C59F9">
        <w:trPr>
          <w:trHeight w:val="402"/>
          <w:tblHeader/>
        </w:trPr>
        <w:tc>
          <w:tcPr>
            <w:tcW w:w="3719"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5262EF62" w14:textId="3D3360F7" w:rsidR="00C6746D" w:rsidRPr="00C6746D" w:rsidRDefault="00C6746D" w:rsidP="00C6746D">
            <w:pPr>
              <w:rPr>
                <w:rFonts w:eastAsia="Times New Roman"/>
                <w:color w:val="FFFFFF"/>
                <w:sz w:val="18"/>
                <w:szCs w:val="18"/>
              </w:rPr>
            </w:pPr>
            <w:r w:rsidRPr="00C6746D">
              <w:rPr>
                <w:rFonts w:eastAsia="Times New Roman"/>
                <w:color w:val="FFFFFF"/>
                <w:sz w:val="18"/>
                <w:szCs w:val="18"/>
              </w:rPr>
              <w:t xml:space="preserve">Migrant </w:t>
            </w:r>
            <w:r w:rsidR="00B034EB">
              <w:rPr>
                <w:rFonts w:eastAsia="Times New Roman"/>
                <w:color w:val="FFFFFF"/>
                <w:sz w:val="18"/>
                <w:szCs w:val="18"/>
              </w:rPr>
              <w:t>origin</w:t>
            </w:r>
          </w:p>
        </w:tc>
        <w:tc>
          <w:tcPr>
            <w:tcW w:w="187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886558C" w14:textId="77777777" w:rsidR="00C6746D" w:rsidRPr="00C6746D" w:rsidRDefault="00C6746D" w:rsidP="00C6746D">
            <w:pPr>
              <w:jc w:val="right"/>
              <w:rPr>
                <w:rFonts w:eastAsia="Times New Roman"/>
                <w:color w:val="FFFFFF"/>
                <w:sz w:val="18"/>
                <w:szCs w:val="18"/>
              </w:rPr>
            </w:pPr>
            <w:r w:rsidRPr="00C6746D">
              <w:rPr>
                <w:rFonts w:eastAsia="Times New Roman"/>
                <w:color w:val="FFFFFF"/>
                <w:sz w:val="18"/>
                <w:szCs w:val="18"/>
              </w:rPr>
              <w:t>Local</w:t>
            </w:r>
          </w:p>
        </w:tc>
        <w:tc>
          <w:tcPr>
            <w:tcW w:w="187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48CB8A0" w14:textId="77777777" w:rsidR="00C6746D" w:rsidRPr="00C6746D" w:rsidRDefault="00C6746D" w:rsidP="00C6746D">
            <w:pPr>
              <w:jc w:val="right"/>
              <w:rPr>
                <w:rFonts w:eastAsia="Times New Roman"/>
                <w:color w:val="FFFFFF"/>
                <w:sz w:val="18"/>
                <w:szCs w:val="18"/>
              </w:rPr>
            </w:pPr>
            <w:r w:rsidRPr="00C6746D">
              <w:rPr>
                <w:rFonts w:eastAsia="Times New Roman"/>
                <w:color w:val="FFFFFF"/>
                <w:sz w:val="18"/>
                <w:szCs w:val="18"/>
              </w:rPr>
              <w:t>Region</w:t>
            </w:r>
          </w:p>
        </w:tc>
        <w:tc>
          <w:tcPr>
            <w:tcW w:w="1879"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59380A7" w14:textId="77777777" w:rsidR="00C6746D" w:rsidRPr="00C6746D" w:rsidRDefault="00C6746D" w:rsidP="00C6746D">
            <w:pPr>
              <w:jc w:val="right"/>
              <w:rPr>
                <w:rFonts w:eastAsia="Times New Roman"/>
                <w:color w:val="FFFFFF"/>
                <w:sz w:val="18"/>
                <w:szCs w:val="18"/>
              </w:rPr>
            </w:pPr>
            <w:r w:rsidRPr="00C6746D">
              <w:rPr>
                <w:rFonts w:eastAsia="Times New Roman"/>
                <w:color w:val="FFFFFF"/>
                <w:sz w:val="18"/>
                <w:szCs w:val="18"/>
              </w:rPr>
              <w:t>Province</w:t>
            </w:r>
          </w:p>
        </w:tc>
      </w:tr>
      <w:tr w:rsidR="006D2ED1" w:rsidRPr="00C6746D" w14:paraId="29227B9F" w14:textId="77777777" w:rsidTr="00C6746D">
        <w:trPr>
          <w:trHeight w:val="402"/>
        </w:trPr>
        <w:tc>
          <w:tcPr>
            <w:tcW w:w="3719"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334DD112" w14:textId="6D75701A" w:rsidR="006D2ED1" w:rsidRPr="00C6746D" w:rsidRDefault="006D2ED1" w:rsidP="006D2ED1">
            <w:pPr>
              <w:rPr>
                <w:rFonts w:eastAsia="Times New Roman"/>
                <w:color w:val="0D0D0D"/>
                <w:sz w:val="18"/>
                <w:szCs w:val="18"/>
              </w:rPr>
            </w:pPr>
            <w:r>
              <w:rPr>
                <w:color w:val="0D0D0D"/>
                <w:sz w:val="18"/>
                <w:szCs w:val="18"/>
              </w:rPr>
              <w:t>Local migrant (moved within community)</w:t>
            </w:r>
          </w:p>
        </w:tc>
        <w:tc>
          <w:tcPr>
            <w:tcW w:w="1878" w:type="dxa"/>
            <w:tcBorders>
              <w:top w:val="single" w:sz="4" w:space="0" w:color="auto"/>
              <w:left w:val="nil"/>
              <w:bottom w:val="single" w:sz="4" w:space="0" w:color="BFBFBF"/>
              <w:right w:val="single" w:sz="4" w:space="0" w:color="BFBFBF"/>
            </w:tcBorders>
            <w:shd w:val="clear" w:color="000000" w:fill="F2F2F2"/>
            <w:noWrap/>
            <w:vAlign w:val="center"/>
            <w:hideMark/>
          </w:tcPr>
          <w:p w14:paraId="4B5A7CC0" w14:textId="24E16D70" w:rsidR="006D2ED1" w:rsidRPr="000B22A1" w:rsidRDefault="006D2ED1" w:rsidP="006D2ED1">
            <w:pPr>
              <w:jc w:val="right"/>
              <w:rPr>
                <w:rFonts w:eastAsia="Times New Roman"/>
                <w:color w:val="C00000"/>
                <w:sz w:val="18"/>
                <w:szCs w:val="18"/>
              </w:rPr>
            </w:pPr>
            <w:r w:rsidRPr="000B22A1">
              <w:rPr>
                <w:color w:val="C00000"/>
                <w:sz w:val="18"/>
                <w:szCs w:val="18"/>
              </w:rPr>
              <w:t>18.8%</w:t>
            </w:r>
          </w:p>
        </w:tc>
        <w:tc>
          <w:tcPr>
            <w:tcW w:w="1879" w:type="dxa"/>
            <w:tcBorders>
              <w:top w:val="single" w:sz="4" w:space="0" w:color="auto"/>
              <w:left w:val="nil"/>
              <w:bottom w:val="single" w:sz="4" w:space="0" w:color="BFBFBF"/>
              <w:right w:val="single" w:sz="4" w:space="0" w:color="BFBFBF"/>
            </w:tcBorders>
            <w:shd w:val="clear" w:color="000000" w:fill="F2F2F2"/>
            <w:noWrap/>
            <w:vAlign w:val="center"/>
            <w:hideMark/>
          </w:tcPr>
          <w:p w14:paraId="6970AA17" w14:textId="0B24585F" w:rsidR="006D2ED1" w:rsidRPr="000B22A1" w:rsidRDefault="006D2ED1" w:rsidP="006D2ED1">
            <w:pPr>
              <w:jc w:val="right"/>
              <w:rPr>
                <w:rFonts w:eastAsia="Times New Roman"/>
                <w:color w:val="C00000"/>
                <w:sz w:val="18"/>
                <w:szCs w:val="18"/>
              </w:rPr>
            </w:pPr>
            <w:r w:rsidRPr="000B22A1">
              <w:rPr>
                <w:color w:val="C00000"/>
                <w:sz w:val="18"/>
                <w:szCs w:val="18"/>
              </w:rPr>
              <w:t>11.7%</w:t>
            </w:r>
          </w:p>
        </w:tc>
        <w:tc>
          <w:tcPr>
            <w:tcW w:w="1879" w:type="dxa"/>
            <w:tcBorders>
              <w:top w:val="single" w:sz="4" w:space="0" w:color="auto"/>
              <w:left w:val="nil"/>
              <w:bottom w:val="single" w:sz="4" w:space="0" w:color="BFBFBF"/>
              <w:right w:val="single" w:sz="4" w:space="0" w:color="auto"/>
            </w:tcBorders>
            <w:shd w:val="clear" w:color="000000" w:fill="F2F2F2"/>
            <w:noWrap/>
            <w:vAlign w:val="center"/>
            <w:hideMark/>
          </w:tcPr>
          <w:p w14:paraId="223A141E" w14:textId="3218CE03" w:rsidR="006D2ED1" w:rsidRPr="000B22A1" w:rsidRDefault="006D2ED1" w:rsidP="006D2ED1">
            <w:pPr>
              <w:jc w:val="right"/>
              <w:rPr>
                <w:rFonts w:eastAsia="Times New Roman"/>
                <w:color w:val="C00000"/>
                <w:sz w:val="18"/>
                <w:szCs w:val="18"/>
              </w:rPr>
            </w:pPr>
            <w:r w:rsidRPr="000B22A1">
              <w:rPr>
                <w:color w:val="C00000"/>
                <w:sz w:val="18"/>
                <w:szCs w:val="18"/>
              </w:rPr>
              <w:t>10.8%</w:t>
            </w:r>
          </w:p>
        </w:tc>
      </w:tr>
      <w:tr w:rsidR="006D2ED1" w:rsidRPr="00C6746D" w14:paraId="626E1712" w14:textId="77777777" w:rsidTr="00C6746D">
        <w:trPr>
          <w:trHeight w:val="402"/>
        </w:trPr>
        <w:tc>
          <w:tcPr>
            <w:tcW w:w="3719" w:type="dxa"/>
            <w:tcBorders>
              <w:top w:val="single" w:sz="4" w:space="0" w:color="BFBFBF"/>
              <w:left w:val="single" w:sz="4" w:space="0" w:color="auto"/>
              <w:bottom w:val="single" w:sz="4" w:space="0" w:color="BFBFBF"/>
              <w:right w:val="single" w:sz="4" w:space="0" w:color="000000"/>
            </w:tcBorders>
            <w:noWrap/>
            <w:vAlign w:val="center"/>
            <w:hideMark/>
          </w:tcPr>
          <w:p w14:paraId="2AED497F" w14:textId="3D6FF211" w:rsidR="006D2ED1" w:rsidRPr="00C6746D" w:rsidRDefault="006D2ED1" w:rsidP="006D2ED1">
            <w:pPr>
              <w:rPr>
                <w:rFonts w:eastAsia="Times New Roman"/>
                <w:color w:val="0D0D0D"/>
                <w:sz w:val="18"/>
                <w:szCs w:val="18"/>
              </w:rPr>
            </w:pPr>
            <w:proofErr w:type="spellStart"/>
            <w:r>
              <w:rPr>
                <w:color w:val="0D0D0D"/>
                <w:sz w:val="18"/>
                <w:szCs w:val="18"/>
              </w:rPr>
              <w:t>Intraprovincial</w:t>
            </w:r>
            <w:proofErr w:type="spellEnd"/>
            <w:r>
              <w:rPr>
                <w:color w:val="0D0D0D"/>
                <w:sz w:val="18"/>
                <w:szCs w:val="18"/>
              </w:rPr>
              <w:t xml:space="preserve"> migrant</w:t>
            </w:r>
          </w:p>
        </w:tc>
        <w:tc>
          <w:tcPr>
            <w:tcW w:w="1878" w:type="dxa"/>
            <w:tcBorders>
              <w:top w:val="nil"/>
              <w:left w:val="nil"/>
              <w:bottom w:val="single" w:sz="4" w:space="0" w:color="BFBFBF"/>
              <w:right w:val="single" w:sz="4" w:space="0" w:color="BFBFBF"/>
            </w:tcBorders>
            <w:noWrap/>
            <w:vAlign w:val="center"/>
            <w:hideMark/>
          </w:tcPr>
          <w:p w14:paraId="6C295298" w14:textId="2A77EE32" w:rsidR="006D2ED1" w:rsidRPr="000B22A1" w:rsidRDefault="006D2ED1" w:rsidP="006D2ED1">
            <w:pPr>
              <w:jc w:val="right"/>
              <w:rPr>
                <w:rFonts w:eastAsia="Times New Roman"/>
                <w:color w:val="C00000"/>
                <w:sz w:val="18"/>
                <w:szCs w:val="18"/>
              </w:rPr>
            </w:pPr>
            <w:r w:rsidRPr="000B22A1">
              <w:rPr>
                <w:color w:val="C00000"/>
                <w:sz w:val="18"/>
                <w:szCs w:val="18"/>
              </w:rPr>
              <w:t>8.7%</w:t>
            </w:r>
          </w:p>
        </w:tc>
        <w:tc>
          <w:tcPr>
            <w:tcW w:w="1879" w:type="dxa"/>
            <w:tcBorders>
              <w:top w:val="nil"/>
              <w:left w:val="nil"/>
              <w:bottom w:val="single" w:sz="4" w:space="0" w:color="BFBFBF"/>
              <w:right w:val="single" w:sz="4" w:space="0" w:color="BFBFBF"/>
            </w:tcBorders>
            <w:noWrap/>
            <w:vAlign w:val="center"/>
            <w:hideMark/>
          </w:tcPr>
          <w:p w14:paraId="085279AC" w14:textId="670B3FF4" w:rsidR="006D2ED1" w:rsidRPr="000B22A1" w:rsidRDefault="006D2ED1" w:rsidP="006D2ED1">
            <w:pPr>
              <w:jc w:val="right"/>
              <w:rPr>
                <w:rFonts w:eastAsia="Times New Roman"/>
                <w:color w:val="C00000"/>
                <w:sz w:val="18"/>
                <w:szCs w:val="18"/>
              </w:rPr>
            </w:pPr>
            <w:r w:rsidRPr="000B22A1">
              <w:rPr>
                <w:color w:val="C00000"/>
                <w:sz w:val="18"/>
                <w:szCs w:val="18"/>
              </w:rPr>
              <w:t>16.1%</w:t>
            </w:r>
          </w:p>
        </w:tc>
        <w:tc>
          <w:tcPr>
            <w:tcW w:w="1879" w:type="dxa"/>
            <w:tcBorders>
              <w:top w:val="nil"/>
              <w:left w:val="nil"/>
              <w:bottom w:val="single" w:sz="4" w:space="0" w:color="BFBFBF"/>
              <w:right w:val="single" w:sz="4" w:space="0" w:color="auto"/>
            </w:tcBorders>
            <w:noWrap/>
            <w:vAlign w:val="center"/>
            <w:hideMark/>
          </w:tcPr>
          <w:p w14:paraId="5F12770D" w14:textId="0AC11B5B" w:rsidR="006D2ED1" w:rsidRPr="000B22A1" w:rsidRDefault="006D2ED1" w:rsidP="006D2ED1">
            <w:pPr>
              <w:jc w:val="right"/>
              <w:rPr>
                <w:rFonts w:eastAsia="Times New Roman"/>
                <w:color w:val="C00000"/>
                <w:sz w:val="18"/>
                <w:szCs w:val="18"/>
              </w:rPr>
            </w:pPr>
            <w:r w:rsidRPr="000B22A1">
              <w:rPr>
                <w:color w:val="C00000"/>
                <w:sz w:val="18"/>
                <w:szCs w:val="18"/>
              </w:rPr>
              <w:t>15.9%</w:t>
            </w:r>
          </w:p>
        </w:tc>
      </w:tr>
      <w:tr w:rsidR="006D2ED1" w:rsidRPr="00C6746D" w14:paraId="0959AED3" w14:textId="77777777" w:rsidTr="00C6746D">
        <w:trPr>
          <w:trHeight w:val="402"/>
        </w:trPr>
        <w:tc>
          <w:tcPr>
            <w:tcW w:w="3719"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3477F637" w14:textId="0465860C" w:rsidR="006D2ED1" w:rsidRPr="00C6746D" w:rsidRDefault="006D2ED1" w:rsidP="006D2ED1">
            <w:pPr>
              <w:rPr>
                <w:rFonts w:eastAsia="Times New Roman"/>
                <w:color w:val="0D0D0D"/>
                <w:sz w:val="18"/>
                <w:szCs w:val="18"/>
              </w:rPr>
            </w:pPr>
            <w:r>
              <w:rPr>
                <w:color w:val="0D0D0D"/>
                <w:sz w:val="18"/>
                <w:szCs w:val="18"/>
              </w:rPr>
              <w:t>Interprovincial migrant</w:t>
            </w:r>
          </w:p>
        </w:tc>
        <w:tc>
          <w:tcPr>
            <w:tcW w:w="1878" w:type="dxa"/>
            <w:tcBorders>
              <w:top w:val="nil"/>
              <w:left w:val="nil"/>
              <w:bottom w:val="single" w:sz="4" w:space="0" w:color="BFBFBF"/>
              <w:right w:val="single" w:sz="4" w:space="0" w:color="BFBFBF"/>
            </w:tcBorders>
            <w:shd w:val="clear" w:color="000000" w:fill="F2F2F2"/>
            <w:noWrap/>
            <w:vAlign w:val="center"/>
            <w:hideMark/>
          </w:tcPr>
          <w:p w14:paraId="792D6C4D" w14:textId="79DDA62B" w:rsidR="006D2ED1" w:rsidRPr="000B22A1" w:rsidRDefault="006D2ED1" w:rsidP="006D2ED1">
            <w:pPr>
              <w:jc w:val="right"/>
              <w:rPr>
                <w:rFonts w:eastAsia="Times New Roman"/>
                <w:color w:val="C00000"/>
                <w:sz w:val="18"/>
                <w:szCs w:val="18"/>
              </w:rPr>
            </w:pPr>
            <w:r w:rsidRPr="000B22A1">
              <w:rPr>
                <w:color w:val="C00000"/>
                <w:sz w:val="18"/>
                <w:szCs w:val="18"/>
              </w:rPr>
              <w:t>8.2%</w:t>
            </w:r>
          </w:p>
        </w:tc>
        <w:tc>
          <w:tcPr>
            <w:tcW w:w="1879" w:type="dxa"/>
            <w:tcBorders>
              <w:top w:val="nil"/>
              <w:left w:val="nil"/>
              <w:bottom w:val="single" w:sz="4" w:space="0" w:color="BFBFBF"/>
              <w:right w:val="single" w:sz="4" w:space="0" w:color="BFBFBF"/>
            </w:tcBorders>
            <w:shd w:val="clear" w:color="000000" w:fill="F2F2F2"/>
            <w:noWrap/>
            <w:vAlign w:val="center"/>
            <w:hideMark/>
          </w:tcPr>
          <w:p w14:paraId="5EA0BB62" w14:textId="7DC933BA" w:rsidR="006D2ED1" w:rsidRPr="000B22A1" w:rsidRDefault="006D2ED1" w:rsidP="006D2ED1">
            <w:pPr>
              <w:jc w:val="right"/>
              <w:rPr>
                <w:rFonts w:eastAsia="Times New Roman"/>
                <w:color w:val="C00000"/>
                <w:sz w:val="18"/>
                <w:szCs w:val="18"/>
              </w:rPr>
            </w:pPr>
            <w:r w:rsidRPr="000B22A1">
              <w:rPr>
                <w:color w:val="C00000"/>
                <w:sz w:val="18"/>
                <w:szCs w:val="18"/>
              </w:rPr>
              <w:t>8.4%</w:t>
            </w:r>
          </w:p>
        </w:tc>
        <w:tc>
          <w:tcPr>
            <w:tcW w:w="1879" w:type="dxa"/>
            <w:tcBorders>
              <w:top w:val="nil"/>
              <w:left w:val="nil"/>
              <w:bottom w:val="single" w:sz="4" w:space="0" w:color="BFBFBF"/>
              <w:right w:val="single" w:sz="4" w:space="0" w:color="auto"/>
            </w:tcBorders>
            <w:shd w:val="clear" w:color="000000" w:fill="F2F2F2"/>
            <w:noWrap/>
            <w:vAlign w:val="center"/>
            <w:hideMark/>
          </w:tcPr>
          <w:p w14:paraId="574190B7" w14:textId="64E2E9EB" w:rsidR="006D2ED1" w:rsidRPr="000B22A1" w:rsidRDefault="006D2ED1" w:rsidP="006D2ED1">
            <w:pPr>
              <w:jc w:val="right"/>
              <w:rPr>
                <w:rFonts w:eastAsia="Times New Roman"/>
                <w:color w:val="C00000"/>
                <w:sz w:val="18"/>
                <w:szCs w:val="18"/>
              </w:rPr>
            </w:pPr>
            <w:r w:rsidRPr="000B22A1">
              <w:rPr>
                <w:color w:val="C00000"/>
                <w:sz w:val="18"/>
                <w:szCs w:val="18"/>
              </w:rPr>
              <w:t>8.6%</w:t>
            </w:r>
          </w:p>
        </w:tc>
      </w:tr>
      <w:tr w:rsidR="006D2ED1" w:rsidRPr="00C6746D" w14:paraId="480EAD45" w14:textId="77777777" w:rsidTr="00C6746D">
        <w:trPr>
          <w:trHeight w:val="402"/>
        </w:trPr>
        <w:tc>
          <w:tcPr>
            <w:tcW w:w="3719" w:type="dxa"/>
            <w:tcBorders>
              <w:top w:val="single" w:sz="4" w:space="0" w:color="BFBFBF"/>
              <w:left w:val="single" w:sz="4" w:space="0" w:color="auto"/>
              <w:bottom w:val="single" w:sz="4" w:space="0" w:color="auto"/>
              <w:right w:val="single" w:sz="4" w:space="0" w:color="000000"/>
            </w:tcBorders>
            <w:noWrap/>
            <w:vAlign w:val="center"/>
            <w:hideMark/>
          </w:tcPr>
          <w:p w14:paraId="50948F2C" w14:textId="34A6001B" w:rsidR="006D2ED1" w:rsidRPr="00C6746D" w:rsidRDefault="006D2ED1" w:rsidP="006D2ED1">
            <w:pPr>
              <w:rPr>
                <w:rFonts w:eastAsia="Times New Roman"/>
                <w:color w:val="0D0D0D"/>
                <w:sz w:val="18"/>
                <w:szCs w:val="18"/>
              </w:rPr>
            </w:pPr>
            <w:r>
              <w:rPr>
                <w:color w:val="0D0D0D"/>
                <w:sz w:val="18"/>
                <w:szCs w:val="18"/>
              </w:rPr>
              <w:t>International migrant</w:t>
            </w:r>
          </w:p>
        </w:tc>
        <w:tc>
          <w:tcPr>
            <w:tcW w:w="1878" w:type="dxa"/>
            <w:tcBorders>
              <w:top w:val="nil"/>
              <w:left w:val="nil"/>
              <w:bottom w:val="single" w:sz="4" w:space="0" w:color="auto"/>
              <w:right w:val="single" w:sz="4" w:space="0" w:color="BFBFBF"/>
            </w:tcBorders>
            <w:noWrap/>
            <w:vAlign w:val="center"/>
            <w:hideMark/>
          </w:tcPr>
          <w:p w14:paraId="6E455F80" w14:textId="5366C7F6" w:rsidR="006D2ED1" w:rsidRPr="000B22A1" w:rsidRDefault="006D2ED1" w:rsidP="006D2ED1">
            <w:pPr>
              <w:jc w:val="right"/>
              <w:rPr>
                <w:rFonts w:eastAsia="Times New Roman"/>
                <w:color w:val="C00000"/>
                <w:sz w:val="18"/>
                <w:szCs w:val="18"/>
              </w:rPr>
            </w:pPr>
            <w:r w:rsidRPr="000B22A1">
              <w:rPr>
                <w:color w:val="C00000"/>
                <w:sz w:val="18"/>
                <w:szCs w:val="18"/>
              </w:rPr>
              <w:t>13.9%</w:t>
            </w:r>
          </w:p>
        </w:tc>
        <w:tc>
          <w:tcPr>
            <w:tcW w:w="1879" w:type="dxa"/>
            <w:tcBorders>
              <w:top w:val="nil"/>
              <w:left w:val="nil"/>
              <w:bottom w:val="single" w:sz="4" w:space="0" w:color="auto"/>
              <w:right w:val="single" w:sz="4" w:space="0" w:color="BFBFBF"/>
            </w:tcBorders>
            <w:noWrap/>
            <w:vAlign w:val="center"/>
            <w:hideMark/>
          </w:tcPr>
          <w:p w14:paraId="766DAD81" w14:textId="3701CDDA" w:rsidR="006D2ED1" w:rsidRPr="000B22A1" w:rsidRDefault="006D2ED1" w:rsidP="006D2ED1">
            <w:pPr>
              <w:jc w:val="right"/>
              <w:rPr>
                <w:rFonts w:eastAsia="Times New Roman"/>
                <w:color w:val="C00000"/>
                <w:sz w:val="18"/>
                <w:szCs w:val="18"/>
              </w:rPr>
            </w:pPr>
            <w:r w:rsidRPr="000B22A1">
              <w:rPr>
                <w:color w:val="C00000"/>
                <w:sz w:val="18"/>
                <w:szCs w:val="18"/>
              </w:rPr>
              <w:t>8.2%</w:t>
            </w:r>
          </w:p>
        </w:tc>
        <w:tc>
          <w:tcPr>
            <w:tcW w:w="1879" w:type="dxa"/>
            <w:tcBorders>
              <w:top w:val="nil"/>
              <w:left w:val="nil"/>
              <w:bottom w:val="single" w:sz="4" w:space="0" w:color="auto"/>
              <w:right w:val="single" w:sz="4" w:space="0" w:color="auto"/>
            </w:tcBorders>
            <w:noWrap/>
            <w:vAlign w:val="center"/>
            <w:hideMark/>
          </w:tcPr>
          <w:p w14:paraId="68A61F61" w14:textId="3371B872" w:rsidR="006D2ED1" w:rsidRPr="000B22A1" w:rsidRDefault="006D2ED1" w:rsidP="006D2ED1">
            <w:pPr>
              <w:jc w:val="right"/>
              <w:rPr>
                <w:rFonts w:eastAsia="Times New Roman"/>
                <w:color w:val="C00000"/>
                <w:sz w:val="18"/>
                <w:szCs w:val="18"/>
              </w:rPr>
            </w:pPr>
            <w:r w:rsidRPr="000B22A1">
              <w:rPr>
                <w:color w:val="C00000"/>
                <w:sz w:val="18"/>
                <w:szCs w:val="18"/>
              </w:rPr>
              <w:t>6.0%</w:t>
            </w:r>
          </w:p>
        </w:tc>
      </w:tr>
    </w:tbl>
    <w:p w14:paraId="2A7ECF51" w14:textId="48E08457" w:rsidR="00C6746D" w:rsidRPr="007D5245" w:rsidRDefault="002B6E3B" w:rsidP="002B6E3B">
      <w:pPr>
        <w:pStyle w:val="Source"/>
      </w:pPr>
      <w:r w:rsidRPr="007D5245">
        <w:t>Source: Statistics Canada 2021 Census Profile</w:t>
      </w:r>
    </w:p>
    <w:p w14:paraId="1436A83C" w14:textId="77777777" w:rsidR="00C6746D" w:rsidRPr="007D5245" w:rsidRDefault="00C6746D" w:rsidP="00075E75"/>
    <w:p w14:paraId="6E5C3E7A" w14:textId="77777777" w:rsidR="00436944" w:rsidRDefault="00436944" w:rsidP="00436944">
      <w:pPr>
        <w:jc w:val="both"/>
      </w:pPr>
      <w:r>
        <w:t>A local in-migration rate that exceeds regional or provincial averages may indicate that the community is a relatively attractive destination, whether due to employment opportunities, comparative affordability, amenities, or proximity to or status as a larger centre.</w:t>
      </w:r>
    </w:p>
    <w:p w14:paraId="6FD64BC5" w14:textId="77777777" w:rsidR="00436944" w:rsidRDefault="00436944" w:rsidP="00436944">
      <w:pPr>
        <w:jc w:val="both"/>
      </w:pPr>
    </w:p>
    <w:p w14:paraId="7E60AC03" w14:textId="77777777" w:rsidR="00E25094" w:rsidRDefault="00436944" w:rsidP="00436944">
      <w:pPr>
        <w:jc w:val="both"/>
      </w:pPr>
      <w:r>
        <w:t>Below-average in-migration or elevated local mobility (movement within the community) may suggest that residents are relocating within the community in search of suitable or more affordable housing, or that the community is less successful at attracting new residents from elsewhere.</w:t>
      </w:r>
    </w:p>
    <w:p w14:paraId="1C3E9B6E" w14:textId="690BA25D" w:rsidR="00C975E9" w:rsidRDefault="00C975E9" w:rsidP="00436944">
      <w:pPr>
        <w:jc w:val="both"/>
      </w:pPr>
      <w:r>
        <w:t xml:space="preserve"> </w:t>
      </w:r>
    </w:p>
    <w:p w14:paraId="53DB2546" w14:textId="7F890FA8" w:rsidR="00C975E9" w:rsidRDefault="00E45F43" w:rsidP="008D51C0">
      <w:pPr>
        <w:pStyle w:val="Heading3"/>
      </w:pPr>
      <w:r>
        <w:lastRenderedPageBreak/>
        <w:t>Key Populations</w:t>
      </w:r>
    </w:p>
    <w:p w14:paraId="77DE2A8F" w14:textId="11AB4ACE" w:rsidR="00C975E9" w:rsidRDefault="00C975E9" w:rsidP="00C975E9">
      <w:pPr>
        <w:jc w:val="both"/>
      </w:pPr>
      <w:r w:rsidRPr="00C975E9">
        <w:rPr>
          <w:rStyle w:val="Figure-textChar"/>
        </w:rPr>
        <w:fldChar w:fldCharType="begin"/>
      </w:r>
      <w:r w:rsidRPr="00C975E9">
        <w:rPr>
          <w:rStyle w:val="Figure-textChar"/>
        </w:rPr>
        <w:instrText xml:space="preserve"> REF _Ref222758625 \h </w:instrText>
      </w:r>
      <w:r>
        <w:rPr>
          <w:rStyle w:val="Figure-textChar"/>
        </w:rPr>
        <w:instrText xml:space="preserve"> \* MERGEFORMAT </w:instrText>
      </w:r>
      <w:r w:rsidRPr="00C975E9">
        <w:rPr>
          <w:rStyle w:val="Figure-textChar"/>
        </w:rPr>
      </w:r>
      <w:r w:rsidRPr="00C975E9">
        <w:rPr>
          <w:rStyle w:val="Figure-textChar"/>
        </w:rPr>
        <w:fldChar w:fldCharType="separate"/>
      </w:r>
      <w:r w:rsidR="00CA6116" w:rsidRPr="00CA6116">
        <w:rPr>
          <w:rStyle w:val="Figure-textChar"/>
        </w:rPr>
        <w:t>Table 4.3</w:t>
      </w:r>
      <w:r w:rsidRPr="00C975E9">
        <w:rPr>
          <w:rStyle w:val="Figure-textChar"/>
        </w:rPr>
        <w:fldChar w:fldCharType="end"/>
      </w:r>
      <w:r>
        <w:t xml:space="preserve"> profiles several population groups whose housing circumstances and vulnerabilities may warrant particular attention.</w:t>
      </w:r>
    </w:p>
    <w:p w14:paraId="60B76D04" w14:textId="77777777" w:rsidR="00C975E9" w:rsidRPr="00C975E9" w:rsidRDefault="00C975E9" w:rsidP="00075E75"/>
    <w:p w14:paraId="42765E0E" w14:textId="434892F4" w:rsidR="00B034EB" w:rsidRDefault="00B034EB" w:rsidP="00B034EB">
      <w:pPr>
        <w:pStyle w:val="Caption"/>
      </w:pPr>
      <w:bookmarkStart w:id="19" w:name="_Ref222758625"/>
      <w:r>
        <w:t xml:space="preserve">Table </w:t>
      </w:r>
      <w:fldSimple w:instr=" STYLEREF 1 \s ">
        <w:r w:rsidR="005E459C">
          <w:rPr>
            <w:noProof/>
          </w:rPr>
          <w:t>4</w:t>
        </w:r>
      </w:fldSimple>
      <w:r w:rsidR="00BD4359">
        <w:t>.</w:t>
      </w:r>
      <w:fldSimple w:instr=" SEQ Table \* ARABIC \s 1 ">
        <w:r w:rsidR="005E459C">
          <w:rPr>
            <w:noProof/>
          </w:rPr>
          <w:t>3</w:t>
        </w:r>
      </w:fldSimple>
      <w:bookmarkEnd w:id="19"/>
      <w:r>
        <w:t>: Key population group</w:t>
      </w:r>
      <w:r w:rsidR="00F220AF">
        <w:t xml:space="preserve"> shares of total population</w:t>
      </w:r>
      <w:r>
        <w:t xml:space="preserve"> by geography, 2021</w:t>
      </w:r>
    </w:p>
    <w:tbl>
      <w:tblPr>
        <w:tblW w:w="9355" w:type="dxa"/>
        <w:tblLayout w:type="fixed"/>
        <w:tblLook w:val="04A0" w:firstRow="1" w:lastRow="0" w:firstColumn="1" w:lastColumn="0" w:noHBand="0" w:noVBand="1"/>
      </w:tblPr>
      <w:tblGrid>
        <w:gridCol w:w="3685"/>
        <w:gridCol w:w="1890"/>
        <w:gridCol w:w="1890"/>
        <w:gridCol w:w="1890"/>
      </w:tblGrid>
      <w:tr w:rsidR="002611E7" w:rsidRPr="002611E7" w14:paraId="4D2317BC" w14:textId="77777777" w:rsidTr="003C59F9">
        <w:trPr>
          <w:trHeight w:val="402"/>
          <w:tblHeader/>
        </w:trPr>
        <w:tc>
          <w:tcPr>
            <w:tcW w:w="368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1A559884" w14:textId="77777777" w:rsidR="002611E7" w:rsidRPr="002611E7" w:rsidRDefault="002611E7" w:rsidP="002611E7">
            <w:pPr>
              <w:rPr>
                <w:rFonts w:eastAsia="Times New Roman"/>
                <w:color w:val="FFFFFF"/>
                <w:sz w:val="18"/>
                <w:szCs w:val="18"/>
              </w:rPr>
            </w:pPr>
            <w:r w:rsidRPr="002611E7">
              <w:rPr>
                <w:rFonts w:eastAsia="Times New Roman"/>
                <w:color w:val="FFFFFF"/>
                <w:sz w:val="18"/>
                <w:szCs w:val="18"/>
              </w:rPr>
              <w:t>Population category</w:t>
            </w:r>
          </w:p>
        </w:tc>
        <w:tc>
          <w:tcPr>
            <w:tcW w:w="189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0C8C350" w14:textId="77777777" w:rsidR="002611E7" w:rsidRPr="002611E7" w:rsidRDefault="002611E7" w:rsidP="002611E7">
            <w:pPr>
              <w:jc w:val="right"/>
              <w:rPr>
                <w:rFonts w:eastAsia="Times New Roman"/>
                <w:color w:val="FFFFFF"/>
                <w:sz w:val="18"/>
                <w:szCs w:val="18"/>
              </w:rPr>
            </w:pPr>
            <w:r w:rsidRPr="002611E7">
              <w:rPr>
                <w:rFonts w:eastAsia="Times New Roman"/>
                <w:color w:val="FFFFFF"/>
                <w:sz w:val="18"/>
                <w:szCs w:val="18"/>
              </w:rPr>
              <w:t>Local</w:t>
            </w:r>
          </w:p>
        </w:tc>
        <w:tc>
          <w:tcPr>
            <w:tcW w:w="189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0F9B938" w14:textId="77777777" w:rsidR="002611E7" w:rsidRPr="002611E7" w:rsidRDefault="002611E7" w:rsidP="002611E7">
            <w:pPr>
              <w:jc w:val="right"/>
              <w:rPr>
                <w:rFonts w:eastAsia="Times New Roman"/>
                <w:color w:val="FFFFFF"/>
                <w:sz w:val="18"/>
                <w:szCs w:val="18"/>
              </w:rPr>
            </w:pPr>
            <w:r w:rsidRPr="002611E7">
              <w:rPr>
                <w:rFonts w:eastAsia="Times New Roman"/>
                <w:color w:val="FFFFFF"/>
                <w:sz w:val="18"/>
                <w:szCs w:val="18"/>
              </w:rPr>
              <w:t>Region</w:t>
            </w:r>
          </w:p>
        </w:tc>
        <w:tc>
          <w:tcPr>
            <w:tcW w:w="189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5743550F" w14:textId="77777777" w:rsidR="002611E7" w:rsidRPr="002611E7" w:rsidRDefault="002611E7" w:rsidP="002611E7">
            <w:pPr>
              <w:jc w:val="right"/>
              <w:rPr>
                <w:rFonts w:eastAsia="Times New Roman"/>
                <w:color w:val="FFFFFF"/>
                <w:sz w:val="18"/>
                <w:szCs w:val="18"/>
              </w:rPr>
            </w:pPr>
            <w:r w:rsidRPr="002611E7">
              <w:rPr>
                <w:rFonts w:eastAsia="Times New Roman"/>
                <w:color w:val="FFFFFF"/>
                <w:sz w:val="18"/>
                <w:szCs w:val="18"/>
              </w:rPr>
              <w:t>Province</w:t>
            </w:r>
          </w:p>
        </w:tc>
      </w:tr>
      <w:tr w:rsidR="002611E7" w:rsidRPr="002611E7" w14:paraId="03D4B9BF" w14:textId="77777777" w:rsidTr="002611E7">
        <w:trPr>
          <w:trHeight w:val="402"/>
        </w:trPr>
        <w:tc>
          <w:tcPr>
            <w:tcW w:w="3685"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565267BB" w14:textId="77777777" w:rsidR="002611E7" w:rsidRPr="002611E7" w:rsidRDefault="002611E7" w:rsidP="002611E7">
            <w:pPr>
              <w:rPr>
                <w:rFonts w:eastAsia="Times New Roman"/>
                <w:color w:val="0D0D0D"/>
                <w:sz w:val="18"/>
                <w:szCs w:val="18"/>
              </w:rPr>
            </w:pPr>
            <w:r w:rsidRPr="002611E7">
              <w:rPr>
                <w:rFonts w:eastAsia="Times New Roman"/>
                <w:color w:val="0D0D0D"/>
                <w:sz w:val="18"/>
                <w:szCs w:val="18"/>
              </w:rPr>
              <w:t>Indigenous identifying persons</w:t>
            </w:r>
          </w:p>
        </w:tc>
        <w:tc>
          <w:tcPr>
            <w:tcW w:w="1890" w:type="dxa"/>
            <w:tcBorders>
              <w:top w:val="nil"/>
              <w:left w:val="nil"/>
              <w:bottom w:val="single" w:sz="4" w:space="0" w:color="BFBFBF"/>
              <w:right w:val="single" w:sz="4" w:space="0" w:color="BFBFBF"/>
            </w:tcBorders>
            <w:shd w:val="clear" w:color="000000" w:fill="F2F2F2"/>
            <w:noWrap/>
            <w:vAlign w:val="center"/>
            <w:hideMark/>
          </w:tcPr>
          <w:p w14:paraId="32624202"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2.0%</w:t>
            </w:r>
          </w:p>
        </w:tc>
        <w:tc>
          <w:tcPr>
            <w:tcW w:w="1890" w:type="dxa"/>
            <w:tcBorders>
              <w:top w:val="nil"/>
              <w:left w:val="nil"/>
              <w:bottom w:val="single" w:sz="4" w:space="0" w:color="BFBFBF"/>
              <w:right w:val="single" w:sz="4" w:space="0" w:color="BFBFBF"/>
            </w:tcBorders>
            <w:shd w:val="clear" w:color="000000" w:fill="F2F2F2"/>
            <w:noWrap/>
            <w:vAlign w:val="center"/>
            <w:hideMark/>
          </w:tcPr>
          <w:p w14:paraId="7E8B0EBB"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2.0%</w:t>
            </w:r>
          </w:p>
        </w:tc>
        <w:tc>
          <w:tcPr>
            <w:tcW w:w="1890" w:type="dxa"/>
            <w:tcBorders>
              <w:top w:val="nil"/>
              <w:left w:val="nil"/>
              <w:bottom w:val="single" w:sz="4" w:space="0" w:color="BFBFBF"/>
              <w:right w:val="single" w:sz="4" w:space="0" w:color="auto"/>
            </w:tcBorders>
            <w:shd w:val="clear" w:color="000000" w:fill="F2F2F2"/>
            <w:noWrap/>
            <w:vAlign w:val="center"/>
            <w:hideMark/>
          </w:tcPr>
          <w:p w14:paraId="37C10B21"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2.2%</w:t>
            </w:r>
          </w:p>
        </w:tc>
      </w:tr>
      <w:tr w:rsidR="002611E7" w:rsidRPr="002611E7" w14:paraId="6353D49A" w14:textId="77777777" w:rsidTr="002611E7">
        <w:trPr>
          <w:trHeight w:val="402"/>
        </w:trPr>
        <w:tc>
          <w:tcPr>
            <w:tcW w:w="3685" w:type="dxa"/>
            <w:tcBorders>
              <w:top w:val="single" w:sz="4" w:space="0" w:color="BFBFBF"/>
              <w:left w:val="single" w:sz="4" w:space="0" w:color="auto"/>
              <w:bottom w:val="single" w:sz="4" w:space="0" w:color="BFBFBF"/>
              <w:right w:val="single" w:sz="4" w:space="0" w:color="000000"/>
            </w:tcBorders>
            <w:noWrap/>
            <w:vAlign w:val="center"/>
            <w:hideMark/>
          </w:tcPr>
          <w:p w14:paraId="12E6962D" w14:textId="77777777" w:rsidR="002611E7" w:rsidRPr="002611E7" w:rsidRDefault="002611E7" w:rsidP="002611E7">
            <w:pPr>
              <w:rPr>
                <w:rFonts w:eastAsia="Times New Roman"/>
                <w:color w:val="0D0D0D"/>
                <w:sz w:val="18"/>
                <w:szCs w:val="18"/>
              </w:rPr>
            </w:pPr>
            <w:r w:rsidRPr="002611E7">
              <w:rPr>
                <w:rFonts w:eastAsia="Times New Roman"/>
                <w:color w:val="0D0D0D"/>
                <w:sz w:val="18"/>
                <w:szCs w:val="18"/>
              </w:rPr>
              <w:t>Visible minority identifying persons</w:t>
            </w:r>
          </w:p>
        </w:tc>
        <w:tc>
          <w:tcPr>
            <w:tcW w:w="1890" w:type="dxa"/>
            <w:tcBorders>
              <w:top w:val="nil"/>
              <w:left w:val="nil"/>
              <w:bottom w:val="single" w:sz="4" w:space="0" w:color="BFBFBF"/>
              <w:right w:val="single" w:sz="4" w:space="0" w:color="BFBFBF"/>
            </w:tcBorders>
            <w:noWrap/>
            <w:vAlign w:val="center"/>
            <w:hideMark/>
          </w:tcPr>
          <w:p w14:paraId="331C0242"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21.8%</w:t>
            </w:r>
          </w:p>
        </w:tc>
        <w:tc>
          <w:tcPr>
            <w:tcW w:w="1890" w:type="dxa"/>
            <w:tcBorders>
              <w:top w:val="nil"/>
              <w:left w:val="nil"/>
              <w:bottom w:val="single" w:sz="4" w:space="0" w:color="BFBFBF"/>
              <w:right w:val="single" w:sz="4" w:space="0" w:color="BFBFBF"/>
            </w:tcBorders>
            <w:noWrap/>
            <w:vAlign w:val="center"/>
            <w:hideMark/>
          </w:tcPr>
          <w:p w14:paraId="548F6382"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12.9%</w:t>
            </w:r>
          </w:p>
        </w:tc>
        <w:tc>
          <w:tcPr>
            <w:tcW w:w="1890" w:type="dxa"/>
            <w:tcBorders>
              <w:top w:val="nil"/>
              <w:left w:val="nil"/>
              <w:bottom w:val="single" w:sz="4" w:space="0" w:color="BFBFBF"/>
              <w:right w:val="single" w:sz="4" w:space="0" w:color="auto"/>
            </w:tcBorders>
            <w:noWrap/>
            <w:vAlign w:val="center"/>
            <w:hideMark/>
          </w:tcPr>
          <w:p w14:paraId="1BE961A6"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9.5%</w:t>
            </w:r>
          </w:p>
        </w:tc>
      </w:tr>
      <w:tr w:rsidR="002611E7" w:rsidRPr="002611E7" w14:paraId="7B967263" w14:textId="77777777" w:rsidTr="002611E7">
        <w:trPr>
          <w:trHeight w:val="402"/>
        </w:trPr>
        <w:tc>
          <w:tcPr>
            <w:tcW w:w="368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220FF3BC" w14:textId="77777777" w:rsidR="002611E7" w:rsidRPr="002611E7" w:rsidRDefault="002611E7" w:rsidP="002611E7">
            <w:pPr>
              <w:rPr>
                <w:rFonts w:eastAsia="Times New Roman"/>
                <w:color w:val="0D0D0D"/>
                <w:sz w:val="18"/>
                <w:szCs w:val="18"/>
              </w:rPr>
            </w:pPr>
            <w:r w:rsidRPr="002611E7">
              <w:rPr>
                <w:rFonts w:eastAsia="Times New Roman"/>
                <w:color w:val="0D0D0D"/>
                <w:sz w:val="18"/>
                <w:szCs w:val="18"/>
              </w:rPr>
              <w:t>Immigrants</w:t>
            </w:r>
          </w:p>
        </w:tc>
        <w:tc>
          <w:tcPr>
            <w:tcW w:w="1890" w:type="dxa"/>
            <w:tcBorders>
              <w:top w:val="nil"/>
              <w:left w:val="nil"/>
              <w:bottom w:val="single" w:sz="4" w:space="0" w:color="BFBFBF"/>
              <w:right w:val="single" w:sz="4" w:space="0" w:color="BFBFBF"/>
            </w:tcBorders>
            <w:shd w:val="clear" w:color="000000" w:fill="F2F2F2"/>
            <w:noWrap/>
            <w:vAlign w:val="center"/>
            <w:hideMark/>
          </w:tcPr>
          <w:p w14:paraId="59063A54"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14.0%</w:t>
            </w:r>
          </w:p>
        </w:tc>
        <w:tc>
          <w:tcPr>
            <w:tcW w:w="1890" w:type="dxa"/>
            <w:tcBorders>
              <w:top w:val="nil"/>
              <w:left w:val="nil"/>
              <w:bottom w:val="single" w:sz="4" w:space="0" w:color="BFBFBF"/>
              <w:right w:val="single" w:sz="4" w:space="0" w:color="BFBFBF"/>
            </w:tcBorders>
            <w:shd w:val="clear" w:color="000000" w:fill="F2F2F2"/>
            <w:noWrap/>
            <w:vAlign w:val="center"/>
            <w:hideMark/>
          </w:tcPr>
          <w:p w14:paraId="5EF889D9"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10.2%</w:t>
            </w:r>
          </w:p>
        </w:tc>
        <w:tc>
          <w:tcPr>
            <w:tcW w:w="1890" w:type="dxa"/>
            <w:tcBorders>
              <w:top w:val="nil"/>
              <w:left w:val="nil"/>
              <w:bottom w:val="single" w:sz="4" w:space="0" w:color="BFBFBF"/>
              <w:right w:val="single" w:sz="4" w:space="0" w:color="auto"/>
            </w:tcBorders>
            <w:shd w:val="clear" w:color="000000" w:fill="F2F2F2"/>
            <w:noWrap/>
            <w:vAlign w:val="center"/>
            <w:hideMark/>
          </w:tcPr>
          <w:p w14:paraId="7FCD21CB"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7.8%</w:t>
            </w:r>
          </w:p>
        </w:tc>
      </w:tr>
      <w:tr w:rsidR="002611E7" w:rsidRPr="002611E7" w14:paraId="7119A7C0" w14:textId="77777777" w:rsidTr="002611E7">
        <w:trPr>
          <w:trHeight w:val="402"/>
        </w:trPr>
        <w:tc>
          <w:tcPr>
            <w:tcW w:w="3685" w:type="dxa"/>
            <w:tcBorders>
              <w:top w:val="single" w:sz="4" w:space="0" w:color="BFBFBF"/>
              <w:left w:val="single" w:sz="4" w:space="0" w:color="auto"/>
              <w:bottom w:val="single" w:sz="4" w:space="0" w:color="BFBFBF"/>
              <w:right w:val="single" w:sz="4" w:space="0" w:color="000000"/>
            </w:tcBorders>
            <w:noWrap/>
            <w:vAlign w:val="center"/>
            <w:hideMark/>
          </w:tcPr>
          <w:p w14:paraId="55AF33BA" w14:textId="6C6B41A0" w:rsidR="002611E7" w:rsidRPr="002611E7" w:rsidRDefault="002611E7" w:rsidP="002611E7">
            <w:pPr>
              <w:rPr>
                <w:rFonts w:eastAsia="Times New Roman"/>
                <w:color w:val="0D0D0D"/>
                <w:sz w:val="18"/>
                <w:szCs w:val="18"/>
              </w:rPr>
            </w:pPr>
            <w:r w:rsidRPr="002611E7">
              <w:rPr>
                <w:rFonts w:eastAsia="Times New Roman"/>
                <w:color w:val="0D0D0D"/>
                <w:sz w:val="18"/>
                <w:szCs w:val="18"/>
              </w:rPr>
              <w:t>Recent immigrants</w:t>
            </w:r>
            <w:r>
              <w:rPr>
                <w:rFonts w:eastAsia="Times New Roman"/>
                <w:color w:val="0D0D0D"/>
                <w:sz w:val="18"/>
                <w:szCs w:val="18"/>
              </w:rPr>
              <w:t xml:space="preserve"> (2016 to 2021)</w:t>
            </w:r>
          </w:p>
        </w:tc>
        <w:tc>
          <w:tcPr>
            <w:tcW w:w="1890" w:type="dxa"/>
            <w:tcBorders>
              <w:top w:val="nil"/>
              <w:left w:val="nil"/>
              <w:bottom w:val="single" w:sz="4" w:space="0" w:color="BFBFBF"/>
              <w:right w:val="single" w:sz="4" w:space="0" w:color="BFBFBF"/>
            </w:tcBorders>
            <w:noWrap/>
            <w:vAlign w:val="center"/>
            <w:hideMark/>
          </w:tcPr>
          <w:p w14:paraId="3D6058D6"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7.1%</w:t>
            </w:r>
          </w:p>
        </w:tc>
        <w:tc>
          <w:tcPr>
            <w:tcW w:w="1890" w:type="dxa"/>
            <w:tcBorders>
              <w:top w:val="nil"/>
              <w:left w:val="nil"/>
              <w:bottom w:val="single" w:sz="4" w:space="0" w:color="BFBFBF"/>
              <w:right w:val="single" w:sz="4" w:space="0" w:color="BFBFBF"/>
            </w:tcBorders>
            <w:noWrap/>
            <w:vAlign w:val="center"/>
            <w:hideMark/>
          </w:tcPr>
          <w:p w14:paraId="343CE3A8"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4.5%</w:t>
            </w:r>
          </w:p>
        </w:tc>
        <w:tc>
          <w:tcPr>
            <w:tcW w:w="1890" w:type="dxa"/>
            <w:tcBorders>
              <w:top w:val="nil"/>
              <w:left w:val="nil"/>
              <w:bottom w:val="single" w:sz="4" w:space="0" w:color="BFBFBF"/>
              <w:right w:val="single" w:sz="4" w:space="0" w:color="auto"/>
            </w:tcBorders>
            <w:noWrap/>
            <w:vAlign w:val="center"/>
            <w:hideMark/>
          </w:tcPr>
          <w:p w14:paraId="1EF67CAC"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3.2%</w:t>
            </w:r>
          </w:p>
        </w:tc>
      </w:tr>
      <w:tr w:rsidR="002611E7" w:rsidRPr="002611E7" w14:paraId="652D3971" w14:textId="77777777" w:rsidTr="002611E7">
        <w:trPr>
          <w:trHeight w:val="402"/>
        </w:trPr>
        <w:tc>
          <w:tcPr>
            <w:tcW w:w="368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004565B8" w14:textId="77777777" w:rsidR="002611E7" w:rsidRPr="002611E7" w:rsidRDefault="002611E7" w:rsidP="002611E7">
            <w:pPr>
              <w:rPr>
                <w:rFonts w:eastAsia="Times New Roman"/>
                <w:color w:val="0D0D0D"/>
                <w:sz w:val="18"/>
                <w:szCs w:val="18"/>
              </w:rPr>
            </w:pPr>
            <w:r w:rsidRPr="002611E7">
              <w:rPr>
                <w:rFonts w:eastAsia="Times New Roman"/>
                <w:color w:val="0D0D0D"/>
                <w:sz w:val="18"/>
                <w:szCs w:val="18"/>
              </w:rPr>
              <w:t>Non-permanent residents</w:t>
            </w:r>
          </w:p>
        </w:tc>
        <w:tc>
          <w:tcPr>
            <w:tcW w:w="1890" w:type="dxa"/>
            <w:tcBorders>
              <w:top w:val="nil"/>
              <w:left w:val="nil"/>
              <w:bottom w:val="single" w:sz="4" w:space="0" w:color="BFBFBF"/>
              <w:right w:val="single" w:sz="4" w:space="0" w:color="BFBFBF"/>
            </w:tcBorders>
            <w:shd w:val="clear" w:color="000000" w:fill="F2F2F2"/>
            <w:noWrap/>
            <w:vAlign w:val="center"/>
            <w:hideMark/>
          </w:tcPr>
          <w:p w14:paraId="015BE5CA"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8.7%</w:t>
            </w:r>
          </w:p>
        </w:tc>
        <w:tc>
          <w:tcPr>
            <w:tcW w:w="1890" w:type="dxa"/>
            <w:tcBorders>
              <w:top w:val="nil"/>
              <w:left w:val="nil"/>
              <w:bottom w:val="single" w:sz="4" w:space="0" w:color="BFBFBF"/>
              <w:right w:val="single" w:sz="4" w:space="0" w:color="BFBFBF"/>
            </w:tcBorders>
            <w:shd w:val="clear" w:color="000000" w:fill="F2F2F2"/>
            <w:noWrap/>
            <w:vAlign w:val="center"/>
            <w:hideMark/>
          </w:tcPr>
          <w:p w14:paraId="3D8B34BA"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4.7%</w:t>
            </w:r>
          </w:p>
        </w:tc>
        <w:tc>
          <w:tcPr>
            <w:tcW w:w="1890" w:type="dxa"/>
            <w:tcBorders>
              <w:top w:val="nil"/>
              <w:left w:val="nil"/>
              <w:bottom w:val="single" w:sz="4" w:space="0" w:color="BFBFBF"/>
              <w:right w:val="single" w:sz="4" w:space="0" w:color="auto"/>
            </w:tcBorders>
            <w:shd w:val="clear" w:color="000000" w:fill="F2F2F2"/>
            <w:noWrap/>
            <w:vAlign w:val="center"/>
            <w:hideMark/>
          </w:tcPr>
          <w:p w14:paraId="20728A38"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3.6%</w:t>
            </w:r>
          </w:p>
        </w:tc>
      </w:tr>
      <w:tr w:rsidR="002611E7" w:rsidRPr="002611E7" w14:paraId="736D65E2" w14:textId="77777777" w:rsidTr="002611E7">
        <w:trPr>
          <w:trHeight w:val="402"/>
        </w:trPr>
        <w:tc>
          <w:tcPr>
            <w:tcW w:w="3685" w:type="dxa"/>
            <w:tcBorders>
              <w:top w:val="single" w:sz="4" w:space="0" w:color="BFBFBF"/>
              <w:left w:val="single" w:sz="4" w:space="0" w:color="auto"/>
              <w:bottom w:val="single" w:sz="4" w:space="0" w:color="BFBFBF"/>
              <w:right w:val="single" w:sz="4" w:space="0" w:color="000000"/>
            </w:tcBorders>
            <w:noWrap/>
            <w:vAlign w:val="center"/>
            <w:hideMark/>
          </w:tcPr>
          <w:p w14:paraId="13019F9C" w14:textId="77777777" w:rsidR="002611E7" w:rsidRPr="002611E7" w:rsidRDefault="002611E7" w:rsidP="002611E7">
            <w:pPr>
              <w:rPr>
                <w:rFonts w:eastAsia="Times New Roman"/>
                <w:color w:val="0D0D0D"/>
                <w:sz w:val="18"/>
                <w:szCs w:val="18"/>
              </w:rPr>
            </w:pPr>
            <w:r w:rsidRPr="002611E7">
              <w:rPr>
                <w:rFonts w:eastAsia="Times New Roman"/>
                <w:color w:val="0D0D0D"/>
                <w:sz w:val="18"/>
                <w:szCs w:val="18"/>
              </w:rPr>
              <w:t>Non-official language speakers</w:t>
            </w:r>
          </w:p>
        </w:tc>
        <w:tc>
          <w:tcPr>
            <w:tcW w:w="1890" w:type="dxa"/>
            <w:tcBorders>
              <w:top w:val="nil"/>
              <w:left w:val="nil"/>
              <w:bottom w:val="single" w:sz="4" w:space="0" w:color="BFBFBF"/>
              <w:right w:val="single" w:sz="4" w:space="0" w:color="BFBFBF"/>
            </w:tcBorders>
            <w:noWrap/>
            <w:vAlign w:val="center"/>
            <w:hideMark/>
          </w:tcPr>
          <w:p w14:paraId="4054EB4E"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1.3%</w:t>
            </w:r>
          </w:p>
        </w:tc>
        <w:tc>
          <w:tcPr>
            <w:tcW w:w="1890" w:type="dxa"/>
            <w:tcBorders>
              <w:top w:val="nil"/>
              <w:left w:val="nil"/>
              <w:bottom w:val="single" w:sz="4" w:space="0" w:color="BFBFBF"/>
              <w:right w:val="single" w:sz="4" w:space="0" w:color="BFBFBF"/>
            </w:tcBorders>
            <w:noWrap/>
            <w:vAlign w:val="center"/>
            <w:hideMark/>
          </w:tcPr>
          <w:p w14:paraId="14D3DBB1"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1.2%</w:t>
            </w:r>
          </w:p>
        </w:tc>
        <w:tc>
          <w:tcPr>
            <w:tcW w:w="1890" w:type="dxa"/>
            <w:tcBorders>
              <w:top w:val="nil"/>
              <w:left w:val="nil"/>
              <w:bottom w:val="single" w:sz="4" w:space="0" w:color="BFBFBF"/>
              <w:right w:val="single" w:sz="4" w:space="0" w:color="auto"/>
            </w:tcBorders>
            <w:noWrap/>
            <w:vAlign w:val="center"/>
            <w:hideMark/>
          </w:tcPr>
          <w:p w14:paraId="1E9FCC4D"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1.0%</w:t>
            </w:r>
          </w:p>
        </w:tc>
      </w:tr>
      <w:tr w:rsidR="002611E7" w:rsidRPr="002611E7" w14:paraId="78C19AEF" w14:textId="77777777" w:rsidTr="002611E7">
        <w:trPr>
          <w:trHeight w:val="402"/>
        </w:trPr>
        <w:tc>
          <w:tcPr>
            <w:tcW w:w="368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6EA8CFB" w14:textId="77777777" w:rsidR="002611E7" w:rsidRPr="002611E7" w:rsidRDefault="002611E7" w:rsidP="002611E7">
            <w:pPr>
              <w:rPr>
                <w:rFonts w:eastAsia="Times New Roman"/>
                <w:color w:val="0D0D0D"/>
                <w:sz w:val="18"/>
                <w:szCs w:val="18"/>
              </w:rPr>
            </w:pPr>
            <w:r w:rsidRPr="002611E7">
              <w:rPr>
                <w:rFonts w:eastAsia="Times New Roman"/>
                <w:color w:val="0D0D0D"/>
                <w:sz w:val="18"/>
                <w:szCs w:val="18"/>
              </w:rPr>
              <w:t>High school diploma or less</w:t>
            </w:r>
          </w:p>
        </w:tc>
        <w:tc>
          <w:tcPr>
            <w:tcW w:w="1890" w:type="dxa"/>
            <w:tcBorders>
              <w:top w:val="nil"/>
              <w:left w:val="nil"/>
              <w:bottom w:val="single" w:sz="4" w:space="0" w:color="BFBFBF"/>
              <w:right w:val="single" w:sz="4" w:space="0" w:color="BFBFBF"/>
            </w:tcBorders>
            <w:shd w:val="clear" w:color="000000" w:fill="F2F2F2"/>
            <w:noWrap/>
            <w:vAlign w:val="center"/>
            <w:hideMark/>
          </w:tcPr>
          <w:p w14:paraId="2F2F5905"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27.5%</w:t>
            </w:r>
          </w:p>
        </w:tc>
        <w:tc>
          <w:tcPr>
            <w:tcW w:w="1890" w:type="dxa"/>
            <w:tcBorders>
              <w:top w:val="nil"/>
              <w:left w:val="nil"/>
              <w:bottom w:val="single" w:sz="4" w:space="0" w:color="BFBFBF"/>
              <w:right w:val="single" w:sz="4" w:space="0" w:color="BFBFBF"/>
            </w:tcBorders>
            <w:shd w:val="clear" w:color="000000" w:fill="F2F2F2"/>
            <w:noWrap/>
            <w:vAlign w:val="center"/>
            <w:hideMark/>
          </w:tcPr>
          <w:p w14:paraId="4676D481"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27.8%</w:t>
            </w:r>
          </w:p>
        </w:tc>
        <w:tc>
          <w:tcPr>
            <w:tcW w:w="1890" w:type="dxa"/>
            <w:tcBorders>
              <w:top w:val="nil"/>
              <w:left w:val="nil"/>
              <w:bottom w:val="single" w:sz="4" w:space="0" w:color="BFBFBF"/>
              <w:right w:val="single" w:sz="4" w:space="0" w:color="auto"/>
            </w:tcBorders>
            <w:shd w:val="clear" w:color="000000" w:fill="F2F2F2"/>
            <w:noWrap/>
            <w:vAlign w:val="center"/>
            <w:hideMark/>
          </w:tcPr>
          <w:p w14:paraId="57C341D6"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35.3%</w:t>
            </w:r>
          </w:p>
        </w:tc>
      </w:tr>
      <w:tr w:rsidR="002611E7" w:rsidRPr="002611E7" w14:paraId="40452B3A" w14:textId="77777777" w:rsidTr="002611E7">
        <w:trPr>
          <w:trHeight w:val="402"/>
        </w:trPr>
        <w:tc>
          <w:tcPr>
            <w:tcW w:w="3685" w:type="dxa"/>
            <w:tcBorders>
              <w:top w:val="single" w:sz="4" w:space="0" w:color="BFBFBF"/>
              <w:left w:val="single" w:sz="4" w:space="0" w:color="auto"/>
              <w:bottom w:val="single" w:sz="4" w:space="0" w:color="BFBFBF"/>
              <w:right w:val="single" w:sz="4" w:space="0" w:color="000000"/>
            </w:tcBorders>
            <w:noWrap/>
            <w:vAlign w:val="center"/>
            <w:hideMark/>
          </w:tcPr>
          <w:p w14:paraId="3661CE1E" w14:textId="6229871C" w:rsidR="002611E7" w:rsidRPr="002611E7" w:rsidRDefault="002611E7" w:rsidP="002611E7">
            <w:pPr>
              <w:rPr>
                <w:rFonts w:eastAsia="Times New Roman"/>
                <w:color w:val="0D0D0D"/>
                <w:sz w:val="18"/>
                <w:szCs w:val="18"/>
              </w:rPr>
            </w:pPr>
            <w:r w:rsidRPr="002611E7">
              <w:rPr>
                <w:rFonts w:eastAsia="Times New Roman"/>
                <w:color w:val="0D0D0D"/>
                <w:sz w:val="18"/>
                <w:szCs w:val="18"/>
              </w:rPr>
              <w:t>In poverty</w:t>
            </w:r>
          </w:p>
        </w:tc>
        <w:tc>
          <w:tcPr>
            <w:tcW w:w="1890" w:type="dxa"/>
            <w:tcBorders>
              <w:top w:val="nil"/>
              <w:left w:val="nil"/>
              <w:bottom w:val="single" w:sz="4" w:space="0" w:color="BFBFBF"/>
              <w:right w:val="single" w:sz="4" w:space="0" w:color="BFBFBF"/>
            </w:tcBorders>
            <w:noWrap/>
            <w:vAlign w:val="center"/>
            <w:hideMark/>
          </w:tcPr>
          <w:p w14:paraId="612D2226"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13.2%</w:t>
            </w:r>
          </w:p>
        </w:tc>
        <w:tc>
          <w:tcPr>
            <w:tcW w:w="1890" w:type="dxa"/>
            <w:tcBorders>
              <w:top w:val="nil"/>
              <w:left w:val="nil"/>
              <w:bottom w:val="single" w:sz="4" w:space="0" w:color="BFBFBF"/>
              <w:right w:val="single" w:sz="4" w:space="0" w:color="BFBFBF"/>
            </w:tcBorders>
            <w:noWrap/>
            <w:vAlign w:val="center"/>
            <w:hideMark/>
          </w:tcPr>
          <w:p w14:paraId="1B83F010"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9.1%</w:t>
            </w:r>
          </w:p>
        </w:tc>
        <w:tc>
          <w:tcPr>
            <w:tcW w:w="1890" w:type="dxa"/>
            <w:tcBorders>
              <w:top w:val="nil"/>
              <w:left w:val="nil"/>
              <w:bottom w:val="single" w:sz="4" w:space="0" w:color="BFBFBF"/>
              <w:right w:val="single" w:sz="4" w:space="0" w:color="auto"/>
            </w:tcBorders>
            <w:noWrap/>
            <w:vAlign w:val="center"/>
            <w:hideMark/>
          </w:tcPr>
          <w:p w14:paraId="2F9D4AA3"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8.3%</w:t>
            </w:r>
          </w:p>
        </w:tc>
      </w:tr>
      <w:tr w:rsidR="002611E7" w:rsidRPr="002611E7" w14:paraId="50A2D340" w14:textId="77777777" w:rsidTr="002611E7">
        <w:trPr>
          <w:trHeight w:val="402"/>
        </w:trPr>
        <w:tc>
          <w:tcPr>
            <w:tcW w:w="368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38982C02" w14:textId="77777777" w:rsidR="002611E7" w:rsidRPr="002611E7" w:rsidRDefault="002611E7" w:rsidP="002611E7">
            <w:pPr>
              <w:rPr>
                <w:rFonts w:eastAsia="Times New Roman"/>
                <w:color w:val="0D0D0D"/>
                <w:sz w:val="18"/>
                <w:szCs w:val="18"/>
              </w:rPr>
            </w:pPr>
            <w:r w:rsidRPr="002611E7">
              <w:rPr>
                <w:rFonts w:eastAsia="Times New Roman"/>
                <w:color w:val="0D0D0D"/>
                <w:sz w:val="18"/>
                <w:szCs w:val="18"/>
              </w:rPr>
              <w:t>Veterans</w:t>
            </w:r>
          </w:p>
        </w:tc>
        <w:tc>
          <w:tcPr>
            <w:tcW w:w="1890" w:type="dxa"/>
            <w:tcBorders>
              <w:top w:val="nil"/>
              <w:left w:val="nil"/>
              <w:bottom w:val="single" w:sz="4" w:space="0" w:color="auto"/>
              <w:right w:val="single" w:sz="4" w:space="0" w:color="BFBFBF"/>
            </w:tcBorders>
            <w:shd w:val="clear" w:color="000000" w:fill="F2F2F2"/>
            <w:noWrap/>
            <w:vAlign w:val="center"/>
            <w:hideMark/>
          </w:tcPr>
          <w:p w14:paraId="40DD1DB2"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2.5%</w:t>
            </w:r>
          </w:p>
        </w:tc>
        <w:tc>
          <w:tcPr>
            <w:tcW w:w="1890" w:type="dxa"/>
            <w:tcBorders>
              <w:top w:val="nil"/>
              <w:left w:val="nil"/>
              <w:bottom w:val="single" w:sz="4" w:space="0" w:color="auto"/>
              <w:right w:val="single" w:sz="4" w:space="0" w:color="BFBFBF"/>
            </w:tcBorders>
            <w:shd w:val="clear" w:color="000000" w:fill="F2F2F2"/>
            <w:noWrap/>
            <w:vAlign w:val="center"/>
            <w:hideMark/>
          </w:tcPr>
          <w:p w14:paraId="7DC90EC0"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2.5%</w:t>
            </w:r>
          </w:p>
        </w:tc>
        <w:tc>
          <w:tcPr>
            <w:tcW w:w="1890" w:type="dxa"/>
            <w:tcBorders>
              <w:top w:val="nil"/>
              <w:left w:val="nil"/>
              <w:bottom w:val="single" w:sz="4" w:space="0" w:color="auto"/>
              <w:right w:val="single" w:sz="4" w:space="0" w:color="auto"/>
            </w:tcBorders>
            <w:shd w:val="clear" w:color="000000" w:fill="F2F2F2"/>
            <w:noWrap/>
            <w:vAlign w:val="center"/>
            <w:hideMark/>
          </w:tcPr>
          <w:p w14:paraId="2547DAD5" w14:textId="77777777" w:rsidR="002611E7" w:rsidRPr="00FD0789" w:rsidRDefault="002611E7" w:rsidP="002611E7">
            <w:pPr>
              <w:jc w:val="right"/>
              <w:rPr>
                <w:rFonts w:eastAsia="Times New Roman"/>
                <w:color w:val="C00000"/>
                <w:sz w:val="18"/>
                <w:szCs w:val="18"/>
              </w:rPr>
            </w:pPr>
            <w:r w:rsidRPr="00FD0789">
              <w:rPr>
                <w:rFonts w:eastAsia="Times New Roman"/>
                <w:color w:val="C00000"/>
                <w:sz w:val="18"/>
                <w:szCs w:val="18"/>
              </w:rPr>
              <w:t>2.5%</w:t>
            </w:r>
          </w:p>
        </w:tc>
      </w:tr>
    </w:tbl>
    <w:p w14:paraId="64AA9801" w14:textId="56A75DB8" w:rsidR="00C113FF" w:rsidRPr="00D47513" w:rsidRDefault="00C113FF" w:rsidP="00C113FF">
      <w:pPr>
        <w:pStyle w:val="Source"/>
      </w:pPr>
      <w:r w:rsidRPr="00D47513">
        <w:t xml:space="preserve">Source: Statistics Canada 2021 Census Profile and Statistics Canada Table </w:t>
      </w:r>
      <w:r w:rsidR="00D47513" w:rsidRPr="00D47513">
        <w:t>98</w:t>
      </w:r>
      <w:r w:rsidR="00D47513">
        <w:t>-</w:t>
      </w:r>
      <w:r w:rsidR="00D47513" w:rsidRPr="00D47513">
        <w:t>10</w:t>
      </w:r>
      <w:r w:rsidR="00D47513">
        <w:t>-</w:t>
      </w:r>
      <w:r w:rsidR="00D47513" w:rsidRPr="00D47513">
        <w:t>0624</w:t>
      </w:r>
    </w:p>
    <w:p w14:paraId="1689CC36" w14:textId="77777777" w:rsidR="002611E7" w:rsidRPr="00D47513" w:rsidRDefault="002611E7" w:rsidP="00075E75"/>
    <w:p w14:paraId="7083A479" w14:textId="0784BAA1" w:rsidR="00EC219C" w:rsidRDefault="00EC219C" w:rsidP="00EC219C">
      <w:pPr>
        <w:jc w:val="both"/>
      </w:pPr>
      <w:r>
        <w:t>A higher local prevalence of any of these groups relative to regional or provincial comparators may indicate elevated demand for particular housing types, affordability levels, or support services that the broader market is unlikely to provide without intervention. For example, a disproportionately high share of persons living in poverty may signal need for non-market or subsidized housing</w:t>
      </w:r>
      <w:r w:rsidR="00A360C6">
        <w:t>;</w:t>
      </w:r>
      <w:r>
        <w:t xml:space="preserve"> an above-average concentration of recent immigrants may point to demand for affordable rental housing in accessible locations near transit and settlement services</w:t>
      </w:r>
      <w:r w:rsidR="00A360C6">
        <w:t>; and a</w:t>
      </w:r>
      <w:r>
        <w:t xml:space="preserve"> higher share of Indigenous Peoples suggest</w:t>
      </w:r>
      <w:r w:rsidR="00A360C6">
        <w:t>s</w:t>
      </w:r>
      <w:r>
        <w:t xml:space="preserve"> the need for</w:t>
      </w:r>
      <w:r w:rsidR="00A360C6">
        <w:t xml:space="preserve"> </w:t>
      </w:r>
      <w:r>
        <w:t xml:space="preserve">culturally appropriate housing options. </w:t>
      </w:r>
    </w:p>
    <w:p w14:paraId="5819F4D9" w14:textId="03AEAEB9" w:rsidR="0043538E" w:rsidRDefault="0043538E"/>
    <w:p w14:paraId="32B8EE34" w14:textId="77777777" w:rsidR="004608FD" w:rsidRDefault="004608FD" w:rsidP="004608FD">
      <w:pPr>
        <w:pStyle w:val="Heading2"/>
      </w:pPr>
      <w:bookmarkStart w:id="20" w:name="_Toc223686637"/>
      <w:bookmarkStart w:id="21" w:name="_Toc237355935"/>
      <w:r>
        <w:t>HOUSEHOLDS</w:t>
      </w:r>
      <w:bookmarkEnd w:id="20"/>
      <w:bookmarkEnd w:id="21"/>
    </w:p>
    <w:p w14:paraId="46393C55" w14:textId="2320270F" w:rsidR="00513FE1" w:rsidRDefault="00F46E31" w:rsidP="00766D79">
      <w:pPr>
        <w:jc w:val="both"/>
      </w:pPr>
      <w:r>
        <w:t xml:space="preserve">Below </w:t>
      </w:r>
      <w:r w:rsidR="007C3C65">
        <w:t>introduces</w:t>
      </w:r>
      <w:r w:rsidR="00070826" w:rsidRPr="00070826">
        <w:t xml:space="preserve"> the number, composition, tenure, and size of households in the community. It goes beyond total population counts to focus on the household, which is the fundamental unit of housing demand. </w:t>
      </w:r>
      <w:r w:rsidR="00E834F2">
        <w:t>For instance, a</w:t>
      </w:r>
      <w:r w:rsidR="00070826" w:rsidRPr="00070826">
        <w:t xml:space="preserve"> community with the same population could have vastly different needs depending on whether residents live in large families or small single-person dwellings.</w:t>
      </w:r>
    </w:p>
    <w:p w14:paraId="05F69457" w14:textId="77777777" w:rsidR="00070826" w:rsidRDefault="00070826" w:rsidP="00766D79">
      <w:pPr>
        <w:jc w:val="both"/>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EC7B98" w:rsidRPr="00500457" w14:paraId="1A5A3238" w14:textId="77777777" w:rsidTr="009A4107">
        <w:trPr>
          <w:trHeight w:val="360"/>
        </w:trPr>
        <w:tc>
          <w:tcPr>
            <w:tcW w:w="1345" w:type="dxa"/>
            <w:shd w:val="clear" w:color="auto" w:fill="5F2ADF" w:themeFill="accent4" w:themeFillTint="80"/>
            <w:vAlign w:val="center"/>
          </w:tcPr>
          <w:p w14:paraId="076BDAE7" w14:textId="6B98C141" w:rsidR="00EC7B98"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4FB97F6C" w14:textId="77777777" w:rsidR="00EC7B98" w:rsidRPr="003A2EA5" w:rsidRDefault="00EC7B98"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EC7B98" w:rsidRPr="00500457" w14:paraId="1279A09A" w14:textId="77777777" w:rsidTr="00EC7B98">
        <w:trPr>
          <w:trHeight w:val="845"/>
        </w:trPr>
        <w:tc>
          <w:tcPr>
            <w:tcW w:w="1345" w:type="dxa"/>
            <w:shd w:val="clear" w:color="auto" w:fill="DED3F8" w:themeFill="accent4" w:themeFillTint="1A"/>
            <w:vAlign w:val="center"/>
          </w:tcPr>
          <w:p w14:paraId="11455BF9" w14:textId="76750BBB" w:rsidR="00EC7B98" w:rsidRPr="00500457" w:rsidRDefault="00EC7B98" w:rsidP="009A4107">
            <w:pPr>
              <w:rPr>
                <w:sz w:val="20"/>
                <w:szCs w:val="20"/>
              </w:rPr>
            </w:pPr>
            <w:r>
              <w:rPr>
                <w:sz w:val="20"/>
                <w:szCs w:val="20"/>
              </w:rPr>
              <w:t>3.2</w:t>
            </w:r>
          </w:p>
        </w:tc>
        <w:tc>
          <w:tcPr>
            <w:tcW w:w="8005" w:type="dxa"/>
            <w:shd w:val="clear" w:color="auto" w:fill="DED3F8" w:themeFill="accent4" w:themeFillTint="1A"/>
            <w:vAlign w:val="center"/>
          </w:tcPr>
          <w:p w14:paraId="2CE619D4" w14:textId="1DEE5D3E" w:rsidR="00EC7B98" w:rsidRPr="00500457" w:rsidRDefault="00EC7B98" w:rsidP="009A4107">
            <w:pPr>
              <w:rPr>
                <w:sz w:val="20"/>
                <w:szCs w:val="20"/>
              </w:rPr>
            </w:pPr>
            <w:r w:rsidRPr="00EC7B98">
              <w:rPr>
                <w:sz w:val="20"/>
                <w:szCs w:val="20"/>
              </w:rPr>
              <w:t xml:space="preserve">Please provide context to the data above to situate it within your municipality. For example, is there a significant number of one-parent families? Are owner household incomes far surpassing tenant household incomes (see </w:t>
            </w:r>
            <w:r w:rsidRPr="00EC7B98">
              <w:rPr>
                <w:b/>
                <w:bCs/>
                <w:sz w:val="20"/>
                <w:szCs w:val="20"/>
              </w:rPr>
              <w:t>Income</w:t>
            </w:r>
            <w:r w:rsidRPr="00EC7B98">
              <w:rPr>
                <w:sz w:val="20"/>
                <w:szCs w:val="20"/>
              </w:rPr>
              <w:t xml:space="preserve"> section)?</w:t>
            </w:r>
          </w:p>
        </w:tc>
      </w:tr>
    </w:tbl>
    <w:p w14:paraId="7BEF9E3D" w14:textId="77777777" w:rsidR="00EC7B98" w:rsidRDefault="00EC7B98" w:rsidP="00766D79">
      <w:pPr>
        <w:jc w:val="both"/>
      </w:pPr>
    </w:p>
    <w:p w14:paraId="620E3B79" w14:textId="104A45F7" w:rsidR="002409B3" w:rsidRDefault="002409B3" w:rsidP="002409B3">
      <w:pPr>
        <w:pStyle w:val="Heading3"/>
      </w:pPr>
      <w:r>
        <w:t>Overall Characteristics</w:t>
      </w:r>
    </w:p>
    <w:p w14:paraId="4D1437D7" w14:textId="43940260" w:rsidR="002409B3" w:rsidRDefault="00AC45E0" w:rsidP="00766D79">
      <w:pPr>
        <w:jc w:val="both"/>
      </w:pPr>
      <w:r w:rsidRPr="00512B4C">
        <w:rPr>
          <w:rStyle w:val="Figure-textChar"/>
        </w:rPr>
        <w:fldChar w:fldCharType="begin"/>
      </w:r>
      <w:r w:rsidRPr="00512B4C">
        <w:rPr>
          <w:rStyle w:val="Figure-textChar"/>
        </w:rPr>
        <w:instrText xml:space="preserve"> REF _Ref223274000 \h </w:instrText>
      </w:r>
      <w:r w:rsidR="00512B4C">
        <w:rPr>
          <w:rStyle w:val="Figure-textChar"/>
        </w:rPr>
        <w:instrText xml:space="preserve"> \* MERGEFORMAT </w:instrText>
      </w:r>
      <w:r w:rsidRPr="00512B4C">
        <w:rPr>
          <w:rStyle w:val="Figure-textChar"/>
        </w:rPr>
      </w:r>
      <w:r w:rsidRPr="00512B4C">
        <w:rPr>
          <w:rStyle w:val="Figure-textChar"/>
        </w:rPr>
        <w:fldChar w:fldCharType="separate"/>
      </w:r>
      <w:r w:rsidR="00CA6116" w:rsidRPr="00CA6116">
        <w:rPr>
          <w:rStyle w:val="Figure-textChar"/>
        </w:rPr>
        <w:t>Table 4.4</w:t>
      </w:r>
      <w:r w:rsidRPr="00512B4C">
        <w:rPr>
          <w:rStyle w:val="Figure-textChar"/>
        </w:rPr>
        <w:fldChar w:fldCharType="end"/>
      </w:r>
      <w:r>
        <w:t xml:space="preserve"> </w:t>
      </w:r>
      <w:r w:rsidR="009A21E2" w:rsidRPr="009A21E2">
        <w:t>summarizes the demographic composition of households by tenure and geography, providing a baseline understanding of who occupies</w:t>
      </w:r>
      <w:r w:rsidR="00512B4C">
        <w:t xml:space="preserve"> local</w:t>
      </w:r>
      <w:r w:rsidR="009A21E2" w:rsidRPr="009A21E2">
        <w:t xml:space="preserve"> housing and under what conditions.</w:t>
      </w:r>
    </w:p>
    <w:p w14:paraId="5C4FFCE7" w14:textId="77777777" w:rsidR="009A21E2" w:rsidRDefault="009A21E2" w:rsidP="00766D79">
      <w:pPr>
        <w:jc w:val="both"/>
      </w:pPr>
    </w:p>
    <w:p w14:paraId="5303167E" w14:textId="5CBBC08C" w:rsidR="004900B2" w:rsidRDefault="004900B2" w:rsidP="004900B2">
      <w:pPr>
        <w:pStyle w:val="Caption"/>
      </w:pPr>
      <w:bookmarkStart w:id="22" w:name="_Ref223274000"/>
      <w:r>
        <w:lastRenderedPageBreak/>
        <w:t xml:space="preserve">Table </w:t>
      </w:r>
      <w:fldSimple w:instr=" STYLEREF 1 \s ">
        <w:r w:rsidR="005E459C">
          <w:rPr>
            <w:noProof/>
          </w:rPr>
          <w:t>4</w:t>
        </w:r>
      </w:fldSimple>
      <w:r w:rsidR="00BD4359">
        <w:t>.</w:t>
      </w:r>
      <w:fldSimple w:instr=" SEQ Table \* ARABIC \s 1 ">
        <w:r w:rsidR="005E459C">
          <w:rPr>
            <w:noProof/>
          </w:rPr>
          <w:t>4</w:t>
        </w:r>
      </w:fldSimple>
      <w:bookmarkEnd w:id="22"/>
      <w:r>
        <w:t>: Summary of household characteristics by tenure and geography, 2021</w:t>
      </w:r>
    </w:p>
    <w:tbl>
      <w:tblPr>
        <w:tblW w:w="9360" w:type="dxa"/>
        <w:tblLayout w:type="fixed"/>
        <w:tblLook w:val="04A0" w:firstRow="1" w:lastRow="0" w:firstColumn="1" w:lastColumn="0" w:noHBand="0" w:noVBand="1"/>
      </w:tblPr>
      <w:tblGrid>
        <w:gridCol w:w="1080"/>
        <w:gridCol w:w="1080"/>
        <w:gridCol w:w="1200"/>
        <w:gridCol w:w="1200"/>
        <w:gridCol w:w="1200"/>
        <w:gridCol w:w="1200"/>
        <w:gridCol w:w="1200"/>
        <w:gridCol w:w="1200"/>
      </w:tblGrid>
      <w:tr w:rsidR="009D5FC1" w:rsidRPr="009D5FC1" w14:paraId="02B6F98D" w14:textId="77777777" w:rsidTr="003C59F9">
        <w:trPr>
          <w:trHeight w:val="402"/>
          <w:tblHeader/>
        </w:trPr>
        <w:tc>
          <w:tcPr>
            <w:tcW w:w="1080" w:type="dxa"/>
            <w:tcBorders>
              <w:top w:val="nil"/>
              <w:left w:val="nil"/>
              <w:bottom w:val="nil"/>
              <w:right w:val="nil"/>
            </w:tcBorders>
            <w:noWrap/>
            <w:vAlign w:val="center"/>
            <w:hideMark/>
          </w:tcPr>
          <w:p w14:paraId="02979161" w14:textId="77777777" w:rsidR="009D5FC1" w:rsidRPr="009D5FC1" w:rsidRDefault="009D5FC1" w:rsidP="009D5FC1">
            <w:pPr>
              <w:rPr>
                <w:rFonts w:ascii="Times New Roman" w:eastAsia="Times New Roman" w:hAnsi="Times New Roman" w:cs="Times New Roman"/>
                <w:sz w:val="24"/>
                <w:szCs w:val="24"/>
              </w:rPr>
            </w:pPr>
          </w:p>
        </w:tc>
        <w:tc>
          <w:tcPr>
            <w:tcW w:w="1080" w:type="dxa"/>
            <w:tcBorders>
              <w:top w:val="nil"/>
              <w:left w:val="nil"/>
              <w:bottom w:val="nil"/>
              <w:right w:val="nil"/>
            </w:tcBorders>
            <w:noWrap/>
            <w:vAlign w:val="center"/>
            <w:hideMark/>
          </w:tcPr>
          <w:p w14:paraId="0BB0D569" w14:textId="77777777" w:rsidR="009D5FC1" w:rsidRPr="009D5FC1" w:rsidRDefault="009D5FC1" w:rsidP="009D5FC1">
            <w:pPr>
              <w:rPr>
                <w:rFonts w:ascii="Times New Roman" w:eastAsia="Times New Roman" w:hAnsi="Times New Roman" w:cs="Times New Roman"/>
                <w:sz w:val="20"/>
                <w:szCs w:val="20"/>
              </w:rPr>
            </w:pPr>
          </w:p>
        </w:tc>
        <w:tc>
          <w:tcPr>
            <w:tcW w:w="3600" w:type="dxa"/>
            <w:gridSpan w:val="3"/>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19F7E634" w14:textId="77777777" w:rsidR="009D5FC1" w:rsidRPr="009D5FC1" w:rsidRDefault="009D5FC1" w:rsidP="009D5FC1">
            <w:pPr>
              <w:jc w:val="center"/>
              <w:rPr>
                <w:rFonts w:eastAsia="Times New Roman"/>
                <w:color w:val="FFFFFF"/>
                <w:sz w:val="18"/>
                <w:szCs w:val="18"/>
              </w:rPr>
            </w:pPr>
            <w:r w:rsidRPr="009D5FC1">
              <w:rPr>
                <w:rFonts w:eastAsia="Times New Roman"/>
                <w:color w:val="FFFFFF"/>
                <w:sz w:val="18"/>
                <w:szCs w:val="18"/>
              </w:rPr>
              <w:t>By tenure</w:t>
            </w:r>
          </w:p>
        </w:tc>
        <w:tc>
          <w:tcPr>
            <w:tcW w:w="3600" w:type="dxa"/>
            <w:gridSpan w:val="3"/>
            <w:tcBorders>
              <w:top w:val="single" w:sz="4" w:space="0" w:color="auto"/>
              <w:left w:val="nil"/>
              <w:bottom w:val="single" w:sz="4" w:space="0" w:color="auto"/>
              <w:right w:val="single" w:sz="4" w:space="0" w:color="000000"/>
            </w:tcBorders>
            <w:shd w:val="clear" w:color="auto" w:fill="080314" w:themeFill="accent4"/>
            <w:noWrap/>
            <w:vAlign w:val="center"/>
            <w:hideMark/>
          </w:tcPr>
          <w:p w14:paraId="5647272E" w14:textId="77777777" w:rsidR="009D5FC1" w:rsidRPr="009D5FC1" w:rsidRDefault="009D5FC1" w:rsidP="009D5FC1">
            <w:pPr>
              <w:jc w:val="center"/>
              <w:rPr>
                <w:rFonts w:eastAsia="Times New Roman"/>
                <w:color w:val="FFFFFF"/>
                <w:sz w:val="18"/>
                <w:szCs w:val="18"/>
              </w:rPr>
            </w:pPr>
            <w:r w:rsidRPr="009D5FC1">
              <w:rPr>
                <w:rFonts w:eastAsia="Times New Roman"/>
                <w:color w:val="FFFFFF"/>
                <w:sz w:val="18"/>
                <w:szCs w:val="18"/>
              </w:rPr>
              <w:t>Share of total households</w:t>
            </w:r>
          </w:p>
        </w:tc>
      </w:tr>
      <w:tr w:rsidR="009D5FC1" w:rsidRPr="009D5FC1" w14:paraId="29F901FA" w14:textId="77777777" w:rsidTr="003C59F9">
        <w:trPr>
          <w:trHeight w:val="402"/>
          <w:tblHeader/>
        </w:trPr>
        <w:tc>
          <w:tcPr>
            <w:tcW w:w="2160" w:type="dxa"/>
            <w:gridSpan w:val="2"/>
            <w:tcBorders>
              <w:top w:val="single" w:sz="4" w:space="0" w:color="auto"/>
              <w:left w:val="single" w:sz="4" w:space="0" w:color="auto"/>
              <w:bottom w:val="nil"/>
              <w:right w:val="single" w:sz="4" w:space="0" w:color="000000"/>
            </w:tcBorders>
            <w:shd w:val="clear" w:color="auto" w:fill="42618C" w:themeFill="accent3"/>
            <w:noWrap/>
            <w:vAlign w:val="center"/>
            <w:hideMark/>
          </w:tcPr>
          <w:p w14:paraId="40904C52" w14:textId="77777777" w:rsidR="009D5FC1" w:rsidRPr="009D5FC1" w:rsidRDefault="009D5FC1" w:rsidP="009D5FC1">
            <w:pPr>
              <w:rPr>
                <w:rFonts w:eastAsia="Times New Roman"/>
                <w:color w:val="FFFFFF"/>
                <w:sz w:val="18"/>
                <w:szCs w:val="18"/>
              </w:rPr>
            </w:pPr>
            <w:r w:rsidRPr="009D5FC1">
              <w:rPr>
                <w:rFonts w:eastAsia="Times New Roman"/>
                <w:color w:val="FFFFFF"/>
                <w:sz w:val="18"/>
                <w:szCs w:val="18"/>
              </w:rPr>
              <w:t>Characteristic</w:t>
            </w:r>
          </w:p>
        </w:tc>
        <w:tc>
          <w:tcPr>
            <w:tcW w:w="1200" w:type="dxa"/>
            <w:tcBorders>
              <w:top w:val="nil"/>
              <w:left w:val="nil"/>
              <w:bottom w:val="nil"/>
              <w:right w:val="single" w:sz="4" w:space="0" w:color="auto"/>
            </w:tcBorders>
            <w:shd w:val="clear" w:color="auto" w:fill="CFD9E3" w:themeFill="accent1"/>
            <w:noWrap/>
            <w:vAlign w:val="center"/>
            <w:hideMark/>
          </w:tcPr>
          <w:p w14:paraId="7ACCC52C" w14:textId="77777777" w:rsidR="009D5FC1" w:rsidRPr="009D5FC1" w:rsidRDefault="009D5FC1" w:rsidP="009D5FC1">
            <w:pPr>
              <w:jc w:val="right"/>
              <w:rPr>
                <w:rFonts w:eastAsia="Times New Roman"/>
                <w:color w:val="0D0D0D"/>
                <w:sz w:val="18"/>
                <w:szCs w:val="18"/>
              </w:rPr>
            </w:pPr>
            <w:r w:rsidRPr="009D5FC1">
              <w:rPr>
                <w:rFonts w:eastAsia="Times New Roman"/>
                <w:color w:val="0D0D0D"/>
                <w:sz w:val="18"/>
                <w:szCs w:val="18"/>
              </w:rPr>
              <w:t>Total</w:t>
            </w:r>
          </w:p>
        </w:tc>
        <w:tc>
          <w:tcPr>
            <w:tcW w:w="1200" w:type="dxa"/>
            <w:tcBorders>
              <w:top w:val="nil"/>
              <w:left w:val="nil"/>
              <w:bottom w:val="single" w:sz="4" w:space="0" w:color="auto"/>
              <w:right w:val="single" w:sz="4" w:space="0" w:color="BFBFBF" w:themeColor="background1" w:themeShade="BF"/>
            </w:tcBorders>
            <w:shd w:val="clear" w:color="auto" w:fill="CFD9E3" w:themeFill="accent1"/>
            <w:noWrap/>
            <w:vAlign w:val="center"/>
            <w:hideMark/>
          </w:tcPr>
          <w:p w14:paraId="1CB52298" w14:textId="1E420ABE" w:rsidR="009D5FC1" w:rsidRPr="009D5FC1" w:rsidRDefault="0053508C" w:rsidP="009D5FC1">
            <w:pPr>
              <w:jc w:val="right"/>
              <w:rPr>
                <w:rFonts w:eastAsia="Times New Roman"/>
                <w:color w:val="0D0D0D"/>
                <w:sz w:val="18"/>
                <w:szCs w:val="18"/>
              </w:rPr>
            </w:pPr>
            <w:r>
              <w:rPr>
                <w:rFonts w:eastAsia="Times New Roman"/>
                <w:color w:val="0D0D0D"/>
                <w:sz w:val="18"/>
                <w:szCs w:val="18"/>
              </w:rPr>
              <w:t>% o</w:t>
            </w:r>
            <w:r w:rsidR="009D5FC1" w:rsidRPr="009D5FC1">
              <w:rPr>
                <w:rFonts w:eastAsia="Times New Roman"/>
                <w:color w:val="0D0D0D"/>
                <w:sz w:val="18"/>
                <w:szCs w:val="18"/>
              </w:rPr>
              <w:t>wner</w:t>
            </w:r>
          </w:p>
        </w:tc>
        <w:tc>
          <w:tcPr>
            <w:tcW w:w="1200" w:type="dxa"/>
            <w:tcBorders>
              <w:top w:val="nil"/>
              <w:left w:val="single" w:sz="4" w:space="0" w:color="BFBFBF" w:themeColor="background1" w:themeShade="BF"/>
              <w:bottom w:val="single" w:sz="4" w:space="0" w:color="auto"/>
              <w:right w:val="single" w:sz="4" w:space="0" w:color="auto"/>
            </w:tcBorders>
            <w:shd w:val="clear" w:color="auto" w:fill="CFD9E3" w:themeFill="accent1"/>
            <w:noWrap/>
            <w:vAlign w:val="center"/>
            <w:hideMark/>
          </w:tcPr>
          <w:p w14:paraId="6BFCF390" w14:textId="43A1D725" w:rsidR="009D5FC1" w:rsidRPr="009D5FC1" w:rsidRDefault="0053508C" w:rsidP="009D5FC1">
            <w:pPr>
              <w:jc w:val="right"/>
              <w:rPr>
                <w:rFonts w:eastAsia="Times New Roman"/>
                <w:color w:val="0D0D0D"/>
                <w:sz w:val="18"/>
                <w:szCs w:val="18"/>
              </w:rPr>
            </w:pPr>
            <w:r>
              <w:rPr>
                <w:rFonts w:eastAsia="Times New Roman"/>
                <w:color w:val="0D0D0D"/>
                <w:sz w:val="18"/>
                <w:szCs w:val="18"/>
              </w:rPr>
              <w:t>% renter</w:t>
            </w:r>
          </w:p>
        </w:tc>
        <w:tc>
          <w:tcPr>
            <w:tcW w:w="1200" w:type="dxa"/>
            <w:tcBorders>
              <w:top w:val="single" w:sz="4" w:space="0" w:color="auto"/>
              <w:left w:val="nil"/>
              <w:bottom w:val="single" w:sz="4" w:space="0" w:color="auto"/>
              <w:right w:val="single" w:sz="4" w:space="0" w:color="BFBFBF" w:themeColor="background1" w:themeShade="BF"/>
            </w:tcBorders>
            <w:shd w:val="clear" w:color="auto" w:fill="DED3F8" w:themeFill="accent4" w:themeFillTint="1A"/>
            <w:noWrap/>
            <w:vAlign w:val="center"/>
            <w:hideMark/>
          </w:tcPr>
          <w:p w14:paraId="6218CD0D" w14:textId="77777777" w:rsidR="009D5FC1" w:rsidRPr="009D5FC1" w:rsidRDefault="009D5FC1" w:rsidP="009D5FC1">
            <w:pPr>
              <w:jc w:val="right"/>
              <w:rPr>
                <w:rFonts w:eastAsia="Times New Roman"/>
                <w:color w:val="0D0D0D"/>
                <w:sz w:val="18"/>
                <w:szCs w:val="18"/>
              </w:rPr>
            </w:pPr>
            <w:r w:rsidRPr="009D5FC1">
              <w:rPr>
                <w:rFonts w:eastAsia="Times New Roman"/>
                <w:color w:val="0D0D0D"/>
                <w:sz w:val="18"/>
                <w:szCs w:val="18"/>
              </w:rPr>
              <w:t>Local</w:t>
            </w:r>
          </w:p>
        </w:tc>
        <w:tc>
          <w:tcPr>
            <w:tcW w:w="12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DED3F8" w:themeFill="accent4" w:themeFillTint="1A"/>
            <w:noWrap/>
            <w:vAlign w:val="center"/>
            <w:hideMark/>
          </w:tcPr>
          <w:p w14:paraId="6C7F61BB" w14:textId="77777777" w:rsidR="009D5FC1" w:rsidRPr="009D5FC1" w:rsidRDefault="009D5FC1" w:rsidP="009D5FC1">
            <w:pPr>
              <w:jc w:val="right"/>
              <w:rPr>
                <w:rFonts w:eastAsia="Times New Roman"/>
                <w:color w:val="0D0D0D"/>
                <w:sz w:val="18"/>
                <w:szCs w:val="18"/>
              </w:rPr>
            </w:pPr>
            <w:r w:rsidRPr="009D5FC1">
              <w:rPr>
                <w:rFonts w:eastAsia="Times New Roman"/>
                <w:color w:val="0D0D0D"/>
                <w:sz w:val="18"/>
                <w:szCs w:val="18"/>
              </w:rPr>
              <w:t>Region</w:t>
            </w:r>
          </w:p>
        </w:tc>
        <w:tc>
          <w:tcPr>
            <w:tcW w:w="1200" w:type="dxa"/>
            <w:tcBorders>
              <w:top w:val="single" w:sz="4" w:space="0" w:color="auto"/>
              <w:left w:val="single" w:sz="4" w:space="0" w:color="BFBFBF" w:themeColor="background1" w:themeShade="BF"/>
              <w:bottom w:val="single" w:sz="4" w:space="0" w:color="auto"/>
              <w:right w:val="single" w:sz="4" w:space="0" w:color="auto"/>
            </w:tcBorders>
            <w:shd w:val="clear" w:color="auto" w:fill="DED3F8" w:themeFill="accent4" w:themeFillTint="1A"/>
            <w:noWrap/>
            <w:vAlign w:val="center"/>
            <w:hideMark/>
          </w:tcPr>
          <w:p w14:paraId="6DD5465B" w14:textId="77777777" w:rsidR="009D5FC1" w:rsidRPr="009D5FC1" w:rsidRDefault="009D5FC1" w:rsidP="009D5FC1">
            <w:pPr>
              <w:jc w:val="right"/>
              <w:rPr>
                <w:rFonts w:eastAsia="Times New Roman"/>
                <w:color w:val="0D0D0D"/>
                <w:sz w:val="18"/>
                <w:szCs w:val="18"/>
              </w:rPr>
            </w:pPr>
            <w:r w:rsidRPr="009D5FC1">
              <w:rPr>
                <w:rFonts w:eastAsia="Times New Roman"/>
                <w:color w:val="0D0D0D"/>
                <w:sz w:val="18"/>
                <w:szCs w:val="18"/>
              </w:rPr>
              <w:t>Province</w:t>
            </w:r>
          </w:p>
        </w:tc>
      </w:tr>
      <w:tr w:rsidR="009D5FC1" w:rsidRPr="009D5FC1" w14:paraId="7F338D18" w14:textId="77777777" w:rsidTr="005165B0">
        <w:trPr>
          <w:trHeight w:val="402"/>
        </w:trPr>
        <w:tc>
          <w:tcPr>
            <w:tcW w:w="216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50CDA378"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Total</w:t>
            </w:r>
          </w:p>
        </w:tc>
        <w:tc>
          <w:tcPr>
            <w:tcW w:w="1200" w:type="dxa"/>
            <w:tcBorders>
              <w:top w:val="single" w:sz="4" w:space="0" w:color="auto"/>
              <w:left w:val="nil"/>
              <w:bottom w:val="single" w:sz="4" w:space="0" w:color="auto"/>
              <w:right w:val="single" w:sz="4" w:space="0" w:color="auto"/>
            </w:tcBorders>
            <w:shd w:val="clear" w:color="000000" w:fill="F2F2F2"/>
            <w:noWrap/>
            <w:vAlign w:val="center"/>
            <w:hideMark/>
          </w:tcPr>
          <w:p w14:paraId="7C050FA7"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17,180</w:t>
            </w:r>
          </w:p>
        </w:tc>
        <w:tc>
          <w:tcPr>
            <w:tcW w:w="1200" w:type="dxa"/>
            <w:tcBorders>
              <w:top w:val="single" w:sz="4" w:space="0" w:color="auto"/>
              <w:left w:val="nil"/>
              <w:bottom w:val="single" w:sz="4" w:space="0" w:color="auto"/>
              <w:right w:val="single" w:sz="4" w:space="0" w:color="BFBFBF"/>
            </w:tcBorders>
            <w:shd w:val="clear" w:color="000000" w:fill="F2F2F2"/>
            <w:noWrap/>
            <w:vAlign w:val="center"/>
            <w:hideMark/>
          </w:tcPr>
          <w:p w14:paraId="69366A6F"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46%</w:t>
            </w:r>
          </w:p>
        </w:tc>
        <w:tc>
          <w:tcPr>
            <w:tcW w:w="1200" w:type="dxa"/>
            <w:tcBorders>
              <w:top w:val="single" w:sz="4" w:space="0" w:color="auto"/>
              <w:left w:val="nil"/>
              <w:bottom w:val="single" w:sz="4" w:space="0" w:color="auto"/>
              <w:right w:val="single" w:sz="4" w:space="0" w:color="auto"/>
            </w:tcBorders>
            <w:shd w:val="clear" w:color="000000" w:fill="F2F2F2"/>
            <w:noWrap/>
            <w:vAlign w:val="center"/>
            <w:hideMark/>
          </w:tcPr>
          <w:p w14:paraId="679E0C6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54%</w:t>
            </w:r>
          </w:p>
        </w:tc>
        <w:tc>
          <w:tcPr>
            <w:tcW w:w="1200" w:type="dxa"/>
            <w:tcBorders>
              <w:top w:val="single" w:sz="4" w:space="0" w:color="auto"/>
              <w:left w:val="nil"/>
              <w:bottom w:val="single" w:sz="4" w:space="0" w:color="auto"/>
              <w:right w:val="single" w:sz="4" w:space="0" w:color="BFBFBF"/>
            </w:tcBorders>
            <w:shd w:val="clear" w:color="000000" w:fill="F2F2F2"/>
            <w:noWrap/>
            <w:vAlign w:val="center"/>
            <w:hideMark/>
          </w:tcPr>
          <w:p w14:paraId="354E8A5C"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17,180</w:t>
            </w:r>
          </w:p>
        </w:tc>
        <w:tc>
          <w:tcPr>
            <w:tcW w:w="1200" w:type="dxa"/>
            <w:tcBorders>
              <w:top w:val="single" w:sz="4" w:space="0" w:color="auto"/>
              <w:left w:val="nil"/>
              <w:bottom w:val="single" w:sz="4" w:space="0" w:color="auto"/>
              <w:right w:val="single" w:sz="4" w:space="0" w:color="BFBFBF"/>
            </w:tcBorders>
            <w:shd w:val="clear" w:color="000000" w:fill="F2F2F2"/>
            <w:noWrap/>
            <w:vAlign w:val="center"/>
            <w:hideMark/>
          </w:tcPr>
          <w:p w14:paraId="211EB514"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37,230</w:t>
            </w:r>
          </w:p>
        </w:tc>
        <w:tc>
          <w:tcPr>
            <w:tcW w:w="1200" w:type="dxa"/>
            <w:tcBorders>
              <w:top w:val="single" w:sz="4" w:space="0" w:color="auto"/>
              <w:left w:val="nil"/>
              <w:bottom w:val="single" w:sz="4" w:space="0" w:color="auto"/>
              <w:right w:val="single" w:sz="4" w:space="0" w:color="auto"/>
            </w:tcBorders>
            <w:shd w:val="clear" w:color="000000" w:fill="F2F2F2"/>
            <w:noWrap/>
            <w:vAlign w:val="center"/>
            <w:hideMark/>
          </w:tcPr>
          <w:p w14:paraId="321588F2"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64,570</w:t>
            </w:r>
          </w:p>
        </w:tc>
      </w:tr>
      <w:tr w:rsidR="009D5FC1" w:rsidRPr="009D5FC1" w14:paraId="05FB97B3" w14:textId="77777777" w:rsidTr="003C59F9">
        <w:trPr>
          <w:trHeight w:val="402"/>
        </w:trPr>
        <w:tc>
          <w:tcPr>
            <w:tcW w:w="9360" w:type="dxa"/>
            <w:gridSpan w:val="8"/>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77B8C21C"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Age of primary household maintainer</w:t>
            </w:r>
          </w:p>
        </w:tc>
      </w:tr>
      <w:tr w:rsidR="009D5FC1" w:rsidRPr="009D5FC1" w14:paraId="25ABF0E5" w14:textId="77777777" w:rsidTr="009D5FC1">
        <w:trPr>
          <w:trHeight w:val="402"/>
        </w:trPr>
        <w:tc>
          <w:tcPr>
            <w:tcW w:w="2160" w:type="dxa"/>
            <w:gridSpan w:val="2"/>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1FF75451"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15 to 24</w:t>
            </w:r>
          </w:p>
        </w:tc>
        <w:tc>
          <w:tcPr>
            <w:tcW w:w="1200" w:type="dxa"/>
            <w:tcBorders>
              <w:top w:val="nil"/>
              <w:left w:val="nil"/>
              <w:bottom w:val="single" w:sz="4" w:space="0" w:color="BFBFBF"/>
              <w:right w:val="single" w:sz="4" w:space="0" w:color="auto"/>
            </w:tcBorders>
            <w:shd w:val="clear" w:color="000000" w:fill="F2F2F2"/>
            <w:noWrap/>
            <w:vAlign w:val="center"/>
            <w:hideMark/>
          </w:tcPr>
          <w:p w14:paraId="6E6A7A4B"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1,350</w:t>
            </w:r>
          </w:p>
        </w:tc>
        <w:tc>
          <w:tcPr>
            <w:tcW w:w="1200" w:type="dxa"/>
            <w:tcBorders>
              <w:top w:val="nil"/>
              <w:left w:val="nil"/>
              <w:bottom w:val="single" w:sz="4" w:space="0" w:color="BFBFBF"/>
              <w:right w:val="single" w:sz="4" w:space="0" w:color="BFBFBF"/>
            </w:tcBorders>
            <w:shd w:val="clear" w:color="000000" w:fill="F2F2F2"/>
            <w:noWrap/>
            <w:vAlign w:val="center"/>
            <w:hideMark/>
          </w:tcPr>
          <w:p w14:paraId="05E28B68"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7%</w:t>
            </w:r>
          </w:p>
        </w:tc>
        <w:tc>
          <w:tcPr>
            <w:tcW w:w="1200" w:type="dxa"/>
            <w:tcBorders>
              <w:top w:val="nil"/>
              <w:left w:val="nil"/>
              <w:bottom w:val="single" w:sz="4" w:space="0" w:color="BFBFBF"/>
              <w:right w:val="single" w:sz="4" w:space="0" w:color="auto"/>
            </w:tcBorders>
            <w:shd w:val="clear" w:color="000000" w:fill="F2F2F2"/>
            <w:noWrap/>
            <w:vAlign w:val="center"/>
            <w:hideMark/>
          </w:tcPr>
          <w:p w14:paraId="5F0AC782"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93%</w:t>
            </w:r>
          </w:p>
        </w:tc>
        <w:tc>
          <w:tcPr>
            <w:tcW w:w="1200" w:type="dxa"/>
            <w:tcBorders>
              <w:top w:val="nil"/>
              <w:left w:val="nil"/>
              <w:bottom w:val="single" w:sz="4" w:space="0" w:color="BFBFBF"/>
              <w:right w:val="single" w:sz="4" w:space="0" w:color="BFBFBF"/>
            </w:tcBorders>
            <w:shd w:val="clear" w:color="000000" w:fill="F2F2F2"/>
            <w:noWrap/>
            <w:vAlign w:val="center"/>
            <w:hideMark/>
          </w:tcPr>
          <w:p w14:paraId="3B949EF1"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8%</w:t>
            </w:r>
          </w:p>
        </w:tc>
        <w:tc>
          <w:tcPr>
            <w:tcW w:w="1200" w:type="dxa"/>
            <w:tcBorders>
              <w:top w:val="nil"/>
              <w:left w:val="nil"/>
              <w:bottom w:val="single" w:sz="4" w:space="0" w:color="BFBFBF"/>
              <w:right w:val="single" w:sz="4" w:space="0" w:color="BFBFBF"/>
            </w:tcBorders>
            <w:shd w:val="clear" w:color="000000" w:fill="F2F2F2"/>
            <w:noWrap/>
            <w:vAlign w:val="center"/>
            <w:hideMark/>
          </w:tcPr>
          <w:p w14:paraId="4FA25FC9"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w:t>
            </w:r>
          </w:p>
        </w:tc>
        <w:tc>
          <w:tcPr>
            <w:tcW w:w="1200" w:type="dxa"/>
            <w:tcBorders>
              <w:top w:val="nil"/>
              <w:left w:val="nil"/>
              <w:bottom w:val="single" w:sz="4" w:space="0" w:color="BFBFBF"/>
              <w:right w:val="single" w:sz="4" w:space="0" w:color="auto"/>
            </w:tcBorders>
            <w:shd w:val="clear" w:color="000000" w:fill="F2F2F2"/>
            <w:noWrap/>
            <w:vAlign w:val="center"/>
            <w:hideMark/>
          </w:tcPr>
          <w:p w14:paraId="234192DD"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w:t>
            </w:r>
          </w:p>
        </w:tc>
      </w:tr>
      <w:tr w:rsidR="009D5FC1" w:rsidRPr="009D5FC1" w14:paraId="7AACA50C"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noWrap/>
            <w:vAlign w:val="center"/>
            <w:hideMark/>
          </w:tcPr>
          <w:p w14:paraId="5045350B"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25 to 34</w:t>
            </w:r>
          </w:p>
        </w:tc>
        <w:tc>
          <w:tcPr>
            <w:tcW w:w="1200" w:type="dxa"/>
            <w:tcBorders>
              <w:top w:val="nil"/>
              <w:left w:val="nil"/>
              <w:bottom w:val="single" w:sz="4" w:space="0" w:color="BFBFBF"/>
              <w:right w:val="single" w:sz="4" w:space="0" w:color="auto"/>
            </w:tcBorders>
            <w:noWrap/>
            <w:vAlign w:val="center"/>
            <w:hideMark/>
          </w:tcPr>
          <w:p w14:paraId="0A10B52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2,555</w:t>
            </w:r>
          </w:p>
        </w:tc>
        <w:tc>
          <w:tcPr>
            <w:tcW w:w="1200" w:type="dxa"/>
            <w:tcBorders>
              <w:top w:val="nil"/>
              <w:left w:val="nil"/>
              <w:bottom w:val="single" w:sz="4" w:space="0" w:color="BFBFBF"/>
              <w:right w:val="single" w:sz="4" w:space="0" w:color="BFBFBF"/>
            </w:tcBorders>
            <w:noWrap/>
            <w:vAlign w:val="center"/>
            <w:hideMark/>
          </w:tcPr>
          <w:p w14:paraId="3E023797"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29%</w:t>
            </w:r>
          </w:p>
        </w:tc>
        <w:tc>
          <w:tcPr>
            <w:tcW w:w="1200" w:type="dxa"/>
            <w:tcBorders>
              <w:top w:val="nil"/>
              <w:left w:val="nil"/>
              <w:bottom w:val="single" w:sz="4" w:space="0" w:color="BFBFBF"/>
              <w:right w:val="single" w:sz="4" w:space="0" w:color="auto"/>
            </w:tcBorders>
            <w:noWrap/>
            <w:vAlign w:val="center"/>
            <w:hideMark/>
          </w:tcPr>
          <w:p w14:paraId="761B6BF3"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71%</w:t>
            </w:r>
          </w:p>
        </w:tc>
        <w:tc>
          <w:tcPr>
            <w:tcW w:w="1200" w:type="dxa"/>
            <w:tcBorders>
              <w:top w:val="nil"/>
              <w:left w:val="nil"/>
              <w:bottom w:val="single" w:sz="4" w:space="0" w:color="BFBFBF"/>
              <w:right w:val="single" w:sz="4" w:space="0" w:color="BFBFBF"/>
            </w:tcBorders>
            <w:noWrap/>
            <w:vAlign w:val="center"/>
            <w:hideMark/>
          </w:tcPr>
          <w:p w14:paraId="15095027"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15%</w:t>
            </w:r>
          </w:p>
        </w:tc>
        <w:tc>
          <w:tcPr>
            <w:tcW w:w="1200" w:type="dxa"/>
            <w:tcBorders>
              <w:top w:val="nil"/>
              <w:left w:val="nil"/>
              <w:bottom w:val="single" w:sz="4" w:space="0" w:color="BFBFBF"/>
              <w:right w:val="single" w:sz="4" w:space="0" w:color="BFBFBF"/>
            </w:tcBorders>
            <w:noWrap/>
            <w:vAlign w:val="center"/>
            <w:hideMark/>
          </w:tcPr>
          <w:p w14:paraId="215499D9"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14%</w:t>
            </w:r>
          </w:p>
        </w:tc>
        <w:tc>
          <w:tcPr>
            <w:tcW w:w="1200" w:type="dxa"/>
            <w:tcBorders>
              <w:top w:val="nil"/>
              <w:left w:val="nil"/>
              <w:bottom w:val="single" w:sz="4" w:space="0" w:color="BFBFBF"/>
              <w:right w:val="single" w:sz="4" w:space="0" w:color="auto"/>
            </w:tcBorders>
            <w:noWrap/>
            <w:vAlign w:val="center"/>
            <w:hideMark/>
          </w:tcPr>
          <w:p w14:paraId="459EDDB8"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12%</w:t>
            </w:r>
          </w:p>
        </w:tc>
      </w:tr>
      <w:tr w:rsidR="009D5FC1" w:rsidRPr="009D5FC1" w14:paraId="6F1EC147"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C44A8F5"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35 to 44</w:t>
            </w:r>
          </w:p>
        </w:tc>
        <w:tc>
          <w:tcPr>
            <w:tcW w:w="1200" w:type="dxa"/>
            <w:tcBorders>
              <w:top w:val="nil"/>
              <w:left w:val="nil"/>
              <w:bottom w:val="single" w:sz="4" w:space="0" w:color="BFBFBF"/>
              <w:right w:val="single" w:sz="4" w:space="0" w:color="auto"/>
            </w:tcBorders>
            <w:shd w:val="clear" w:color="000000" w:fill="F2F2F2"/>
            <w:noWrap/>
            <w:vAlign w:val="center"/>
            <w:hideMark/>
          </w:tcPr>
          <w:p w14:paraId="0112928E"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2,485</w:t>
            </w:r>
          </w:p>
        </w:tc>
        <w:tc>
          <w:tcPr>
            <w:tcW w:w="1200" w:type="dxa"/>
            <w:tcBorders>
              <w:top w:val="nil"/>
              <w:left w:val="nil"/>
              <w:bottom w:val="single" w:sz="4" w:space="0" w:color="BFBFBF"/>
              <w:right w:val="single" w:sz="4" w:space="0" w:color="BFBFBF"/>
            </w:tcBorders>
            <w:shd w:val="clear" w:color="000000" w:fill="F2F2F2"/>
            <w:noWrap/>
            <w:vAlign w:val="center"/>
            <w:hideMark/>
          </w:tcPr>
          <w:p w14:paraId="408CF301"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48%</w:t>
            </w:r>
          </w:p>
        </w:tc>
        <w:tc>
          <w:tcPr>
            <w:tcW w:w="1200" w:type="dxa"/>
            <w:tcBorders>
              <w:top w:val="nil"/>
              <w:left w:val="nil"/>
              <w:bottom w:val="single" w:sz="4" w:space="0" w:color="BFBFBF"/>
              <w:right w:val="single" w:sz="4" w:space="0" w:color="auto"/>
            </w:tcBorders>
            <w:shd w:val="clear" w:color="000000" w:fill="F2F2F2"/>
            <w:noWrap/>
            <w:vAlign w:val="center"/>
            <w:hideMark/>
          </w:tcPr>
          <w:p w14:paraId="7A5347A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52%</w:t>
            </w:r>
          </w:p>
        </w:tc>
        <w:tc>
          <w:tcPr>
            <w:tcW w:w="1200" w:type="dxa"/>
            <w:tcBorders>
              <w:top w:val="nil"/>
              <w:left w:val="nil"/>
              <w:bottom w:val="single" w:sz="4" w:space="0" w:color="BFBFBF"/>
              <w:right w:val="single" w:sz="4" w:space="0" w:color="BFBFBF"/>
            </w:tcBorders>
            <w:shd w:val="clear" w:color="000000" w:fill="F2F2F2"/>
            <w:noWrap/>
            <w:vAlign w:val="center"/>
            <w:hideMark/>
          </w:tcPr>
          <w:p w14:paraId="67F0B24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14%</w:t>
            </w:r>
          </w:p>
        </w:tc>
        <w:tc>
          <w:tcPr>
            <w:tcW w:w="1200" w:type="dxa"/>
            <w:tcBorders>
              <w:top w:val="nil"/>
              <w:left w:val="nil"/>
              <w:bottom w:val="single" w:sz="4" w:space="0" w:color="BFBFBF"/>
              <w:right w:val="single" w:sz="4" w:space="0" w:color="BFBFBF"/>
            </w:tcBorders>
            <w:shd w:val="clear" w:color="000000" w:fill="F2F2F2"/>
            <w:noWrap/>
            <w:vAlign w:val="center"/>
            <w:hideMark/>
          </w:tcPr>
          <w:p w14:paraId="17F3205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16%</w:t>
            </w:r>
          </w:p>
        </w:tc>
        <w:tc>
          <w:tcPr>
            <w:tcW w:w="1200" w:type="dxa"/>
            <w:tcBorders>
              <w:top w:val="nil"/>
              <w:left w:val="nil"/>
              <w:bottom w:val="single" w:sz="4" w:space="0" w:color="BFBFBF"/>
              <w:right w:val="single" w:sz="4" w:space="0" w:color="auto"/>
            </w:tcBorders>
            <w:shd w:val="clear" w:color="000000" w:fill="F2F2F2"/>
            <w:noWrap/>
            <w:vAlign w:val="center"/>
            <w:hideMark/>
          </w:tcPr>
          <w:p w14:paraId="652C49F9"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15%</w:t>
            </w:r>
          </w:p>
        </w:tc>
      </w:tr>
      <w:tr w:rsidR="009D5FC1" w:rsidRPr="009D5FC1" w14:paraId="26EC1303"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noWrap/>
            <w:vAlign w:val="center"/>
            <w:hideMark/>
          </w:tcPr>
          <w:p w14:paraId="09E9A93F"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45 to 54</w:t>
            </w:r>
          </w:p>
        </w:tc>
        <w:tc>
          <w:tcPr>
            <w:tcW w:w="1200" w:type="dxa"/>
            <w:tcBorders>
              <w:top w:val="nil"/>
              <w:left w:val="nil"/>
              <w:bottom w:val="single" w:sz="4" w:space="0" w:color="BFBFBF"/>
              <w:right w:val="single" w:sz="4" w:space="0" w:color="auto"/>
            </w:tcBorders>
            <w:noWrap/>
            <w:vAlign w:val="center"/>
            <w:hideMark/>
          </w:tcPr>
          <w:p w14:paraId="640E9174"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2,740</w:t>
            </w:r>
          </w:p>
        </w:tc>
        <w:tc>
          <w:tcPr>
            <w:tcW w:w="1200" w:type="dxa"/>
            <w:tcBorders>
              <w:top w:val="nil"/>
              <w:left w:val="nil"/>
              <w:bottom w:val="single" w:sz="4" w:space="0" w:color="BFBFBF"/>
              <w:right w:val="single" w:sz="4" w:space="0" w:color="BFBFBF"/>
            </w:tcBorders>
            <w:noWrap/>
            <w:vAlign w:val="center"/>
            <w:hideMark/>
          </w:tcPr>
          <w:p w14:paraId="1DEEF87E"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57%</w:t>
            </w:r>
          </w:p>
        </w:tc>
        <w:tc>
          <w:tcPr>
            <w:tcW w:w="1200" w:type="dxa"/>
            <w:tcBorders>
              <w:top w:val="nil"/>
              <w:left w:val="nil"/>
              <w:bottom w:val="single" w:sz="4" w:space="0" w:color="BFBFBF"/>
              <w:right w:val="single" w:sz="4" w:space="0" w:color="auto"/>
            </w:tcBorders>
            <w:noWrap/>
            <w:vAlign w:val="center"/>
            <w:hideMark/>
          </w:tcPr>
          <w:p w14:paraId="73BFBC15"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43%</w:t>
            </w:r>
          </w:p>
        </w:tc>
        <w:tc>
          <w:tcPr>
            <w:tcW w:w="1200" w:type="dxa"/>
            <w:tcBorders>
              <w:top w:val="nil"/>
              <w:left w:val="nil"/>
              <w:bottom w:val="single" w:sz="4" w:space="0" w:color="BFBFBF"/>
              <w:right w:val="single" w:sz="4" w:space="0" w:color="BFBFBF"/>
            </w:tcBorders>
            <w:noWrap/>
            <w:vAlign w:val="center"/>
            <w:hideMark/>
          </w:tcPr>
          <w:p w14:paraId="1D9F6851"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16%</w:t>
            </w:r>
          </w:p>
        </w:tc>
        <w:tc>
          <w:tcPr>
            <w:tcW w:w="1200" w:type="dxa"/>
            <w:tcBorders>
              <w:top w:val="nil"/>
              <w:left w:val="nil"/>
              <w:bottom w:val="single" w:sz="4" w:space="0" w:color="BFBFBF"/>
              <w:right w:val="single" w:sz="4" w:space="0" w:color="BFBFBF"/>
            </w:tcBorders>
            <w:noWrap/>
            <w:vAlign w:val="center"/>
            <w:hideMark/>
          </w:tcPr>
          <w:p w14:paraId="0771BA7B"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17%</w:t>
            </w:r>
          </w:p>
        </w:tc>
        <w:tc>
          <w:tcPr>
            <w:tcW w:w="1200" w:type="dxa"/>
            <w:tcBorders>
              <w:top w:val="nil"/>
              <w:left w:val="nil"/>
              <w:bottom w:val="single" w:sz="4" w:space="0" w:color="BFBFBF"/>
              <w:right w:val="single" w:sz="4" w:space="0" w:color="auto"/>
            </w:tcBorders>
            <w:noWrap/>
            <w:vAlign w:val="center"/>
            <w:hideMark/>
          </w:tcPr>
          <w:p w14:paraId="310BA60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17%</w:t>
            </w:r>
          </w:p>
        </w:tc>
      </w:tr>
      <w:tr w:rsidR="009D5FC1" w:rsidRPr="009D5FC1" w14:paraId="1B56FF0C"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9A218BB"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55 to 64</w:t>
            </w:r>
          </w:p>
        </w:tc>
        <w:tc>
          <w:tcPr>
            <w:tcW w:w="1200" w:type="dxa"/>
            <w:tcBorders>
              <w:top w:val="nil"/>
              <w:left w:val="nil"/>
              <w:bottom w:val="single" w:sz="4" w:space="0" w:color="BFBFBF"/>
              <w:right w:val="single" w:sz="4" w:space="0" w:color="auto"/>
            </w:tcBorders>
            <w:shd w:val="clear" w:color="000000" w:fill="F2F2F2"/>
            <w:noWrap/>
            <w:vAlign w:val="center"/>
            <w:hideMark/>
          </w:tcPr>
          <w:p w14:paraId="6A9B9213"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3,015</w:t>
            </w:r>
          </w:p>
        </w:tc>
        <w:tc>
          <w:tcPr>
            <w:tcW w:w="1200" w:type="dxa"/>
            <w:tcBorders>
              <w:top w:val="nil"/>
              <w:left w:val="nil"/>
              <w:bottom w:val="single" w:sz="4" w:space="0" w:color="BFBFBF"/>
              <w:right w:val="single" w:sz="4" w:space="0" w:color="BFBFBF"/>
            </w:tcBorders>
            <w:shd w:val="clear" w:color="000000" w:fill="F2F2F2"/>
            <w:noWrap/>
            <w:vAlign w:val="center"/>
            <w:hideMark/>
          </w:tcPr>
          <w:p w14:paraId="6D3FE26E"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56%</w:t>
            </w:r>
          </w:p>
        </w:tc>
        <w:tc>
          <w:tcPr>
            <w:tcW w:w="1200" w:type="dxa"/>
            <w:tcBorders>
              <w:top w:val="nil"/>
              <w:left w:val="nil"/>
              <w:bottom w:val="single" w:sz="4" w:space="0" w:color="BFBFBF"/>
              <w:right w:val="single" w:sz="4" w:space="0" w:color="auto"/>
            </w:tcBorders>
            <w:shd w:val="clear" w:color="000000" w:fill="F2F2F2"/>
            <w:noWrap/>
            <w:vAlign w:val="center"/>
            <w:hideMark/>
          </w:tcPr>
          <w:p w14:paraId="46DE75A5"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44%</w:t>
            </w:r>
          </w:p>
        </w:tc>
        <w:tc>
          <w:tcPr>
            <w:tcW w:w="1200" w:type="dxa"/>
            <w:tcBorders>
              <w:top w:val="nil"/>
              <w:left w:val="nil"/>
              <w:bottom w:val="single" w:sz="4" w:space="0" w:color="BFBFBF"/>
              <w:right w:val="single" w:sz="4" w:space="0" w:color="BFBFBF"/>
            </w:tcBorders>
            <w:shd w:val="clear" w:color="000000" w:fill="F2F2F2"/>
            <w:noWrap/>
            <w:vAlign w:val="center"/>
            <w:hideMark/>
          </w:tcPr>
          <w:p w14:paraId="5F541321"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18%</w:t>
            </w:r>
          </w:p>
        </w:tc>
        <w:tc>
          <w:tcPr>
            <w:tcW w:w="1200" w:type="dxa"/>
            <w:tcBorders>
              <w:top w:val="nil"/>
              <w:left w:val="nil"/>
              <w:bottom w:val="single" w:sz="4" w:space="0" w:color="BFBFBF"/>
              <w:right w:val="single" w:sz="4" w:space="0" w:color="BFBFBF"/>
            </w:tcBorders>
            <w:shd w:val="clear" w:color="000000" w:fill="F2F2F2"/>
            <w:noWrap/>
            <w:vAlign w:val="center"/>
            <w:hideMark/>
          </w:tcPr>
          <w:p w14:paraId="376ED12D"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20%</w:t>
            </w:r>
          </w:p>
        </w:tc>
        <w:tc>
          <w:tcPr>
            <w:tcW w:w="1200" w:type="dxa"/>
            <w:tcBorders>
              <w:top w:val="nil"/>
              <w:left w:val="nil"/>
              <w:bottom w:val="single" w:sz="4" w:space="0" w:color="BFBFBF"/>
              <w:right w:val="single" w:sz="4" w:space="0" w:color="auto"/>
            </w:tcBorders>
            <w:shd w:val="clear" w:color="000000" w:fill="F2F2F2"/>
            <w:noWrap/>
            <w:vAlign w:val="center"/>
            <w:hideMark/>
          </w:tcPr>
          <w:p w14:paraId="315B6C5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21%</w:t>
            </w:r>
          </w:p>
        </w:tc>
      </w:tr>
      <w:tr w:rsidR="009D5FC1" w:rsidRPr="009D5FC1" w14:paraId="6AE5AF46"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noWrap/>
            <w:vAlign w:val="center"/>
            <w:hideMark/>
          </w:tcPr>
          <w:p w14:paraId="73833BDC"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65 to 74</w:t>
            </w:r>
          </w:p>
        </w:tc>
        <w:tc>
          <w:tcPr>
            <w:tcW w:w="1200" w:type="dxa"/>
            <w:tcBorders>
              <w:top w:val="nil"/>
              <w:left w:val="nil"/>
              <w:bottom w:val="single" w:sz="4" w:space="0" w:color="BFBFBF"/>
              <w:right w:val="single" w:sz="4" w:space="0" w:color="auto"/>
            </w:tcBorders>
            <w:noWrap/>
            <w:vAlign w:val="center"/>
            <w:hideMark/>
          </w:tcPr>
          <w:p w14:paraId="0C9C5239"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2,910</w:t>
            </w:r>
          </w:p>
        </w:tc>
        <w:tc>
          <w:tcPr>
            <w:tcW w:w="1200" w:type="dxa"/>
            <w:tcBorders>
              <w:top w:val="nil"/>
              <w:left w:val="nil"/>
              <w:bottom w:val="single" w:sz="4" w:space="0" w:color="BFBFBF"/>
              <w:right w:val="single" w:sz="4" w:space="0" w:color="BFBFBF"/>
            </w:tcBorders>
            <w:noWrap/>
            <w:vAlign w:val="center"/>
            <w:hideMark/>
          </w:tcPr>
          <w:p w14:paraId="640B0C6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55%</w:t>
            </w:r>
          </w:p>
        </w:tc>
        <w:tc>
          <w:tcPr>
            <w:tcW w:w="1200" w:type="dxa"/>
            <w:tcBorders>
              <w:top w:val="nil"/>
              <w:left w:val="nil"/>
              <w:bottom w:val="single" w:sz="4" w:space="0" w:color="BFBFBF"/>
              <w:right w:val="single" w:sz="4" w:space="0" w:color="auto"/>
            </w:tcBorders>
            <w:noWrap/>
            <w:vAlign w:val="center"/>
            <w:hideMark/>
          </w:tcPr>
          <w:p w14:paraId="16E6BD82"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45%</w:t>
            </w:r>
          </w:p>
        </w:tc>
        <w:tc>
          <w:tcPr>
            <w:tcW w:w="1200" w:type="dxa"/>
            <w:tcBorders>
              <w:top w:val="nil"/>
              <w:left w:val="nil"/>
              <w:bottom w:val="single" w:sz="4" w:space="0" w:color="BFBFBF"/>
              <w:right w:val="single" w:sz="4" w:space="0" w:color="BFBFBF"/>
            </w:tcBorders>
            <w:noWrap/>
            <w:vAlign w:val="center"/>
            <w:hideMark/>
          </w:tcPr>
          <w:p w14:paraId="2D00D6A8"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17%</w:t>
            </w:r>
          </w:p>
        </w:tc>
        <w:tc>
          <w:tcPr>
            <w:tcW w:w="1200" w:type="dxa"/>
            <w:tcBorders>
              <w:top w:val="nil"/>
              <w:left w:val="nil"/>
              <w:bottom w:val="single" w:sz="4" w:space="0" w:color="BFBFBF"/>
              <w:right w:val="single" w:sz="4" w:space="0" w:color="BFBFBF"/>
            </w:tcBorders>
            <w:noWrap/>
            <w:vAlign w:val="center"/>
            <w:hideMark/>
          </w:tcPr>
          <w:p w14:paraId="1437A7E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18%</w:t>
            </w:r>
          </w:p>
        </w:tc>
        <w:tc>
          <w:tcPr>
            <w:tcW w:w="1200" w:type="dxa"/>
            <w:tcBorders>
              <w:top w:val="nil"/>
              <w:left w:val="nil"/>
              <w:bottom w:val="single" w:sz="4" w:space="0" w:color="BFBFBF"/>
              <w:right w:val="single" w:sz="4" w:space="0" w:color="auto"/>
            </w:tcBorders>
            <w:noWrap/>
            <w:vAlign w:val="center"/>
            <w:hideMark/>
          </w:tcPr>
          <w:p w14:paraId="363002BC"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19%</w:t>
            </w:r>
          </w:p>
        </w:tc>
      </w:tr>
      <w:tr w:rsidR="009D5FC1" w:rsidRPr="009D5FC1" w14:paraId="0E1C904D"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08820D7D"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75 to 84</w:t>
            </w:r>
          </w:p>
        </w:tc>
        <w:tc>
          <w:tcPr>
            <w:tcW w:w="1200" w:type="dxa"/>
            <w:tcBorders>
              <w:top w:val="nil"/>
              <w:left w:val="nil"/>
              <w:bottom w:val="single" w:sz="4" w:space="0" w:color="BFBFBF"/>
              <w:right w:val="single" w:sz="4" w:space="0" w:color="auto"/>
            </w:tcBorders>
            <w:shd w:val="clear" w:color="000000" w:fill="F2F2F2"/>
            <w:noWrap/>
            <w:vAlign w:val="center"/>
            <w:hideMark/>
          </w:tcPr>
          <w:p w14:paraId="004C2E09"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1,610</w:t>
            </w:r>
          </w:p>
        </w:tc>
        <w:tc>
          <w:tcPr>
            <w:tcW w:w="1200" w:type="dxa"/>
            <w:tcBorders>
              <w:top w:val="nil"/>
              <w:left w:val="nil"/>
              <w:bottom w:val="single" w:sz="4" w:space="0" w:color="BFBFBF"/>
              <w:right w:val="single" w:sz="4" w:space="0" w:color="BFBFBF"/>
            </w:tcBorders>
            <w:shd w:val="clear" w:color="000000" w:fill="F2F2F2"/>
            <w:noWrap/>
            <w:vAlign w:val="center"/>
            <w:hideMark/>
          </w:tcPr>
          <w:p w14:paraId="058EB689"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47%</w:t>
            </w:r>
          </w:p>
        </w:tc>
        <w:tc>
          <w:tcPr>
            <w:tcW w:w="1200" w:type="dxa"/>
            <w:tcBorders>
              <w:top w:val="nil"/>
              <w:left w:val="nil"/>
              <w:bottom w:val="single" w:sz="4" w:space="0" w:color="BFBFBF"/>
              <w:right w:val="single" w:sz="4" w:space="0" w:color="auto"/>
            </w:tcBorders>
            <w:shd w:val="clear" w:color="000000" w:fill="F2F2F2"/>
            <w:noWrap/>
            <w:vAlign w:val="center"/>
            <w:hideMark/>
          </w:tcPr>
          <w:p w14:paraId="4EFD6024"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53%</w:t>
            </w:r>
          </w:p>
        </w:tc>
        <w:tc>
          <w:tcPr>
            <w:tcW w:w="1200" w:type="dxa"/>
            <w:tcBorders>
              <w:top w:val="nil"/>
              <w:left w:val="nil"/>
              <w:bottom w:val="single" w:sz="4" w:space="0" w:color="BFBFBF"/>
              <w:right w:val="single" w:sz="4" w:space="0" w:color="BFBFBF"/>
            </w:tcBorders>
            <w:shd w:val="clear" w:color="000000" w:fill="F2F2F2"/>
            <w:noWrap/>
            <w:vAlign w:val="center"/>
            <w:hideMark/>
          </w:tcPr>
          <w:p w14:paraId="695E1A08"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9%</w:t>
            </w:r>
          </w:p>
        </w:tc>
        <w:tc>
          <w:tcPr>
            <w:tcW w:w="1200" w:type="dxa"/>
            <w:tcBorders>
              <w:top w:val="nil"/>
              <w:left w:val="nil"/>
              <w:bottom w:val="single" w:sz="4" w:space="0" w:color="BFBFBF"/>
              <w:right w:val="single" w:sz="4" w:space="0" w:color="BFBFBF"/>
            </w:tcBorders>
            <w:shd w:val="clear" w:color="000000" w:fill="F2F2F2"/>
            <w:noWrap/>
            <w:vAlign w:val="center"/>
            <w:hideMark/>
          </w:tcPr>
          <w:p w14:paraId="5A198D81"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9%</w:t>
            </w:r>
          </w:p>
        </w:tc>
        <w:tc>
          <w:tcPr>
            <w:tcW w:w="1200" w:type="dxa"/>
            <w:tcBorders>
              <w:top w:val="nil"/>
              <w:left w:val="nil"/>
              <w:bottom w:val="single" w:sz="4" w:space="0" w:color="BFBFBF"/>
              <w:right w:val="single" w:sz="4" w:space="0" w:color="auto"/>
            </w:tcBorders>
            <w:shd w:val="clear" w:color="000000" w:fill="F2F2F2"/>
            <w:noWrap/>
            <w:vAlign w:val="center"/>
            <w:hideMark/>
          </w:tcPr>
          <w:p w14:paraId="21567D95"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10%</w:t>
            </w:r>
          </w:p>
        </w:tc>
      </w:tr>
      <w:tr w:rsidR="009D5FC1" w:rsidRPr="009D5FC1" w14:paraId="67997C46" w14:textId="77777777" w:rsidTr="009D5FC1">
        <w:trPr>
          <w:trHeight w:val="402"/>
        </w:trPr>
        <w:tc>
          <w:tcPr>
            <w:tcW w:w="2160" w:type="dxa"/>
            <w:gridSpan w:val="2"/>
            <w:tcBorders>
              <w:top w:val="single" w:sz="4" w:space="0" w:color="BFBFBF"/>
              <w:left w:val="single" w:sz="4" w:space="0" w:color="auto"/>
              <w:bottom w:val="single" w:sz="4" w:space="0" w:color="auto"/>
              <w:right w:val="single" w:sz="4" w:space="0" w:color="000000"/>
            </w:tcBorders>
            <w:noWrap/>
            <w:vAlign w:val="center"/>
            <w:hideMark/>
          </w:tcPr>
          <w:p w14:paraId="78D8A546"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85+</w:t>
            </w:r>
          </w:p>
        </w:tc>
        <w:tc>
          <w:tcPr>
            <w:tcW w:w="1200" w:type="dxa"/>
            <w:tcBorders>
              <w:top w:val="nil"/>
              <w:left w:val="nil"/>
              <w:bottom w:val="single" w:sz="4" w:space="0" w:color="auto"/>
              <w:right w:val="single" w:sz="4" w:space="0" w:color="auto"/>
            </w:tcBorders>
            <w:noWrap/>
            <w:vAlign w:val="center"/>
            <w:hideMark/>
          </w:tcPr>
          <w:p w14:paraId="2A495D53"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515</w:t>
            </w:r>
          </w:p>
        </w:tc>
        <w:tc>
          <w:tcPr>
            <w:tcW w:w="1200" w:type="dxa"/>
            <w:tcBorders>
              <w:top w:val="nil"/>
              <w:left w:val="nil"/>
              <w:bottom w:val="single" w:sz="4" w:space="0" w:color="auto"/>
              <w:right w:val="single" w:sz="4" w:space="0" w:color="BFBFBF"/>
            </w:tcBorders>
            <w:noWrap/>
            <w:vAlign w:val="center"/>
            <w:hideMark/>
          </w:tcPr>
          <w:p w14:paraId="5B8E0C65"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49%</w:t>
            </w:r>
          </w:p>
        </w:tc>
        <w:tc>
          <w:tcPr>
            <w:tcW w:w="1200" w:type="dxa"/>
            <w:tcBorders>
              <w:top w:val="nil"/>
              <w:left w:val="nil"/>
              <w:bottom w:val="single" w:sz="4" w:space="0" w:color="auto"/>
              <w:right w:val="single" w:sz="4" w:space="0" w:color="auto"/>
            </w:tcBorders>
            <w:noWrap/>
            <w:vAlign w:val="center"/>
            <w:hideMark/>
          </w:tcPr>
          <w:p w14:paraId="737E7753"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51%</w:t>
            </w:r>
          </w:p>
        </w:tc>
        <w:tc>
          <w:tcPr>
            <w:tcW w:w="1200" w:type="dxa"/>
            <w:tcBorders>
              <w:top w:val="nil"/>
              <w:left w:val="nil"/>
              <w:bottom w:val="single" w:sz="4" w:space="0" w:color="auto"/>
              <w:right w:val="single" w:sz="4" w:space="0" w:color="BFBFBF"/>
            </w:tcBorders>
            <w:noWrap/>
            <w:vAlign w:val="center"/>
            <w:hideMark/>
          </w:tcPr>
          <w:p w14:paraId="55B495ED"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w:t>
            </w:r>
          </w:p>
        </w:tc>
        <w:tc>
          <w:tcPr>
            <w:tcW w:w="1200" w:type="dxa"/>
            <w:tcBorders>
              <w:top w:val="nil"/>
              <w:left w:val="nil"/>
              <w:bottom w:val="single" w:sz="4" w:space="0" w:color="auto"/>
              <w:right w:val="single" w:sz="4" w:space="0" w:color="BFBFBF"/>
            </w:tcBorders>
            <w:noWrap/>
            <w:vAlign w:val="center"/>
            <w:hideMark/>
          </w:tcPr>
          <w:p w14:paraId="0BE878CC"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w:t>
            </w:r>
          </w:p>
        </w:tc>
        <w:tc>
          <w:tcPr>
            <w:tcW w:w="1200" w:type="dxa"/>
            <w:tcBorders>
              <w:top w:val="nil"/>
              <w:left w:val="nil"/>
              <w:bottom w:val="single" w:sz="4" w:space="0" w:color="auto"/>
              <w:right w:val="single" w:sz="4" w:space="0" w:color="auto"/>
            </w:tcBorders>
            <w:noWrap/>
            <w:vAlign w:val="center"/>
            <w:hideMark/>
          </w:tcPr>
          <w:p w14:paraId="706ED97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w:t>
            </w:r>
          </w:p>
        </w:tc>
      </w:tr>
      <w:tr w:rsidR="009D5FC1" w:rsidRPr="009D5FC1" w14:paraId="1AB46440" w14:textId="77777777" w:rsidTr="003C59F9">
        <w:trPr>
          <w:trHeight w:val="402"/>
        </w:trPr>
        <w:tc>
          <w:tcPr>
            <w:tcW w:w="9360" w:type="dxa"/>
            <w:gridSpan w:val="8"/>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064185BD" w14:textId="103F1C21" w:rsidR="009D5FC1" w:rsidRPr="009D5FC1" w:rsidRDefault="009D5FC1" w:rsidP="009D5FC1">
            <w:pPr>
              <w:rPr>
                <w:rFonts w:eastAsia="Times New Roman"/>
                <w:color w:val="0D0D0D"/>
                <w:sz w:val="18"/>
                <w:szCs w:val="18"/>
              </w:rPr>
            </w:pPr>
            <w:r w:rsidRPr="009D5FC1">
              <w:rPr>
                <w:rFonts w:eastAsia="Times New Roman"/>
                <w:color w:val="0D0D0D"/>
                <w:sz w:val="18"/>
                <w:szCs w:val="18"/>
              </w:rPr>
              <w:t>Census family household type</w:t>
            </w:r>
          </w:p>
        </w:tc>
      </w:tr>
      <w:tr w:rsidR="00125972" w:rsidRPr="009D5FC1" w14:paraId="193FD077" w14:textId="77777777" w:rsidTr="009D5FC1">
        <w:trPr>
          <w:trHeight w:val="402"/>
        </w:trPr>
        <w:tc>
          <w:tcPr>
            <w:tcW w:w="2160" w:type="dxa"/>
            <w:gridSpan w:val="2"/>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1576B4C2" w14:textId="42F7D42E" w:rsidR="00125972" w:rsidRPr="009D5FC1" w:rsidRDefault="00125972" w:rsidP="00125972">
            <w:pPr>
              <w:rPr>
                <w:rFonts w:eastAsia="Times New Roman"/>
                <w:color w:val="0D0D0D"/>
                <w:sz w:val="18"/>
                <w:szCs w:val="18"/>
              </w:rPr>
            </w:pPr>
            <w:r>
              <w:rPr>
                <w:color w:val="0D0D0D"/>
                <w:sz w:val="18"/>
                <w:szCs w:val="18"/>
              </w:rPr>
              <w:t>Couple w/o child(ren)</w:t>
            </w:r>
          </w:p>
        </w:tc>
        <w:tc>
          <w:tcPr>
            <w:tcW w:w="1200" w:type="dxa"/>
            <w:tcBorders>
              <w:top w:val="nil"/>
              <w:left w:val="nil"/>
              <w:bottom w:val="single" w:sz="4" w:space="0" w:color="BFBFBF"/>
              <w:right w:val="single" w:sz="4" w:space="0" w:color="auto"/>
            </w:tcBorders>
            <w:shd w:val="clear" w:color="000000" w:fill="F2F2F2"/>
            <w:noWrap/>
            <w:vAlign w:val="center"/>
            <w:hideMark/>
          </w:tcPr>
          <w:p w14:paraId="06013139"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3,915</w:t>
            </w:r>
          </w:p>
        </w:tc>
        <w:tc>
          <w:tcPr>
            <w:tcW w:w="1200" w:type="dxa"/>
            <w:tcBorders>
              <w:top w:val="nil"/>
              <w:left w:val="nil"/>
              <w:bottom w:val="single" w:sz="4" w:space="0" w:color="BFBFBF"/>
              <w:right w:val="single" w:sz="4" w:space="0" w:color="BFBFBF"/>
            </w:tcBorders>
            <w:shd w:val="clear" w:color="000000" w:fill="F2F2F2"/>
            <w:noWrap/>
            <w:vAlign w:val="center"/>
            <w:hideMark/>
          </w:tcPr>
          <w:p w14:paraId="76CA1AC4"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61%</w:t>
            </w:r>
          </w:p>
        </w:tc>
        <w:tc>
          <w:tcPr>
            <w:tcW w:w="1200" w:type="dxa"/>
            <w:tcBorders>
              <w:top w:val="nil"/>
              <w:left w:val="nil"/>
              <w:bottom w:val="single" w:sz="4" w:space="0" w:color="BFBFBF"/>
              <w:right w:val="single" w:sz="4" w:space="0" w:color="auto"/>
            </w:tcBorders>
            <w:shd w:val="clear" w:color="000000" w:fill="F2F2F2"/>
            <w:noWrap/>
            <w:vAlign w:val="center"/>
            <w:hideMark/>
          </w:tcPr>
          <w:p w14:paraId="4271C0D9"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39%</w:t>
            </w:r>
          </w:p>
        </w:tc>
        <w:tc>
          <w:tcPr>
            <w:tcW w:w="1200" w:type="dxa"/>
            <w:tcBorders>
              <w:top w:val="nil"/>
              <w:left w:val="nil"/>
              <w:bottom w:val="single" w:sz="4" w:space="0" w:color="BFBFBF"/>
              <w:right w:val="single" w:sz="4" w:space="0" w:color="BFBFBF"/>
            </w:tcBorders>
            <w:shd w:val="clear" w:color="000000" w:fill="F2F2F2"/>
            <w:noWrap/>
            <w:vAlign w:val="center"/>
            <w:hideMark/>
          </w:tcPr>
          <w:p w14:paraId="21001130"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23%</w:t>
            </w:r>
          </w:p>
        </w:tc>
        <w:tc>
          <w:tcPr>
            <w:tcW w:w="1200" w:type="dxa"/>
            <w:tcBorders>
              <w:top w:val="nil"/>
              <w:left w:val="nil"/>
              <w:bottom w:val="single" w:sz="4" w:space="0" w:color="BFBFBF"/>
              <w:right w:val="single" w:sz="4" w:space="0" w:color="BFBFBF"/>
            </w:tcBorders>
            <w:shd w:val="clear" w:color="000000" w:fill="F2F2F2"/>
            <w:noWrap/>
            <w:vAlign w:val="center"/>
            <w:hideMark/>
          </w:tcPr>
          <w:p w14:paraId="1AA01570"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28%</w:t>
            </w:r>
          </w:p>
        </w:tc>
        <w:tc>
          <w:tcPr>
            <w:tcW w:w="1200" w:type="dxa"/>
            <w:tcBorders>
              <w:top w:val="nil"/>
              <w:left w:val="nil"/>
              <w:bottom w:val="single" w:sz="4" w:space="0" w:color="BFBFBF"/>
              <w:right w:val="single" w:sz="4" w:space="0" w:color="auto"/>
            </w:tcBorders>
            <w:shd w:val="clear" w:color="000000" w:fill="F2F2F2"/>
            <w:noWrap/>
            <w:vAlign w:val="center"/>
            <w:hideMark/>
          </w:tcPr>
          <w:p w14:paraId="0A63299B"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29%</w:t>
            </w:r>
          </w:p>
        </w:tc>
      </w:tr>
      <w:tr w:rsidR="00125972" w:rsidRPr="009D5FC1" w14:paraId="54A9191A"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noWrap/>
            <w:vAlign w:val="center"/>
            <w:hideMark/>
          </w:tcPr>
          <w:p w14:paraId="402D1EB3" w14:textId="3893B79C" w:rsidR="00125972" w:rsidRPr="009D5FC1" w:rsidRDefault="00125972" w:rsidP="00125972">
            <w:pPr>
              <w:rPr>
                <w:rFonts w:eastAsia="Times New Roman"/>
                <w:color w:val="0D0D0D"/>
                <w:sz w:val="18"/>
                <w:szCs w:val="18"/>
              </w:rPr>
            </w:pPr>
            <w:r>
              <w:rPr>
                <w:color w:val="0D0D0D"/>
                <w:sz w:val="18"/>
                <w:szCs w:val="18"/>
              </w:rPr>
              <w:t>Couple w/ child(ren)</w:t>
            </w:r>
          </w:p>
        </w:tc>
        <w:tc>
          <w:tcPr>
            <w:tcW w:w="1200" w:type="dxa"/>
            <w:tcBorders>
              <w:top w:val="nil"/>
              <w:left w:val="nil"/>
              <w:bottom w:val="single" w:sz="4" w:space="0" w:color="BFBFBF"/>
              <w:right w:val="single" w:sz="4" w:space="0" w:color="auto"/>
            </w:tcBorders>
            <w:noWrap/>
            <w:vAlign w:val="center"/>
            <w:hideMark/>
          </w:tcPr>
          <w:p w14:paraId="1DFF9F15"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3,390</w:t>
            </w:r>
          </w:p>
        </w:tc>
        <w:tc>
          <w:tcPr>
            <w:tcW w:w="1200" w:type="dxa"/>
            <w:tcBorders>
              <w:top w:val="nil"/>
              <w:left w:val="nil"/>
              <w:bottom w:val="single" w:sz="4" w:space="0" w:color="BFBFBF"/>
              <w:right w:val="single" w:sz="4" w:space="0" w:color="BFBFBF"/>
            </w:tcBorders>
            <w:noWrap/>
            <w:vAlign w:val="center"/>
            <w:hideMark/>
          </w:tcPr>
          <w:p w14:paraId="7286AB3D"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73%</w:t>
            </w:r>
          </w:p>
        </w:tc>
        <w:tc>
          <w:tcPr>
            <w:tcW w:w="1200" w:type="dxa"/>
            <w:tcBorders>
              <w:top w:val="nil"/>
              <w:left w:val="nil"/>
              <w:bottom w:val="single" w:sz="4" w:space="0" w:color="BFBFBF"/>
              <w:right w:val="single" w:sz="4" w:space="0" w:color="auto"/>
            </w:tcBorders>
            <w:noWrap/>
            <w:vAlign w:val="center"/>
            <w:hideMark/>
          </w:tcPr>
          <w:p w14:paraId="33642F5C"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27%</w:t>
            </w:r>
          </w:p>
        </w:tc>
        <w:tc>
          <w:tcPr>
            <w:tcW w:w="1200" w:type="dxa"/>
            <w:tcBorders>
              <w:top w:val="nil"/>
              <w:left w:val="nil"/>
              <w:bottom w:val="single" w:sz="4" w:space="0" w:color="BFBFBF"/>
              <w:right w:val="single" w:sz="4" w:space="0" w:color="BFBFBF"/>
            </w:tcBorders>
            <w:noWrap/>
            <w:vAlign w:val="center"/>
            <w:hideMark/>
          </w:tcPr>
          <w:p w14:paraId="25799AFD"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20%</w:t>
            </w:r>
          </w:p>
        </w:tc>
        <w:tc>
          <w:tcPr>
            <w:tcW w:w="1200" w:type="dxa"/>
            <w:tcBorders>
              <w:top w:val="nil"/>
              <w:left w:val="nil"/>
              <w:bottom w:val="single" w:sz="4" w:space="0" w:color="BFBFBF"/>
              <w:right w:val="single" w:sz="4" w:space="0" w:color="BFBFBF"/>
            </w:tcBorders>
            <w:noWrap/>
            <w:vAlign w:val="center"/>
            <w:hideMark/>
          </w:tcPr>
          <w:p w14:paraId="453BA916"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25%</w:t>
            </w:r>
          </w:p>
        </w:tc>
        <w:tc>
          <w:tcPr>
            <w:tcW w:w="1200" w:type="dxa"/>
            <w:tcBorders>
              <w:top w:val="nil"/>
              <w:left w:val="nil"/>
              <w:bottom w:val="single" w:sz="4" w:space="0" w:color="BFBFBF"/>
              <w:right w:val="single" w:sz="4" w:space="0" w:color="auto"/>
            </w:tcBorders>
            <w:noWrap/>
            <w:vAlign w:val="center"/>
            <w:hideMark/>
          </w:tcPr>
          <w:p w14:paraId="1CD28E48"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24%</w:t>
            </w:r>
          </w:p>
        </w:tc>
      </w:tr>
      <w:tr w:rsidR="00125972" w:rsidRPr="009D5FC1" w14:paraId="498CDA5C"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7634D614" w14:textId="206D337F" w:rsidR="00125972" w:rsidRPr="009D5FC1" w:rsidRDefault="00125972" w:rsidP="00125972">
            <w:pPr>
              <w:rPr>
                <w:rFonts w:eastAsia="Times New Roman"/>
                <w:color w:val="0D0D0D"/>
                <w:sz w:val="18"/>
                <w:szCs w:val="18"/>
              </w:rPr>
            </w:pPr>
            <w:r>
              <w:rPr>
                <w:color w:val="0D0D0D"/>
                <w:sz w:val="18"/>
                <w:szCs w:val="18"/>
              </w:rPr>
              <w:t>Lone parent</w:t>
            </w:r>
          </w:p>
        </w:tc>
        <w:tc>
          <w:tcPr>
            <w:tcW w:w="1200" w:type="dxa"/>
            <w:tcBorders>
              <w:top w:val="nil"/>
              <w:left w:val="nil"/>
              <w:bottom w:val="single" w:sz="4" w:space="0" w:color="BFBFBF"/>
              <w:right w:val="single" w:sz="4" w:space="0" w:color="auto"/>
            </w:tcBorders>
            <w:shd w:val="clear" w:color="000000" w:fill="F2F2F2"/>
            <w:noWrap/>
            <w:vAlign w:val="center"/>
            <w:hideMark/>
          </w:tcPr>
          <w:p w14:paraId="6405C316"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1,475</w:t>
            </w:r>
          </w:p>
        </w:tc>
        <w:tc>
          <w:tcPr>
            <w:tcW w:w="1200" w:type="dxa"/>
            <w:tcBorders>
              <w:top w:val="nil"/>
              <w:left w:val="nil"/>
              <w:bottom w:val="single" w:sz="4" w:space="0" w:color="BFBFBF"/>
              <w:right w:val="single" w:sz="4" w:space="0" w:color="BFBFBF"/>
            </w:tcBorders>
            <w:shd w:val="clear" w:color="000000" w:fill="F2F2F2"/>
            <w:noWrap/>
            <w:vAlign w:val="center"/>
            <w:hideMark/>
          </w:tcPr>
          <w:p w14:paraId="4C1A0CB7"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42%</w:t>
            </w:r>
          </w:p>
        </w:tc>
        <w:tc>
          <w:tcPr>
            <w:tcW w:w="1200" w:type="dxa"/>
            <w:tcBorders>
              <w:top w:val="nil"/>
              <w:left w:val="nil"/>
              <w:bottom w:val="single" w:sz="4" w:space="0" w:color="BFBFBF"/>
              <w:right w:val="single" w:sz="4" w:space="0" w:color="auto"/>
            </w:tcBorders>
            <w:shd w:val="clear" w:color="000000" w:fill="F2F2F2"/>
            <w:noWrap/>
            <w:vAlign w:val="center"/>
            <w:hideMark/>
          </w:tcPr>
          <w:p w14:paraId="1E66ADA3"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58%</w:t>
            </w:r>
          </w:p>
        </w:tc>
        <w:tc>
          <w:tcPr>
            <w:tcW w:w="1200" w:type="dxa"/>
            <w:tcBorders>
              <w:top w:val="nil"/>
              <w:left w:val="nil"/>
              <w:bottom w:val="single" w:sz="4" w:space="0" w:color="BFBFBF"/>
              <w:right w:val="single" w:sz="4" w:space="0" w:color="BFBFBF"/>
            </w:tcBorders>
            <w:shd w:val="clear" w:color="000000" w:fill="F2F2F2"/>
            <w:noWrap/>
            <w:vAlign w:val="center"/>
            <w:hideMark/>
          </w:tcPr>
          <w:p w14:paraId="642001EE"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9%</w:t>
            </w:r>
          </w:p>
        </w:tc>
        <w:tc>
          <w:tcPr>
            <w:tcW w:w="1200" w:type="dxa"/>
            <w:tcBorders>
              <w:top w:val="nil"/>
              <w:left w:val="nil"/>
              <w:bottom w:val="single" w:sz="4" w:space="0" w:color="BFBFBF"/>
              <w:right w:val="single" w:sz="4" w:space="0" w:color="BFBFBF"/>
            </w:tcBorders>
            <w:shd w:val="clear" w:color="000000" w:fill="F2F2F2"/>
            <w:noWrap/>
            <w:vAlign w:val="center"/>
            <w:hideMark/>
          </w:tcPr>
          <w:p w14:paraId="3AF6FEBF"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8%</w:t>
            </w:r>
          </w:p>
        </w:tc>
        <w:tc>
          <w:tcPr>
            <w:tcW w:w="1200" w:type="dxa"/>
            <w:tcBorders>
              <w:top w:val="nil"/>
              <w:left w:val="nil"/>
              <w:bottom w:val="single" w:sz="4" w:space="0" w:color="BFBFBF"/>
              <w:right w:val="single" w:sz="4" w:space="0" w:color="auto"/>
            </w:tcBorders>
            <w:shd w:val="clear" w:color="000000" w:fill="F2F2F2"/>
            <w:noWrap/>
            <w:vAlign w:val="center"/>
            <w:hideMark/>
          </w:tcPr>
          <w:p w14:paraId="3097C5D2"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8%</w:t>
            </w:r>
          </w:p>
        </w:tc>
      </w:tr>
      <w:tr w:rsidR="00125972" w:rsidRPr="009D5FC1" w14:paraId="624D6DD5"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noWrap/>
            <w:vAlign w:val="center"/>
            <w:hideMark/>
          </w:tcPr>
          <w:p w14:paraId="3BA1E9CB" w14:textId="50F8E2DB" w:rsidR="00125972" w:rsidRPr="009D5FC1" w:rsidRDefault="00125972" w:rsidP="00125972">
            <w:pPr>
              <w:rPr>
                <w:rFonts w:eastAsia="Times New Roman"/>
                <w:color w:val="0D0D0D"/>
                <w:sz w:val="18"/>
                <w:szCs w:val="18"/>
              </w:rPr>
            </w:pPr>
            <w:r>
              <w:rPr>
                <w:color w:val="0D0D0D"/>
                <w:sz w:val="18"/>
                <w:szCs w:val="18"/>
              </w:rPr>
              <w:t>Other census family</w:t>
            </w:r>
          </w:p>
        </w:tc>
        <w:tc>
          <w:tcPr>
            <w:tcW w:w="1200" w:type="dxa"/>
            <w:tcBorders>
              <w:top w:val="nil"/>
              <w:left w:val="nil"/>
              <w:bottom w:val="single" w:sz="4" w:space="0" w:color="BFBFBF"/>
              <w:right w:val="single" w:sz="4" w:space="0" w:color="auto"/>
            </w:tcBorders>
            <w:noWrap/>
            <w:vAlign w:val="center"/>
            <w:hideMark/>
          </w:tcPr>
          <w:p w14:paraId="4D92D993"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730</w:t>
            </w:r>
          </w:p>
        </w:tc>
        <w:tc>
          <w:tcPr>
            <w:tcW w:w="1200" w:type="dxa"/>
            <w:tcBorders>
              <w:top w:val="nil"/>
              <w:left w:val="nil"/>
              <w:bottom w:val="single" w:sz="4" w:space="0" w:color="BFBFBF"/>
              <w:right w:val="single" w:sz="4" w:space="0" w:color="BFBFBF"/>
            </w:tcBorders>
            <w:noWrap/>
            <w:vAlign w:val="center"/>
            <w:hideMark/>
          </w:tcPr>
          <w:p w14:paraId="15B1CB86"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59%</w:t>
            </w:r>
          </w:p>
        </w:tc>
        <w:tc>
          <w:tcPr>
            <w:tcW w:w="1200" w:type="dxa"/>
            <w:tcBorders>
              <w:top w:val="nil"/>
              <w:left w:val="nil"/>
              <w:bottom w:val="single" w:sz="4" w:space="0" w:color="BFBFBF"/>
              <w:right w:val="single" w:sz="4" w:space="0" w:color="auto"/>
            </w:tcBorders>
            <w:noWrap/>
            <w:vAlign w:val="center"/>
            <w:hideMark/>
          </w:tcPr>
          <w:p w14:paraId="60D99577"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41%</w:t>
            </w:r>
          </w:p>
        </w:tc>
        <w:tc>
          <w:tcPr>
            <w:tcW w:w="1200" w:type="dxa"/>
            <w:tcBorders>
              <w:top w:val="nil"/>
              <w:left w:val="nil"/>
              <w:bottom w:val="single" w:sz="4" w:space="0" w:color="BFBFBF"/>
              <w:right w:val="single" w:sz="4" w:space="0" w:color="BFBFBF"/>
            </w:tcBorders>
            <w:noWrap/>
            <w:vAlign w:val="center"/>
            <w:hideMark/>
          </w:tcPr>
          <w:p w14:paraId="1647E281"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4%</w:t>
            </w:r>
          </w:p>
        </w:tc>
        <w:tc>
          <w:tcPr>
            <w:tcW w:w="1200" w:type="dxa"/>
            <w:tcBorders>
              <w:top w:val="nil"/>
              <w:left w:val="nil"/>
              <w:bottom w:val="single" w:sz="4" w:space="0" w:color="BFBFBF"/>
              <w:right w:val="single" w:sz="4" w:space="0" w:color="BFBFBF"/>
            </w:tcBorders>
            <w:noWrap/>
            <w:vAlign w:val="center"/>
            <w:hideMark/>
          </w:tcPr>
          <w:p w14:paraId="5EC93465"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4%</w:t>
            </w:r>
          </w:p>
        </w:tc>
        <w:tc>
          <w:tcPr>
            <w:tcW w:w="1200" w:type="dxa"/>
            <w:tcBorders>
              <w:top w:val="nil"/>
              <w:left w:val="nil"/>
              <w:bottom w:val="single" w:sz="4" w:space="0" w:color="BFBFBF"/>
              <w:right w:val="single" w:sz="4" w:space="0" w:color="auto"/>
            </w:tcBorders>
            <w:noWrap/>
            <w:vAlign w:val="center"/>
            <w:hideMark/>
          </w:tcPr>
          <w:p w14:paraId="67EBF61C"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4%</w:t>
            </w:r>
          </w:p>
        </w:tc>
      </w:tr>
      <w:tr w:rsidR="00125972" w:rsidRPr="009D5FC1" w14:paraId="24B9C001" w14:textId="77777777" w:rsidTr="009D5FC1">
        <w:trPr>
          <w:trHeight w:val="402"/>
        </w:trPr>
        <w:tc>
          <w:tcPr>
            <w:tcW w:w="2160" w:type="dxa"/>
            <w:gridSpan w:val="2"/>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4F7B602A" w14:textId="11D7C277" w:rsidR="00125972" w:rsidRPr="009D5FC1" w:rsidRDefault="00125972" w:rsidP="00125972">
            <w:pPr>
              <w:rPr>
                <w:rFonts w:eastAsia="Times New Roman"/>
                <w:color w:val="0D0D0D"/>
                <w:sz w:val="18"/>
                <w:szCs w:val="18"/>
              </w:rPr>
            </w:pPr>
            <w:r>
              <w:rPr>
                <w:color w:val="0D0D0D"/>
                <w:sz w:val="18"/>
                <w:szCs w:val="18"/>
              </w:rPr>
              <w:t>Non-census family</w:t>
            </w:r>
          </w:p>
        </w:tc>
        <w:tc>
          <w:tcPr>
            <w:tcW w:w="1200" w:type="dxa"/>
            <w:tcBorders>
              <w:top w:val="nil"/>
              <w:left w:val="nil"/>
              <w:bottom w:val="single" w:sz="4" w:space="0" w:color="auto"/>
              <w:right w:val="single" w:sz="4" w:space="0" w:color="auto"/>
            </w:tcBorders>
            <w:shd w:val="clear" w:color="000000" w:fill="F2F2F2"/>
            <w:noWrap/>
            <w:vAlign w:val="center"/>
            <w:hideMark/>
          </w:tcPr>
          <w:p w14:paraId="4B2518A7"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7,675</w:t>
            </w:r>
          </w:p>
        </w:tc>
        <w:tc>
          <w:tcPr>
            <w:tcW w:w="1200" w:type="dxa"/>
            <w:tcBorders>
              <w:top w:val="nil"/>
              <w:left w:val="nil"/>
              <w:bottom w:val="single" w:sz="4" w:space="0" w:color="auto"/>
              <w:right w:val="single" w:sz="4" w:space="0" w:color="BFBFBF"/>
            </w:tcBorders>
            <w:shd w:val="clear" w:color="000000" w:fill="F2F2F2"/>
            <w:noWrap/>
            <w:vAlign w:val="center"/>
            <w:hideMark/>
          </w:tcPr>
          <w:p w14:paraId="692F9FFF"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26%</w:t>
            </w:r>
          </w:p>
        </w:tc>
        <w:tc>
          <w:tcPr>
            <w:tcW w:w="1200" w:type="dxa"/>
            <w:tcBorders>
              <w:top w:val="nil"/>
              <w:left w:val="nil"/>
              <w:bottom w:val="single" w:sz="4" w:space="0" w:color="auto"/>
              <w:right w:val="single" w:sz="4" w:space="0" w:color="auto"/>
            </w:tcBorders>
            <w:shd w:val="clear" w:color="000000" w:fill="F2F2F2"/>
            <w:noWrap/>
            <w:vAlign w:val="center"/>
            <w:hideMark/>
          </w:tcPr>
          <w:p w14:paraId="6319F7F7"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74%</w:t>
            </w:r>
          </w:p>
        </w:tc>
        <w:tc>
          <w:tcPr>
            <w:tcW w:w="1200" w:type="dxa"/>
            <w:tcBorders>
              <w:top w:val="nil"/>
              <w:left w:val="nil"/>
              <w:bottom w:val="single" w:sz="4" w:space="0" w:color="auto"/>
              <w:right w:val="single" w:sz="4" w:space="0" w:color="BFBFBF"/>
            </w:tcBorders>
            <w:shd w:val="clear" w:color="000000" w:fill="F2F2F2"/>
            <w:noWrap/>
            <w:vAlign w:val="center"/>
            <w:hideMark/>
          </w:tcPr>
          <w:p w14:paraId="764AA202"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45%</w:t>
            </w:r>
          </w:p>
        </w:tc>
        <w:tc>
          <w:tcPr>
            <w:tcW w:w="1200" w:type="dxa"/>
            <w:tcBorders>
              <w:top w:val="nil"/>
              <w:left w:val="nil"/>
              <w:bottom w:val="single" w:sz="4" w:space="0" w:color="auto"/>
              <w:right w:val="single" w:sz="4" w:space="0" w:color="BFBFBF"/>
            </w:tcBorders>
            <w:shd w:val="clear" w:color="000000" w:fill="F2F2F2"/>
            <w:noWrap/>
            <w:vAlign w:val="center"/>
            <w:hideMark/>
          </w:tcPr>
          <w:p w14:paraId="28361A6B"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35%</w:t>
            </w:r>
          </w:p>
        </w:tc>
        <w:tc>
          <w:tcPr>
            <w:tcW w:w="1200" w:type="dxa"/>
            <w:tcBorders>
              <w:top w:val="nil"/>
              <w:left w:val="nil"/>
              <w:bottom w:val="single" w:sz="4" w:space="0" w:color="auto"/>
              <w:right w:val="single" w:sz="4" w:space="0" w:color="auto"/>
            </w:tcBorders>
            <w:shd w:val="clear" w:color="000000" w:fill="F2F2F2"/>
            <w:noWrap/>
            <w:vAlign w:val="center"/>
            <w:hideMark/>
          </w:tcPr>
          <w:p w14:paraId="3EA03FBB" w14:textId="77777777" w:rsidR="00125972" w:rsidRPr="00FD0789" w:rsidRDefault="00125972" w:rsidP="00125972">
            <w:pPr>
              <w:jc w:val="right"/>
              <w:rPr>
                <w:rFonts w:eastAsia="Times New Roman"/>
                <w:color w:val="C00000"/>
                <w:sz w:val="18"/>
                <w:szCs w:val="18"/>
              </w:rPr>
            </w:pPr>
            <w:r w:rsidRPr="00FD0789">
              <w:rPr>
                <w:rFonts w:eastAsia="Times New Roman"/>
                <w:color w:val="C00000"/>
                <w:sz w:val="18"/>
                <w:szCs w:val="18"/>
              </w:rPr>
              <w:t>34%</w:t>
            </w:r>
          </w:p>
        </w:tc>
      </w:tr>
      <w:tr w:rsidR="009D5FC1" w:rsidRPr="009D5FC1" w14:paraId="10075A62" w14:textId="77777777" w:rsidTr="003C59F9">
        <w:trPr>
          <w:trHeight w:val="402"/>
        </w:trPr>
        <w:tc>
          <w:tcPr>
            <w:tcW w:w="9360" w:type="dxa"/>
            <w:gridSpan w:val="8"/>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05079C64"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Household size</w:t>
            </w:r>
          </w:p>
        </w:tc>
      </w:tr>
      <w:tr w:rsidR="009D5FC1" w:rsidRPr="009D5FC1" w14:paraId="45E002A3" w14:textId="77777777" w:rsidTr="009D5FC1">
        <w:trPr>
          <w:trHeight w:val="402"/>
        </w:trPr>
        <w:tc>
          <w:tcPr>
            <w:tcW w:w="2160" w:type="dxa"/>
            <w:gridSpan w:val="2"/>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052321F8"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1 person</w:t>
            </w:r>
          </w:p>
        </w:tc>
        <w:tc>
          <w:tcPr>
            <w:tcW w:w="1200" w:type="dxa"/>
            <w:tcBorders>
              <w:top w:val="nil"/>
              <w:left w:val="nil"/>
              <w:bottom w:val="single" w:sz="4" w:space="0" w:color="BFBFBF"/>
              <w:right w:val="single" w:sz="4" w:space="0" w:color="auto"/>
            </w:tcBorders>
            <w:shd w:val="clear" w:color="000000" w:fill="F2F2F2"/>
            <w:noWrap/>
            <w:vAlign w:val="center"/>
            <w:hideMark/>
          </w:tcPr>
          <w:p w14:paraId="2FDADBB2"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6,090</w:t>
            </w:r>
          </w:p>
        </w:tc>
        <w:tc>
          <w:tcPr>
            <w:tcW w:w="1200" w:type="dxa"/>
            <w:tcBorders>
              <w:top w:val="nil"/>
              <w:left w:val="nil"/>
              <w:bottom w:val="single" w:sz="4" w:space="0" w:color="BFBFBF"/>
              <w:right w:val="single" w:sz="4" w:space="0" w:color="BFBFBF"/>
            </w:tcBorders>
            <w:shd w:val="clear" w:color="000000" w:fill="F2F2F2"/>
            <w:noWrap/>
            <w:vAlign w:val="center"/>
            <w:hideMark/>
          </w:tcPr>
          <w:p w14:paraId="7A2B02C5"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28%</w:t>
            </w:r>
          </w:p>
        </w:tc>
        <w:tc>
          <w:tcPr>
            <w:tcW w:w="1200" w:type="dxa"/>
            <w:tcBorders>
              <w:top w:val="nil"/>
              <w:left w:val="nil"/>
              <w:bottom w:val="single" w:sz="4" w:space="0" w:color="BFBFBF"/>
              <w:right w:val="single" w:sz="4" w:space="0" w:color="auto"/>
            </w:tcBorders>
            <w:shd w:val="clear" w:color="000000" w:fill="F2F2F2"/>
            <w:noWrap/>
            <w:vAlign w:val="center"/>
            <w:hideMark/>
          </w:tcPr>
          <w:p w14:paraId="5F1627DD"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72%</w:t>
            </w:r>
          </w:p>
        </w:tc>
        <w:tc>
          <w:tcPr>
            <w:tcW w:w="1200" w:type="dxa"/>
            <w:tcBorders>
              <w:top w:val="nil"/>
              <w:left w:val="nil"/>
              <w:bottom w:val="single" w:sz="4" w:space="0" w:color="BFBFBF"/>
              <w:right w:val="single" w:sz="4" w:space="0" w:color="BFBFBF"/>
            </w:tcBorders>
            <w:shd w:val="clear" w:color="000000" w:fill="F2F2F2"/>
            <w:noWrap/>
            <w:vAlign w:val="center"/>
            <w:hideMark/>
          </w:tcPr>
          <w:p w14:paraId="7004437E"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35%</w:t>
            </w:r>
          </w:p>
        </w:tc>
        <w:tc>
          <w:tcPr>
            <w:tcW w:w="1200" w:type="dxa"/>
            <w:tcBorders>
              <w:top w:val="nil"/>
              <w:left w:val="nil"/>
              <w:bottom w:val="single" w:sz="4" w:space="0" w:color="BFBFBF"/>
              <w:right w:val="single" w:sz="4" w:space="0" w:color="BFBFBF"/>
            </w:tcBorders>
            <w:shd w:val="clear" w:color="000000" w:fill="F2F2F2"/>
            <w:noWrap/>
            <w:vAlign w:val="center"/>
            <w:hideMark/>
          </w:tcPr>
          <w:p w14:paraId="6E9E1C6D"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29%</w:t>
            </w:r>
          </w:p>
        </w:tc>
        <w:tc>
          <w:tcPr>
            <w:tcW w:w="1200" w:type="dxa"/>
            <w:tcBorders>
              <w:top w:val="nil"/>
              <w:left w:val="nil"/>
              <w:bottom w:val="single" w:sz="4" w:space="0" w:color="BFBFBF"/>
              <w:right w:val="single" w:sz="4" w:space="0" w:color="auto"/>
            </w:tcBorders>
            <w:shd w:val="clear" w:color="000000" w:fill="F2F2F2"/>
            <w:noWrap/>
            <w:vAlign w:val="center"/>
            <w:hideMark/>
          </w:tcPr>
          <w:p w14:paraId="42B571EA"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29%</w:t>
            </w:r>
          </w:p>
        </w:tc>
      </w:tr>
      <w:tr w:rsidR="009D5FC1" w:rsidRPr="009D5FC1" w14:paraId="02034EFE"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noWrap/>
            <w:vAlign w:val="center"/>
            <w:hideMark/>
          </w:tcPr>
          <w:p w14:paraId="3DD1FEE2"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2 persons</w:t>
            </w:r>
          </w:p>
        </w:tc>
        <w:tc>
          <w:tcPr>
            <w:tcW w:w="1200" w:type="dxa"/>
            <w:tcBorders>
              <w:top w:val="nil"/>
              <w:left w:val="nil"/>
              <w:bottom w:val="single" w:sz="4" w:space="0" w:color="BFBFBF"/>
              <w:right w:val="single" w:sz="4" w:space="0" w:color="auto"/>
            </w:tcBorders>
            <w:noWrap/>
            <w:vAlign w:val="center"/>
            <w:hideMark/>
          </w:tcPr>
          <w:p w14:paraId="3C2BEB82"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5,860</w:t>
            </w:r>
          </w:p>
        </w:tc>
        <w:tc>
          <w:tcPr>
            <w:tcW w:w="1200" w:type="dxa"/>
            <w:tcBorders>
              <w:top w:val="nil"/>
              <w:left w:val="nil"/>
              <w:bottom w:val="single" w:sz="4" w:space="0" w:color="BFBFBF"/>
              <w:right w:val="single" w:sz="4" w:space="0" w:color="BFBFBF"/>
            </w:tcBorders>
            <w:noWrap/>
            <w:vAlign w:val="center"/>
            <w:hideMark/>
          </w:tcPr>
          <w:p w14:paraId="7BF6B809"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51%</w:t>
            </w:r>
          </w:p>
        </w:tc>
        <w:tc>
          <w:tcPr>
            <w:tcW w:w="1200" w:type="dxa"/>
            <w:tcBorders>
              <w:top w:val="nil"/>
              <w:left w:val="nil"/>
              <w:bottom w:val="single" w:sz="4" w:space="0" w:color="BFBFBF"/>
              <w:right w:val="single" w:sz="4" w:space="0" w:color="auto"/>
            </w:tcBorders>
            <w:noWrap/>
            <w:vAlign w:val="center"/>
            <w:hideMark/>
          </w:tcPr>
          <w:p w14:paraId="42FF1AFE"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49%</w:t>
            </w:r>
          </w:p>
        </w:tc>
        <w:tc>
          <w:tcPr>
            <w:tcW w:w="1200" w:type="dxa"/>
            <w:tcBorders>
              <w:top w:val="nil"/>
              <w:left w:val="nil"/>
              <w:bottom w:val="single" w:sz="4" w:space="0" w:color="BFBFBF"/>
              <w:right w:val="single" w:sz="4" w:space="0" w:color="BFBFBF"/>
            </w:tcBorders>
            <w:noWrap/>
            <w:vAlign w:val="center"/>
            <w:hideMark/>
          </w:tcPr>
          <w:p w14:paraId="4FBB678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34%</w:t>
            </w:r>
          </w:p>
        </w:tc>
        <w:tc>
          <w:tcPr>
            <w:tcW w:w="1200" w:type="dxa"/>
            <w:tcBorders>
              <w:top w:val="nil"/>
              <w:left w:val="nil"/>
              <w:bottom w:val="single" w:sz="4" w:space="0" w:color="BFBFBF"/>
              <w:right w:val="single" w:sz="4" w:space="0" w:color="BFBFBF"/>
            </w:tcBorders>
            <w:noWrap/>
            <w:vAlign w:val="center"/>
            <w:hideMark/>
          </w:tcPr>
          <w:p w14:paraId="637E828C"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37%</w:t>
            </w:r>
          </w:p>
        </w:tc>
        <w:tc>
          <w:tcPr>
            <w:tcW w:w="1200" w:type="dxa"/>
            <w:tcBorders>
              <w:top w:val="nil"/>
              <w:left w:val="nil"/>
              <w:bottom w:val="single" w:sz="4" w:space="0" w:color="BFBFBF"/>
              <w:right w:val="single" w:sz="4" w:space="0" w:color="auto"/>
            </w:tcBorders>
            <w:noWrap/>
            <w:vAlign w:val="center"/>
            <w:hideMark/>
          </w:tcPr>
          <w:p w14:paraId="07632807"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38%</w:t>
            </w:r>
          </w:p>
        </w:tc>
      </w:tr>
      <w:tr w:rsidR="009D5FC1" w:rsidRPr="009D5FC1" w14:paraId="248AD2D4"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53FA0D76"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3 persons</w:t>
            </w:r>
          </w:p>
        </w:tc>
        <w:tc>
          <w:tcPr>
            <w:tcW w:w="1200" w:type="dxa"/>
            <w:tcBorders>
              <w:top w:val="nil"/>
              <w:left w:val="nil"/>
              <w:bottom w:val="single" w:sz="4" w:space="0" w:color="BFBFBF"/>
              <w:right w:val="single" w:sz="4" w:space="0" w:color="auto"/>
            </w:tcBorders>
            <w:shd w:val="clear" w:color="000000" w:fill="F2F2F2"/>
            <w:noWrap/>
            <w:vAlign w:val="center"/>
            <w:hideMark/>
          </w:tcPr>
          <w:p w14:paraId="3AE341A2"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2,470</w:t>
            </w:r>
          </w:p>
        </w:tc>
        <w:tc>
          <w:tcPr>
            <w:tcW w:w="1200" w:type="dxa"/>
            <w:tcBorders>
              <w:top w:val="nil"/>
              <w:left w:val="nil"/>
              <w:bottom w:val="single" w:sz="4" w:space="0" w:color="BFBFBF"/>
              <w:right w:val="single" w:sz="4" w:space="0" w:color="BFBFBF"/>
            </w:tcBorders>
            <w:shd w:val="clear" w:color="000000" w:fill="F2F2F2"/>
            <w:noWrap/>
            <w:vAlign w:val="center"/>
            <w:hideMark/>
          </w:tcPr>
          <w:p w14:paraId="3B59C58F"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55%</w:t>
            </w:r>
          </w:p>
        </w:tc>
        <w:tc>
          <w:tcPr>
            <w:tcW w:w="1200" w:type="dxa"/>
            <w:tcBorders>
              <w:top w:val="nil"/>
              <w:left w:val="nil"/>
              <w:bottom w:val="single" w:sz="4" w:space="0" w:color="BFBFBF"/>
              <w:right w:val="single" w:sz="4" w:space="0" w:color="auto"/>
            </w:tcBorders>
            <w:shd w:val="clear" w:color="000000" w:fill="F2F2F2"/>
            <w:noWrap/>
            <w:vAlign w:val="center"/>
            <w:hideMark/>
          </w:tcPr>
          <w:p w14:paraId="7DFCD364"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45%</w:t>
            </w:r>
          </w:p>
        </w:tc>
        <w:tc>
          <w:tcPr>
            <w:tcW w:w="1200" w:type="dxa"/>
            <w:tcBorders>
              <w:top w:val="nil"/>
              <w:left w:val="nil"/>
              <w:bottom w:val="single" w:sz="4" w:space="0" w:color="BFBFBF"/>
              <w:right w:val="single" w:sz="4" w:space="0" w:color="BFBFBF"/>
            </w:tcBorders>
            <w:shd w:val="clear" w:color="000000" w:fill="F2F2F2"/>
            <w:noWrap/>
            <w:vAlign w:val="center"/>
            <w:hideMark/>
          </w:tcPr>
          <w:p w14:paraId="6746985D"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14%</w:t>
            </w:r>
          </w:p>
        </w:tc>
        <w:tc>
          <w:tcPr>
            <w:tcW w:w="1200" w:type="dxa"/>
            <w:tcBorders>
              <w:top w:val="nil"/>
              <w:left w:val="nil"/>
              <w:bottom w:val="single" w:sz="4" w:space="0" w:color="BFBFBF"/>
              <w:right w:val="single" w:sz="4" w:space="0" w:color="BFBFBF"/>
            </w:tcBorders>
            <w:shd w:val="clear" w:color="000000" w:fill="F2F2F2"/>
            <w:noWrap/>
            <w:vAlign w:val="center"/>
            <w:hideMark/>
          </w:tcPr>
          <w:p w14:paraId="1A501D8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15%</w:t>
            </w:r>
          </w:p>
        </w:tc>
        <w:tc>
          <w:tcPr>
            <w:tcW w:w="1200" w:type="dxa"/>
            <w:tcBorders>
              <w:top w:val="nil"/>
              <w:left w:val="nil"/>
              <w:bottom w:val="single" w:sz="4" w:space="0" w:color="BFBFBF"/>
              <w:right w:val="single" w:sz="4" w:space="0" w:color="auto"/>
            </w:tcBorders>
            <w:shd w:val="clear" w:color="000000" w:fill="F2F2F2"/>
            <w:noWrap/>
            <w:vAlign w:val="center"/>
            <w:hideMark/>
          </w:tcPr>
          <w:p w14:paraId="0E8878B1"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15%</w:t>
            </w:r>
          </w:p>
        </w:tc>
      </w:tr>
      <w:tr w:rsidR="009D5FC1" w:rsidRPr="009D5FC1" w14:paraId="123019CE" w14:textId="77777777" w:rsidTr="009D5FC1">
        <w:trPr>
          <w:trHeight w:val="402"/>
        </w:trPr>
        <w:tc>
          <w:tcPr>
            <w:tcW w:w="2160" w:type="dxa"/>
            <w:gridSpan w:val="2"/>
            <w:tcBorders>
              <w:top w:val="single" w:sz="4" w:space="0" w:color="BFBFBF"/>
              <w:left w:val="single" w:sz="4" w:space="0" w:color="auto"/>
              <w:bottom w:val="single" w:sz="4" w:space="0" w:color="BFBFBF"/>
              <w:right w:val="single" w:sz="4" w:space="0" w:color="000000"/>
            </w:tcBorders>
            <w:noWrap/>
            <w:vAlign w:val="center"/>
            <w:hideMark/>
          </w:tcPr>
          <w:p w14:paraId="7CC6CF27"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4 persons</w:t>
            </w:r>
          </w:p>
        </w:tc>
        <w:tc>
          <w:tcPr>
            <w:tcW w:w="1200" w:type="dxa"/>
            <w:tcBorders>
              <w:top w:val="nil"/>
              <w:left w:val="nil"/>
              <w:bottom w:val="single" w:sz="4" w:space="0" w:color="BFBFBF"/>
              <w:right w:val="single" w:sz="4" w:space="0" w:color="auto"/>
            </w:tcBorders>
            <w:noWrap/>
            <w:vAlign w:val="center"/>
            <w:hideMark/>
          </w:tcPr>
          <w:p w14:paraId="7205F79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1,790</w:t>
            </w:r>
          </w:p>
        </w:tc>
        <w:tc>
          <w:tcPr>
            <w:tcW w:w="1200" w:type="dxa"/>
            <w:tcBorders>
              <w:top w:val="nil"/>
              <w:left w:val="nil"/>
              <w:bottom w:val="single" w:sz="4" w:space="0" w:color="BFBFBF"/>
              <w:right w:val="single" w:sz="4" w:space="0" w:color="BFBFBF"/>
            </w:tcBorders>
            <w:noWrap/>
            <w:vAlign w:val="center"/>
            <w:hideMark/>
          </w:tcPr>
          <w:p w14:paraId="69F82F6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67%</w:t>
            </w:r>
          </w:p>
        </w:tc>
        <w:tc>
          <w:tcPr>
            <w:tcW w:w="1200" w:type="dxa"/>
            <w:tcBorders>
              <w:top w:val="nil"/>
              <w:left w:val="nil"/>
              <w:bottom w:val="single" w:sz="4" w:space="0" w:color="BFBFBF"/>
              <w:right w:val="single" w:sz="4" w:space="0" w:color="auto"/>
            </w:tcBorders>
            <w:noWrap/>
            <w:vAlign w:val="center"/>
            <w:hideMark/>
          </w:tcPr>
          <w:p w14:paraId="713F4A4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33%</w:t>
            </w:r>
          </w:p>
        </w:tc>
        <w:tc>
          <w:tcPr>
            <w:tcW w:w="1200" w:type="dxa"/>
            <w:tcBorders>
              <w:top w:val="nil"/>
              <w:left w:val="nil"/>
              <w:bottom w:val="single" w:sz="4" w:space="0" w:color="BFBFBF"/>
              <w:right w:val="single" w:sz="4" w:space="0" w:color="BFBFBF"/>
            </w:tcBorders>
            <w:noWrap/>
            <w:vAlign w:val="center"/>
            <w:hideMark/>
          </w:tcPr>
          <w:p w14:paraId="241140B0"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10%</w:t>
            </w:r>
          </w:p>
        </w:tc>
        <w:tc>
          <w:tcPr>
            <w:tcW w:w="1200" w:type="dxa"/>
            <w:tcBorders>
              <w:top w:val="nil"/>
              <w:left w:val="nil"/>
              <w:bottom w:val="single" w:sz="4" w:space="0" w:color="BFBFBF"/>
              <w:right w:val="single" w:sz="4" w:space="0" w:color="BFBFBF"/>
            </w:tcBorders>
            <w:noWrap/>
            <w:vAlign w:val="center"/>
            <w:hideMark/>
          </w:tcPr>
          <w:p w14:paraId="44EB711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12%</w:t>
            </w:r>
          </w:p>
        </w:tc>
        <w:tc>
          <w:tcPr>
            <w:tcW w:w="1200" w:type="dxa"/>
            <w:tcBorders>
              <w:top w:val="nil"/>
              <w:left w:val="nil"/>
              <w:bottom w:val="single" w:sz="4" w:space="0" w:color="BFBFBF"/>
              <w:right w:val="single" w:sz="4" w:space="0" w:color="auto"/>
            </w:tcBorders>
            <w:noWrap/>
            <w:vAlign w:val="center"/>
            <w:hideMark/>
          </w:tcPr>
          <w:p w14:paraId="175E27F8"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12%</w:t>
            </w:r>
          </w:p>
        </w:tc>
      </w:tr>
      <w:tr w:rsidR="009D5FC1" w:rsidRPr="009D5FC1" w14:paraId="71B6AD9D" w14:textId="77777777" w:rsidTr="006A2F59">
        <w:trPr>
          <w:trHeight w:val="402"/>
        </w:trPr>
        <w:tc>
          <w:tcPr>
            <w:tcW w:w="2160" w:type="dxa"/>
            <w:gridSpan w:val="2"/>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5A5ABCF7" w14:textId="77777777" w:rsidR="009D5FC1" w:rsidRPr="009D5FC1" w:rsidRDefault="009D5FC1" w:rsidP="009D5FC1">
            <w:pPr>
              <w:rPr>
                <w:rFonts w:eastAsia="Times New Roman"/>
                <w:color w:val="0D0D0D"/>
                <w:sz w:val="18"/>
                <w:szCs w:val="18"/>
              </w:rPr>
            </w:pPr>
            <w:r w:rsidRPr="009D5FC1">
              <w:rPr>
                <w:rFonts w:eastAsia="Times New Roman"/>
                <w:color w:val="0D0D0D"/>
                <w:sz w:val="18"/>
                <w:szCs w:val="18"/>
              </w:rPr>
              <w:t>5+ person</w:t>
            </w:r>
          </w:p>
        </w:tc>
        <w:tc>
          <w:tcPr>
            <w:tcW w:w="1200" w:type="dxa"/>
            <w:tcBorders>
              <w:top w:val="nil"/>
              <w:left w:val="nil"/>
              <w:bottom w:val="single" w:sz="4" w:space="0" w:color="auto"/>
              <w:right w:val="single" w:sz="4" w:space="0" w:color="auto"/>
            </w:tcBorders>
            <w:shd w:val="clear" w:color="000000" w:fill="F2F2F2"/>
            <w:noWrap/>
            <w:vAlign w:val="center"/>
            <w:hideMark/>
          </w:tcPr>
          <w:p w14:paraId="6610345B"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975</w:t>
            </w:r>
          </w:p>
        </w:tc>
        <w:tc>
          <w:tcPr>
            <w:tcW w:w="1200" w:type="dxa"/>
            <w:tcBorders>
              <w:top w:val="nil"/>
              <w:left w:val="nil"/>
              <w:bottom w:val="single" w:sz="4" w:space="0" w:color="auto"/>
              <w:right w:val="single" w:sz="4" w:space="0" w:color="BFBFBF"/>
            </w:tcBorders>
            <w:shd w:val="clear" w:color="000000" w:fill="F2F2F2"/>
            <w:noWrap/>
            <w:vAlign w:val="center"/>
            <w:hideMark/>
          </w:tcPr>
          <w:p w14:paraId="16B58517"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62%</w:t>
            </w:r>
          </w:p>
        </w:tc>
        <w:tc>
          <w:tcPr>
            <w:tcW w:w="1200" w:type="dxa"/>
            <w:tcBorders>
              <w:top w:val="nil"/>
              <w:left w:val="nil"/>
              <w:bottom w:val="single" w:sz="4" w:space="0" w:color="auto"/>
              <w:right w:val="single" w:sz="4" w:space="0" w:color="auto"/>
            </w:tcBorders>
            <w:shd w:val="clear" w:color="000000" w:fill="F2F2F2"/>
            <w:noWrap/>
            <w:vAlign w:val="center"/>
            <w:hideMark/>
          </w:tcPr>
          <w:p w14:paraId="4CBF8AC3"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38%</w:t>
            </w:r>
          </w:p>
        </w:tc>
        <w:tc>
          <w:tcPr>
            <w:tcW w:w="1200" w:type="dxa"/>
            <w:tcBorders>
              <w:top w:val="nil"/>
              <w:left w:val="nil"/>
              <w:bottom w:val="single" w:sz="4" w:space="0" w:color="auto"/>
              <w:right w:val="single" w:sz="4" w:space="0" w:color="BFBFBF"/>
            </w:tcBorders>
            <w:shd w:val="clear" w:color="000000" w:fill="F2F2F2"/>
            <w:noWrap/>
            <w:vAlign w:val="center"/>
            <w:hideMark/>
          </w:tcPr>
          <w:p w14:paraId="6B3B38A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6%</w:t>
            </w:r>
          </w:p>
        </w:tc>
        <w:tc>
          <w:tcPr>
            <w:tcW w:w="1200" w:type="dxa"/>
            <w:tcBorders>
              <w:top w:val="nil"/>
              <w:left w:val="nil"/>
              <w:bottom w:val="single" w:sz="4" w:space="0" w:color="auto"/>
              <w:right w:val="single" w:sz="4" w:space="0" w:color="BFBFBF"/>
            </w:tcBorders>
            <w:shd w:val="clear" w:color="000000" w:fill="F2F2F2"/>
            <w:noWrap/>
            <w:vAlign w:val="center"/>
            <w:hideMark/>
          </w:tcPr>
          <w:p w14:paraId="59F92207"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7%</w:t>
            </w:r>
          </w:p>
        </w:tc>
        <w:tc>
          <w:tcPr>
            <w:tcW w:w="1200" w:type="dxa"/>
            <w:tcBorders>
              <w:top w:val="nil"/>
              <w:left w:val="nil"/>
              <w:bottom w:val="single" w:sz="4" w:space="0" w:color="auto"/>
              <w:right w:val="single" w:sz="4" w:space="0" w:color="auto"/>
            </w:tcBorders>
            <w:shd w:val="clear" w:color="000000" w:fill="F2F2F2"/>
            <w:noWrap/>
            <w:vAlign w:val="center"/>
            <w:hideMark/>
          </w:tcPr>
          <w:p w14:paraId="459B4BC5"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7%</w:t>
            </w:r>
          </w:p>
        </w:tc>
      </w:tr>
      <w:tr w:rsidR="009D5FC1" w:rsidRPr="009D5FC1" w14:paraId="7E731CF1" w14:textId="77777777" w:rsidTr="006A2F59">
        <w:trPr>
          <w:trHeight w:val="402"/>
        </w:trPr>
        <w:tc>
          <w:tcPr>
            <w:tcW w:w="2160" w:type="dxa"/>
            <w:gridSpan w:val="2"/>
            <w:tcBorders>
              <w:top w:val="single" w:sz="4" w:space="0" w:color="auto"/>
              <w:left w:val="single" w:sz="4" w:space="0" w:color="auto"/>
              <w:bottom w:val="single" w:sz="4" w:space="0" w:color="auto"/>
              <w:right w:val="single" w:sz="4" w:space="0" w:color="000000"/>
            </w:tcBorders>
            <w:noWrap/>
            <w:vAlign w:val="center"/>
            <w:hideMark/>
          </w:tcPr>
          <w:p w14:paraId="082F5334" w14:textId="349CF683" w:rsidR="009D5FC1" w:rsidRPr="009D5FC1" w:rsidRDefault="009D5FC1" w:rsidP="009D5FC1">
            <w:pPr>
              <w:rPr>
                <w:rFonts w:eastAsia="Times New Roman"/>
                <w:color w:val="0D0D0D"/>
                <w:sz w:val="18"/>
                <w:szCs w:val="18"/>
              </w:rPr>
            </w:pPr>
            <w:r w:rsidRPr="009D5FC1">
              <w:rPr>
                <w:rFonts w:eastAsia="Times New Roman"/>
                <w:color w:val="0D0D0D"/>
                <w:sz w:val="18"/>
                <w:szCs w:val="18"/>
              </w:rPr>
              <w:t>Average</w:t>
            </w:r>
            <w:r w:rsidR="00A806B6">
              <w:rPr>
                <w:rFonts w:eastAsia="Times New Roman"/>
                <w:color w:val="0D0D0D"/>
                <w:sz w:val="18"/>
                <w:szCs w:val="18"/>
              </w:rPr>
              <w:t xml:space="preserve"> household</w:t>
            </w:r>
            <w:r w:rsidRPr="009D5FC1">
              <w:rPr>
                <w:rFonts w:eastAsia="Times New Roman"/>
                <w:color w:val="0D0D0D"/>
                <w:sz w:val="18"/>
                <w:szCs w:val="18"/>
              </w:rPr>
              <w:t xml:space="preserve"> size</w:t>
            </w:r>
          </w:p>
        </w:tc>
        <w:tc>
          <w:tcPr>
            <w:tcW w:w="1200" w:type="dxa"/>
            <w:tcBorders>
              <w:top w:val="single" w:sz="4" w:space="0" w:color="auto"/>
              <w:left w:val="nil"/>
              <w:bottom w:val="single" w:sz="4" w:space="0" w:color="auto"/>
              <w:right w:val="single" w:sz="4" w:space="0" w:color="auto"/>
            </w:tcBorders>
            <w:noWrap/>
            <w:vAlign w:val="center"/>
            <w:hideMark/>
          </w:tcPr>
          <w:p w14:paraId="1A97AC6A"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2.2</w:t>
            </w:r>
          </w:p>
        </w:tc>
        <w:tc>
          <w:tcPr>
            <w:tcW w:w="1200" w:type="dxa"/>
            <w:tcBorders>
              <w:top w:val="single" w:sz="4" w:space="0" w:color="auto"/>
              <w:left w:val="nil"/>
              <w:bottom w:val="single" w:sz="4" w:space="0" w:color="auto"/>
              <w:right w:val="single" w:sz="4" w:space="0" w:color="BFBFBF"/>
            </w:tcBorders>
            <w:noWrap/>
            <w:vAlign w:val="center"/>
            <w:hideMark/>
          </w:tcPr>
          <w:p w14:paraId="47BE0CAA"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2.5</w:t>
            </w:r>
          </w:p>
        </w:tc>
        <w:tc>
          <w:tcPr>
            <w:tcW w:w="1200" w:type="dxa"/>
            <w:tcBorders>
              <w:top w:val="single" w:sz="4" w:space="0" w:color="auto"/>
              <w:left w:val="nil"/>
              <w:bottom w:val="single" w:sz="4" w:space="0" w:color="auto"/>
              <w:right w:val="single" w:sz="4" w:space="0" w:color="auto"/>
            </w:tcBorders>
            <w:noWrap/>
            <w:vAlign w:val="center"/>
            <w:hideMark/>
          </w:tcPr>
          <w:p w14:paraId="60F8AB66"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1.9</w:t>
            </w:r>
          </w:p>
        </w:tc>
        <w:tc>
          <w:tcPr>
            <w:tcW w:w="1200" w:type="dxa"/>
            <w:tcBorders>
              <w:top w:val="single" w:sz="4" w:space="0" w:color="auto"/>
              <w:left w:val="nil"/>
              <w:bottom w:val="single" w:sz="4" w:space="0" w:color="auto"/>
              <w:right w:val="single" w:sz="4" w:space="0" w:color="BFBFBF"/>
            </w:tcBorders>
            <w:noWrap/>
            <w:vAlign w:val="center"/>
            <w:hideMark/>
          </w:tcPr>
          <w:p w14:paraId="3ED4597F"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2.2</w:t>
            </w:r>
          </w:p>
        </w:tc>
        <w:tc>
          <w:tcPr>
            <w:tcW w:w="1200" w:type="dxa"/>
            <w:tcBorders>
              <w:top w:val="single" w:sz="4" w:space="0" w:color="auto"/>
              <w:left w:val="nil"/>
              <w:bottom w:val="single" w:sz="4" w:space="0" w:color="auto"/>
              <w:right w:val="single" w:sz="4" w:space="0" w:color="BFBFBF"/>
            </w:tcBorders>
            <w:noWrap/>
            <w:vAlign w:val="center"/>
            <w:hideMark/>
          </w:tcPr>
          <w:p w14:paraId="737A371F"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2.4</w:t>
            </w:r>
          </w:p>
        </w:tc>
        <w:tc>
          <w:tcPr>
            <w:tcW w:w="1200" w:type="dxa"/>
            <w:tcBorders>
              <w:top w:val="single" w:sz="4" w:space="0" w:color="auto"/>
              <w:left w:val="nil"/>
              <w:bottom w:val="single" w:sz="4" w:space="0" w:color="auto"/>
              <w:right w:val="single" w:sz="4" w:space="0" w:color="auto"/>
            </w:tcBorders>
            <w:noWrap/>
            <w:vAlign w:val="center"/>
            <w:hideMark/>
          </w:tcPr>
          <w:p w14:paraId="32A1A63C" w14:textId="77777777" w:rsidR="009D5FC1" w:rsidRPr="00FD0789" w:rsidRDefault="009D5FC1" w:rsidP="009D5FC1">
            <w:pPr>
              <w:jc w:val="right"/>
              <w:rPr>
                <w:rFonts w:eastAsia="Times New Roman"/>
                <w:color w:val="C00000"/>
                <w:sz w:val="18"/>
                <w:szCs w:val="18"/>
              </w:rPr>
            </w:pPr>
            <w:r w:rsidRPr="00FD0789">
              <w:rPr>
                <w:rFonts w:eastAsia="Times New Roman"/>
                <w:color w:val="C00000"/>
                <w:sz w:val="18"/>
                <w:szCs w:val="18"/>
              </w:rPr>
              <w:t>2.3</w:t>
            </w:r>
          </w:p>
        </w:tc>
      </w:tr>
    </w:tbl>
    <w:p w14:paraId="6894F745" w14:textId="3CC64550" w:rsidR="00513FE1" w:rsidRDefault="004900B2" w:rsidP="00622D59">
      <w:pPr>
        <w:pStyle w:val="Source"/>
      </w:pPr>
      <w:r>
        <w:t xml:space="preserve">Source: Statistics Canada Tables </w:t>
      </w:r>
      <w:r w:rsidR="00622D59" w:rsidRPr="00622D59">
        <w:t>98</w:t>
      </w:r>
      <w:r w:rsidR="00622D59">
        <w:t>-</w:t>
      </w:r>
      <w:r w:rsidR="00622D59" w:rsidRPr="00622D59">
        <w:t>10</w:t>
      </w:r>
      <w:r w:rsidR="00622D59">
        <w:t>-</w:t>
      </w:r>
      <w:r w:rsidR="00622D59" w:rsidRPr="00622D59">
        <w:t>0240</w:t>
      </w:r>
      <w:r w:rsidR="00622D59">
        <w:t xml:space="preserve"> and </w:t>
      </w:r>
      <w:r w:rsidR="00622D59" w:rsidRPr="00622D59">
        <w:t>98</w:t>
      </w:r>
      <w:r w:rsidR="00622D59">
        <w:t>-</w:t>
      </w:r>
      <w:r w:rsidR="00622D59" w:rsidRPr="00622D59">
        <w:t>10</w:t>
      </w:r>
      <w:r w:rsidR="00622D59">
        <w:t>-</w:t>
      </w:r>
      <w:r w:rsidR="00622D59" w:rsidRPr="00622D59">
        <w:t>0232</w:t>
      </w:r>
    </w:p>
    <w:p w14:paraId="1574107B" w14:textId="77777777" w:rsidR="005A2FE5" w:rsidRDefault="005A2FE5" w:rsidP="005A2FE5"/>
    <w:p w14:paraId="7DE2086C" w14:textId="7A4BD355" w:rsidR="008F098F" w:rsidRDefault="008F098F" w:rsidP="008F098F">
      <w:pPr>
        <w:jc w:val="both"/>
      </w:pPr>
      <w:r>
        <w:t>A high share of renter households relative to regional and provincial comparators may indicate limited ownership affordability or a rental-dependent local economy. Communities with elevated renter concentrations typically face more acute affordable supply challenges. Younger primary household maintainers (under 35) are most often disproportionately concentrated in the renter market; where this cohort is larger locally than regionally, near-term demand for affordable rental supply is likely elevated.</w:t>
      </w:r>
    </w:p>
    <w:p w14:paraId="40BCBAC1" w14:textId="77777777" w:rsidR="00010CCB" w:rsidRDefault="00010CCB" w:rsidP="008F098F">
      <w:pPr>
        <w:jc w:val="both"/>
      </w:pPr>
    </w:p>
    <w:p w14:paraId="1DF8898B" w14:textId="23873D79" w:rsidR="008D753F" w:rsidRDefault="008F098F" w:rsidP="008F098F">
      <w:pPr>
        <w:jc w:val="both"/>
      </w:pPr>
      <w:r>
        <w:t>A high prevalence of non-census famil</w:t>
      </w:r>
      <w:r w:rsidR="00F324FF">
        <w:t>ies</w:t>
      </w:r>
      <w:r>
        <w:t xml:space="preserve"> </w:t>
      </w:r>
      <w:r w:rsidR="008A5676">
        <w:t>(particularly,</w:t>
      </w:r>
      <w:r>
        <w:t xml:space="preserve"> single-person households</w:t>
      </w:r>
      <w:r w:rsidR="008A5676">
        <w:t>)</w:t>
      </w:r>
      <w:r>
        <w:t xml:space="preserve">, </w:t>
      </w:r>
      <w:r w:rsidR="008A5676">
        <w:t xml:space="preserve">especially </w:t>
      </w:r>
      <w:r>
        <w:t xml:space="preserve">where they concentrate among renters, signals demand for smaller, more affordable unit types such as </w:t>
      </w:r>
      <w:r w:rsidR="008A5676">
        <w:t>studio</w:t>
      </w:r>
      <w:r>
        <w:t xml:space="preserve"> and one-bedroom apartments. </w:t>
      </w:r>
    </w:p>
    <w:p w14:paraId="2F929D06" w14:textId="77777777" w:rsidR="008D753F" w:rsidRDefault="008D753F" w:rsidP="008F098F">
      <w:pPr>
        <w:jc w:val="both"/>
      </w:pPr>
    </w:p>
    <w:p w14:paraId="7FFC758B" w14:textId="164E0854" w:rsidR="00512B4C" w:rsidRDefault="008F098F" w:rsidP="008F098F">
      <w:pPr>
        <w:jc w:val="both"/>
      </w:pPr>
      <w:r>
        <w:t>A large lone-parent share, especially among renter households, points to a segment facing both affordability constraints and potential suitability needs</w:t>
      </w:r>
      <w:r w:rsidR="00F324FF">
        <w:t>;</w:t>
      </w:r>
      <w:r>
        <w:t xml:space="preserve"> specifically</w:t>
      </w:r>
      <w:r w:rsidR="00F324FF">
        <w:t>,</w:t>
      </w:r>
      <w:r>
        <w:t xml:space="preserve"> adequate bedroom counts at accessible price points.</w:t>
      </w:r>
    </w:p>
    <w:p w14:paraId="43764F85" w14:textId="77777777" w:rsidR="00503259" w:rsidRPr="00512B4C" w:rsidRDefault="00503259" w:rsidP="00512B4C">
      <w:pPr>
        <w:jc w:val="both"/>
      </w:pPr>
    </w:p>
    <w:p w14:paraId="7F331787" w14:textId="3855A9B0" w:rsidR="00884904" w:rsidRDefault="00884904" w:rsidP="00884904">
      <w:pPr>
        <w:pStyle w:val="Heading3"/>
      </w:pPr>
      <w:r>
        <w:t>Household Suppression</w:t>
      </w:r>
    </w:p>
    <w:p w14:paraId="219BC7BF" w14:textId="08E2D830" w:rsidR="00884904" w:rsidRDefault="00D038BA" w:rsidP="00D038BA">
      <w:pPr>
        <w:jc w:val="both"/>
      </w:pPr>
      <w:r w:rsidRPr="00D038BA">
        <w:rPr>
          <w:rStyle w:val="Figure-textChar"/>
        </w:rPr>
        <w:fldChar w:fldCharType="begin"/>
      </w:r>
      <w:r w:rsidRPr="00D038BA">
        <w:rPr>
          <w:rStyle w:val="Figure-textChar"/>
        </w:rPr>
        <w:instrText xml:space="preserve"> REF _Ref223274188 \h </w:instrText>
      </w:r>
      <w:r>
        <w:rPr>
          <w:rStyle w:val="Figure-textChar"/>
        </w:rPr>
        <w:instrText xml:space="preserve"> \* MERGEFORMAT </w:instrText>
      </w:r>
      <w:r w:rsidRPr="00D038BA">
        <w:rPr>
          <w:rStyle w:val="Figure-textChar"/>
        </w:rPr>
      </w:r>
      <w:r w:rsidRPr="00D038BA">
        <w:rPr>
          <w:rStyle w:val="Figure-textChar"/>
        </w:rPr>
        <w:fldChar w:fldCharType="separate"/>
      </w:r>
      <w:r w:rsidR="00CA6116" w:rsidRPr="00CA6116">
        <w:rPr>
          <w:rStyle w:val="Figure-textChar"/>
        </w:rPr>
        <w:t>Table 4.5</w:t>
      </w:r>
      <w:r w:rsidRPr="00D038BA">
        <w:rPr>
          <w:rStyle w:val="Figure-textChar"/>
        </w:rPr>
        <w:fldChar w:fldCharType="end"/>
      </w:r>
      <w:r>
        <w:t xml:space="preserve"> </w:t>
      </w:r>
      <w:r w:rsidR="0034696C" w:rsidRPr="0034696C">
        <w:t xml:space="preserve"> </w:t>
      </w:r>
      <w:r w:rsidR="00040274" w:rsidRPr="00040274">
        <w:t xml:space="preserve">estimates the degree to which household formation between 2016 and 2021 deviated from what would be expected based on historical headship rates, identifying age </w:t>
      </w:r>
      <w:r w:rsidR="00BF6E96">
        <w:t>groups</w:t>
      </w:r>
      <w:r w:rsidR="00040274" w:rsidRPr="00040274">
        <w:t xml:space="preserve"> where individuals may be unable to establish </w:t>
      </w:r>
      <w:r w:rsidR="00BF6E96">
        <w:t>their own</w:t>
      </w:r>
      <w:r w:rsidR="00040274" w:rsidRPr="00040274">
        <w:t xml:space="preserve"> households due to </w:t>
      </w:r>
      <w:r w:rsidR="00BF6E96">
        <w:t>cost</w:t>
      </w:r>
      <w:r w:rsidR="00040274" w:rsidRPr="00040274">
        <w:t xml:space="preserve"> or other constraints.</w:t>
      </w:r>
    </w:p>
    <w:p w14:paraId="71424DCF" w14:textId="77777777" w:rsidR="00D038BA" w:rsidRDefault="00D038BA" w:rsidP="004608FD"/>
    <w:p w14:paraId="7910C5F6" w14:textId="24126E4A" w:rsidR="00903FA3" w:rsidRDefault="00903FA3" w:rsidP="00903FA3">
      <w:pPr>
        <w:pStyle w:val="Caption"/>
      </w:pPr>
      <w:bookmarkStart w:id="23" w:name="_Ref223274188"/>
      <w:r>
        <w:t xml:space="preserve">Table </w:t>
      </w:r>
      <w:fldSimple w:instr=" STYLEREF 1 \s ">
        <w:r w:rsidR="005E459C">
          <w:rPr>
            <w:noProof/>
          </w:rPr>
          <w:t>4</w:t>
        </w:r>
      </w:fldSimple>
      <w:r w:rsidR="00BD4359">
        <w:t>.</w:t>
      </w:r>
      <w:fldSimple w:instr=" SEQ Table \* ARABIC \s 1 ">
        <w:r w:rsidR="005E459C">
          <w:rPr>
            <w:noProof/>
          </w:rPr>
          <w:t>5</w:t>
        </w:r>
      </w:fldSimple>
      <w:bookmarkEnd w:id="23"/>
      <w:r>
        <w:t>: Estimated household suppression by age of primary household maintainer, 2021</w:t>
      </w:r>
    </w:p>
    <w:tbl>
      <w:tblPr>
        <w:tblW w:w="9360" w:type="dxa"/>
        <w:tblLayout w:type="fixed"/>
        <w:tblLook w:val="04A0" w:firstRow="1" w:lastRow="0" w:firstColumn="1" w:lastColumn="0" w:noHBand="0" w:noVBand="1"/>
      </w:tblPr>
      <w:tblGrid>
        <w:gridCol w:w="1620"/>
        <w:gridCol w:w="1575"/>
        <w:gridCol w:w="1575"/>
        <w:gridCol w:w="1575"/>
        <w:gridCol w:w="1575"/>
        <w:gridCol w:w="1440"/>
      </w:tblGrid>
      <w:tr w:rsidR="0023674D" w:rsidRPr="0023674D" w14:paraId="56372E15" w14:textId="77777777" w:rsidTr="0016586C">
        <w:trPr>
          <w:trHeight w:val="402"/>
          <w:tblHeader/>
        </w:trPr>
        <w:tc>
          <w:tcPr>
            <w:tcW w:w="1620" w:type="dxa"/>
            <w:tcBorders>
              <w:top w:val="nil"/>
              <w:left w:val="nil"/>
              <w:bottom w:val="nil"/>
              <w:right w:val="nil"/>
            </w:tcBorders>
            <w:noWrap/>
            <w:vAlign w:val="center"/>
            <w:hideMark/>
          </w:tcPr>
          <w:p w14:paraId="6991CD21" w14:textId="77777777" w:rsidR="0023674D" w:rsidRPr="0023674D" w:rsidRDefault="0023674D" w:rsidP="0023674D">
            <w:pPr>
              <w:rPr>
                <w:rFonts w:ascii="Times New Roman" w:eastAsia="Times New Roman" w:hAnsi="Times New Roman" w:cs="Times New Roman"/>
                <w:sz w:val="24"/>
                <w:szCs w:val="24"/>
              </w:rPr>
            </w:pPr>
          </w:p>
        </w:tc>
        <w:tc>
          <w:tcPr>
            <w:tcW w:w="3150"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197748A7" w14:textId="77777777" w:rsidR="0023674D" w:rsidRPr="0023674D" w:rsidRDefault="0023674D" w:rsidP="0023674D">
            <w:pPr>
              <w:jc w:val="center"/>
              <w:rPr>
                <w:rFonts w:eastAsia="Times New Roman"/>
                <w:color w:val="FFFFFF"/>
                <w:sz w:val="18"/>
                <w:szCs w:val="18"/>
              </w:rPr>
            </w:pPr>
            <w:r w:rsidRPr="0023674D">
              <w:rPr>
                <w:rFonts w:eastAsia="Times New Roman"/>
                <w:color w:val="FFFFFF"/>
                <w:sz w:val="18"/>
                <w:szCs w:val="18"/>
              </w:rPr>
              <w:t>Headship</w:t>
            </w:r>
          </w:p>
        </w:tc>
        <w:tc>
          <w:tcPr>
            <w:tcW w:w="3150" w:type="dxa"/>
            <w:gridSpan w:val="2"/>
            <w:tcBorders>
              <w:top w:val="single" w:sz="4" w:space="0" w:color="auto"/>
              <w:left w:val="nil"/>
              <w:bottom w:val="single" w:sz="4" w:space="0" w:color="auto"/>
              <w:right w:val="single" w:sz="4" w:space="0" w:color="000000"/>
            </w:tcBorders>
            <w:shd w:val="clear" w:color="auto" w:fill="080314" w:themeFill="accent4"/>
            <w:noWrap/>
            <w:vAlign w:val="center"/>
            <w:hideMark/>
          </w:tcPr>
          <w:p w14:paraId="102AE418" w14:textId="77777777" w:rsidR="0023674D" w:rsidRPr="0023674D" w:rsidRDefault="0023674D" w:rsidP="003C59F9">
            <w:pPr>
              <w:jc w:val="center"/>
              <w:rPr>
                <w:rFonts w:eastAsia="Times New Roman"/>
                <w:color w:val="FFFFFF"/>
                <w:sz w:val="18"/>
                <w:szCs w:val="18"/>
              </w:rPr>
            </w:pPr>
            <w:r w:rsidRPr="0023674D">
              <w:rPr>
                <w:rFonts w:eastAsia="Times New Roman"/>
                <w:color w:val="FFFFFF"/>
                <w:sz w:val="18"/>
                <w:szCs w:val="18"/>
              </w:rPr>
              <w:t>2021 household formation</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587D33C0" w14:textId="77777777" w:rsidR="0023674D" w:rsidRPr="0023674D" w:rsidRDefault="0023674D" w:rsidP="0023674D">
            <w:pPr>
              <w:jc w:val="center"/>
              <w:rPr>
                <w:rFonts w:eastAsia="Times New Roman"/>
                <w:color w:val="0D0D0D"/>
                <w:sz w:val="18"/>
                <w:szCs w:val="18"/>
              </w:rPr>
            </w:pPr>
            <w:r w:rsidRPr="0023674D">
              <w:rPr>
                <w:rFonts w:eastAsia="Times New Roman"/>
                <w:color w:val="0D0D0D"/>
                <w:sz w:val="18"/>
                <w:szCs w:val="18"/>
              </w:rPr>
              <w:t>Suppressed households</w:t>
            </w:r>
          </w:p>
        </w:tc>
      </w:tr>
      <w:tr w:rsidR="0023674D" w:rsidRPr="0023674D" w14:paraId="3DFE7D1A" w14:textId="77777777" w:rsidTr="0016586C">
        <w:trPr>
          <w:trHeight w:val="402"/>
          <w:tblHeader/>
        </w:trPr>
        <w:tc>
          <w:tcPr>
            <w:tcW w:w="162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1DEFB399" w14:textId="77777777" w:rsidR="0023674D" w:rsidRPr="0023674D" w:rsidRDefault="0023674D" w:rsidP="0023674D">
            <w:pPr>
              <w:rPr>
                <w:rFonts w:eastAsia="Times New Roman"/>
                <w:color w:val="FFFFFF"/>
                <w:sz w:val="18"/>
                <w:szCs w:val="18"/>
              </w:rPr>
            </w:pPr>
            <w:r w:rsidRPr="0023674D">
              <w:rPr>
                <w:rFonts w:eastAsia="Times New Roman"/>
                <w:color w:val="FFFFFF"/>
                <w:sz w:val="18"/>
                <w:szCs w:val="18"/>
              </w:rPr>
              <w:t>Maintainer age</w:t>
            </w:r>
          </w:p>
        </w:tc>
        <w:tc>
          <w:tcPr>
            <w:tcW w:w="1575" w:type="dxa"/>
            <w:tcBorders>
              <w:top w:val="nil"/>
              <w:left w:val="nil"/>
              <w:bottom w:val="single" w:sz="4" w:space="0" w:color="auto"/>
              <w:right w:val="single" w:sz="4" w:space="0" w:color="BFBFBF"/>
            </w:tcBorders>
            <w:shd w:val="clear" w:color="auto" w:fill="CFD9E3" w:themeFill="accent1"/>
            <w:noWrap/>
            <w:vAlign w:val="center"/>
            <w:hideMark/>
          </w:tcPr>
          <w:p w14:paraId="0FC9B181" w14:textId="77777777" w:rsidR="0023674D" w:rsidRPr="0023674D" w:rsidRDefault="0023674D" w:rsidP="0023674D">
            <w:pPr>
              <w:jc w:val="right"/>
              <w:rPr>
                <w:rFonts w:eastAsia="Times New Roman"/>
                <w:color w:val="0D0D0D"/>
                <w:sz w:val="18"/>
                <w:szCs w:val="18"/>
              </w:rPr>
            </w:pPr>
            <w:r w:rsidRPr="0023674D">
              <w:rPr>
                <w:rFonts w:eastAsia="Times New Roman"/>
                <w:color w:val="0D0D0D"/>
                <w:sz w:val="18"/>
                <w:szCs w:val="18"/>
              </w:rPr>
              <w:t>2016</w:t>
            </w:r>
          </w:p>
        </w:tc>
        <w:tc>
          <w:tcPr>
            <w:tcW w:w="1575" w:type="dxa"/>
            <w:tcBorders>
              <w:top w:val="nil"/>
              <w:left w:val="nil"/>
              <w:bottom w:val="single" w:sz="4" w:space="0" w:color="auto"/>
              <w:right w:val="single" w:sz="4" w:space="0" w:color="auto"/>
            </w:tcBorders>
            <w:shd w:val="clear" w:color="auto" w:fill="CFD9E3" w:themeFill="accent1"/>
            <w:noWrap/>
            <w:vAlign w:val="center"/>
            <w:hideMark/>
          </w:tcPr>
          <w:p w14:paraId="47AB48D3" w14:textId="77777777" w:rsidR="0023674D" w:rsidRPr="0023674D" w:rsidRDefault="0023674D" w:rsidP="0023674D">
            <w:pPr>
              <w:jc w:val="right"/>
              <w:rPr>
                <w:rFonts w:eastAsia="Times New Roman"/>
                <w:color w:val="0D0D0D"/>
                <w:sz w:val="18"/>
                <w:szCs w:val="18"/>
              </w:rPr>
            </w:pPr>
            <w:r w:rsidRPr="0023674D">
              <w:rPr>
                <w:rFonts w:eastAsia="Times New Roman"/>
                <w:color w:val="0D0D0D"/>
                <w:sz w:val="18"/>
                <w:szCs w:val="18"/>
              </w:rPr>
              <w:t>2021</w:t>
            </w:r>
          </w:p>
        </w:tc>
        <w:tc>
          <w:tcPr>
            <w:tcW w:w="1575" w:type="dxa"/>
            <w:tcBorders>
              <w:top w:val="nil"/>
              <w:left w:val="nil"/>
              <w:bottom w:val="single" w:sz="4" w:space="0" w:color="auto"/>
              <w:right w:val="single" w:sz="4" w:space="0" w:color="BFBFBF"/>
            </w:tcBorders>
            <w:shd w:val="clear" w:color="auto" w:fill="DED3F8" w:themeFill="accent4" w:themeFillTint="1A"/>
            <w:noWrap/>
            <w:vAlign w:val="center"/>
            <w:hideMark/>
          </w:tcPr>
          <w:p w14:paraId="1115B1E1" w14:textId="77777777" w:rsidR="0023674D" w:rsidRPr="0023674D" w:rsidRDefault="0023674D" w:rsidP="0023674D">
            <w:pPr>
              <w:jc w:val="right"/>
              <w:rPr>
                <w:rFonts w:eastAsia="Times New Roman"/>
                <w:color w:val="0D0D0D"/>
                <w:sz w:val="18"/>
                <w:szCs w:val="18"/>
              </w:rPr>
            </w:pPr>
            <w:r w:rsidRPr="0023674D">
              <w:rPr>
                <w:rFonts w:eastAsia="Times New Roman"/>
                <w:color w:val="0D0D0D"/>
                <w:sz w:val="18"/>
                <w:szCs w:val="18"/>
              </w:rPr>
              <w:t>Actual</w:t>
            </w:r>
          </w:p>
        </w:tc>
        <w:tc>
          <w:tcPr>
            <w:tcW w:w="1575" w:type="dxa"/>
            <w:tcBorders>
              <w:top w:val="nil"/>
              <w:left w:val="nil"/>
              <w:bottom w:val="single" w:sz="4" w:space="0" w:color="auto"/>
              <w:right w:val="single" w:sz="4" w:space="0" w:color="auto"/>
            </w:tcBorders>
            <w:shd w:val="clear" w:color="auto" w:fill="DED3F8" w:themeFill="accent4" w:themeFillTint="1A"/>
            <w:noWrap/>
            <w:vAlign w:val="center"/>
            <w:hideMark/>
          </w:tcPr>
          <w:p w14:paraId="0855B572" w14:textId="77777777" w:rsidR="0023674D" w:rsidRPr="0023674D" w:rsidRDefault="0023674D" w:rsidP="0023674D">
            <w:pPr>
              <w:jc w:val="right"/>
              <w:rPr>
                <w:rFonts w:eastAsia="Times New Roman"/>
                <w:color w:val="0D0D0D"/>
                <w:sz w:val="18"/>
                <w:szCs w:val="18"/>
              </w:rPr>
            </w:pPr>
            <w:r w:rsidRPr="0023674D">
              <w:rPr>
                <w:rFonts w:eastAsia="Times New Roman"/>
                <w:color w:val="0D0D0D"/>
                <w:sz w:val="18"/>
                <w:szCs w:val="18"/>
              </w:rPr>
              <w:t>Expected*</w:t>
            </w:r>
          </w:p>
        </w:tc>
        <w:tc>
          <w:tcPr>
            <w:tcW w:w="1440" w:type="dxa"/>
            <w:vMerge/>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5B1E8C70" w14:textId="77777777" w:rsidR="0023674D" w:rsidRPr="0023674D" w:rsidRDefault="0023674D" w:rsidP="0023674D">
            <w:pPr>
              <w:rPr>
                <w:rFonts w:eastAsia="Times New Roman"/>
                <w:color w:val="0D0D0D"/>
                <w:sz w:val="18"/>
                <w:szCs w:val="18"/>
              </w:rPr>
            </w:pPr>
          </w:p>
        </w:tc>
      </w:tr>
      <w:tr w:rsidR="0023674D" w:rsidRPr="0023674D" w14:paraId="493261F1" w14:textId="77777777" w:rsidTr="0023674D">
        <w:trPr>
          <w:trHeight w:val="402"/>
        </w:trPr>
        <w:tc>
          <w:tcPr>
            <w:tcW w:w="1620" w:type="dxa"/>
            <w:tcBorders>
              <w:top w:val="nil"/>
              <w:left w:val="single" w:sz="4" w:space="0" w:color="auto"/>
              <w:bottom w:val="single" w:sz="4" w:space="0" w:color="auto"/>
              <w:right w:val="single" w:sz="4" w:space="0" w:color="auto"/>
            </w:tcBorders>
            <w:shd w:val="clear" w:color="000000" w:fill="F2F2F2"/>
            <w:noWrap/>
            <w:vAlign w:val="center"/>
            <w:hideMark/>
          </w:tcPr>
          <w:p w14:paraId="6712352C"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Total</w:t>
            </w:r>
          </w:p>
        </w:tc>
        <w:tc>
          <w:tcPr>
            <w:tcW w:w="1575" w:type="dxa"/>
            <w:tcBorders>
              <w:top w:val="nil"/>
              <w:left w:val="nil"/>
              <w:bottom w:val="single" w:sz="4" w:space="0" w:color="auto"/>
              <w:right w:val="single" w:sz="4" w:space="0" w:color="BFBFBF"/>
            </w:tcBorders>
            <w:shd w:val="clear" w:color="000000" w:fill="F2F2F2"/>
            <w:noWrap/>
            <w:vAlign w:val="center"/>
            <w:hideMark/>
          </w:tcPr>
          <w:p w14:paraId="408EB3F3"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0.45</w:t>
            </w:r>
          </w:p>
        </w:tc>
        <w:tc>
          <w:tcPr>
            <w:tcW w:w="1575" w:type="dxa"/>
            <w:tcBorders>
              <w:top w:val="nil"/>
              <w:left w:val="nil"/>
              <w:bottom w:val="single" w:sz="4" w:space="0" w:color="auto"/>
              <w:right w:val="single" w:sz="4" w:space="0" w:color="auto"/>
            </w:tcBorders>
            <w:shd w:val="clear" w:color="000000" w:fill="F2F2F2"/>
            <w:noWrap/>
            <w:vAlign w:val="center"/>
            <w:hideMark/>
          </w:tcPr>
          <w:p w14:paraId="3D9A3863"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0.44</w:t>
            </w:r>
          </w:p>
        </w:tc>
        <w:tc>
          <w:tcPr>
            <w:tcW w:w="1575" w:type="dxa"/>
            <w:tcBorders>
              <w:top w:val="nil"/>
              <w:left w:val="nil"/>
              <w:bottom w:val="single" w:sz="4" w:space="0" w:color="auto"/>
              <w:right w:val="single" w:sz="4" w:space="0" w:color="BFBFBF"/>
            </w:tcBorders>
            <w:shd w:val="clear" w:color="000000" w:fill="F2F2F2"/>
            <w:noWrap/>
            <w:vAlign w:val="center"/>
            <w:hideMark/>
          </w:tcPr>
          <w:p w14:paraId="6071EFE6"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17,185</w:t>
            </w:r>
          </w:p>
        </w:tc>
        <w:tc>
          <w:tcPr>
            <w:tcW w:w="1575" w:type="dxa"/>
            <w:tcBorders>
              <w:top w:val="nil"/>
              <w:left w:val="nil"/>
              <w:bottom w:val="single" w:sz="4" w:space="0" w:color="auto"/>
              <w:right w:val="single" w:sz="4" w:space="0" w:color="auto"/>
            </w:tcBorders>
            <w:shd w:val="clear" w:color="000000" w:fill="F2F2F2"/>
            <w:noWrap/>
            <w:vAlign w:val="center"/>
            <w:hideMark/>
          </w:tcPr>
          <w:p w14:paraId="0E0D44C4"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17,125</w:t>
            </w:r>
          </w:p>
        </w:tc>
        <w:tc>
          <w:tcPr>
            <w:tcW w:w="1440" w:type="dxa"/>
            <w:tcBorders>
              <w:top w:val="nil"/>
              <w:left w:val="nil"/>
              <w:bottom w:val="single" w:sz="4" w:space="0" w:color="auto"/>
              <w:right w:val="single" w:sz="4" w:space="0" w:color="auto"/>
            </w:tcBorders>
            <w:shd w:val="clear" w:color="000000" w:fill="F2F2F2"/>
            <w:noWrap/>
            <w:vAlign w:val="center"/>
            <w:hideMark/>
          </w:tcPr>
          <w:p w14:paraId="2E13D07F"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-60</w:t>
            </w:r>
          </w:p>
        </w:tc>
      </w:tr>
      <w:tr w:rsidR="0023674D" w:rsidRPr="0023674D" w14:paraId="34251F5F" w14:textId="77777777" w:rsidTr="0023674D">
        <w:trPr>
          <w:trHeight w:val="402"/>
        </w:trPr>
        <w:tc>
          <w:tcPr>
            <w:tcW w:w="1620" w:type="dxa"/>
            <w:tcBorders>
              <w:top w:val="nil"/>
              <w:left w:val="single" w:sz="4" w:space="0" w:color="auto"/>
              <w:bottom w:val="single" w:sz="4" w:space="0" w:color="BFBFBF"/>
              <w:right w:val="single" w:sz="4" w:space="0" w:color="auto"/>
            </w:tcBorders>
            <w:noWrap/>
            <w:vAlign w:val="center"/>
            <w:hideMark/>
          </w:tcPr>
          <w:p w14:paraId="2CE4312B"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15 to 24</w:t>
            </w:r>
          </w:p>
        </w:tc>
        <w:tc>
          <w:tcPr>
            <w:tcW w:w="1575" w:type="dxa"/>
            <w:tcBorders>
              <w:top w:val="nil"/>
              <w:left w:val="nil"/>
              <w:bottom w:val="single" w:sz="4" w:space="0" w:color="BFBFBF"/>
              <w:right w:val="single" w:sz="4" w:space="0" w:color="BFBFBF"/>
            </w:tcBorders>
            <w:noWrap/>
            <w:vAlign w:val="center"/>
            <w:hideMark/>
          </w:tcPr>
          <w:p w14:paraId="493F1790"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0.20</w:t>
            </w:r>
          </w:p>
        </w:tc>
        <w:tc>
          <w:tcPr>
            <w:tcW w:w="1575" w:type="dxa"/>
            <w:tcBorders>
              <w:top w:val="nil"/>
              <w:left w:val="nil"/>
              <w:bottom w:val="single" w:sz="4" w:space="0" w:color="BFBFBF"/>
              <w:right w:val="single" w:sz="4" w:space="0" w:color="auto"/>
            </w:tcBorders>
            <w:noWrap/>
            <w:vAlign w:val="center"/>
            <w:hideMark/>
          </w:tcPr>
          <w:p w14:paraId="1477BA18"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0.22</w:t>
            </w:r>
          </w:p>
        </w:tc>
        <w:tc>
          <w:tcPr>
            <w:tcW w:w="1575" w:type="dxa"/>
            <w:tcBorders>
              <w:top w:val="nil"/>
              <w:left w:val="nil"/>
              <w:bottom w:val="single" w:sz="4" w:space="0" w:color="BFBFBF"/>
              <w:right w:val="single" w:sz="4" w:space="0" w:color="BFBFBF"/>
            </w:tcBorders>
            <w:noWrap/>
            <w:vAlign w:val="center"/>
            <w:hideMark/>
          </w:tcPr>
          <w:p w14:paraId="502AE8D5"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1,355</w:t>
            </w:r>
          </w:p>
        </w:tc>
        <w:tc>
          <w:tcPr>
            <w:tcW w:w="1575" w:type="dxa"/>
            <w:tcBorders>
              <w:top w:val="nil"/>
              <w:left w:val="nil"/>
              <w:bottom w:val="single" w:sz="4" w:space="0" w:color="BFBFBF"/>
              <w:right w:val="single" w:sz="4" w:space="0" w:color="auto"/>
            </w:tcBorders>
            <w:noWrap/>
            <w:vAlign w:val="center"/>
            <w:hideMark/>
          </w:tcPr>
          <w:p w14:paraId="19332379"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1,215</w:t>
            </w:r>
          </w:p>
        </w:tc>
        <w:tc>
          <w:tcPr>
            <w:tcW w:w="1440" w:type="dxa"/>
            <w:tcBorders>
              <w:top w:val="nil"/>
              <w:left w:val="nil"/>
              <w:bottom w:val="single" w:sz="4" w:space="0" w:color="BFBFBF"/>
              <w:right w:val="single" w:sz="4" w:space="0" w:color="auto"/>
            </w:tcBorders>
            <w:noWrap/>
            <w:vAlign w:val="center"/>
            <w:hideMark/>
          </w:tcPr>
          <w:p w14:paraId="59E4A89B"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-140</w:t>
            </w:r>
          </w:p>
        </w:tc>
      </w:tr>
      <w:tr w:rsidR="0023674D" w:rsidRPr="0023674D" w14:paraId="5C99926B" w14:textId="77777777" w:rsidTr="0023674D">
        <w:trPr>
          <w:trHeight w:val="402"/>
        </w:trPr>
        <w:tc>
          <w:tcPr>
            <w:tcW w:w="1620" w:type="dxa"/>
            <w:tcBorders>
              <w:top w:val="nil"/>
              <w:left w:val="single" w:sz="4" w:space="0" w:color="auto"/>
              <w:bottom w:val="single" w:sz="4" w:space="0" w:color="BFBFBF"/>
              <w:right w:val="single" w:sz="4" w:space="0" w:color="auto"/>
            </w:tcBorders>
            <w:shd w:val="clear" w:color="000000" w:fill="F2F2F2"/>
            <w:noWrap/>
            <w:vAlign w:val="center"/>
            <w:hideMark/>
          </w:tcPr>
          <w:p w14:paraId="0F3149EB"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25 to 34</w:t>
            </w:r>
          </w:p>
        </w:tc>
        <w:tc>
          <w:tcPr>
            <w:tcW w:w="1575" w:type="dxa"/>
            <w:tcBorders>
              <w:top w:val="nil"/>
              <w:left w:val="nil"/>
              <w:bottom w:val="single" w:sz="4" w:space="0" w:color="BFBFBF"/>
              <w:right w:val="single" w:sz="4" w:space="0" w:color="BFBFBF"/>
            </w:tcBorders>
            <w:shd w:val="clear" w:color="000000" w:fill="F2F2F2"/>
            <w:noWrap/>
            <w:vAlign w:val="center"/>
            <w:hideMark/>
          </w:tcPr>
          <w:p w14:paraId="70ED7E01"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0.51</w:t>
            </w:r>
          </w:p>
        </w:tc>
        <w:tc>
          <w:tcPr>
            <w:tcW w:w="1575" w:type="dxa"/>
            <w:tcBorders>
              <w:top w:val="nil"/>
              <w:left w:val="nil"/>
              <w:bottom w:val="single" w:sz="4" w:space="0" w:color="BFBFBF"/>
              <w:right w:val="single" w:sz="4" w:space="0" w:color="auto"/>
            </w:tcBorders>
            <w:shd w:val="clear" w:color="000000" w:fill="F2F2F2"/>
            <w:noWrap/>
            <w:vAlign w:val="center"/>
            <w:hideMark/>
          </w:tcPr>
          <w:p w14:paraId="6207F10F"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0.46</w:t>
            </w:r>
          </w:p>
        </w:tc>
        <w:tc>
          <w:tcPr>
            <w:tcW w:w="1575" w:type="dxa"/>
            <w:tcBorders>
              <w:top w:val="nil"/>
              <w:left w:val="nil"/>
              <w:bottom w:val="single" w:sz="4" w:space="0" w:color="BFBFBF"/>
              <w:right w:val="single" w:sz="4" w:space="0" w:color="BFBFBF"/>
            </w:tcBorders>
            <w:shd w:val="clear" w:color="000000" w:fill="F2F2F2"/>
            <w:noWrap/>
            <w:vAlign w:val="center"/>
            <w:hideMark/>
          </w:tcPr>
          <w:p w14:paraId="65B7C0A9"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2,555</w:t>
            </w:r>
          </w:p>
        </w:tc>
        <w:tc>
          <w:tcPr>
            <w:tcW w:w="1575" w:type="dxa"/>
            <w:tcBorders>
              <w:top w:val="nil"/>
              <w:left w:val="nil"/>
              <w:bottom w:val="single" w:sz="4" w:space="0" w:color="BFBFBF"/>
              <w:right w:val="single" w:sz="4" w:space="0" w:color="auto"/>
            </w:tcBorders>
            <w:shd w:val="clear" w:color="000000" w:fill="F2F2F2"/>
            <w:noWrap/>
            <w:vAlign w:val="center"/>
            <w:hideMark/>
          </w:tcPr>
          <w:p w14:paraId="55670908"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2,820</w:t>
            </w:r>
          </w:p>
        </w:tc>
        <w:tc>
          <w:tcPr>
            <w:tcW w:w="1440" w:type="dxa"/>
            <w:tcBorders>
              <w:top w:val="nil"/>
              <w:left w:val="nil"/>
              <w:bottom w:val="single" w:sz="4" w:space="0" w:color="BFBFBF"/>
              <w:right w:val="single" w:sz="4" w:space="0" w:color="auto"/>
            </w:tcBorders>
            <w:shd w:val="clear" w:color="000000" w:fill="F2F2F2"/>
            <w:noWrap/>
            <w:vAlign w:val="center"/>
            <w:hideMark/>
          </w:tcPr>
          <w:p w14:paraId="6CD2587D"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265</w:t>
            </w:r>
          </w:p>
        </w:tc>
      </w:tr>
      <w:tr w:rsidR="0023674D" w:rsidRPr="0023674D" w14:paraId="70591F59" w14:textId="77777777" w:rsidTr="0023674D">
        <w:trPr>
          <w:trHeight w:val="402"/>
        </w:trPr>
        <w:tc>
          <w:tcPr>
            <w:tcW w:w="1620" w:type="dxa"/>
            <w:tcBorders>
              <w:top w:val="nil"/>
              <w:left w:val="single" w:sz="4" w:space="0" w:color="auto"/>
              <w:bottom w:val="single" w:sz="4" w:space="0" w:color="BFBFBF"/>
              <w:right w:val="single" w:sz="4" w:space="0" w:color="auto"/>
            </w:tcBorders>
            <w:noWrap/>
            <w:vAlign w:val="center"/>
            <w:hideMark/>
          </w:tcPr>
          <w:p w14:paraId="0A92F900"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35 to 44</w:t>
            </w:r>
          </w:p>
        </w:tc>
        <w:tc>
          <w:tcPr>
            <w:tcW w:w="1575" w:type="dxa"/>
            <w:tcBorders>
              <w:top w:val="nil"/>
              <w:left w:val="nil"/>
              <w:bottom w:val="single" w:sz="4" w:space="0" w:color="BFBFBF"/>
              <w:right w:val="single" w:sz="4" w:space="0" w:color="BFBFBF"/>
            </w:tcBorders>
            <w:noWrap/>
            <w:vAlign w:val="center"/>
            <w:hideMark/>
          </w:tcPr>
          <w:p w14:paraId="43673E94"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0.55</w:t>
            </w:r>
          </w:p>
        </w:tc>
        <w:tc>
          <w:tcPr>
            <w:tcW w:w="1575" w:type="dxa"/>
            <w:tcBorders>
              <w:top w:val="nil"/>
              <w:left w:val="nil"/>
              <w:bottom w:val="single" w:sz="4" w:space="0" w:color="BFBFBF"/>
              <w:right w:val="single" w:sz="4" w:space="0" w:color="auto"/>
            </w:tcBorders>
            <w:noWrap/>
            <w:vAlign w:val="center"/>
            <w:hideMark/>
          </w:tcPr>
          <w:p w14:paraId="6AD89BD7"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0.56</w:t>
            </w:r>
          </w:p>
        </w:tc>
        <w:tc>
          <w:tcPr>
            <w:tcW w:w="1575" w:type="dxa"/>
            <w:tcBorders>
              <w:top w:val="nil"/>
              <w:left w:val="nil"/>
              <w:bottom w:val="single" w:sz="4" w:space="0" w:color="BFBFBF"/>
              <w:right w:val="single" w:sz="4" w:space="0" w:color="BFBFBF"/>
            </w:tcBorders>
            <w:noWrap/>
            <w:vAlign w:val="center"/>
            <w:hideMark/>
          </w:tcPr>
          <w:p w14:paraId="12DF6C69"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2,485</w:t>
            </w:r>
          </w:p>
        </w:tc>
        <w:tc>
          <w:tcPr>
            <w:tcW w:w="1575" w:type="dxa"/>
            <w:tcBorders>
              <w:top w:val="nil"/>
              <w:left w:val="nil"/>
              <w:bottom w:val="single" w:sz="4" w:space="0" w:color="BFBFBF"/>
              <w:right w:val="single" w:sz="4" w:space="0" w:color="auto"/>
            </w:tcBorders>
            <w:noWrap/>
            <w:vAlign w:val="center"/>
            <w:hideMark/>
          </w:tcPr>
          <w:p w14:paraId="204EC1CD"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2,455</w:t>
            </w:r>
          </w:p>
        </w:tc>
        <w:tc>
          <w:tcPr>
            <w:tcW w:w="1440" w:type="dxa"/>
            <w:tcBorders>
              <w:top w:val="nil"/>
              <w:left w:val="nil"/>
              <w:bottom w:val="single" w:sz="4" w:space="0" w:color="BFBFBF"/>
              <w:right w:val="single" w:sz="4" w:space="0" w:color="auto"/>
            </w:tcBorders>
            <w:noWrap/>
            <w:vAlign w:val="center"/>
            <w:hideMark/>
          </w:tcPr>
          <w:p w14:paraId="086D9E28"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-30</w:t>
            </w:r>
          </w:p>
        </w:tc>
      </w:tr>
      <w:tr w:rsidR="0023674D" w:rsidRPr="0023674D" w14:paraId="2546562F" w14:textId="77777777" w:rsidTr="0023674D">
        <w:trPr>
          <w:trHeight w:val="402"/>
        </w:trPr>
        <w:tc>
          <w:tcPr>
            <w:tcW w:w="1620" w:type="dxa"/>
            <w:tcBorders>
              <w:top w:val="nil"/>
              <w:left w:val="single" w:sz="4" w:space="0" w:color="auto"/>
              <w:bottom w:val="single" w:sz="4" w:space="0" w:color="BFBFBF"/>
              <w:right w:val="single" w:sz="4" w:space="0" w:color="auto"/>
            </w:tcBorders>
            <w:shd w:val="clear" w:color="000000" w:fill="F2F2F2"/>
            <w:noWrap/>
            <w:vAlign w:val="center"/>
            <w:hideMark/>
          </w:tcPr>
          <w:p w14:paraId="261489BA"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45 to 54</w:t>
            </w:r>
          </w:p>
        </w:tc>
        <w:tc>
          <w:tcPr>
            <w:tcW w:w="1575" w:type="dxa"/>
            <w:tcBorders>
              <w:top w:val="nil"/>
              <w:left w:val="nil"/>
              <w:bottom w:val="single" w:sz="4" w:space="0" w:color="BFBFBF"/>
              <w:right w:val="single" w:sz="4" w:space="0" w:color="BFBFBF"/>
            </w:tcBorders>
            <w:shd w:val="clear" w:color="000000" w:fill="F2F2F2"/>
            <w:noWrap/>
            <w:vAlign w:val="center"/>
            <w:hideMark/>
          </w:tcPr>
          <w:p w14:paraId="7CF469BA"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0.57</w:t>
            </w:r>
          </w:p>
        </w:tc>
        <w:tc>
          <w:tcPr>
            <w:tcW w:w="1575" w:type="dxa"/>
            <w:tcBorders>
              <w:top w:val="nil"/>
              <w:left w:val="nil"/>
              <w:bottom w:val="single" w:sz="4" w:space="0" w:color="BFBFBF"/>
              <w:right w:val="single" w:sz="4" w:space="0" w:color="auto"/>
            </w:tcBorders>
            <w:shd w:val="clear" w:color="000000" w:fill="F2F2F2"/>
            <w:noWrap/>
            <w:vAlign w:val="center"/>
            <w:hideMark/>
          </w:tcPr>
          <w:p w14:paraId="4788F783"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0.61</w:t>
            </w:r>
          </w:p>
        </w:tc>
        <w:tc>
          <w:tcPr>
            <w:tcW w:w="1575" w:type="dxa"/>
            <w:tcBorders>
              <w:top w:val="nil"/>
              <w:left w:val="nil"/>
              <w:bottom w:val="single" w:sz="4" w:space="0" w:color="BFBFBF"/>
              <w:right w:val="single" w:sz="4" w:space="0" w:color="BFBFBF"/>
            </w:tcBorders>
            <w:shd w:val="clear" w:color="000000" w:fill="F2F2F2"/>
            <w:noWrap/>
            <w:vAlign w:val="center"/>
            <w:hideMark/>
          </w:tcPr>
          <w:p w14:paraId="6C8C28A4"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2,740</w:t>
            </w:r>
          </w:p>
        </w:tc>
        <w:tc>
          <w:tcPr>
            <w:tcW w:w="1575" w:type="dxa"/>
            <w:tcBorders>
              <w:top w:val="nil"/>
              <w:left w:val="nil"/>
              <w:bottom w:val="single" w:sz="4" w:space="0" w:color="BFBFBF"/>
              <w:right w:val="single" w:sz="4" w:space="0" w:color="auto"/>
            </w:tcBorders>
            <w:shd w:val="clear" w:color="000000" w:fill="F2F2F2"/>
            <w:noWrap/>
            <w:vAlign w:val="center"/>
            <w:hideMark/>
          </w:tcPr>
          <w:p w14:paraId="5800036D"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2,560</w:t>
            </w:r>
          </w:p>
        </w:tc>
        <w:tc>
          <w:tcPr>
            <w:tcW w:w="1440" w:type="dxa"/>
            <w:tcBorders>
              <w:top w:val="nil"/>
              <w:left w:val="nil"/>
              <w:bottom w:val="single" w:sz="4" w:space="0" w:color="BFBFBF"/>
              <w:right w:val="single" w:sz="4" w:space="0" w:color="auto"/>
            </w:tcBorders>
            <w:shd w:val="clear" w:color="000000" w:fill="F2F2F2"/>
            <w:noWrap/>
            <w:vAlign w:val="center"/>
            <w:hideMark/>
          </w:tcPr>
          <w:p w14:paraId="13906383"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-180</w:t>
            </w:r>
          </w:p>
        </w:tc>
      </w:tr>
      <w:tr w:rsidR="0023674D" w:rsidRPr="0023674D" w14:paraId="70F4BA4A" w14:textId="77777777" w:rsidTr="0023674D">
        <w:trPr>
          <w:trHeight w:val="402"/>
        </w:trPr>
        <w:tc>
          <w:tcPr>
            <w:tcW w:w="1620" w:type="dxa"/>
            <w:tcBorders>
              <w:top w:val="nil"/>
              <w:left w:val="single" w:sz="4" w:space="0" w:color="auto"/>
              <w:bottom w:val="single" w:sz="4" w:space="0" w:color="BFBFBF"/>
              <w:right w:val="single" w:sz="4" w:space="0" w:color="auto"/>
            </w:tcBorders>
            <w:noWrap/>
            <w:vAlign w:val="center"/>
            <w:hideMark/>
          </w:tcPr>
          <w:p w14:paraId="16650864"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55 to 64</w:t>
            </w:r>
          </w:p>
        </w:tc>
        <w:tc>
          <w:tcPr>
            <w:tcW w:w="1575" w:type="dxa"/>
            <w:tcBorders>
              <w:top w:val="nil"/>
              <w:left w:val="nil"/>
              <w:bottom w:val="single" w:sz="4" w:space="0" w:color="BFBFBF"/>
              <w:right w:val="single" w:sz="4" w:space="0" w:color="BFBFBF"/>
            </w:tcBorders>
            <w:noWrap/>
            <w:vAlign w:val="center"/>
            <w:hideMark/>
          </w:tcPr>
          <w:p w14:paraId="3CFFAA76"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0.63</w:t>
            </w:r>
          </w:p>
        </w:tc>
        <w:tc>
          <w:tcPr>
            <w:tcW w:w="1575" w:type="dxa"/>
            <w:tcBorders>
              <w:top w:val="nil"/>
              <w:left w:val="nil"/>
              <w:bottom w:val="single" w:sz="4" w:space="0" w:color="BFBFBF"/>
              <w:right w:val="single" w:sz="4" w:space="0" w:color="auto"/>
            </w:tcBorders>
            <w:noWrap/>
            <w:vAlign w:val="center"/>
            <w:hideMark/>
          </w:tcPr>
          <w:p w14:paraId="373B4B4E"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0.62</w:t>
            </w:r>
          </w:p>
        </w:tc>
        <w:tc>
          <w:tcPr>
            <w:tcW w:w="1575" w:type="dxa"/>
            <w:tcBorders>
              <w:top w:val="nil"/>
              <w:left w:val="nil"/>
              <w:bottom w:val="single" w:sz="4" w:space="0" w:color="BFBFBF"/>
              <w:right w:val="single" w:sz="4" w:space="0" w:color="BFBFBF"/>
            </w:tcBorders>
            <w:noWrap/>
            <w:vAlign w:val="center"/>
            <w:hideMark/>
          </w:tcPr>
          <w:p w14:paraId="78C4D263"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3,020</w:t>
            </w:r>
          </w:p>
        </w:tc>
        <w:tc>
          <w:tcPr>
            <w:tcW w:w="1575" w:type="dxa"/>
            <w:tcBorders>
              <w:top w:val="nil"/>
              <w:left w:val="nil"/>
              <w:bottom w:val="single" w:sz="4" w:space="0" w:color="BFBFBF"/>
              <w:right w:val="single" w:sz="4" w:space="0" w:color="auto"/>
            </w:tcBorders>
            <w:noWrap/>
            <w:vAlign w:val="center"/>
            <w:hideMark/>
          </w:tcPr>
          <w:p w14:paraId="31C8251D"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3,030</w:t>
            </w:r>
          </w:p>
        </w:tc>
        <w:tc>
          <w:tcPr>
            <w:tcW w:w="1440" w:type="dxa"/>
            <w:tcBorders>
              <w:top w:val="nil"/>
              <w:left w:val="nil"/>
              <w:bottom w:val="single" w:sz="4" w:space="0" w:color="BFBFBF"/>
              <w:right w:val="single" w:sz="4" w:space="0" w:color="auto"/>
            </w:tcBorders>
            <w:noWrap/>
            <w:vAlign w:val="center"/>
            <w:hideMark/>
          </w:tcPr>
          <w:p w14:paraId="66449AD5"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10</w:t>
            </w:r>
          </w:p>
        </w:tc>
      </w:tr>
      <w:tr w:rsidR="0023674D" w:rsidRPr="0023674D" w14:paraId="0B174920" w14:textId="77777777" w:rsidTr="0023674D">
        <w:trPr>
          <w:trHeight w:val="402"/>
        </w:trPr>
        <w:tc>
          <w:tcPr>
            <w:tcW w:w="1620" w:type="dxa"/>
            <w:tcBorders>
              <w:top w:val="nil"/>
              <w:left w:val="single" w:sz="4" w:space="0" w:color="auto"/>
              <w:bottom w:val="single" w:sz="4" w:space="0" w:color="BFBFBF"/>
              <w:right w:val="single" w:sz="4" w:space="0" w:color="auto"/>
            </w:tcBorders>
            <w:shd w:val="clear" w:color="000000" w:fill="F2F2F2"/>
            <w:noWrap/>
            <w:vAlign w:val="center"/>
            <w:hideMark/>
          </w:tcPr>
          <w:p w14:paraId="779B8BB6"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65 to 74</w:t>
            </w:r>
          </w:p>
        </w:tc>
        <w:tc>
          <w:tcPr>
            <w:tcW w:w="1575" w:type="dxa"/>
            <w:tcBorders>
              <w:top w:val="nil"/>
              <w:left w:val="nil"/>
              <w:bottom w:val="single" w:sz="4" w:space="0" w:color="BFBFBF"/>
              <w:right w:val="single" w:sz="4" w:space="0" w:color="BFBFBF"/>
            </w:tcBorders>
            <w:shd w:val="clear" w:color="000000" w:fill="F2F2F2"/>
            <w:noWrap/>
            <w:vAlign w:val="center"/>
            <w:hideMark/>
          </w:tcPr>
          <w:p w14:paraId="254BB570"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0.64</w:t>
            </w:r>
          </w:p>
        </w:tc>
        <w:tc>
          <w:tcPr>
            <w:tcW w:w="1575" w:type="dxa"/>
            <w:tcBorders>
              <w:top w:val="nil"/>
              <w:left w:val="nil"/>
              <w:bottom w:val="single" w:sz="4" w:space="0" w:color="BFBFBF"/>
              <w:right w:val="single" w:sz="4" w:space="0" w:color="auto"/>
            </w:tcBorders>
            <w:shd w:val="clear" w:color="000000" w:fill="F2F2F2"/>
            <w:noWrap/>
            <w:vAlign w:val="center"/>
            <w:hideMark/>
          </w:tcPr>
          <w:p w14:paraId="647C47F3"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0.65</w:t>
            </w:r>
          </w:p>
        </w:tc>
        <w:tc>
          <w:tcPr>
            <w:tcW w:w="1575" w:type="dxa"/>
            <w:tcBorders>
              <w:top w:val="nil"/>
              <w:left w:val="nil"/>
              <w:bottom w:val="single" w:sz="4" w:space="0" w:color="BFBFBF"/>
              <w:right w:val="single" w:sz="4" w:space="0" w:color="BFBFBF"/>
            </w:tcBorders>
            <w:shd w:val="clear" w:color="000000" w:fill="F2F2F2"/>
            <w:noWrap/>
            <w:vAlign w:val="center"/>
            <w:hideMark/>
          </w:tcPr>
          <w:p w14:paraId="0EE1334F"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2,910</w:t>
            </w:r>
          </w:p>
        </w:tc>
        <w:tc>
          <w:tcPr>
            <w:tcW w:w="1575" w:type="dxa"/>
            <w:tcBorders>
              <w:top w:val="nil"/>
              <w:left w:val="nil"/>
              <w:bottom w:val="single" w:sz="4" w:space="0" w:color="BFBFBF"/>
              <w:right w:val="single" w:sz="4" w:space="0" w:color="auto"/>
            </w:tcBorders>
            <w:shd w:val="clear" w:color="000000" w:fill="F2F2F2"/>
            <w:noWrap/>
            <w:vAlign w:val="center"/>
            <w:hideMark/>
          </w:tcPr>
          <w:p w14:paraId="707A251A"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2,880</w:t>
            </w:r>
          </w:p>
        </w:tc>
        <w:tc>
          <w:tcPr>
            <w:tcW w:w="1440" w:type="dxa"/>
            <w:tcBorders>
              <w:top w:val="nil"/>
              <w:left w:val="nil"/>
              <w:bottom w:val="single" w:sz="4" w:space="0" w:color="BFBFBF"/>
              <w:right w:val="single" w:sz="4" w:space="0" w:color="auto"/>
            </w:tcBorders>
            <w:shd w:val="clear" w:color="000000" w:fill="F2F2F2"/>
            <w:noWrap/>
            <w:vAlign w:val="center"/>
            <w:hideMark/>
          </w:tcPr>
          <w:p w14:paraId="18EE5A9F"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-30</w:t>
            </w:r>
          </w:p>
        </w:tc>
      </w:tr>
      <w:tr w:rsidR="0023674D" w:rsidRPr="0023674D" w14:paraId="68435B7F" w14:textId="77777777" w:rsidTr="0023674D">
        <w:trPr>
          <w:trHeight w:val="402"/>
        </w:trPr>
        <w:tc>
          <w:tcPr>
            <w:tcW w:w="1620" w:type="dxa"/>
            <w:tcBorders>
              <w:top w:val="nil"/>
              <w:left w:val="single" w:sz="4" w:space="0" w:color="auto"/>
              <w:bottom w:val="single" w:sz="4" w:space="0" w:color="BFBFBF"/>
              <w:right w:val="single" w:sz="4" w:space="0" w:color="auto"/>
            </w:tcBorders>
            <w:noWrap/>
            <w:vAlign w:val="center"/>
            <w:hideMark/>
          </w:tcPr>
          <w:p w14:paraId="175D0F6B"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75 to 84</w:t>
            </w:r>
          </w:p>
        </w:tc>
        <w:tc>
          <w:tcPr>
            <w:tcW w:w="1575" w:type="dxa"/>
            <w:tcBorders>
              <w:top w:val="nil"/>
              <w:left w:val="nil"/>
              <w:bottom w:val="single" w:sz="4" w:space="0" w:color="BFBFBF"/>
              <w:right w:val="single" w:sz="4" w:space="0" w:color="BFBFBF"/>
            </w:tcBorders>
            <w:noWrap/>
            <w:vAlign w:val="center"/>
            <w:hideMark/>
          </w:tcPr>
          <w:p w14:paraId="68253796"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0.61</w:t>
            </w:r>
          </w:p>
        </w:tc>
        <w:tc>
          <w:tcPr>
            <w:tcW w:w="1575" w:type="dxa"/>
            <w:tcBorders>
              <w:top w:val="nil"/>
              <w:left w:val="nil"/>
              <w:bottom w:val="single" w:sz="4" w:space="0" w:color="BFBFBF"/>
              <w:right w:val="single" w:sz="4" w:space="0" w:color="auto"/>
            </w:tcBorders>
            <w:noWrap/>
            <w:vAlign w:val="center"/>
            <w:hideMark/>
          </w:tcPr>
          <w:p w14:paraId="76D26CC6"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0.65</w:t>
            </w:r>
          </w:p>
        </w:tc>
        <w:tc>
          <w:tcPr>
            <w:tcW w:w="1575" w:type="dxa"/>
            <w:tcBorders>
              <w:top w:val="nil"/>
              <w:left w:val="nil"/>
              <w:bottom w:val="single" w:sz="4" w:space="0" w:color="BFBFBF"/>
              <w:right w:val="single" w:sz="4" w:space="0" w:color="BFBFBF"/>
            </w:tcBorders>
            <w:noWrap/>
            <w:vAlign w:val="center"/>
            <w:hideMark/>
          </w:tcPr>
          <w:p w14:paraId="01A3EEBB"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1,610</w:t>
            </w:r>
          </w:p>
        </w:tc>
        <w:tc>
          <w:tcPr>
            <w:tcW w:w="1575" w:type="dxa"/>
            <w:tcBorders>
              <w:top w:val="nil"/>
              <w:left w:val="nil"/>
              <w:bottom w:val="single" w:sz="4" w:space="0" w:color="BFBFBF"/>
              <w:right w:val="single" w:sz="4" w:space="0" w:color="auto"/>
            </w:tcBorders>
            <w:noWrap/>
            <w:vAlign w:val="center"/>
            <w:hideMark/>
          </w:tcPr>
          <w:p w14:paraId="090A26B9"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1,500</w:t>
            </w:r>
          </w:p>
        </w:tc>
        <w:tc>
          <w:tcPr>
            <w:tcW w:w="1440" w:type="dxa"/>
            <w:tcBorders>
              <w:top w:val="nil"/>
              <w:left w:val="nil"/>
              <w:bottom w:val="single" w:sz="4" w:space="0" w:color="BFBFBF"/>
              <w:right w:val="single" w:sz="4" w:space="0" w:color="auto"/>
            </w:tcBorders>
            <w:noWrap/>
            <w:vAlign w:val="center"/>
            <w:hideMark/>
          </w:tcPr>
          <w:p w14:paraId="657C2FD1"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-110</w:t>
            </w:r>
          </w:p>
        </w:tc>
      </w:tr>
      <w:tr w:rsidR="0023674D" w:rsidRPr="0023674D" w14:paraId="63F992F0" w14:textId="77777777" w:rsidTr="0023674D">
        <w:trPr>
          <w:trHeight w:val="402"/>
        </w:trPr>
        <w:tc>
          <w:tcPr>
            <w:tcW w:w="1620" w:type="dxa"/>
            <w:tcBorders>
              <w:top w:val="nil"/>
              <w:left w:val="single" w:sz="4" w:space="0" w:color="auto"/>
              <w:bottom w:val="single" w:sz="4" w:space="0" w:color="auto"/>
              <w:right w:val="single" w:sz="4" w:space="0" w:color="auto"/>
            </w:tcBorders>
            <w:shd w:val="clear" w:color="000000" w:fill="F2F2F2"/>
            <w:noWrap/>
            <w:vAlign w:val="center"/>
            <w:hideMark/>
          </w:tcPr>
          <w:p w14:paraId="7B1A1550" w14:textId="77777777" w:rsidR="0023674D" w:rsidRPr="0023674D" w:rsidRDefault="0023674D" w:rsidP="0023674D">
            <w:pPr>
              <w:rPr>
                <w:rFonts w:eastAsia="Times New Roman"/>
                <w:color w:val="0D0D0D"/>
                <w:sz w:val="18"/>
                <w:szCs w:val="18"/>
              </w:rPr>
            </w:pPr>
            <w:r w:rsidRPr="0023674D">
              <w:rPr>
                <w:rFonts w:eastAsia="Times New Roman"/>
                <w:color w:val="0D0D0D"/>
                <w:sz w:val="18"/>
                <w:szCs w:val="18"/>
              </w:rPr>
              <w:t>85+</w:t>
            </w:r>
          </w:p>
        </w:tc>
        <w:tc>
          <w:tcPr>
            <w:tcW w:w="1575" w:type="dxa"/>
            <w:tcBorders>
              <w:top w:val="nil"/>
              <w:left w:val="nil"/>
              <w:bottom w:val="single" w:sz="4" w:space="0" w:color="auto"/>
              <w:right w:val="single" w:sz="4" w:space="0" w:color="BFBFBF"/>
            </w:tcBorders>
            <w:shd w:val="clear" w:color="000000" w:fill="F2F2F2"/>
            <w:noWrap/>
            <w:vAlign w:val="center"/>
            <w:hideMark/>
          </w:tcPr>
          <w:p w14:paraId="32B099C5"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0.55</w:t>
            </w:r>
          </w:p>
        </w:tc>
        <w:tc>
          <w:tcPr>
            <w:tcW w:w="1575" w:type="dxa"/>
            <w:tcBorders>
              <w:top w:val="nil"/>
              <w:left w:val="nil"/>
              <w:bottom w:val="single" w:sz="4" w:space="0" w:color="auto"/>
              <w:right w:val="single" w:sz="4" w:space="0" w:color="auto"/>
            </w:tcBorders>
            <w:shd w:val="clear" w:color="000000" w:fill="F2F2F2"/>
            <w:noWrap/>
            <w:vAlign w:val="center"/>
            <w:hideMark/>
          </w:tcPr>
          <w:p w14:paraId="3C07F036"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0.42</w:t>
            </w:r>
          </w:p>
        </w:tc>
        <w:tc>
          <w:tcPr>
            <w:tcW w:w="1575" w:type="dxa"/>
            <w:tcBorders>
              <w:top w:val="nil"/>
              <w:left w:val="nil"/>
              <w:bottom w:val="single" w:sz="4" w:space="0" w:color="auto"/>
              <w:right w:val="single" w:sz="4" w:space="0" w:color="BFBFBF"/>
            </w:tcBorders>
            <w:shd w:val="clear" w:color="000000" w:fill="F2F2F2"/>
            <w:noWrap/>
            <w:vAlign w:val="center"/>
            <w:hideMark/>
          </w:tcPr>
          <w:p w14:paraId="179712B3"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510</w:t>
            </w:r>
          </w:p>
        </w:tc>
        <w:tc>
          <w:tcPr>
            <w:tcW w:w="1575" w:type="dxa"/>
            <w:tcBorders>
              <w:top w:val="nil"/>
              <w:left w:val="nil"/>
              <w:bottom w:val="single" w:sz="4" w:space="0" w:color="auto"/>
              <w:right w:val="single" w:sz="4" w:space="0" w:color="auto"/>
            </w:tcBorders>
            <w:shd w:val="clear" w:color="000000" w:fill="F2F2F2"/>
            <w:noWrap/>
            <w:vAlign w:val="center"/>
            <w:hideMark/>
          </w:tcPr>
          <w:p w14:paraId="19B510A8"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665</w:t>
            </w:r>
          </w:p>
        </w:tc>
        <w:tc>
          <w:tcPr>
            <w:tcW w:w="1440" w:type="dxa"/>
            <w:tcBorders>
              <w:top w:val="nil"/>
              <w:left w:val="nil"/>
              <w:bottom w:val="single" w:sz="4" w:space="0" w:color="auto"/>
              <w:right w:val="single" w:sz="4" w:space="0" w:color="auto"/>
            </w:tcBorders>
            <w:shd w:val="clear" w:color="000000" w:fill="F2F2F2"/>
            <w:noWrap/>
            <w:vAlign w:val="center"/>
            <w:hideMark/>
          </w:tcPr>
          <w:p w14:paraId="524CB647" w14:textId="77777777" w:rsidR="0023674D" w:rsidRPr="00C42568" w:rsidRDefault="0023674D" w:rsidP="0023674D">
            <w:pPr>
              <w:jc w:val="right"/>
              <w:rPr>
                <w:rFonts w:eastAsia="Times New Roman"/>
                <w:color w:val="C00000"/>
                <w:sz w:val="18"/>
                <w:szCs w:val="18"/>
              </w:rPr>
            </w:pPr>
            <w:r w:rsidRPr="00C42568">
              <w:rPr>
                <w:rFonts w:eastAsia="Times New Roman"/>
                <w:color w:val="C00000"/>
                <w:sz w:val="18"/>
                <w:szCs w:val="18"/>
              </w:rPr>
              <w:t>155</w:t>
            </w:r>
          </w:p>
        </w:tc>
      </w:tr>
    </w:tbl>
    <w:p w14:paraId="5909DF6F" w14:textId="237B9752" w:rsidR="00884904" w:rsidRDefault="00903FA3" w:rsidP="00903FA3">
      <w:pPr>
        <w:pStyle w:val="Source"/>
      </w:pPr>
      <w:r>
        <w:t>Source: Statistics Canada 2016 Census Profile and 2021 Census Profile</w:t>
      </w:r>
    </w:p>
    <w:p w14:paraId="7D4BFA09" w14:textId="77777777" w:rsidR="000B0E4E" w:rsidRDefault="000B0E4E" w:rsidP="000B0E4E"/>
    <w:p w14:paraId="3AC85B6D" w14:textId="1F4105C9" w:rsidR="00BF6E96" w:rsidRDefault="00BF6E96" w:rsidP="00BF6E96">
      <w:pPr>
        <w:jc w:val="both"/>
      </w:pPr>
      <w:r>
        <w:t>Positive suppression values indicate that fewer households formed than expected, meaning individuals in those groups are more likely to be living in shared or inadequate arrangements rather than maintaining independent dwellings. Where positive values are concentrated in the 25-to-34 age group, this typically signals affordability-driven constraint</w:t>
      </w:r>
      <w:r w:rsidR="00743800">
        <w:t>s</w:t>
      </w:r>
      <w:r>
        <w:t>: young adults remaining in parental homes or shared accommodation because they cannot access rental or ownership housing independently. Positive values among older cohorts may reflect seniors being absorbed into multigenerational households due to health or financial circumstances.</w:t>
      </w:r>
    </w:p>
    <w:p w14:paraId="55B26222" w14:textId="77777777" w:rsidR="00BF6E96" w:rsidRDefault="00BF6E96" w:rsidP="00BF6E96">
      <w:pPr>
        <w:jc w:val="both"/>
      </w:pPr>
    </w:p>
    <w:p w14:paraId="770F06CA" w14:textId="77777777" w:rsidR="00CE6A7F" w:rsidRDefault="00BF6E96" w:rsidP="00CE6A7F">
      <w:pPr>
        <w:jc w:val="both"/>
      </w:pPr>
      <w:r>
        <w:t>Negative values indicate that more households formed than historical headship rates would predict, suggesting improved capacity in those age groups to rent or purchase a home independently. The overall pattern across age groups helps identify where the housing market is serving residents well and where it is falling short. Groups with the largest positive suppression values represent the most direct evidence of latent, unmet housing demand.</w:t>
      </w:r>
      <w:bookmarkStart w:id="24" w:name="_Toc223686638"/>
    </w:p>
    <w:p w14:paraId="7DD43FD6" w14:textId="77777777" w:rsidR="00E85734" w:rsidRDefault="00E85734" w:rsidP="00CE6A7F">
      <w:pPr>
        <w:jc w:val="both"/>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3E3A8C" w:rsidRPr="00500457" w14:paraId="464CD1F6" w14:textId="77777777" w:rsidTr="009A4107">
        <w:trPr>
          <w:trHeight w:val="360"/>
        </w:trPr>
        <w:tc>
          <w:tcPr>
            <w:tcW w:w="1345" w:type="dxa"/>
            <w:shd w:val="clear" w:color="auto" w:fill="5F2ADF" w:themeFill="accent4" w:themeFillTint="80"/>
            <w:vAlign w:val="center"/>
          </w:tcPr>
          <w:p w14:paraId="026F8342" w14:textId="11260A0E" w:rsidR="003E3A8C" w:rsidRPr="003A2EA5" w:rsidRDefault="00CC38DC" w:rsidP="009A4107">
            <w:pPr>
              <w:rPr>
                <w:color w:val="FFFFFF" w:themeColor="background1"/>
                <w:sz w:val="20"/>
                <w:szCs w:val="20"/>
              </w:rPr>
            </w:pPr>
            <w:r>
              <w:rPr>
                <w:color w:val="FFFFFF" w:themeColor="background1"/>
                <w:sz w:val="20"/>
                <w:szCs w:val="20"/>
              </w:rPr>
              <w:lastRenderedPageBreak/>
              <w:t>Question</w:t>
            </w:r>
          </w:p>
        </w:tc>
        <w:tc>
          <w:tcPr>
            <w:tcW w:w="8005" w:type="dxa"/>
            <w:shd w:val="clear" w:color="auto" w:fill="5F2ADF" w:themeFill="accent4" w:themeFillTint="80"/>
            <w:vAlign w:val="center"/>
          </w:tcPr>
          <w:p w14:paraId="0B0B29BC" w14:textId="77777777" w:rsidR="003E3A8C" w:rsidRPr="003A2EA5" w:rsidRDefault="003E3A8C"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3E3A8C" w:rsidRPr="00500457" w14:paraId="3EA31521" w14:textId="77777777" w:rsidTr="009A4107">
        <w:trPr>
          <w:trHeight w:val="3383"/>
        </w:trPr>
        <w:tc>
          <w:tcPr>
            <w:tcW w:w="1345" w:type="dxa"/>
            <w:shd w:val="clear" w:color="auto" w:fill="DED3F8" w:themeFill="accent4" w:themeFillTint="1A"/>
            <w:vAlign w:val="center"/>
          </w:tcPr>
          <w:p w14:paraId="0C1FB1D6" w14:textId="77777777" w:rsidR="003E3A8C" w:rsidRPr="00500457" w:rsidRDefault="003E3A8C" w:rsidP="009A4107">
            <w:pPr>
              <w:rPr>
                <w:sz w:val="20"/>
                <w:szCs w:val="20"/>
              </w:rPr>
            </w:pPr>
            <w:r>
              <w:rPr>
                <w:sz w:val="20"/>
                <w:szCs w:val="20"/>
              </w:rPr>
              <w:t>3.3</w:t>
            </w:r>
          </w:p>
        </w:tc>
        <w:tc>
          <w:tcPr>
            <w:tcW w:w="8005" w:type="dxa"/>
            <w:shd w:val="clear" w:color="auto" w:fill="DED3F8" w:themeFill="accent4" w:themeFillTint="1A"/>
            <w:vAlign w:val="center"/>
          </w:tcPr>
          <w:p w14:paraId="36F62361" w14:textId="77777777" w:rsidR="003E3A8C" w:rsidRPr="005F2087" w:rsidRDefault="003E3A8C" w:rsidP="009A4107">
            <w:pPr>
              <w:rPr>
                <w:sz w:val="20"/>
                <w:szCs w:val="20"/>
              </w:rPr>
            </w:pPr>
            <w:r w:rsidRPr="005F2087">
              <w:rPr>
                <w:sz w:val="20"/>
                <w:szCs w:val="20"/>
              </w:rPr>
              <w:t xml:space="preserve">Suppression of household formation and housing demand can both indicate strained local housing market conditions. Please provide any data or information that speaks to how suppression of the formation of new households and suppression of housing demand has impacted your community, or territory and its communities since 2016, and how projected formation patterns are expected to be impacted over the next 5 to 10 years. </w:t>
            </w:r>
          </w:p>
          <w:p w14:paraId="1BB80267" w14:textId="77777777" w:rsidR="003E3A8C" w:rsidRPr="005F2087" w:rsidRDefault="003E3A8C" w:rsidP="009A4107">
            <w:pPr>
              <w:rPr>
                <w:sz w:val="20"/>
                <w:szCs w:val="20"/>
              </w:rPr>
            </w:pPr>
          </w:p>
          <w:p w14:paraId="7D40EBCD" w14:textId="77777777" w:rsidR="003E3A8C" w:rsidRPr="00500457" w:rsidRDefault="003E3A8C" w:rsidP="009A4107">
            <w:pPr>
              <w:rPr>
                <w:sz w:val="20"/>
                <w:szCs w:val="20"/>
              </w:rPr>
            </w:pPr>
            <w:r w:rsidRPr="005F2087">
              <w:rPr>
                <w:sz w:val="20"/>
                <w:szCs w:val="20"/>
              </w:rPr>
              <w:t>Please also account for household formation occurring due to relocation from communities where household formation is not possible due to lack of available, affordable, adequate, or suitable housing (such as in isolated communities or on reserves), and discuss how this may be affecting household formation and affordability in the communities they relocate to. Indicate methods used to determine expected household formation, such as calculating headship rates broken down by specific age estimate impacts.</w:t>
            </w:r>
          </w:p>
        </w:tc>
      </w:tr>
    </w:tbl>
    <w:p w14:paraId="335FEF63" w14:textId="77777777" w:rsidR="003E3A8C" w:rsidRDefault="003E3A8C" w:rsidP="00CE6A7F">
      <w:pPr>
        <w:jc w:val="both"/>
      </w:pPr>
    </w:p>
    <w:p w14:paraId="0281AB51" w14:textId="715222D4" w:rsidR="00CE6A7F" w:rsidRPr="00CE6A7F" w:rsidRDefault="00CE6A7F" w:rsidP="00CE6A7F">
      <w:pPr>
        <w:jc w:val="both"/>
      </w:pPr>
      <w:r>
        <w:br w:type="page"/>
      </w:r>
    </w:p>
    <w:p w14:paraId="255CDC2D" w14:textId="5651283E" w:rsidR="004608FD" w:rsidRDefault="00DA6D26" w:rsidP="006924BE">
      <w:pPr>
        <w:pStyle w:val="Heading1"/>
      </w:pPr>
      <w:bookmarkStart w:id="25" w:name="_Toc237355936"/>
      <w:r>
        <w:lastRenderedPageBreak/>
        <w:t>ECONOM</w:t>
      </w:r>
      <w:r w:rsidR="006924BE">
        <w:t>IC PROFILE</w:t>
      </w:r>
      <w:bookmarkEnd w:id="24"/>
      <w:bookmarkEnd w:id="25"/>
    </w:p>
    <w:p w14:paraId="5F652B9E" w14:textId="77777777" w:rsidR="00022B3E" w:rsidRDefault="00022B3E" w:rsidP="0017568B">
      <w:pPr>
        <w:jc w:val="both"/>
      </w:pPr>
    </w:p>
    <w:p w14:paraId="6A5C83E2" w14:textId="61F4A30F" w:rsidR="0017568B" w:rsidRDefault="00547336" w:rsidP="0017568B">
      <w:pPr>
        <w:jc w:val="both"/>
      </w:pPr>
      <w:r w:rsidRPr="00547336">
        <w:t xml:space="preserve">Housing affordability is ultimately a relationship between earnings and housing costs. This section provides context for the earnings side of that equation. A community dominated by seasonal, casual, or minimum-wage </w:t>
      </w:r>
      <w:r>
        <w:t>industries</w:t>
      </w:r>
      <w:r w:rsidRPr="00547336">
        <w:t xml:space="preserve"> faces structurally different housing challenges than one with a diverse, well-paying industrial base.</w:t>
      </w:r>
      <w:r w:rsidR="00B30E14" w:rsidRPr="00B30E14">
        <w:t xml:space="preserve"> </w:t>
      </w:r>
      <w:r w:rsidR="00B30E14">
        <w:t>Where possible, comparisons are made between the local community and the county / region and province said community belongs to.</w:t>
      </w:r>
    </w:p>
    <w:p w14:paraId="2C28DFFC" w14:textId="77777777" w:rsidR="00A93997" w:rsidRDefault="00A93997" w:rsidP="0017568B">
      <w:pPr>
        <w:jc w:val="both"/>
      </w:pPr>
    </w:p>
    <w:p w14:paraId="2AE1642F" w14:textId="75B92F4B" w:rsidR="0009165A" w:rsidRDefault="0009165A" w:rsidP="00E920CE">
      <w:pPr>
        <w:pStyle w:val="Heading2"/>
      </w:pPr>
      <w:bookmarkStart w:id="26" w:name="_Toc223686639"/>
      <w:bookmarkStart w:id="27" w:name="_Toc237355937"/>
      <w:r>
        <w:t>ECONOMY</w:t>
      </w:r>
      <w:bookmarkEnd w:id="26"/>
      <w:bookmarkEnd w:id="27"/>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1E2B74" w:rsidRPr="00500457" w14:paraId="3ED7F64D" w14:textId="77777777" w:rsidTr="009A4107">
        <w:trPr>
          <w:trHeight w:val="360"/>
        </w:trPr>
        <w:tc>
          <w:tcPr>
            <w:tcW w:w="1345" w:type="dxa"/>
            <w:shd w:val="clear" w:color="auto" w:fill="5F2ADF" w:themeFill="accent4" w:themeFillTint="80"/>
            <w:vAlign w:val="center"/>
          </w:tcPr>
          <w:p w14:paraId="08C24097" w14:textId="25496DA2" w:rsidR="001E2B74"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1F349229" w14:textId="77777777" w:rsidR="001E2B74" w:rsidRPr="003A2EA5" w:rsidRDefault="001E2B74"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1E2B74" w:rsidRPr="00500457" w14:paraId="399039F5" w14:textId="77777777" w:rsidTr="001E2B74">
        <w:trPr>
          <w:trHeight w:val="1007"/>
        </w:trPr>
        <w:tc>
          <w:tcPr>
            <w:tcW w:w="1345" w:type="dxa"/>
            <w:shd w:val="clear" w:color="auto" w:fill="DED3F8" w:themeFill="accent4" w:themeFillTint="1A"/>
            <w:vAlign w:val="center"/>
          </w:tcPr>
          <w:p w14:paraId="7E10C5C8" w14:textId="7645DC8C" w:rsidR="001E2B74" w:rsidRPr="00500457" w:rsidRDefault="001E2B74" w:rsidP="009A4107">
            <w:pPr>
              <w:rPr>
                <w:sz w:val="20"/>
                <w:szCs w:val="20"/>
              </w:rPr>
            </w:pPr>
            <w:r>
              <w:rPr>
                <w:sz w:val="20"/>
                <w:szCs w:val="20"/>
              </w:rPr>
              <w:t>3.5</w:t>
            </w:r>
          </w:p>
        </w:tc>
        <w:tc>
          <w:tcPr>
            <w:tcW w:w="8005" w:type="dxa"/>
            <w:shd w:val="clear" w:color="auto" w:fill="DED3F8" w:themeFill="accent4" w:themeFillTint="1A"/>
            <w:vAlign w:val="center"/>
          </w:tcPr>
          <w:p w14:paraId="112AFF48" w14:textId="0CA36234" w:rsidR="001E2B74" w:rsidRPr="00500457" w:rsidRDefault="001E2B74" w:rsidP="009A4107">
            <w:pPr>
              <w:rPr>
                <w:sz w:val="20"/>
                <w:szCs w:val="20"/>
              </w:rPr>
            </w:pPr>
            <w:r w:rsidRPr="001E2B74">
              <w:rPr>
                <w:sz w:val="20"/>
                <w:szCs w:val="20"/>
              </w:rPr>
              <w:t>How have labour conditions (e.g., prevalence of precarious employment, temporary or seasonal workforces, reliance on sectors such as natural resources, tourism, etc.) impacted housing supply and demand in your territory and its communities?</w:t>
            </w:r>
          </w:p>
        </w:tc>
      </w:tr>
      <w:tr w:rsidR="001E2B74" w:rsidRPr="00500457" w14:paraId="1201E2C5" w14:textId="77777777" w:rsidTr="001E2B74">
        <w:trPr>
          <w:trHeight w:val="728"/>
        </w:trPr>
        <w:tc>
          <w:tcPr>
            <w:tcW w:w="1345" w:type="dxa"/>
            <w:shd w:val="clear" w:color="auto" w:fill="DED3F8" w:themeFill="accent4" w:themeFillTint="1A"/>
            <w:vAlign w:val="center"/>
          </w:tcPr>
          <w:p w14:paraId="72D1B8DC" w14:textId="540FCF2C" w:rsidR="001E2B74" w:rsidRDefault="001E2B74" w:rsidP="009A4107">
            <w:pPr>
              <w:rPr>
                <w:sz w:val="20"/>
                <w:szCs w:val="20"/>
              </w:rPr>
            </w:pPr>
            <w:r>
              <w:rPr>
                <w:sz w:val="20"/>
                <w:szCs w:val="20"/>
              </w:rPr>
              <w:t>3.7</w:t>
            </w:r>
          </w:p>
        </w:tc>
        <w:tc>
          <w:tcPr>
            <w:tcW w:w="8005" w:type="dxa"/>
            <w:shd w:val="clear" w:color="auto" w:fill="DED3F8" w:themeFill="accent4" w:themeFillTint="1A"/>
            <w:vAlign w:val="center"/>
          </w:tcPr>
          <w:p w14:paraId="72ADD644" w14:textId="57C0B040" w:rsidR="001E2B74" w:rsidRPr="001E2B74" w:rsidRDefault="001E2B74" w:rsidP="009A4107">
            <w:pPr>
              <w:rPr>
                <w:sz w:val="20"/>
                <w:szCs w:val="20"/>
              </w:rPr>
            </w:pPr>
            <w:r w:rsidRPr="001E2B74">
              <w:rPr>
                <w:sz w:val="20"/>
                <w:szCs w:val="20"/>
              </w:rPr>
              <w:t>Please provide any other available data or information that may further expand on, illustrate or contextualize the data provided.</w:t>
            </w:r>
          </w:p>
        </w:tc>
      </w:tr>
    </w:tbl>
    <w:p w14:paraId="24085A6A" w14:textId="77777777" w:rsidR="001E2B74" w:rsidRDefault="001E2B74" w:rsidP="001E2B74"/>
    <w:p w14:paraId="3850559B" w14:textId="4E7B96D7" w:rsidR="00A93997" w:rsidRDefault="00871033" w:rsidP="00871033">
      <w:pPr>
        <w:pStyle w:val="Heading3"/>
      </w:pPr>
      <w:r>
        <w:t>Labour Force Statistics</w:t>
      </w:r>
    </w:p>
    <w:p w14:paraId="7C574532" w14:textId="3C57DB57" w:rsidR="00946F15" w:rsidRDefault="00A846F3" w:rsidP="00C04B48">
      <w:pPr>
        <w:jc w:val="both"/>
      </w:pPr>
      <w:r w:rsidRPr="00A846F3">
        <w:rPr>
          <w:rStyle w:val="Figure-textChar"/>
        </w:rPr>
        <w:fldChar w:fldCharType="begin"/>
      </w:r>
      <w:r w:rsidRPr="00A846F3">
        <w:rPr>
          <w:rStyle w:val="Figure-textChar"/>
        </w:rPr>
        <w:instrText xml:space="preserve"> REF _Ref223274752 \h </w:instrText>
      </w:r>
      <w:r>
        <w:rPr>
          <w:rStyle w:val="Figure-textChar"/>
        </w:rPr>
        <w:instrText xml:space="preserve"> \* MERGEFORMAT </w:instrText>
      </w:r>
      <w:r w:rsidRPr="00A846F3">
        <w:rPr>
          <w:rStyle w:val="Figure-textChar"/>
        </w:rPr>
      </w:r>
      <w:r w:rsidRPr="00A846F3">
        <w:rPr>
          <w:rStyle w:val="Figure-textChar"/>
        </w:rPr>
        <w:fldChar w:fldCharType="separate"/>
      </w:r>
      <w:r w:rsidR="00CA6116" w:rsidRPr="00CA6116">
        <w:rPr>
          <w:rStyle w:val="Figure-textChar"/>
        </w:rPr>
        <w:t>Table 5.1</w:t>
      </w:r>
      <w:r w:rsidRPr="00A846F3">
        <w:rPr>
          <w:rStyle w:val="Figure-textChar"/>
        </w:rPr>
        <w:fldChar w:fldCharType="end"/>
      </w:r>
      <w:r w:rsidR="00C04B48" w:rsidRPr="00C04B48">
        <w:t xml:space="preserve"> </w:t>
      </w:r>
      <w:r w:rsidR="00461F01" w:rsidRPr="00461F01">
        <w:t xml:space="preserve">presents key labour force participation, employment, and unemployment metrics for the local community relative to regional and provincial comparators, establishing the economic context within which housing affordability </w:t>
      </w:r>
      <w:r w:rsidR="00461F01">
        <w:t>can be better</w:t>
      </w:r>
      <w:r w:rsidR="00461F01" w:rsidRPr="00461F01">
        <w:t xml:space="preserve"> understood.</w:t>
      </w:r>
    </w:p>
    <w:p w14:paraId="507DDB84" w14:textId="77777777" w:rsidR="00C04B48" w:rsidRDefault="00C04B48" w:rsidP="00946F15"/>
    <w:p w14:paraId="72EBB1B6" w14:textId="19AB8449" w:rsidR="007E4680" w:rsidRDefault="007E4680" w:rsidP="007E4680">
      <w:pPr>
        <w:pStyle w:val="Caption"/>
      </w:pPr>
      <w:bookmarkStart w:id="28" w:name="_Ref223274752"/>
      <w:r>
        <w:t xml:space="preserve">Table </w:t>
      </w:r>
      <w:fldSimple w:instr=" STYLEREF 1 \s ">
        <w:r w:rsidR="005E459C">
          <w:rPr>
            <w:noProof/>
          </w:rPr>
          <w:t>5</w:t>
        </w:r>
      </w:fldSimple>
      <w:r w:rsidR="00BD4359">
        <w:t>.</w:t>
      </w:r>
      <w:fldSimple w:instr=" SEQ Table \* ARABIC \s 1 ">
        <w:r w:rsidR="005E459C">
          <w:rPr>
            <w:noProof/>
          </w:rPr>
          <w:t>1</w:t>
        </w:r>
      </w:fldSimple>
      <w:bookmarkEnd w:id="28"/>
      <w:r>
        <w:t>: Labour force metrics by geography, 2021</w:t>
      </w:r>
    </w:p>
    <w:tbl>
      <w:tblPr>
        <w:tblW w:w="9355" w:type="dxa"/>
        <w:tblLayout w:type="fixed"/>
        <w:tblLook w:val="04A0" w:firstRow="1" w:lastRow="0" w:firstColumn="1" w:lastColumn="0" w:noHBand="0" w:noVBand="1"/>
      </w:tblPr>
      <w:tblGrid>
        <w:gridCol w:w="3685"/>
        <w:gridCol w:w="1890"/>
        <w:gridCol w:w="1890"/>
        <w:gridCol w:w="1890"/>
      </w:tblGrid>
      <w:tr w:rsidR="00A02EE9" w:rsidRPr="00A02EE9" w14:paraId="68DA9209" w14:textId="77777777" w:rsidTr="003C59F9">
        <w:trPr>
          <w:trHeight w:val="402"/>
        </w:trPr>
        <w:tc>
          <w:tcPr>
            <w:tcW w:w="368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45414226" w14:textId="77777777" w:rsidR="00A02EE9" w:rsidRPr="00A02EE9" w:rsidRDefault="00A02EE9" w:rsidP="0008487E">
            <w:pPr>
              <w:rPr>
                <w:rFonts w:eastAsia="Times New Roman"/>
                <w:color w:val="FFFFFF"/>
                <w:sz w:val="18"/>
                <w:szCs w:val="18"/>
              </w:rPr>
            </w:pPr>
            <w:r w:rsidRPr="00A02EE9">
              <w:rPr>
                <w:rFonts w:eastAsia="Times New Roman"/>
                <w:color w:val="FFFFFF"/>
                <w:sz w:val="18"/>
                <w:szCs w:val="18"/>
              </w:rPr>
              <w:t>Labour force metric</w:t>
            </w:r>
          </w:p>
        </w:tc>
        <w:tc>
          <w:tcPr>
            <w:tcW w:w="189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393924E" w14:textId="77777777" w:rsidR="00A02EE9" w:rsidRPr="00A02EE9" w:rsidRDefault="00A02EE9" w:rsidP="0008487E">
            <w:pPr>
              <w:jc w:val="right"/>
              <w:rPr>
                <w:rFonts w:eastAsia="Times New Roman"/>
                <w:color w:val="FFFFFF"/>
                <w:sz w:val="18"/>
                <w:szCs w:val="18"/>
              </w:rPr>
            </w:pPr>
            <w:r w:rsidRPr="00A02EE9">
              <w:rPr>
                <w:rFonts w:eastAsia="Times New Roman"/>
                <w:color w:val="FFFFFF"/>
                <w:sz w:val="18"/>
                <w:szCs w:val="18"/>
              </w:rPr>
              <w:t>Local</w:t>
            </w:r>
          </w:p>
        </w:tc>
        <w:tc>
          <w:tcPr>
            <w:tcW w:w="189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F60A6C1" w14:textId="77777777" w:rsidR="00A02EE9" w:rsidRPr="00A02EE9" w:rsidRDefault="00A02EE9" w:rsidP="0008487E">
            <w:pPr>
              <w:jc w:val="right"/>
              <w:rPr>
                <w:rFonts w:eastAsia="Times New Roman"/>
                <w:color w:val="FFFFFF"/>
                <w:sz w:val="18"/>
                <w:szCs w:val="18"/>
              </w:rPr>
            </w:pPr>
            <w:r w:rsidRPr="00A02EE9">
              <w:rPr>
                <w:rFonts w:eastAsia="Times New Roman"/>
                <w:color w:val="FFFFFF"/>
                <w:sz w:val="18"/>
                <w:szCs w:val="18"/>
              </w:rPr>
              <w:t>Region</w:t>
            </w:r>
          </w:p>
        </w:tc>
        <w:tc>
          <w:tcPr>
            <w:tcW w:w="189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9EA3406" w14:textId="77777777" w:rsidR="00A02EE9" w:rsidRPr="00A02EE9" w:rsidRDefault="00A02EE9" w:rsidP="0008487E">
            <w:pPr>
              <w:jc w:val="right"/>
              <w:rPr>
                <w:rFonts w:eastAsia="Times New Roman"/>
                <w:color w:val="FFFFFF"/>
                <w:sz w:val="18"/>
                <w:szCs w:val="18"/>
              </w:rPr>
            </w:pPr>
            <w:r w:rsidRPr="00A02EE9">
              <w:rPr>
                <w:rFonts w:eastAsia="Times New Roman"/>
                <w:color w:val="FFFFFF"/>
                <w:sz w:val="18"/>
                <w:szCs w:val="18"/>
              </w:rPr>
              <w:t>Province</w:t>
            </w:r>
          </w:p>
        </w:tc>
      </w:tr>
      <w:tr w:rsidR="00A02EE9" w:rsidRPr="00A02EE9" w14:paraId="60C0C016" w14:textId="77777777" w:rsidTr="0008487E">
        <w:trPr>
          <w:trHeight w:val="402"/>
        </w:trPr>
        <w:tc>
          <w:tcPr>
            <w:tcW w:w="3685"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24214487" w14:textId="77777777" w:rsidR="00A02EE9" w:rsidRPr="00A02EE9" w:rsidRDefault="00A02EE9" w:rsidP="0008487E">
            <w:pPr>
              <w:rPr>
                <w:rFonts w:eastAsia="Times New Roman"/>
                <w:color w:val="0D0D0D"/>
                <w:sz w:val="18"/>
                <w:szCs w:val="18"/>
              </w:rPr>
            </w:pPr>
            <w:r w:rsidRPr="00A02EE9">
              <w:rPr>
                <w:rFonts w:eastAsia="Times New Roman"/>
                <w:color w:val="0D0D0D"/>
                <w:sz w:val="18"/>
                <w:szCs w:val="18"/>
              </w:rPr>
              <w:t>Participation rate</w:t>
            </w:r>
          </w:p>
        </w:tc>
        <w:tc>
          <w:tcPr>
            <w:tcW w:w="1890" w:type="dxa"/>
            <w:tcBorders>
              <w:top w:val="nil"/>
              <w:left w:val="nil"/>
              <w:bottom w:val="single" w:sz="4" w:space="0" w:color="BFBFBF"/>
              <w:right w:val="single" w:sz="4" w:space="0" w:color="BFBFBF"/>
            </w:tcBorders>
            <w:shd w:val="clear" w:color="000000" w:fill="F2F2F2"/>
            <w:noWrap/>
            <w:vAlign w:val="center"/>
            <w:hideMark/>
          </w:tcPr>
          <w:p w14:paraId="2B4EC00B"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65.2%</w:t>
            </w:r>
          </w:p>
        </w:tc>
        <w:tc>
          <w:tcPr>
            <w:tcW w:w="1890" w:type="dxa"/>
            <w:tcBorders>
              <w:top w:val="nil"/>
              <w:left w:val="nil"/>
              <w:bottom w:val="single" w:sz="4" w:space="0" w:color="BFBFBF"/>
              <w:right w:val="single" w:sz="4" w:space="0" w:color="BFBFBF"/>
            </w:tcBorders>
            <w:shd w:val="clear" w:color="000000" w:fill="F2F2F2"/>
            <w:noWrap/>
            <w:vAlign w:val="center"/>
            <w:hideMark/>
          </w:tcPr>
          <w:p w14:paraId="072A270A"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67.0%</w:t>
            </w:r>
          </w:p>
        </w:tc>
        <w:tc>
          <w:tcPr>
            <w:tcW w:w="1890" w:type="dxa"/>
            <w:tcBorders>
              <w:top w:val="nil"/>
              <w:left w:val="nil"/>
              <w:bottom w:val="single" w:sz="4" w:space="0" w:color="BFBFBF"/>
              <w:right w:val="single" w:sz="4" w:space="0" w:color="auto"/>
            </w:tcBorders>
            <w:shd w:val="clear" w:color="000000" w:fill="F2F2F2"/>
            <w:noWrap/>
            <w:vAlign w:val="center"/>
            <w:hideMark/>
          </w:tcPr>
          <w:p w14:paraId="77285138"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65.8%</w:t>
            </w:r>
          </w:p>
        </w:tc>
      </w:tr>
      <w:tr w:rsidR="00A02EE9" w:rsidRPr="00A02EE9" w14:paraId="2B178D28" w14:textId="77777777" w:rsidTr="0008487E">
        <w:trPr>
          <w:trHeight w:val="402"/>
        </w:trPr>
        <w:tc>
          <w:tcPr>
            <w:tcW w:w="3685" w:type="dxa"/>
            <w:tcBorders>
              <w:top w:val="single" w:sz="4" w:space="0" w:color="BFBFBF"/>
              <w:left w:val="single" w:sz="4" w:space="0" w:color="auto"/>
              <w:bottom w:val="single" w:sz="4" w:space="0" w:color="BFBFBF"/>
              <w:right w:val="single" w:sz="4" w:space="0" w:color="000000"/>
            </w:tcBorders>
            <w:noWrap/>
            <w:vAlign w:val="center"/>
            <w:hideMark/>
          </w:tcPr>
          <w:p w14:paraId="5D95F7D0" w14:textId="77777777" w:rsidR="00A02EE9" w:rsidRPr="00A02EE9" w:rsidRDefault="00A02EE9" w:rsidP="0008487E">
            <w:pPr>
              <w:rPr>
                <w:rFonts w:eastAsia="Times New Roman"/>
                <w:color w:val="0D0D0D"/>
                <w:sz w:val="18"/>
                <w:szCs w:val="18"/>
              </w:rPr>
            </w:pPr>
            <w:r w:rsidRPr="00A02EE9">
              <w:rPr>
                <w:rFonts w:eastAsia="Times New Roman"/>
                <w:color w:val="0D0D0D"/>
                <w:sz w:val="18"/>
                <w:szCs w:val="18"/>
              </w:rPr>
              <w:t>Employment rate</w:t>
            </w:r>
          </w:p>
        </w:tc>
        <w:tc>
          <w:tcPr>
            <w:tcW w:w="1890" w:type="dxa"/>
            <w:tcBorders>
              <w:top w:val="nil"/>
              <w:left w:val="nil"/>
              <w:bottom w:val="single" w:sz="4" w:space="0" w:color="BFBFBF"/>
              <w:right w:val="single" w:sz="4" w:space="0" w:color="BFBFBF"/>
            </w:tcBorders>
            <w:noWrap/>
            <w:vAlign w:val="center"/>
            <w:hideMark/>
          </w:tcPr>
          <w:p w14:paraId="5D50CF03"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58.8%</w:t>
            </w:r>
          </w:p>
        </w:tc>
        <w:tc>
          <w:tcPr>
            <w:tcW w:w="1890" w:type="dxa"/>
            <w:tcBorders>
              <w:top w:val="nil"/>
              <w:left w:val="nil"/>
              <w:bottom w:val="single" w:sz="4" w:space="0" w:color="BFBFBF"/>
              <w:right w:val="single" w:sz="4" w:space="0" w:color="BFBFBF"/>
            </w:tcBorders>
            <w:noWrap/>
            <w:vAlign w:val="center"/>
            <w:hideMark/>
          </w:tcPr>
          <w:p w14:paraId="002287E0"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60.8%</w:t>
            </w:r>
          </w:p>
        </w:tc>
        <w:tc>
          <w:tcPr>
            <w:tcW w:w="1890" w:type="dxa"/>
            <w:tcBorders>
              <w:top w:val="nil"/>
              <w:left w:val="nil"/>
              <w:bottom w:val="single" w:sz="4" w:space="0" w:color="BFBFBF"/>
              <w:right w:val="single" w:sz="4" w:space="0" w:color="auto"/>
            </w:tcBorders>
            <w:noWrap/>
            <w:vAlign w:val="center"/>
            <w:hideMark/>
          </w:tcPr>
          <w:p w14:paraId="47C3516D"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59.0%</w:t>
            </w:r>
          </w:p>
        </w:tc>
      </w:tr>
      <w:tr w:rsidR="00A02EE9" w:rsidRPr="00A02EE9" w14:paraId="245E3EA1" w14:textId="77777777" w:rsidTr="0008487E">
        <w:trPr>
          <w:trHeight w:val="402"/>
        </w:trPr>
        <w:tc>
          <w:tcPr>
            <w:tcW w:w="368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418EEF21" w14:textId="77777777" w:rsidR="00A02EE9" w:rsidRPr="00A02EE9" w:rsidRDefault="00A02EE9" w:rsidP="0008487E">
            <w:pPr>
              <w:rPr>
                <w:rFonts w:eastAsia="Times New Roman"/>
                <w:color w:val="0D0D0D"/>
                <w:sz w:val="18"/>
                <w:szCs w:val="18"/>
              </w:rPr>
            </w:pPr>
            <w:r w:rsidRPr="00A02EE9">
              <w:rPr>
                <w:rFonts w:eastAsia="Times New Roman"/>
                <w:color w:val="0D0D0D"/>
                <w:sz w:val="18"/>
                <w:szCs w:val="18"/>
              </w:rPr>
              <w:t>Unemployment rate</w:t>
            </w:r>
          </w:p>
        </w:tc>
        <w:tc>
          <w:tcPr>
            <w:tcW w:w="1890" w:type="dxa"/>
            <w:tcBorders>
              <w:top w:val="nil"/>
              <w:left w:val="nil"/>
              <w:bottom w:val="single" w:sz="4" w:space="0" w:color="auto"/>
              <w:right w:val="single" w:sz="4" w:space="0" w:color="BFBFBF"/>
            </w:tcBorders>
            <w:shd w:val="clear" w:color="000000" w:fill="F2F2F2"/>
            <w:noWrap/>
            <w:vAlign w:val="center"/>
            <w:hideMark/>
          </w:tcPr>
          <w:p w14:paraId="2378964A"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9.7%</w:t>
            </w:r>
          </w:p>
        </w:tc>
        <w:tc>
          <w:tcPr>
            <w:tcW w:w="1890" w:type="dxa"/>
            <w:tcBorders>
              <w:top w:val="nil"/>
              <w:left w:val="nil"/>
              <w:bottom w:val="single" w:sz="4" w:space="0" w:color="auto"/>
              <w:right w:val="single" w:sz="4" w:space="0" w:color="BFBFBF"/>
            </w:tcBorders>
            <w:shd w:val="clear" w:color="000000" w:fill="F2F2F2"/>
            <w:noWrap/>
            <w:vAlign w:val="center"/>
            <w:hideMark/>
          </w:tcPr>
          <w:p w14:paraId="642A4B6E"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9.3%</w:t>
            </w:r>
          </w:p>
        </w:tc>
        <w:tc>
          <w:tcPr>
            <w:tcW w:w="1890" w:type="dxa"/>
            <w:tcBorders>
              <w:top w:val="nil"/>
              <w:left w:val="nil"/>
              <w:bottom w:val="single" w:sz="4" w:space="0" w:color="auto"/>
              <w:right w:val="single" w:sz="4" w:space="0" w:color="auto"/>
            </w:tcBorders>
            <w:shd w:val="clear" w:color="000000" w:fill="F2F2F2"/>
            <w:noWrap/>
            <w:vAlign w:val="center"/>
            <w:hideMark/>
          </w:tcPr>
          <w:p w14:paraId="459C9DCB" w14:textId="77777777" w:rsidR="00A02EE9" w:rsidRPr="00C42568" w:rsidRDefault="00A02EE9" w:rsidP="0008487E">
            <w:pPr>
              <w:jc w:val="right"/>
              <w:rPr>
                <w:rFonts w:eastAsia="Times New Roman"/>
                <w:color w:val="C00000"/>
                <w:sz w:val="18"/>
                <w:szCs w:val="18"/>
              </w:rPr>
            </w:pPr>
            <w:r w:rsidRPr="00C42568">
              <w:rPr>
                <w:rFonts w:eastAsia="Times New Roman"/>
                <w:color w:val="C00000"/>
                <w:sz w:val="18"/>
                <w:szCs w:val="18"/>
              </w:rPr>
              <w:t>10.3%</w:t>
            </w:r>
          </w:p>
        </w:tc>
      </w:tr>
    </w:tbl>
    <w:p w14:paraId="798C479B" w14:textId="77777777" w:rsidR="007E4680" w:rsidRPr="00354CBD" w:rsidRDefault="007E4680" w:rsidP="007E4680">
      <w:pPr>
        <w:pStyle w:val="Source"/>
      </w:pPr>
      <w:r w:rsidRPr="00354CBD">
        <w:t>Source: Statistics Canada 2021 Census Profile</w:t>
      </w:r>
    </w:p>
    <w:p w14:paraId="1CBBCE0E" w14:textId="77777777" w:rsidR="00946F15" w:rsidRDefault="00946F15" w:rsidP="00C04B48">
      <w:pPr>
        <w:jc w:val="both"/>
      </w:pPr>
    </w:p>
    <w:p w14:paraId="06FD79B6" w14:textId="2C88C80C" w:rsidR="00C04B48" w:rsidRDefault="0018144B" w:rsidP="0018144B">
      <w:pPr>
        <w:jc w:val="both"/>
      </w:pPr>
      <w:r>
        <w:t>High participation rates alongside elevated unemployment can indicate a tight labour market with skill mismatches or insufficient local job opportunities, while low participation may suggest a high proportion of retired residents, discouraged workers, or caregiving responsibilities that limit labour force attachment.</w:t>
      </w:r>
      <w:r w:rsidR="00784B74">
        <w:t xml:space="preserve"> </w:t>
      </w:r>
      <w:r>
        <w:t>Employment and participation rates interact directly with earnings</w:t>
      </w:r>
      <w:r w:rsidR="00771B4A">
        <w:t>.</w:t>
      </w:r>
      <w:r>
        <w:t xml:space="preserve"> </w:t>
      </w:r>
      <w:r w:rsidR="00771B4A">
        <w:t>C</w:t>
      </w:r>
      <w:r>
        <w:t>ommunities with structurally weaker labour markets will typically have a larger share of households unable to afford market-rate housing, increasing demand for non-market supply.</w:t>
      </w:r>
      <w:r w:rsidR="00C04B48" w:rsidRPr="00C04B48">
        <w:t xml:space="preserve"> </w:t>
      </w:r>
    </w:p>
    <w:p w14:paraId="09A02823" w14:textId="77777777" w:rsidR="00946F15" w:rsidRDefault="00946F15" w:rsidP="00946F15"/>
    <w:p w14:paraId="53317362" w14:textId="7DEA9529" w:rsidR="00946F15" w:rsidRDefault="00946F15" w:rsidP="00946F15">
      <w:pPr>
        <w:pStyle w:val="Heading3"/>
      </w:pPr>
      <w:r>
        <w:t>Key Industries of Employment</w:t>
      </w:r>
    </w:p>
    <w:p w14:paraId="76F16445" w14:textId="0C952417" w:rsidR="003135DB" w:rsidRDefault="0046569E" w:rsidP="0017568B">
      <w:pPr>
        <w:jc w:val="both"/>
      </w:pPr>
      <w:r w:rsidRPr="0046569E">
        <w:rPr>
          <w:rStyle w:val="Figure-textChar"/>
        </w:rPr>
        <w:fldChar w:fldCharType="begin"/>
      </w:r>
      <w:r w:rsidRPr="0046569E">
        <w:rPr>
          <w:rStyle w:val="Figure-textChar"/>
        </w:rPr>
        <w:instrText xml:space="preserve"> REF _Ref223274802 \h </w:instrText>
      </w:r>
      <w:r>
        <w:rPr>
          <w:rStyle w:val="Figure-textChar"/>
        </w:rPr>
        <w:instrText xml:space="preserve"> \* MERGEFORMAT </w:instrText>
      </w:r>
      <w:r w:rsidRPr="0046569E">
        <w:rPr>
          <w:rStyle w:val="Figure-textChar"/>
        </w:rPr>
      </w:r>
      <w:r w:rsidRPr="0046569E">
        <w:rPr>
          <w:rStyle w:val="Figure-textChar"/>
        </w:rPr>
        <w:fldChar w:fldCharType="separate"/>
      </w:r>
      <w:r w:rsidR="00CA6116" w:rsidRPr="00CA6116">
        <w:rPr>
          <w:rStyle w:val="Figure-textChar"/>
        </w:rPr>
        <w:t>Table 5.2</w:t>
      </w:r>
      <w:r w:rsidRPr="0046569E">
        <w:rPr>
          <w:rStyle w:val="Figure-textChar"/>
        </w:rPr>
        <w:fldChar w:fldCharType="end"/>
      </w:r>
      <w:r>
        <w:t xml:space="preserve"> </w:t>
      </w:r>
      <w:r w:rsidR="003135DB" w:rsidRPr="003135DB">
        <w:t xml:space="preserve">identifies the top ten industries of employment for local residents, enabling comparison of the local economic base against regional and provincial employment distributions </w:t>
      </w:r>
      <w:r w:rsidR="00334CDE">
        <w:t xml:space="preserve">of the same industries </w:t>
      </w:r>
      <w:r w:rsidR="003135DB" w:rsidRPr="003135DB">
        <w:t xml:space="preserve">and revealing the sectors that most directly shape </w:t>
      </w:r>
      <w:r w:rsidR="00771B4A">
        <w:t>local</w:t>
      </w:r>
      <w:r w:rsidR="003135DB" w:rsidRPr="003135DB">
        <w:t xml:space="preserve"> household incomes.</w:t>
      </w:r>
    </w:p>
    <w:p w14:paraId="706DD897" w14:textId="77777777" w:rsidR="003135DB" w:rsidRDefault="003135DB" w:rsidP="0017568B">
      <w:pPr>
        <w:jc w:val="both"/>
      </w:pPr>
    </w:p>
    <w:p w14:paraId="542DEBB6" w14:textId="4C14857A" w:rsidR="007E4680" w:rsidRDefault="007E4680" w:rsidP="007E4680">
      <w:pPr>
        <w:pStyle w:val="Caption"/>
      </w:pPr>
      <w:bookmarkStart w:id="29" w:name="_Ref223274802"/>
      <w:r>
        <w:lastRenderedPageBreak/>
        <w:t xml:space="preserve">Table </w:t>
      </w:r>
      <w:fldSimple w:instr=" STYLEREF 1 \s ">
        <w:r w:rsidR="005E459C">
          <w:rPr>
            <w:noProof/>
          </w:rPr>
          <w:t>5</w:t>
        </w:r>
      </w:fldSimple>
      <w:r w:rsidR="00BD4359">
        <w:t>.</w:t>
      </w:r>
      <w:fldSimple w:instr=" SEQ Table \* ARABIC \s 1 ">
        <w:r w:rsidR="005E459C">
          <w:rPr>
            <w:noProof/>
          </w:rPr>
          <w:t>2</w:t>
        </w:r>
      </w:fldSimple>
      <w:bookmarkEnd w:id="29"/>
      <w:r>
        <w:t>: Top 10 local NAICS industries of employment</w:t>
      </w:r>
      <w:r>
        <w:rPr>
          <w:noProof/>
        </w:rPr>
        <w:t xml:space="preserve"> compared to higher level geographies, 2021</w:t>
      </w:r>
    </w:p>
    <w:tbl>
      <w:tblPr>
        <w:tblW w:w="9350" w:type="dxa"/>
        <w:tblLayout w:type="fixed"/>
        <w:tblLook w:val="04A0" w:firstRow="1" w:lastRow="0" w:firstColumn="1" w:lastColumn="0" w:noHBand="0" w:noVBand="1"/>
      </w:tblPr>
      <w:tblGrid>
        <w:gridCol w:w="6475"/>
        <w:gridCol w:w="958"/>
        <w:gridCol w:w="958"/>
        <w:gridCol w:w="959"/>
      </w:tblGrid>
      <w:tr w:rsidR="00495305" w:rsidRPr="00E15D2C" w14:paraId="657B8A55" w14:textId="77777777" w:rsidTr="003C59F9">
        <w:trPr>
          <w:trHeight w:val="402"/>
          <w:tblHeader/>
        </w:trPr>
        <w:tc>
          <w:tcPr>
            <w:tcW w:w="647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54624CCF" w14:textId="2286CB9B" w:rsidR="00495305" w:rsidRPr="00E15D2C" w:rsidRDefault="00495305" w:rsidP="00495305">
            <w:pPr>
              <w:rPr>
                <w:rFonts w:eastAsia="Times New Roman"/>
                <w:color w:val="FFFFFF"/>
                <w:sz w:val="18"/>
                <w:szCs w:val="18"/>
              </w:rPr>
            </w:pPr>
            <w:r>
              <w:rPr>
                <w:color w:val="FFFFFF"/>
                <w:sz w:val="18"/>
                <w:szCs w:val="18"/>
              </w:rPr>
              <w:t>NAICS industry</w:t>
            </w:r>
          </w:p>
        </w:tc>
        <w:tc>
          <w:tcPr>
            <w:tcW w:w="95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A2989A6" w14:textId="65DA55FC" w:rsidR="00495305" w:rsidRPr="00E15D2C" w:rsidRDefault="00495305" w:rsidP="00495305">
            <w:pPr>
              <w:jc w:val="right"/>
              <w:rPr>
                <w:rFonts w:eastAsia="Times New Roman"/>
                <w:color w:val="FFFFFF"/>
                <w:sz w:val="18"/>
                <w:szCs w:val="18"/>
              </w:rPr>
            </w:pPr>
            <w:r>
              <w:rPr>
                <w:color w:val="FFFFFF"/>
                <w:sz w:val="18"/>
                <w:szCs w:val="18"/>
              </w:rPr>
              <w:t>Local</w:t>
            </w:r>
          </w:p>
        </w:tc>
        <w:tc>
          <w:tcPr>
            <w:tcW w:w="95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6928717" w14:textId="1722294D" w:rsidR="00495305" w:rsidRPr="00E15D2C" w:rsidRDefault="00495305" w:rsidP="00495305">
            <w:pPr>
              <w:jc w:val="right"/>
              <w:rPr>
                <w:rFonts w:eastAsia="Times New Roman"/>
                <w:color w:val="FFFFFF"/>
                <w:sz w:val="18"/>
                <w:szCs w:val="18"/>
              </w:rPr>
            </w:pPr>
            <w:r>
              <w:rPr>
                <w:color w:val="FFFFFF"/>
                <w:sz w:val="18"/>
                <w:szCs w:val="18"/>
              </w:rPr>
              <w:t>Region</w:t>
            </w:r>
          </w:p>
        </w:tc>
        <w:tc>
          <w:tcPr>
            <w:tcW w:w="959"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E553268" w14:textId="03EF1484" w:rsidR="00495305" w:rsidRPr="00E15D2C" w:rsidRDefault="00495305" w:rsidP="00495305">
            <w:pPr>
              <w:jc w:val="right"/>
              <w:rPr>
                <w:rFonts w:eastAsia="Times New Roman"/>
                <w:color w:val="FFFFFF"/>
                <w:sz w:val="18"/>
                <w:szCs w:val="18"/>
              </w:rPr>
            </w:pPr>
            <w:r>
              <w:rPr>
                <w:color w:val="FFFFFF"/>
                <w:sz w:val="18"/>
                <w:szCs w:val="18"/>
              </w:rPr>
              <w:t>Province</w:t>
            </w:r>
          </w:p>
        </w:tc>
      </w:tr>
      <w:tr w:rsidR="00495305" w:rsidRPr="00E15D2C" w14:paraId="2D2EA04B" w14:textId="77777777" w:rsidTr="0008487E">
        <w:trPr>
          <w:trHeight w:val="402"/>
        </w:trPr>
        <w:tc>
          <w:tcPr>
            <w:tcW w:w="6475"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4F76D4D1" w14:textId="4BB81B5E" w:rsidR="00495305" w:rsidRPr="00303466" w:rsidRDefault="00495305" w:rsidP="00495305">
            <w:pPr>
              <w:rPr>
                <w:rFonts w:eastAsia="Times New Roman"/>
                <w:color w:val="C00000"/>
                <w:sz w:val="18"/>
                <w:szCs w:val="18"/>
              </w:rPr>
            </w:pPr>
            <w:r w:rsidRPr="00303466">
              <w:rPr>
                <w:color w:val="C00000"/>
                <w:sz w:val="18"/>
                <w:szCs w:val="18"/>
              </w:rPr>
              <w:t>Retail trade [44-45]</w:t>
            </w:r>
          </w:p>
        </w:tc>
        <w:tc>
          <w:tcPr>
            <w:tcW w:w="958" w:type="dxa"/>
            <w:tcBorders>
              <w:top w:val="nil"/>
              <w:left w:val="nil"/>
              <w:bottom w:val="single" w:sz="4" w:space="0" w:color="BFBFBF"/>
              <w:right w:val="single" w:sz="4" w:space="0" w:color="BFBFBF"/>
            </w:tcBorders>
            <w:shd w:val="clear" w:color="000000" w:fill="F2F2F2"/>
            <w:noWrap/>
            <w:vAlign w:val="center"/>
            <w:hideMark/>
          </w:tcPr>
          <w:p w14:paraId="1CCF2C05" w14:textId="7764E7EA" w:rsidR="00495305" w:rsidRPr="00C42568" w:rsidRDefault="00495305" w:rsidP="00495305">
            <w:pPr>
              <w:jc w:val="right"/>
              <w:rPr>
                <w:rFonts w:eastAsia="Times New Roman"/>
                <w:color w:val="C00000"/>
                <w:sz w:val="18"/>
                <w:szCs w:val="18"/>
              </w:rPr>
            </w:pPr>
            <w:r w:rsidRPr="00C42568">
              <w:rPr>
                <w:color w:val="C00000"/>
                <w:sz w:val="18"/>
                <w:szCs w:val="18"/>
              </w:rPr>
              <w:t>13.2%</w:t>
            </w:r>
          </w:p>
        </w:tc>
        <w:tc>
          <w:tcPr>
            <w:tcW w:w="958" w:type="dxa"/>
            <w:tcBorders>
              <w:top w:val="nil"/>
              <w:left w:val="nil"/>
              <w:bottom w:val="single" w:sz="4" w:space="0" w:color="BFBFBF"/>
              <w:right w:val="single" w:sz="4" w:space="0" w:color="BFBFBF"/>
            </w:tcBorders>
            <w:shd w:val="clear" w:color="000000" w:fill="F2F2F2"/>
            <w:noWrap/>
            <w:vAlign w:val="center"/>
            <w:hideMark/>
          </w:tcPr>
          <w:p w14:paraId="52D88A57" w14:textId="354B248D" w:rsidR="00495305" w:rsidRPr="00C42568" w:rsidRDefault="00495305" w:rsidP="00495305">
            <w:pPr>
              <w:jc w:val="right"/>
              <w:rPr>
                <w:rFonts w:eastAsia="Times New Roman"/>
                <w:color w:val="C00000"/>
                <w:sz w:val="18"/>
                <w:szCs w:val="18"/>
              </w:rPr>
            </w:pPr>
            <w:r w:rsidRPr="00C42568">
              <w:rPr>
                <w:color w:val="C00000"/>
                <w:sz w:val="18"/>
                <w:szCs w:val="18"/>
              </w:rPr>
              <w:t>11.7%</w:t>
            </w:r>
          </w:p>
        </w:tc>
        <w:tc>
          <w:tcPr>
            <w:tcW w:w="959" w:type="dxa"/>
            <w:tcBorders>
              <w:top w:val="nil"/>
              <w:left w:val="nil"/>
              <w:bottom w:val="single" w:sz="4" w:space="0" w:color="BFBFBF"/>
              <w:right w:val="single" w:sz="4" w:space="0" w:color="auto"/>
            </w:tcBorders>
            <w:shd w:val="clear" w:color="000000" w:fill="F2F2F2"/>
            <w:noWrap/>
            <w:vAlign w:val="center"/>
            <w:hideMark/>
          </w:tcPr>
          <w:p w14:paraId="5840133B" w14:textId="306D5CC7" w:rsidR="00495305" w:rsidRPr="00C42568" w:rsidRDefault="00495305" w:rsidP="00495305">
            <w:pPr>
              <w:jc w:val="right"/>
              <w:rPr>
                <w:rFonts w:eastAsia="Times New Roman"/>
                <w:color w:val="C00000"/>
                <w:sz w:val="18"/>
                <w:szCs w:val="18"/>
              </w:rPr>
            </w:pPr>
            <w:r w:rsidRPr="00C42568">
              <w:rPr>
                <w:color w:val="C00000"/>
                <w:sz w:val="18"/>
                <w:szCs w:val="18"/>
              </w:rPr>
              <w:t>10.7%</w:t>
            </w:r>
          </w:p>
        </w:tc>
      </w:tr>
      <w:tr w:rsidR="00495305" w:rsidRPr="00E15D2C" w14:paraId="71A44CCC"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noWrap/>
            <w:vAlign w:val="center"/>
            <w:hideMark/>
          </w:tcPr>
          <w:p w14:paraId="70C81943" w14:textId="33993C68" w:rsidR="00495305" w:rsidRPr="00303466" w:rsidRDefault="00495305" w:rsidP="00495305">
            <w:pPr>
              <w:rPr>
                <w:rFonts w:eastAsia="Times New Roman"/>
                <w:color w:val="C00000"/>
                <w:sz w:val="18"/>
                <w:szCs w:val="18"/>
              </w:rPr>
            </w:pPr>
            <w:r w:rsidRPr="00303466">
              <w:rPr>
                <w:color w:val="C00000"/>
                <w:sz w:val="18"/>
                <w:szCs w:val="18"/>
              </w:rPr>
              <w:t>Health care and social assistance [62]</w:t>
            </w:r>
          </w:p>
        </w:tc>
        <w:tc>
          <w:tcPr>
            <w:tcW w:w="958" w:type="dxa"/>
            <w:tcBorders>
              <w:top w:val="nil"/>
              <w:left w:val="nil"/>
              <w:bottom w:val="single" w:sz="4" w:space="0" w:color="BFBFBF"/>
              <w:right w:val="single" w:sz="4" w:space="0" w:color="BFBFBF"/>
            </w:tcBorders>
            <w:noWrap/>
            <w:vAlign w:val="center"/>
            <w:hideMark/>
          </w:tcPr>
          <w:p w14:paraId="477E0C23" w14:textId="15051AA5" w:rsidR="00495305" w:rsidRPr="00C42568" w:rsidRDefault="00495305" w:rsidP="00495305">
            <w:pPr>
              <w:jc w:val="right"/>
              <w:rPr>
                <w:rFonts w:eastAsia="Times New Roman"/>
                <w:color w:val="C00000"/>
                <w:sz w:val="18"/>
                <w:szCs w:val="18"/>
              </w:rPr>
            </w:pPr>
            <w:r w:rsidRPr="00C42568">
              <w:rPr>
                <w:color w:val="C00000"/>
                <w:sz w:val="18"/>
                <w:szCs w:val="18"/>
              </w:rPr>
              <w:t>13.1%</w:t>
            </w:r>
          </w:p>
        </w:tc>
        <w:tc>
          <w:tcPr>
            <w:tcW w:w="958" w:type="dxa"/>
            <w:tcBorders>
              <w:top w:val="nil"/>
              <w:left w:val="nil"/>
              <w:bottom w:val="single" w:sz="4" w:space="0" w:color="BFBFBF"/>
              <w:right w:val="single" w:sz="4" w:space="0" w:color="BFBFBF"/>
            </w:tcBorders>
            <w:noWrap/>
            <w:vAlign w:val="center"/>
            <w:hideMark/>
          </w:tcPr>
          <w:p w14:paraId="49A46AAA" w14:textId="31EB93F9" w:rsidR="00495305" w:rsidRPr="00C42568" w:rsidRDefault="00495305" w:rsidP="00495305">
            <w:pPr>
              <w:jc w:val="right"/>
              <w:rPr>
                <w:rFonts w:eastAsia="Times New Roman"/>
                <w:color w:val="C00000"/>
                <w:sz w:val="18"/>
                <w:szCs w:val="18"/>
              </w:rPr>
            </w:pPr>
            <w:r w:rsidRPr="00C42568">
              <w:rPr>
                <w:color w:val="C00000"/>
                <w:sz w:val="18"/>
                <w:szCs w:val="18"/>
              </w:rPr>
              <w:t>13.3%</w:t>
            </w:r>
          </w:p>
        </w:tc>
        <w:tc>
          <w:tcPr>
            <w:tcW w:w="959" w:type="dxa"/>
            <w:tcBorders>
              <w:top w:val="nil"/>
              <w:left w:val="nil"/>
              <w:bottom w:val="single" w:sz="4" w:space="0" w:color="BFBFBF"/>
              <w:right w:val="single" w:sz="4" w:space="0" w:color="auto"/>
            </w:tcBorders>
            <w:noWrap/>
            <w:vAlign w:val="center"/>
            <w:hideMark/>
          </w:tcPr>
          <w:p w14:paraId="439CCE54" w14:textId="39445FB2" w:rsidR="00495305" w:rsidRPr="00C42568" w:rsidRDefault="00495305" w:rsidP="00495305">
            <w:pPr>
              <w:jc w:val="right"/>
              <w:rPr>
                <w:rFonts w:eastAsia="Times New Roman"/>
                <w:color w:val="C00000"/>
                <w:sz w:val="18"/>
                <w:szCs w:val="18"/>
              </w:rPr>
            </w:pPr>
            <w:r w:rsidRPr="00C42568">
              <w:rPr>
                <w:color w:val="C00000"/>
                <w:sz w:val="18"/>
                <w:szCs w:val="18"/>
              </w:rPr>
              <w:t>12.5%</w:t>
            </w:r>
          </w:p>
        </w:tc>
      </w:tr>
      <w:tr w:rsidR="00495305" w:rsidRPr="00E15D2C" w14:paraId="75506534"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723179C" w14:textId="2745B624" w:rsidR="00495305" w:rsidRPr="00303466" w:rsidRDefault="00495305" w:rsidP="00495305">
            <w:pPr>
              <w:rPr>
                <w:rFonts w:eastAsia="Times New Roman"/>
                <w:color w:val="C00000"/>
                <w:sz w:val="18"/>
                <w:szCs w:val="18"/>
              </w:rPr>
            </w:pPr>
            <w:r w:rsidRPr="00303466">
              <w:rPr>
                <w:color w:val="C00000"/>
                <w:sz w:val="18"/>
                <w:szCs w:val="18"/>
              </w:rPr>
              <w:t>Public administration [91]</w:t>
            </w:r>
          </w:p>
        </w:tc>
        <w:tc>
          <w:tcPr>
            <w:tcW w:w="958" w:type="dxa"/>
            <w:tcBorders>
              <w:top w:val="nil"/>
              <w:left w:val="nil"/>
              <w:bottom w:val="single" w:sz="4" w:space="0" w:color="BFBFBF"/>
              <w:right w:val="single" w:sz="4" w:space="0" w:color="BFBFBF"/>
            </w:tcBorders>
            <w:shd w:val="clear" w:color="000000" w:fill="F2F2F2"/>
            <w:noWrap/>
            <w:vAlign w:val="center"/>
            <w:hideMark/>
          </w:tcPr>
          <w:p w14:paraId="284D8BEC" w14:textId="3BF3827E" w:rsidR="00495305" w:rsidRPr="00C42568" w:rsidRDefault="00495305" w:rsidP="00495305">
            <w:pPr>
              <w:jc w:val="right"/>
              <w:rPr>
                <w:rFonts w:eastAsia="Times New Roman"/>
                <w:color w:val="C00000"/>
                <w:sz w:val="18"/>
                <w:szCs w:val="18"/>
              </w:rPr>
            </w:pPr>
            <w:r w:rsidRPr="00C42568">
              <w:rPr>
                <w:color w:val="C00000"/>
                <w:sz w:val="18"/>
                <w:szCs w:val="18"/>
              </w:rPr>
              <w:t>11.3%</w:t>
            </w:r>
          </w:p>
        </w:tc>
        <w:tc>
          <w:tcPr>
            <w:tcW w:w="958" w:type="dxa"/>
            <w:tcBorders>
              <w:top w:val="nil"/>
              <w:left w:val="nil"/>
              <w:bottom w:val="single" w:sz="4" w:space="0" w:color="BFBFBF"/>
              <w:right w:val="single" w:sz="4" w:space="0" w:color="BFBFBF"/>
            </w:tcBorders>
            <w:shd w:val="clear" w:color="000000" w:fill="F2F2F2"/>
            <w:noWrap/>
            <w:vAlign w:val="center"/>
            <w:hideMark/>
          </w:tcPr>
          <w:p w14:paraId="41FDA4D1" w14:textId="03840F1B" w:rsidR="00495305" w:rsidRPr="00C42568" w:rsidRDefault="00495305" w:rsidP="00495305">
            <w:pPr>
              <w:jc w:val="right"/>
              <w:rPr>
                <w:rFonts w:eastAsia="Times New Roman"/>
                <w:color w:val="C00000"/>
                <w:sz w:val="18"/>
                <w:szCs w:val="18"/>
              </w:rPr>
            </w:pPr>
            <w:r w:rsidRPr="00C42568">
              <w:rPr>
                <w:color w:val="C00000"/>
                <w:sz w:val="18"/>
                <w:szCs w:val="18"/>
              </w:rPr>
              <w:t>11.9%</w:t>
            </w:r>
          </w:p>
        </w:tc>
        <w:tc>
          <w:tcPr>
            <w:tcW w:w="959" w:type="dxa"/>
            <w:tcBorders>
              <w:top w:val="nil"/>
              <w:left w:val="nil"/>
              <w:bottom w:val="single" w:sz="4" w:space="0" w:color="BFBFBF"/>
              <w:right w:val="single" w:sz="4" w:space="0" w:color="auto"/>
            </w:tcBorders>
            <w:shd w:val="clear" w:color="000000" w:fill="F2F2F2"/>
            <w:noWrap/>
            <w:vAlign w:val="center"/>
            <w:hideMark/>
          </w:tcPr>
          <w:p w14:paraId="3AA8B5BA" w14:textId="6052604B" w:rsidR="00495305" w:rsidRPr="00C42568" w:rsidRDefault="00495305" w:rsidP="00495305">
            <w:pPr>
              <w:jc w:val="right"/>
              <w:rPr>
                <w:rFonts w:eastAsia="Times New Roman"/>
                <w:color w:val="C00000"/>
                <w:sz w:val="18"/>
                <w:szCs w:val="18"/>
              </w:rPr>
            </w:pPr>
            <w:r w:rsidRPr="00C42568">
              <w:rPr>
                <w:color w:val="C00000"/>
                <w:sz w:val="18"/>
                <w:szCs w:val="18"/>
              </w:rPr>
              <w:t>10.9%</w:t>
            </w:r>
          </w:p>
        </w:tc>
      </w:tr>
      <w:tr w:rsidR="00495305" w:rsidRPr="00E15D2C" w14:paraId="6960BDE4"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noWrap/>
            <w:vAlign w:val="center"/>
            <w:hideMark/>
          </w:tcPr>
          <w:p w14:paraId="2847646B" w14:textId="1868D16D" w:rsidR="00495305" w:rsidRPr="00303466" w:rsidRDefault="00495305" w:rsidP="00495305">
            <w:pPr>
              <w:rPr>
                <w:rFonts w:eastAsia="Times New Roman"/>
                <w:color w:val="C00000"/>
                <w:sz w:val="18"/>
                <w:szCs w:val="18"/>
              </w:rPr>
            </w:pPr>
            <w:r w:rsidRPr="00303466">
              <w:rPr>
                <w:color w:val="C00000"/>
                <w:sz w:val="18"/>
                <w:szCs w:val="18"/>
              </w:rPr>
              <w:t>Accommodation and food services [72]</w:t>
            </w:r>
          </w:p>
        </w:tc>
        <w:tc>
          <w:tcPr>
            <w:tcW w:w="958" w:type="dxa"/>
            <w:tcBorders>
              <w:top w:val="nil"/>
              <w:left w:val="nil"/>
              <w:bottom w:val="single" w:sz="4" w:space="0" w:color="BFBFBF"/>
              <w:right w:val="single" w:sz="4" w:space="0" w:color="BFBFBF"/>
            </w:tcBorders>
            <w:noWrap/>
            <w:vAlign w:val="center"/>
            <w:hideMark/>
          </w:tcPr>
          <w:p w14:paraId="55E41F55" w14:textId="3F62CA63" w:rsidR="00495305" w:rsidRPr="00C42568" w:rsidRDefault="00495305" w:rsidP="00495305">
            <w:pPr>
              <w:jc w:val="right"/>
              <w:rPr>
                <w:rFonts w:eastAsia="Times New Roman"/>
                <w:color w:val="C00000"/>
                <w:sz w:val="18"/>
                <w:szCs w:val="18"/>
              </w:rPr>
            </w:pPr>
            <w:r w:rsidRPr="00C42568">
              <w:rPr>
                <w:color w:val="C00000"/>
                <w:sz w:val="18"/>
                <w:szCs w:val="18"/>
              </w:rPr>
              <w:t>9.6%</w:t>
            </w:r>
          </w:p>
        </w:tc>
        <w:tc>
          <w:tcPr>
            <w:tcW w:w="958" w:type="dxa"/>
            <w:tcBorders>
              <w:top w:val="nil"/>
              <w:left w:val="nil"/>
              <w:bottom w:val="single" w:sz="4" w:space="0" w:color="BFBFBF"/>
              <w:right w:val="single" w:sz="4" w:space="0" w:color="BFBFBF"/>
            </w:tcBorders>
            <w:noWrap/>
            <w:vAlign w:val="center"/>
            <w:hideMark/>
          </w:tcPr>
          <w:p w14:paraId="2B92DE24" w14:textId="76FB7F21" w:rsidR="00495305" w:rsidRPr="00C42568" w:rsidRDefault="00495305" w:rsidP="00495305">
            <w:pPr>
              <w:jc w:val="right"/>
              <w:rPr>
                <w:rFonts w:eastAsia="Times New Roman"/>
                <w:color w:val="C00000"/>
                <w:sz w:val="18"/>
                <w:szCs w:val="18"/>
              </w:rPr>
            </w:pPr>
            <w:r w:rsidRPr="00C42568">
              <w:rPr>
                <w:color w:val="C00000"/>
                <w:sz w:val="18"/>
                <w:szCs w:val="18"/>
              </w:rPr>
              <w:t>6.9%</w:t>
            </w:r>
          </w:p>
        </w:tc>
        <w:tc>
          <w:tcPr>
            <w:tcW w:w="959" w:type="dxa"/>
            <w:tcBorders>
              <w:top w:val="nil"/>
              <w:left w:val="nil"/>
              <w:bottom w:val="single" w:sz="4" w:space="0" w:color="BFBFBF"/>
              <w:right w:val="single" w:sz="4" w:space="0" w:color="auto"/>
            </w:tcBorders>
            <w:noWrap/>
            <w:vAlign w:val="center"/>
            <w:hideMark/>
          </w:tcPr>
          <w:p w14:paraId="3C60D1E3" w14:textId="73460FFA" w:rsidR="00495305" w:rsidRPr="00C42568" w:rsidRDefault="00495305" w:rsidP="00495305">
            <w:pPr>
              <w:jc w:val="right"/>
              <w:rPr>
                <w:rFonts w:eastAsia="Times New Roman"/>
                <w:color w:val="C00000"/>
                <w:sz w:val="18"/>
                <w:szCs w:val="18"/>
              </w:rPr>
            </w:pPr>
            <w:r w:rsidRPr="00C42568">
              <w:rPr>
                <w:color w:val="C00000"/>
                <w:sz w:val="18"/>
                <w:szCs w:val="18"/>
              </w:rPr>
              <w:t>6.6%</w:t>
            </w:r>
          </w:p>
        </w:tc>
      </w:tr>
      <w:tr w:rsidR="00495305" w:rsidRPr="00E15D2C" w14:paraId="5EC8ABF6"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3F61B828" w14:textId="644D2EEE" w:rsidR="00495305" w:rsidRPr="00303466" w:rsidRDefault="00495305" w:rsidP="00495305">
            <w:pPr>
              <w:rPr>
                <w:rFonts w:eastAsia="Times New Roman"/>
                <w:color w:val="C00000"/>
                <w:sz w:val="18"/>
                <w:szCs w:val="18"/>
              </w:rPr>
            </w:pPr>
            <w:r w:rsidRPr="00303466">
              <w:rPr>
                <w:color w:val="C00000"/>
                <w:sz w:val="18"/>
                <w:szCs w:val="18"/>
              </w:rPr>
              <w:t>Educational services [61]</w:t>
            </w:r>
          </w:p>
        </w:tc>
        <w:tc>
          <w:tcPr>
            <w:tcW w:w="958" w:type="dxa"/>
            <w:tcBorders>
              <w:top w:val="nil"/>
              <w:left w:val="nil"/>
              <w:bottom w:val="single" w:sz="4" w:space="0" w:color="BFBFBF"/>
              <w:right w:val="single" w:sz="4" w:space="0" w:color="BFBFBF"/>
            </w:tcBorders>
            <w:shd w:val="clear" w:color="000000" w:fill="F2F2F2"/>
            <w:noWrap/>
            <w:vAlign w:val="center"/>
            <w:hideMark/>
          </w:tcPr>
          <w:p w14:paraId="22E2B8B0" w14:textId="3FBC6CAB" w:rsidR="00495305" w:rsidRPr="00C42568" w:rsidRDefault="00495305" w:rsidP="00495305">
            <w:pPr>
              <w:jc w:val="right"/>
              <w:rPr>
                <w:rFonts w:eastAsia="Times New Roman"/>
                <w:color w:val="C00000"/>
                <w:sz w:val="18"/>
                <w:szCs w:val="18"/>
              </w:rPr>
            </w:pPr>
            <w:r w:rsidRPr="00C42568">
              <w:rPr>
                <w:color w:val="C00000"/>
                <w:sz w:val="18"/>
                <w:szCs w:val="18"/>
              </w:rPr>
              <w:t>8.2%</w:t>
            </w:r>
          </w:p>
        </w:tc>
        <w:tc>
          <w:tcPr>
            <w:tcW w:w="958" w:type="dxa"/>
            <w:tcBorders>
              <w:top w:val="nil"/>
              <w:left w:val="nil"/>
              <w:bottom w:val="single" w:sz="4" w:space="0" w:color="BFBFBF"/>
              <w:right w:val="single" w:sz="4" w:space="0" w:color="BFBFBF"/>
            </w:tcBorders>
            <w:shd w:val="clear" w:color="000000" w:fill="F2F2F2"/>
            <w:noWrap/>
            <w:vAlign w:val="center"/>
            <w:hideMark/>
          </w:tcPr>
          <w:p w14:paraId="6ED40FD3" w14:textId="667B7872" w:rsidR="00495305" w:rsidRPr="00C42568" w:rsidRDefault="00495305" w:rsidP="00495305">
            <w:pPr>
              <w:jc w:val="right"/>
              <w:rPr>
                <w:rFonts w:eastAsia="Times New Roman"/>
                <w:color w:val="C00000"/>
                <w:sz w:val="18"/>
                <w:szCs w:val="18"/>
              </w:rPr>
            </w:pPr>
            <w:r w:rsidRPr="00C42568">
              <w:rPr>
                <w:color w:val="C00000"/>
                <w:sz w:val="18"/>
                <w:szCs w:val="18"/>
              </w:rPr>
              <w:t>8.3%</w:t>
            </w:r>
          </w:p>
        </w:tc>
        <w:tc>
          <w:tcPr>
            <w:tcW w:w="959" w:type="dxa"/>
            <w:tcBorders>
              <w:top w:val="nil"/>
              <w:left w:val="nil"/>
              <w:bottom w:val="single" w:sz="4" w:space="0" w:color="BFBFBF"/>
              <w:right w:val="single" w:sz="4" w:space="0" w:color="auto"/>
            </w:tcBorders>
            <w:shd w:val="clear" w:color="000000" w:fill="F2F2F2"/>
            <w:noWrap/>
            <w:vAlign w:val="center"/>
            <w:hideMark/>
          </w:tcPr>
          <w:p w14:paraId="58701453" w14:textId="0E9A6789" w:rsidR="00495305" w:rsidRPr="00C42568" w:rsidRDefault="00495305" w:rsidP="00495305">
            <w:pPr>
              <w:jc w:val="right"/>
              <w:rPr>
                <w:rFonts w:eastAsia="Times New Roman"/>
                <w:color w:val="C00000"/>
                <w:sz w:val="18"/>
                <w:szCs w:val="18"/>
              </w:rPr>
            </w:pPr>
            <w:r w:rsidRPr="00C42568">
              <w:rPr>
                <w:color w:val="C00000"/>
                <w:sz w:val="18"/>
                <w:szCs w:val="18"/>
              </w:rPr>
              <w:t>7.3%</w:t>
            </w:r>
          </w:p>
        </w:tc>
      </w:tr>
      <w:tr w:rsidR="00495305" w:rsidRPr="00E15D2C" w14:paraId="05BA7BCF"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noWrap/>
            <w:vAlign w:val="center"/>
            <w:hideMark/>
          </w:tcPr>
          <w:p w14:paraId="5379E737" w14:textId="358F1546" w:rsidR="00495305" w:rsidRPr="00303466" w:rsidRDefault="00495305" w:rsidP="00495305">
            <w:pPr>
              <w:rPr>
                <w:rFonts w:eastAsia="Times New Roman"/>
                <w:color w:val="C00000"/>
                <w:sz w:val="18"/>
                <w:szCs w:val="18"/>
              </w:rPr>
            </w:pPr>
            <w:r w:rsidRPr="00303466">
              <w:rPr>
                <w:color w:val="C00000"/>
                <w:sz w:val="18"/>
                <w:szCs w:val="18"/>
              </w:rPr>
              <w:t>Professional, scientific and technical services [54]</w:t>
            </w:r>
          </w:p>
        </w:tc>
        <w:tc>
          <w:tcPr>
            <w:tcW w:w="958" w:type="dxa"/>
            <w:tcBorders>
              <w:top w:val="nil"/>
              <w:left w:val="nil"/>
              <w:bottom w:val="single" w:sz="4" w:space="0" w:color="BFBFBF"/>
              <w:right w:val="single" w:sz="4" w:space="0" w:color="BFBFBF"/>
            </w:tcBorders>
            <w:noWrap/>
            <w:vAlign w:val="center"/>
            <w:hideMark/>
          </w:tcPr>
          <w:p w14:paraId="06A80393" w14:textId="406ECD9D" w:rsidR="00495305" w:rsidRPr="00C42568" w:rsidRDefault="00495305" w:rsidP="00495305">
            <w:pPr>
              <w:jc w:val="right"/>
              <w:rPr>
                <w:rFonts w:eastAsia="Times New Roman"/>
                <w:color w:val="C00000"/>
                <w:sz w:val="18"/>
                <w:szCs w:val="18"/>
              </w:rPr>
            </w:pPr>
            <w:r w:rsidRPr="00C42568">
              <w:rPr>
                <w:color w:val="C00000"/>
                <w:sz w:val="18"/>
                <w:szCs w:val="18"/>
              </w:rPr>
              <w:t>7.3%</w:t>
            </w:r>
          </w:p>
        </w:tc>
        <w:tc>
          <w:tcPr>
            <w:tcW w:w="958" w:type="dxa"/>
            <w:tcBorders>
              <w:top w:val="nil"/>
              <w:left w:val="nil"/>
              <w:bottom w:val="single" w:sz="4" w:space="0" w:color="BFBFBF"/>
              <w:right w:val="single" w:sz="4" w:space="0" w:color="BFBFBF"/>
            </w:tcBorders>
            <w:noWrap/>
            <w:vAlign w:val="center"/>
            <w:hideMark/>
          </w:tcPr>
          <w:p w14:paraId="769DC2AA" w14:textId="36814697" w:rsidR="00495305" w:rsidRPr="00C42568" w:rsidRDefault="00495305" w:rsidP="00495305">
            <w:pPr>
              <w:jc w:val="right"/>
              <w:rPr>
                <w:rFonts w:eastAsia="Times New Roman"/>
                <w:color w:val="C00000"/>
                <w:sz w:val="18"/>
                <w:szCs w:val="18"/>
              </w:rPr>
            </w:pPr>
            <w:r w:rsidRPr="00C42568">
              <w:rPr>
                <w:color w:val="C00000"/>
                <w:sz w:val="18"/>
                <w:szCs w:val="18"/>
              </w:rPr>
              <w:t>6.5%</w:t>
            </w:r>
          </w:p>
        </w:tc>
        <w:tc>
          <w:tcPr>
            <w:tcW w:w="959" w:type="dxa"/>
            <w:tcBorders>
              <w:top w:val="nil"/>
              <w:left w:val="nil"/>
              <w:bottom w:val="single" w:sz="4" w:space="0" w:color="BFBFBF"/>
              <w:right w:val="single" w:sz="4" w:space="0" w:color="auto"/>
            </w:tcBorders>
            <w:noWrap/>
            <w:vAlign w:val="center"/>
            <w:hideMark/>
          </w:tcPr>
          <w:p w14:paraId="1D41F0AA" w14:textId="2E63A838" w:rsidR="00495305" w:rsidRPr="00C42568" w:rsidRDefault="00495305" w:rsidP="00495305">
            <w:pPr>
              <w:jc w:val="right"/>
              <w:rPr>
                <w:rFonts w:eastAsia="Times New Roman"/>
                <w:color w:val="C00000"/>
                <w:sz w:val="18"/>
                <w:szCs w:val="18"/>
              </w:rPr>
            </w:pPr>
            <w:r w:rsidRPr="00C42568">
              <w:rPr>
                <w:color w:val="C00000"/>
                <w:sz w:val="18"/>
                <w:szCs w:val="18"/>
              </w:rPr>
              <w:t>5.1%</w:t>
            </w:r>
          </w:p>
        </w:tc>
      </w:tr>
      <w:tr w:rsidR="00495305" w:rsidRPr="00E15D2C" w14:paraId="051EF775"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5E2C63B4" w14:textId="7109C1F3" w:rsidR="00495305" w:rsidRPr="00303466" w:rsidRDefault="00495305" w:rsidP="00495305">
            <w:pPr>
              <w:rPr>
                <w:rFonts w:eastAsia="Times New Roman"/>
                <w:color w:val="C00000"/>
                <w:sz w:val="18"/>
                <w:szCs w:val="18"/>
              </w:rPr>
            </w:pPr>
            <w:r w:rsidRPr="00303466">
              <w:rPr>
                <w:color w:val="C00000"/>
                <w:sz w:val="18"/>
                <w:szCs w:val="18"/>
              </w:rPr>
              <w:t>Construction [23]</w:t>
            </w:r>
          </w:p>
        </w:tc>
        <w:tc>
          <w:tcPr>
            <w:tcW w:w="958" w:type="dxa"/>
            <w:tcBorders>
              <w:top w:val="nil"/>
              <w:left w:val="nil"/>
              <w:bottom w:val="single" w:sz="4" w:space="0" w:color="BFBFBF"/>
              <w:right w:val="single" w:sz="4" w:space="0" w:color="BFBFBF"/>
            </w:tcBorders>
            <w:shd w:val="clear" w:color="000000" w:fill="F2F2F2"/>
            <w:noWrap/>
            <w:vAlign w:val="center"/>
            <w:hideMark/>
          </w:tcPr>
          <w:p w14:paraId="67F9D05F" w14:textId="4322A062" w:rsidR="00495305" w:rsidRPr="00C42568" w:rsidRDefault="00495305" w:rsidP="00495305">
            <w:pPr>
              <w:jc w:val="right"/>
              <w:rPr>
                <w:rFonts w:eastAsia="Times New Roman"/>
                <w:color w:val="C00000"/>
                <w:sz w:val="18"/>
                <w:szCs w:val="18"/>
              </w:rPr>
            </w:pPr>
            <w:r w:rsidRPr="00C42568">
              <w:rPr>
                <w:color w:val="C00000"/>
                <w:sz w:val="18"/>
                <w:szCs w:val="18"/>
              </w:rPr>
              <w:t>5.6%</w:t>
            </w:r>
          </w:p>
        </w:tc>
        <w:tc>
          <w:tcPr>
            <w:tcW w:w="958" w:type="dxa"/>
            <w:tcBorders>
              <w:top w:val="nil"/>
              <w:left w:val="nil"/>
              <w:bottom w:val="single" w:sz="4" w:space="0" w:color="BFBFBF"/>
              <w:right w:val="single" w:sz="4" w:space="0" w:color="BFBFBF"/>
            </w:tcBorders>
            <w:shd w:val="clear" w:color="000000" w:fill="F2F2F2"/>
            <w:noWrap/>
            <w:vAlign w:val="center"/>
            <w:hideMark/>
          </w:tcPr>
          <w:p w14:paraId="75BBC07F" w14:textId="2E4EA20C" w:rsidR="00495305" w:rsidRPr="00C42568" w:rsidRDefault="00495305" w:rsidP="00495305">
            <w:pPr>
              <w:jc w:val="right"/>
              <w:rPr>
                <w:rFonts w:eastAsia="Times New Roman"/>
                <w:color w:val="C00000"/>
                <w:sz w:val="18"/>
                <w:szCs w:val="18"/>
              </w:rPr>
            </w:pPr>
            <w:r w:rsidRPr="00C42568">
              <w:rPr>
                <w:color w:val="C00000"/>
                <w:sz w:val="18"/>
                <w:szCs w:val="18"/>
              </w:rPr>
              <w:t>7.7%</w:t>
            </w:r>
          </w:p>
        </w:tc>
        <w:tc>
          <w:tcPr>
            <w:tcW w:w="959" w:type="dxa"/>
            <w:tcBorders>
              <w:top w:val="nil"/>
              <w:left w:val="nil"/>
              <w:bottom w:val="single" w:sz="4" w:space="0" w:color="BFBFBF"/>
              <w:right w:val="single" w:sz="4" w:space="0" w:color="auto"/>
            </w:tcBorders>
            <w:shd w:val="clear" w:color="000000" w:fill="F2F2F2"/>
            <w:noWrap/>
            <w:vAlign w:val="center"/>
            <w:hideMark/>
          </w:tcPr>
          <w:p w14:paraId="3ED4CF3C" w14:textId="60963666" w:rsidR="00495305" w:rsidRPr="00C42568" w:rsidRDefault="00495305" w:rsidP="00495305">
            <w:pPr>
              <w:jc w:val="right"/>
              <w:rPr>
                <w:rFonts w:eastAsia="Times New Roman"/>
                <w:color w:val="C00000"/>
                <w:sz w:val="18"/>
                <w:szCs w:val="18"/>
              </w:rPr>
            </w:pPr>
            <w:r w:rsidRPr="00C42568">
              <w:rPr>
                <w:color w:val="C00000"/>
                <w:sz w:val="18"/>
                <w:szCs w:val="18"/>
              </w:rPr>
              <w:t>8.0%</w:t>
            </w:r>
          </w:p>
        </w:tc>
      </w:tr>
      <w:tr w:rsidR="00495305" w:rsidRPr="00E15D2C" w14:paraId="1E6F99DC"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noWrap/>
            <w:vAlign w:val="center"/>
            <w:hideMark/>
          </w:tcPr>
          <w:p w14:paraId="100801FF" w14:textId="2B7D921C" w:rsidR="00495305" w:rsidRPr="00303466" w:rsidRDefault="00495305" w:rsidP="00495305">
            <w:pPr>
              <w:rPr>
                <w:rFonts w:eastAsia="Times New Roman"/>
                <w:color w:val="C00000"/>
                <w:sz w:val="18"/>
                <w:szCs w:val="18"/>
              </w:rPr>
            </w:pPr>
            <w:r w:rsidRPr="00303466">
              <w:rPr>
                <w:color w:val="C00000"/>
                <w:sz w:val="18"/>
                <w:szCs w:val="18"/>
              </w:rPr>
              <w:t>Manufacturing [31-33]</w:t>
            </w:r>
          </w:p>
        </w:tc>
        <w:tc>
          <w:tcPr>
            <w:tcW w:w="958" w:type="dxa"/>
            <w:tcBorders>
              <w:top w:val="nil"/>
              <w:left w:val="nil"/>
              <w:bottom w:val="single" w:sz="4" w:space="0" w:color="BFBFBF"/>
              <w:right w:val="single" w:sz="4" w:space="0" w:color="BFBFBF"/>
            </w:tcBorders>
            <w:noWrap/>
            <w:vAlign w:val="center"/>
            <w:hideMark/>
          </w:tcPr>
          <w:p w14:paraId="1E4159D9" w14:textId="3D7CE463" w:rsidR="00495305" w:rsidRPr="00C42568" w:rsidRDefault="00495305" w:rsidP="00495305">
            <w:pPr>
              <w:jc w:val="right"/>
              <w:rPr>
                <w:rFonts w:eastAsia="Times New Roman"/>
                <w:color w:val="C00000"/>
                <w:sz w:val="18"/>
                <w:szCs w:val="18"/>
              </w:rPr>
            </w:pPr>
            <w:r w:rsidRPr="00C42568">
              <w:rPr>
                <w:color w:val="C00000"/>
                <w:sz w:val="18"/>
                <w:szCs w:val="18"/>
              </w:rPr>
              <w:t>5.2%</w:t>
            </w:r>
          </w:p>
        </w:tc>
        <w:tc>
          <w:tcPr>
            <w:tcW w:w="958" w:type="dxa"/>
            <w:tcBorders>
              <w:top w:val="nil"/>
              <w:left w:val="nil"/>
              <w:bottom w:val="single" w:sz="4" w:space="0" w:color="BFBFBF"/>
              <w:right w:val="single" w:sz="4" w:space="0" w:color="BFBFBF"/>
            </w:tcBorders>
            <w:noWrap/>
            <w:vAlign w:val="center"/>
            <w:hideMark/>
          </w:tcPr>
          <w:p w14:paraId="4C2094E0" w14:textId="271E8CF1" w:rsidR="00495305" w:rsidRPr="00C42568" w:rsidRDefault="00495305" w:rsidP="00495305">
            <w:pPr>
              <w:jc w:val="right"/>
              <w:rPr>
                <w:rFonts w:eastAsia="Times New Roman"/>
                <w:color w:val="C00000"/>
                <w:sz w:val="18"/>
                <w:szCs w:val="18"/>
              </w:rPr>
            </w:pPr>
            <w:r w:rsidRPr="00C42568">
              <w:rPr>
                <w:color w:val="C00000"/>
                <w:sz w:val="18"/>
                <w:szCs w:val="18"/>
              </w:rPr>
              <w:t>5.5%</w:t>
            </w:r>
          </w:p>
        </w:tc>
        <w:tc>
          <w:tcPr>
            <w:tcW w:w="959" w:type="dxa"/>
            <w:tcBorders>
              <w:top w:val="nil"/>
              <w:left w:val="nil"/>
              <w:bottom w:val="single" w:sz="4" w:space="0" w:color="BFBFBF"/>
              <w:right w:val="single" w:sz="4" w:space="0" w:color="auto"/>
            </w:tcBorders>
            <w:noWrap/>
            <w:vAlign w:val="center"/>
            <w:hideMark/>
          </w:tcPr>
          <w:p w14:paraId="18FC3450" w14:textId="7607961B" w:rsidR="00495305" w:rsidRPr="00C42568" w:rsidRDefault="00495305" w:rsidP="00495305">
            <w:pPr>
              <w:jc w:val="right"/>
              <w:rPr>
                <w:rFonts w:eastAsia="Times New Roman"/>
                <w:color w:val="C00000"/>
                <w:sz w:val="18"/>
                <w:szCs w:val="18"/>
              </w:rPr>
            </w:pPr>
            <w:r w:rsidRPr="00C42568">
              <w:rPr>
                <w:color w:val="C00000"/>
                <w:sz w:val="18"/>
                <w:szCs w:val="18"/>
              </w:rPr>
              <w:t>8.1%</w:t>
            </w:r>
          </w:p>
        </w:tc>
      </w:tr>
      <w:tr w:rsidR="00495305" w:rsidRPr="00E15D2C" w14:paraId="0FE65F1F" w14:textId="77777777" w:rsidTr="0008487E">
        <w:trPr>
          <w:trHeight w:val="402"/>
        </w:trPr>
        <w:tc>
          <w:tcPr>
            <w:tcW w:w="647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3A6E5AA0" w14:textId="24C848B9" w:rsidR="00495305" w:rsidRPr="00303466" w:rsidRDefault="00495305" w:rsidP="00495305">
            <w:pPr>
              <w:rPr>
                <w:rFonts w:eastAsia="Times New Roman"/>
                <w:color w:val="C00000"/>
                <w:sz w:val="18"/>
                <w:szCs w:val="18"/>
              </w:rPr>
            </w:pPr>
            <w:r w:rsidRPr="00303466">
              <w:rPr>
                <w:color w:val="C00000"/>
                <w:sz w:val="18"/>
                <w:szCs w:val="18"/>
              </w:rPr>
              <w:t>Administrative and support, waste management and remediation services [56]</w:t>
            </w:r>
          </w:p>
        </w:tc>
        <w:tc>
          <w:tcPr>
            <w:tcW w:w="958" w:type="dxa"/>
            <w:tcBorders>
              <w:top w:val="nil"/>
              <w:left w:val="nil"/>
              <w:bottom w:val="single" w:sz="4" w:space="0" w:color="BFBFBF"/>
              <w:right w:val="single" w:sz="4" w:space="0" w:color="BFBFBF"/>
            </w:tcBorders>
            <w:shd w:val="clear" w:color="000000" w:fill="F2F2F2"/>
            <w:noWrap/>
            <w:vAlign w:val="center"/>
            <w:hideMark/>
          </w:tcPr>
          <w:p w14:paraId="36976D77" w14:textId="71159A6C" w:rsidR="00495305" w:rsidRPr="00C42568" w:rsidRDefault="00495305" w:rsidP="00495305">
            <w:pPr>
              <w:jc w:val="right"/>
              <w:rPr>
                <w:rFonts w:eastAsia="Times New Roman"/>
                <w:color w:val="C00000"/>
                <w:sz w:val="18"/>
                <w:szCs w:val="18"/>
              </w:rPr>
            </w:pPr>
            <w:r w:rsidRPr="00C42568">
              <w:rPr>
                <w:color w:val="C00000"/>
                <w:sz w:val="18"/>
                <w:szCs w:val="18"/>
              </w:rPr>
              <w:t>4.7%</w:t>
            </w:r>
          </w:p>
        </w:tc>
        <w:tc>
          <w:tcPr>
            <w:tcW w:w="958" w:type="dxa"/>
            <w:tcBorders>
              <w:top w:val="nil"/>
              <w:left w:val="nil"/>
              <w:bottom w:val="single" w:sz="4" w:space="0" w:color="BFBFBF"/>
              <w:right w:val="single" w:sz="4" w:space="0" w:color="BFBFBF"/>
            </w:tcBorders>
            <w:shd w:val="clear" w:color="000000" w:fill="F2F2F2"/>
            <w:noWrap/>
            <w:vAlign w:val="center"/>
            <w:hideMark/>
          </w:tcPr>
          <w:p w14:paraId="6A4F30B1" w14:textId="6A964BD0" w:rsidR="00495305" w:rsidRPr="00C42568" w:rsidRDefault="00495305" w:rsidP="00495305">
            <w:pPr>
              <w:jc w:val="right"/>
              <w:rPr>
                <w:rFonts w:eastAsia="Times New Roman"/>
                <w:color w:val="C00000"/>
                <w:sz w:val="18"/>
                <w:szCs w:val="18"/>
              </w:rPr>
            </w:pPr>
            <w:r w:rsidRPr="00C42568">
              <w:rPr>
                <w:color w:val="C00000"/>
                <w:sz w:val="18"/>
                <w:szCs w:val="18"/>
              </w:rPr>
              <w:t>4.0%</w:t>
            </w:r>
          </w:p>
        </w:tc>
        <w:tc>
          <w:tcPr>
            <w:tcW w:w="959" w:type="dxa"/>
            <w:tcBorders>
              <w:top w:val="nil"/>
              <w:left w:val="nil"/>
              <w:bottom w:val="single" w:sz="4" w:space="0" w:color="BFBFBF"/>
              <w:right w:val="single" w:sz="4" w:space="0" w:color="auto"/>
            </w:tcBorders>
            <w:shd w:val="clear" w:color="000000" w:fill="F2F2F2"/>
            <w:noWrap/>
            <w:vAlign w:val="center"/>
            <w:hideMark/>
          </w:tcPr>
          <w:p w14:paraId="7B0BD48F" w14:textId="1E7706BD" w:rsidR="00495305" w:rsidRPr="00C42568" w:rsidRDefault="00495305" w:rsidP="00495305">
            <w:pPr>
              <w:jc w:val="right"/>
              <w:rPr>
                <w:rFonts w:eastAsia="Times New Roman"/>
                <w:color w:val="C00000"/>
                <w:sz w:val="18"/>
                <w:szCs w:val="18"/>
              </w:rPr>
            </w:pPr>
            <w:r w:rsidRPr="00C42568">
              <w:rPr>
                <w:color w:val="C00000"/>
                <w:sz w:val="18"/>
                <w:szCs w:val="18"/>
              </w:rPr>
              <w:t>3.6%</w:t>
            </w:r>
          </w:p>
        </w:tc>
      </w:tr>
      <w:tr w:rsidR="00495305" w:rsidRPr="00E15D2C" w14:paraId="00379C1E" w14:textId="77777777" w:rsidTr="0008487E">
        <w:trPr>
          <w:trHeight w:val="402"/>
        </w:trPr>
        <w:tc>
          <w:tcPr>
            <w:tcW w:w="6475" w:type="dxa"/>
            <w:tcBorders>
              <w:top w:val="single" w:sz="4" w:space="0" w:color="BFBFBF"/>
              <w:left w:val="single" w:sz="4" w:space="0" w:color="auto"/>
              <w:bottom w:val="single" w:sz="4" w:space="0" w:color="auto"/>
              <w:right w:val="single" w:sz="4" w:space="0" w:color="000000"/>
            </w:tcBorders>
            <w:noWrap/>
            <w:vAlign w:val="center"/>
            <w:hideMark/>
          </w:tcPr>
          <w:p w14:paraId="13DBF4C4" w14:textId="551DD01E" w:rsidR="00495305" w:rsidRPr="00303466" w:rsidRDefault="00495305" w:rsidP="00495305">
            <w:pPr>
              <w:rPr>
                <w:rFonts w:eastAsia="Times New Roman"/>
                <w:color w:val="C00000"/>
                <w:sz w:val="18"/>
                <w:szCs w:val="18"/>
              </w:rPr>
            </w:pPr>
            <w:r w:rsidRPr="00303466">
              <w:rPr>
                <w:color w:val="C00000"/>
                <w:sz w:val="18"/>
                <w:szCs w:val="18"/>
              </w:rPr>
              <w:t>Other services (except public administration) [81]</w:t>
            </w:r>
          </w:p>
        </w:tc>
        <w:tc>
          <w:tcPr>
            <w:tcW w:w="958" w:type="dxa"/>
            <w:tcBorders>
              <w:top w:val="nil"/>
              <w:left w:val="nil"/>
              <w:bottom w:val="single" w:sz="4" w:space="0" w:color="auto"/>
              <w:right w:val="single" w:sz="4" w:space="0" w:color="BFBFBF"/>
            </w:tcBorders>
            <w:noWrap/>
            <w:vAlign w:val="center"/>
            <w:hideMark/>
          </w:tcPr>
          <w:p w14:paraId="7849C822" w14:textId="0D0AEEFA" w:rsidR="00495305" w:rsidRPr="00C42568" w:rsidRDefault="00495305" w:rsidP="00495305">
            <w:pPr>
              <w:jc w:val="right"/>
              <w:rPr>
                <w:rFonts w:eastAsia="Times New Roman"/>
                <w:color w:val="C00000"/>
                <w:sz w:val="18"/>
                <w:szCs w:val="18"/>
              </w:rPr>
            </w:pPr>
            <w:r w:rsidRPr="00C42568">
              <w:rPr>
                <w:color w:val="C00000"/>
                <w:sz w:val="18"/>
                <w:szCs w:val="18"/>
              </w:rPr>
              <w:t>4.0%</w:t>
            </w:r>
          </w:p>
        </w:tc>
        <w:tc>
          <w:tcPr>
            <w:tcW w:w="958" w:type="dxa"/>
            <w:tcBorders>
              <w:top w:val="nil"/>
              <w:left w:val="nil"/>
              <w:bottom w:val="single" w:sz="4" w:space="0" w:color="auto"/>
              <w:right w:val="single" w:sz="4" w:space="0" w:color="BFBFBF"/>
            </w:tcBorders>
            <w:noWrap/>
            <w:vAlign w:val="center"/>
            <w:hideMark/>
          </w:tcPr>
          <w:p w14:paraId="418FC4C0" w14:textId="53536D30" w:rsidR="00495305" w:rsidRPr="00C42568" w:rsidRDefault="00495305" w:rsidP="00495305">
            <w:pPr>
              <w:jc w:val="right"/>
              <w:rPr>
                <w:rFonts w:eastAsia="Times New Roman"/>
                <w:color w:val="C00000"/>
                <w:sz w:val="18"/>
                <w:szCs w:val="18"/>
              </w:rPr>
            </w:pPr>
            <w:r w:rsidRPr="00C42568">
              <w:rPr>
                <w:color w:val="C00000"/>
                <w:sz w:val="18"/>
                <w:szCs w:val="18"/>
              </w:rPr>
              <w:t>4.3%</w:t>
            </w:r>
          </w:p>
        </w:tc>
        <w:tc>
          <w:tcPr>
            <w:tcW w:w="959" w:type="dxa"/>
            <w:tcBorders>
              <w:top w:val="nil"/>
              <w:left w:val="nil"/>
              <w:bottom w:val="single" w:sz="4" w:space="0" w:color="auto"/>
              <w:right w:val="single" w:sz="4" w:space="0" w:color="auto"/>
            </w:tcBorders>
            <w:noWrap/>
            <w:vAlign w:val="center"/>
            <w:hideMark/>
          </w:tcPr>
          <w:p w14:paraId="437BD217" w14:textId="45EEDBF1" w:rsidR="00495305" w:rsidRPr="00C42568" w:rsidRDefault="00495305" w:rsidP="00495305">
            <w:pPr>
              <w:jc w:val="right"/>
              <w:rPr>
                <w:rFonts w:eastAsia="Times New Roman"/>
                <w:color w:val="C00000"/>
                <w:sz w:val="18"/>
                <w:szCs w:val="18"/>
              </w:rPr>
            </w:pPr>
            <w:r w:rsidRPr="00C42568">
              <w:rPr>
                <w:color w:val="C00000"/>
                <w:sz w:val="18"/>
                <w:szCs w:val="18"/>
              </w:rPr>
              <w:t>4.4%</w:t>
            </w:r>
          </w:p>
        </w:tc>
      </w:tr>
    </w:tbl>
    <w:p w14:paraId="58CD3B21" w14:textId="6CA73D1B" w:rsidR="000304D5" w:rsidRPr="00354CBD" w:rsidRDefault="007E4680" w:rsidP="007E4680">
      <w:pPr>
        <w:pStyle w:val="Source"/>
      </w:pPr>
      <w:r w:rsidRPr="00354CBD">
        <w:t>Source: Statistics Canada 2021 Census Profile</w:t>
      </w:r>
    </w:p>
    <w:p w14:paraId="03638E29" w14:textId="77777777" w:rsidR="000304D5" w:rsidRPr="00354CBD" w:rsidRDefault="000304D5" w:rsidP="0017568B">
      <w:pPr>
        <w:jc w:val="both"/>
      </w:pPr>
    </w:p>
    <w:p w14:paraId="0D0EDD0A" w14:textId="44B0A7E0" w:rsidR="006A6A7D" w:rsidRDefault="006A6A7D" w:rsidP="006A6A7D">
      <w:pPr>
        <w:jc w:val="both"/>
      </w:pPr>
      <w:r>
        <w:t>Industries concentrated in lower-wage sectors, such as retail trade and accommodation and food services, may indicate elevated housing affordability challenges</w:t>
      </w:r>
      <w:r w:rsidR="00334CDE">
        <w:t>;</w:t>
      </w:r>
      <w:r>
        <w:t xml:space="preserve"> particularly</w:t>
      </w:r>
      <w:r w:rsidR="00334CDE">
        <w:t xml:space="preserve">, </w:t>
      </w:r>
      <w:r>
        <w:t>for renter households, as these sectors produce incomes that often fall below the threshold required to afford market-rate housing. Over-representation of public administration, health care, or educational services can indicate a more stable, wage-insulated employment base, though precarity exists at lower tiers of these sectors through part-time, casual, or contract positions.</w:t>
      </w:r>
    </w:p>
    <w:p w14:paraId="2B7DD72C" w14:textId="77777777" w:rsidR="006A6A7D" w:rsidRDefault="006A6A7D" w:rsidP="006A6A7D">
      <w:pPr>
        <w:jc w:val="both"/>
      </w:pPr>
    </w:p>
    <w:p w14:paraId="072D19FC" w14:textId="5C55EED9" w:rsidR="00544BBA" w:rsidRPr="003135DB" w:rsidRDefault="006A6A7D" w:rsidP="006A6A7D">
      <w:pPr>
        <w:jc w:val="both"/>
      </w:pPr>
      <w:r>
        <w:t xml:space="preserve">Industries with high proportions of seasonal or part-time employment, such as tourism, agriculture, and forestry, generate income volatility that compounds affordability risk for affected households. Concentrations that differ substantially from regional patterns may reflect the community's role as a </w:t>
      </w:r>
      <w:r w:rsidR="00C31A44">
        <w:t>hub</w:t>
      </w:r>
      <w:r w:rsidR="00DE06E4">
        <w:t xml:space="preserve"> or being close to </w:t>
      </w:r>
      <w:r>
        <w:t>service</w:t>
      </w:r>
      <w:r w:rsidR="00DE06E4">
        <w:t>s</w:t>
      </w:r>
      <w:r>
        <w:t>, institutional anchor</w:t>
      </w:r>
      <w:r w:rsidR="00DE06E4">
        <w:t>s</w:t>
      </w:r>
      <w:r>
        <w:t>, or resource extraction</w:t>
      </w:r>
      <w:r w:rsidR="00BD75C6">
        <w:t xml:space="preserve"> facilities</w:t>
      </w:r>
      <w:r>
        <w:t xml:space="preserve">, all of which shape both the volume and income profile of housing demand. </w:t>
      </w:r>
      <w:r w:rsidR="00316DC1">
        <w:t>I</w:t>
      </w:r>
      <w:r>
        <w:t>ndustries with exceptionally high representation of local employment indicate reliance on few sectors, increasing local susceptibility to disruption should those industries decline.</w:t>
      </w:r>
    </w:p>
    <w:p w14:paraId="5EFE287F" w14:textId="77777777" w:rsidR="003135DB" w:rsidRPr="003135DB" w:rsidRDefault="003135DB" w:rsidP="0017568B">
      <w:pPr>
        <w:jc w:val="both"/>
      </w:pPr>
    </w:p>
    <w:p w14:paraId="7F544E9A" w14:textId="39CB6DDE" w:rsidR="00946F15" w:rsidRDefault="0080531B" w:rsidP="00946F15">
      <w:pPr>
        <w:pStyle w:val="Heading3"/>
      </w:pPr>
      <w:r>
        <w:t>Commuting</w:t>
      </w:r>
    </w:p>
    <w:p w14:paraId="036ECE15" w14:textId="19366DC5" w:rsidR="006F463F" w:rsidRDefault="00D750ED" w:rsidP="002D709C">
      <w:pPr>
        <w:jc w:val="both"/>
      </w:pPr>
      <w:r w:rsidRPr="00D750ED">
        <w:rPr>
          <w:rStyle w:val="Figure-textChar"/>
        </w:rPr>
        <w:fldChar w:fldCharType="begin"/>
      </w:r>
      <w:r w:rsidRPr="00D750ED">
        <w:rPr>
          <w:rStyle w:val="Figure-textChar"/>
        </w:rPr>
        <w:instrText xml:space="preserve"> REF _Ref223274819 \h </w:instrText>
      </w:r>
      <w:r>
        <w:rPr>
          <w:rStyle w:val="Figure-textChar"/>
        </w:rPr>
        <w:instrText xml:space="preserve"> \* MERGEFORMAT </w:instrText>
      </w:r>
      <w:r w:rsidRPr="00D750ED">
        <w:rPr>
          <w:rStyle w:val="Figure-textChar"/>
        </w:rPr>
      </w:r>
      <w:r w:rsidRPr="00D750ED">
        <w:rPr>
          <w:rStyle w:val="Figure-textChar"/>
        </w:rPr>
        <w:fldChar w:fldCharType="separate"/>
      </w:r>
      <w:r w:rsidR="00CA6116" w:rsidRPr="00CA6116">
        <w:rPr>
          <w:rStyle w:val="Figure-textChar"/>
        </w:rPr>
        <w:t>Table 5.3</w:t>
      </w:r>
      <w:r w:rsidRPr="00D750ED">
        <w:rPr>
          <w:rStyle w:val="Figure-textChar"/>
        </w:rPr>
        <w:fldChar w:fldCharType="end"/>
      </w:r>
      <w:r>
        <w:t xml:space="preserve"> </w:t>
      </w:r>
      <w:r w:rsidR="004B1C5F">
        <w:t>identifies</w:t>
      </w:r>
      <w:r w:rsidR="0046569E" w:rsidRPr="0046569E">
        <w:t xml:space="preserve"> the primary origins and destinations of workers</w:t>
      </w:r>
      <w:r w:rsidR="00DD40E2">
        <w:t xml:space="preserve"> (with a usual place of work)</w:t>
      </w:r>
      <w:r w:rsidR="0046569E" w:rsidRPr="0046569E">
        <w:t xml:space="preserve"> </w:t>
      </w:r>
      <w:r w:rsidR="00F30DE7">
        <w:t>traveling</w:t>
      </w:r>
      <w:r w:rsidR="0046569E" w:rsidRPr="0046569E">
        <w:t xml:space="preserve"> to and from </w:t>
      </w:r>
      <w:r w:rsidR="00F30DE7">
        <w:t>a</w:t>
      </w:r>
      <w:r w:rsidR="0046569E" w:rsidRPr="0046569E">
        <w:t xml:space="preserve"> </w:t>
      </w:r>
      <w:r w:rsidR="00F30DE7">
        <w:t>subject</w:t>
      </w:r>
      <w:r w:rsidR="0046569E" w:rsidRPr="0046569E">
        <w:t xml:space="preserve"> community, </w:t>
      </w:r>
      <w:r w:rsidR="00F30DE7">
        <w:t>placing</w:t>
      </w:r>
      <w:r w:rsidR="0046569E" w:rsidRPr="0046569E">
        <w:t xml:space="preserve"> it within its </w:t>
      </w:r>
      <w:r w:rsidR="00F30DE7">
        <w:t>broader</w:t>
      </w:r>
      <w:r w:rsidR="0046569E" w:rsidRPr="0046569E">
        <w:t xml:space="preserve"> labour market context and revealing the </w:t>
      </w:r>
      <w:r w:rsidR="00F30DE7">
        <w:t>connection</w:t>
      </w:r>
      <w:r w:rsidR="0046569E" w:rsidRPr="0046569E">
        <w:t xml:space="preserve"> between where people work and where they choose or are able to live.</w:t>
      </w:r>
      <w:r w:rsidR="00B255D1">
        <w:t xml:space="preserve"> </w:t>
      </w:r>
    </w:p>
    <w:p w14:paraId="158C969D" w14:textId="77777777" w:rsidR="00FB291A" w:rsidRDefault="00FB291A" w:rsidP="0017568B"/>
    <w:p w14:paraId="732A8DDF" w14:textId="5F68B27C" w:rsidR="000D159F" w:rsidRDefault="000D159F" w:rsidP="000D159F">
      <w:pPr>
        <w:pStyle w:val="Caption"/>
      </w:pPr>
      <w:bookmarkStart w:id="30" w:name="_Ref223274819"/>
      <w:r>
        <w:t xml:space="preserve">Table </w:t>
      </w:r>
      <w:fldSimple w:instr=" STYLEREF 1 \s ">
        <w:r w:rsidR="005E459C">
          <w:rPr>
            <w:noProof/>
          </w:rPr>
          <w:t>5</w:t>
        </w:r>
      </w:fldSimple>
      <w:r w:rsidR="00BD4359">
        <w:t>.</w:t>
      </w:r>
      <w:fldSimple w:instr=" SEQ Table \* ARABIC \s 1 ">
        <w:r w:rsidR="005E459C">
          <w:rPr>
            <w:noProof/>
          </w:rPr>
          <w:t>3</w:t>
        </w:r>
      </w:fldSimple>
      <w:bookmarkEnd w:id="30"/>
      <w:r>
        <w:t>: Top 5 origins and destinations of commuters relative to the local community, 2021</w:t>
      </w:r>
    </w:p>
    <w:tbl>
      <w:tblPr>
        <w:tblW w:w="9355" w:type="dxa"/>
        <w:tblLayout w:type="fixed"/>
        <w:tblLook w:val="04A0" w:firstRow="1" w:lastRow="0" w:firstColumn="1" w:lastColumn="0" w:noHBand="0" w:noVBand="1"/>
      </w:tblPr>
      <w:tblGrid>
        <w:gridCol w:w="1975"/>
        <w:gridCol w:w="1260"/>
        <w:gridCol w:w="1260"/>
        <w:gridCol w:w="360"/>
        <w:gridCol w:w="1980"/>
        <w:gridCol w:w="1260"/>
        <w:gridCol w:w="1260"/>
      </w:tblGrid>
      <w:tr w:rsidR="00EC1382" w:rsidRPr="00462BA9" w14:paraId="0921E858" w14:textId="77777777" w:rsidTr="00AC0102">
        <w:trPr>
          <w:trHeight w:val="692"/>
          <w:tblHeader/>
        </w:trPr>
        <w:tc>
          <w:tcPr>
            <w:tcW w:w="1975" w:type="dxa"/>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2263F436" w14:textId="0D8B0EB3" w:rsidR="00EC1382" w:rsidRPr="00462BA9" w:rsidRDefault="00635BDD" w:rsidP="00EC1382">
            <w:pPr>
              <w:rPr>
                <w:rFonts w:eastAsia="Times New Roman"/>
                <w:color w:val="FFFFFF"/>
                <w:sz w:val="18"/>
                <w:szCs w:val="18"/>
              </w:rPr>
            </w:pPr>
            <w:r>
              <w:rPr>
                <w:color w:val="FFFFFF"/>
                <w:sz w:val="18"/>
                <w:szCs w:val="18"/>
              </w:rPr>
              <w:t>Top 5 origins of commuters</w:t>
            </w:r>
            <w:r w:rsidR="009455AC">
              <w:rPr>
                <w:color w:val="FFFFFF"/>
                <w:sz w:val="18"/>
                <w:szCs w:val="18"/>
              </w:rPr>
              <w:t xml:space="preserve"> to the study area</w:t>
            </w:r>
          </w:p>
        </w:tc>
        <w:tc>
          <w:tcPr>
            <w:tcW w:w="1260" w:type="dxa"/>
            <w:tcBorders>
              <w:top w:val="single" w:sz="4" w:space="0" w:color="auto"/>
              <w:left w:val="nil"/>
              <w:bottom w:val="single" w:sz="4" w:space="0" w:color="auto"/>
              <w:right w:val="single" w:sz="4" w:space="0" w:color="BFBFBF"/>
            </w:tcBorders>
            <w:shd w:val="clear" w:color="auto" w:fill="006B5F" w:themeFill="accent2"/>
            <w:noWrap/>
            <w:vAlign w:val="center"/>
            <w:hideMark/>
          </w:tcPr>
          <w:p w14:paraId="6F9C87D1" w14:textId="552B58B0" w:rsidR="00EC1382" w:rsidRPr="00462BA9" w:rsidRDefault="00EC1382" w:rsidP="00EC1382">
            <w:pPr>
              <w:jc w:val="right"/>
              <w:rPr>
                <w:rFonts w:eastAsia="Times New Roman"/>
                <w:color w:val="FFFFFF"/>
                <w:sz w:val="18"/>
                <w:szCs w:val="18"/>
              </w:rPr>
            </w:pPr>
            <w:r>
              <w:rPr>
                <w:color w:val="FFFFFF"/>
                <w:sz w:val="18"/>
                <w:szCs w:val="18"/>
              </w:rPr>
              <w:t>Total people</w:t>
            </w:r>
            <w:r w:rsidR="00184555">
              <w:rPr>
                <w:color w:val="FFFFFF"/>
                <w:sz w:val="18"/>
                <w:szCs w:val="18"/>
              </w:rPr>
              <w:t xml:space="preserve"> commuting</w:t>
            </w:r>
          </w:p>
        </w:tc>
        <w:tc>
          <w:tcPr>
            <w:tcW w:w="1260" w:type="dxa"/>
            <w:tcBorders>
              <w:top w:val="single" w:sz="4" w:space="0" w:color="auto"/>
              <w:left w:val="nil"/>
              <w:bottom w:val="single" w:sz="4" w:space="0" w:color="auto"/>
              <w:right w:val="single" w:sz="4" w:space="0" w:color="auto"/>
            </w:tcBorders>
            <w:shd w:val="clear" w:color="auto" w:fill="006B5F" w:themeFill="accent2"/>
            <w:noWrap/>
            <w:vAlign w:val="center"/>
            <w:hideMark/>
          </w:tcPr>
          <w:p w14:paraId="631352B6" w14:textId="6DC81B8C" w:rsidR="00EC1382" w:rsidRPr="00462BA9" w:rsidRDefault="00EC1382" w:rsidP="00EC1382">
            <w:pPr>
              <w:jc w:val="right"/>
              <w:rPr>
                <w:rFonts w:eastAsia="Times New Roman"/>
                <w:color w:val="FFFFFF"/>
                <w:sz w:val="18"/>
                <w:szCs w:val="18"/>
              </w:rPr>
            </w:pPr>
            <w:r>
              <w:rPr>
                <w:color w:val="FFFFFF"/>
                <w:sz w:val="18"/>
                <w:szCs w:val="18"/>
              </w:rPr>
              <w:t>% of</w:t>
            </w:r>
            <w:r w:rsidR="00D95598">
              <w:rPr>
                <w:color w:val="FFFFFF"/>
                <w:sz w:val="18"/>
                <w:szCs w:val="18"/>
              </w:rPr>
              <w:t xml:space="preserve"> origin’s</w:t>
            </w:r>
            <w:r>
              <w:rPr>
                <w:color w:val="FFFFFF"/>
                <w:sz w:val="18"/>
                <w:szCs w:val="18"/>
              </w:rPr>
              <w:t xml:space="preserve"> commuters</w:t>
            </w:r>
          </w:p>
        </w:tc>
        <w:tc>
          <w:tcPr>
            <w:tcW w:w="360" w:type="dxa"/>
            <w:tcBorders>
              <w:top w:val="nil"/>
              <w:left w:val="nil"/>
              <w:bottom w:val="nil"/>
              <w:right w:val="nil"/>
            </w:tcBorders>
            <w:noWrap/>
            <w:vAlign w:val="bottom"/>
            <w:hideMark/>
          </w:tcPr>
          <w:p w14:paraId="7758FEA2" w14:textId="77777777" w:rsidR="00EC1382" w:rsidRPr="00462BA9" w:rsidRDefault="00EC1382" w:rsidP="00EC1382">
            <w:pPr>
              <w:jc w:val="right"/>
              <w:rPr>
                <w:rFonts w:eastAsia="Times New Roman"/>
                <w:color w:val="FFFFFF"/>
                <w:sz w:val="18"/>
                <w:szCs w:val="18"/>
              </w:rPr>
            </w:pPr>
          </w:p>
        </w:tc>
        <w:tc>
          <w:tcPr>
            <w:tcW w:w="1980" w:type="dxa"/>
            <w:tcBorders>
              <w:top w:val="single" w:sz="4" w:space="0" w:color="auto"/>
              <w:left w:val="single" w:sz="4" w:space="0" w:color="auto"/>
              <w:bottom w:val="single" w:sz="4" w:space="0" w:color="auto"/>
              <w:right w:val="single" w:sz="4" w:space="0" w:color="000000"/>
            </w:tcBorders>
            <w:shd w:val="clear" w:color="auto" w:fill="080314" w:themeFill="accent4"/>
            <w:noWrap/>
            <w:vAlign w:val="center"/>
            <w:hideMark/>
          </w:tcPr>
          <w:p w14:paraId="2C2D89FC" w14:textId="257A6581" w:rsidR="00EC1382" w:rsidRPr="00462BA9" w:rsidRDefault="00635BDD" w:rsidP="00EC1382">
            <w:pPr>
              <w:rPr>
                <w:rFonts w:eastAsia="Times New Roman"/>
                <w:color w:val="FFFFFF"/>
                <w:sz w:val="18"/>
                <w:szCs w:val="18"/>
              </w:rPr>
            </w:pPr>
            <w:r>
              <w:rPr>
                <w:color w:val="FFFFFF"/>
                <w:sz w:val="18"/>
                <w:szCs w:val="18"/>
              </w:rPr>
              <w:t>Top 5 destinations of commuters</w:t>
            </w:r>
            <w:r w:rsidR="009455AC">
              <w:rPr>
                <w:color w:val="FFFFFF"/>
                <w:sz w:val="18"/>
                <w:szCs w:val="18"/>
              </w:rPr>
              <w:t xml:space="preserve"> from the study area</w:t>
            </w:r>
          </w:p>
        </w:tc>
        <w:tc>
          <w:tcPr>
            <w:tcW w:w="1260" w:type="dxa"/>
            <w:tcBorders>
              <w:top w:val="single" w:sz="4" w:space="0" w:color="auto"/>
              <w:left w:val="nil"/>
              <w:bottom w:val="single" w:sz="4" w:space="0" w:color="auto"/>
              <w:right w:val="single" w:sz="4" w:space="0" w:color="BFBFBF"/>
            </w:tcBorders>
            <w:shd w:val="clear" w:color="auto" w:fill="080314" w:themeFill="accent4"/>
            <w:noWrap/>
            <w:vAlign w:val="center"/>
            <w:hideMark/>
          </w:tcPr>
          <w:p w14:paraId="6A134935" w14:textId="5DD5C3CC" w:rsidR="00EC1382" w:rsidRPr="00462BA9" w:rsidRDefault="00EC1382" w:rsidP="00EC1382">
            <w:pPr>
              <w:jc w:val="right"/>
              <w:rPr>
                <w:rFonts w:eastAsia="Times New Roman"/>
                <w:color w:val="FFFFFF"/>
                <w:sz w:val="18"/>
                <w:szCs w:val="18"/>
              </w:rPr>
            </w:pPr>
            <w:r>
              <w:rPr>
                <w:color w:val="FFFFFF"/>
                <w:sz w:val="18"/>
                <w:szCs w:val="18"/>
              </w:rPr>
              <w:t>Total people</w:t>
            </w:r>
            <w:r w:rsidR="00184555">
              <w:rPr>
                <w:color w:val="FFFFFF"/>
                <w:sz w:val="18"/>
                <w:szCs w:val="18"/>
              </w:rPr>
              <w:t xml:space="preserve"> commuting</w:t>
            </w:r>
          </w:p>
        </w:tc>
        <w:tc>
          <w:tcPr>
            <w:tcW w:w="1260" w:type="dxa"/>
            <w:tcBorders>
              <w:top w:val="single" w:sz="4" w:space="0" w:color="auto"/>
              <w:left w:val="nil"/>
              <w:bottom w:val="single" w:sz="4" w:space="0" w:color="auto"/>
              <w:right w:val="single" w:sz="4" w:space="0" w:color="auto"/>
            </w:tcBorders>
            <w:shd w:val="clear" w:color="auto" w:fill="080314" w:themeFill="accent4"/>
            <w:noWrap/>
            <w:vAlign w:val="center"/>
            <w:hideMark/>
          </w:tcPr>
          <w:p w14:paraId="00EC6D18" w14:textId="4BA125F3" w:rsidR="00EC1382" w:rsidRPr="00462BA9" w:rsidRDefault="00EC1382" w:rsidP="00EC1382">
            <w:pPr>
              <w:jc w:val="right"/>
              <w:rPr>
                <w:rFonts w:eastAsia="Times New Roman"/>
                <w:color w:val="FFFFFF"/>
                <w:sz w:val="18"/>
                <w:szCs w:val="18"/>
              </w:rPr>
            </w:pPr>
            <w:r>
              <w:rPr>
                <w:color w:val="FFFFFF"/>
                <w:sz w:val="18"/>
                <w:szCs w:val="18"/>
              </w:rPr>
              <w:t>% of</w:t>
            </w:r>
            <w:r w:rsidR="00D95598">
              <w:rPr>
                <w:color w:val="FFFFFF"/>
                <w:sz w:val="18"/>
                <w:szCs w:val="18"/>
              </w:rPr>
              <w:t xml:space="preserve"> des</w:t>
            </w:r>
            <w:r w:rsidR="00AC0102">
              <w:rPr>
                <w:color w:val="FFFFFF"/>
                <w:sz w:val="18"/>
                <w:szCs w:val="18"/>
              </w:rPr>
              <w:t>tination’s</w:t>
            </w:r>
            <w:r>
              <w:rPr>
                <w:color w:val="FFFFFF"/>
                <w:sz w:val="18"/>
                <w:szCs w:val="18"/>
              </w:rPr>
              <w:t xml:space="preserve"> commuters</w:t>
            </w:r>
          </w:p>
        </w:tc>
      </w:tr>
      <w:tr w:rsidR="00EC1382" w:rsidRPr="00462BA9" w14:paraId="3AE86886" w14:textId="77777777" w:rsidTr="00FE4BA0">
        <w:trPr>
          <w:trHeight w:val="402"/>
        </w:trPr>
        <w:tc>
          <w:tcPr>
            <w:tcW w:w="1975"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74DB3B67" w14:textId="1E2E6713" w:rsidR="00EC1382" w:rsidRPr="00F63C56" w:rsidRDefault="00EC1382" w:rsidP="00EC1382">
            <w:pPr>
              <w:rPr>
                <w:rFonts w:eastAsia="Times New Roman"/>
                <w:color w:val="C00000"/>
                <w:sz w:val="18"/>
                <w:szCs w:val="18"/>
              </w:rPr>
            </w:pPr>
            <w:r w:rsidRPr="00F63C56">
              <w:rPr>
                <w:color w:val="C00000"/>
                <w:sz w:val="18"/>
                <w:szCs w:val="18"/>
              </w:rPr>
              <w:t>Charlottetown, P.E.I.</w:t>
            </w:r>
          </w:p>
        </w:tc>
        <w:tc>
          <w:tcPr>
            <w:tcW w:w="1260" w:type="dxa"/>
            <w:tcBorders>
              <w:top w:val="nil"/>
              <w:left w:val="nil"/>
              <w:bottom w:val="single" w:sz="4" w:space="0" w:color="BFBFBF"/>
              <w:right w:val="single" w:sz="4" w:space="0" w:color="BFBFBF"/>
            </w:tcBorders>
            <w:shd w:val="clear" w:color="000000" w:fill="F2F2F2"/>
            <w:noWrap/>
            <w:vAlign w:val="center"/>
            <w:hideMark/>
          </w:tcPr>
          <w:p w14:paraId="1982D60B" w14:textId="1036258C" w:rsidR="00EC1382" w:rsidRPr="00C42568" w:rsidRDefault="00EC1382" w:rsidP="00EC1382">
            <w:pPr>
              <w:jc w:val="right"/>
              <w:rPr>
                <w:rFonts w:eastAsia="Times New Roman"/>
                <w:color w:val="C00000"/>
                <w:sz w:val="18"/>
                <w:szCs w:val="18"/>
              </w:rPr>
            </w:pPr>
            <w:r w:rsidRPr="00C42568">
              <w:rPr>
                <w:color w:val="C00000"/>
                <w:sz w:val="18"/>
                <w:szCs w:val="18"/>
              </w:rPr>
              <w:t>11,680</w:t>
            </w:r>
          </w:p>
        </w:tc>
        <w:tc>
          <w:tcPr>
            <w:tcW w:w="1260" w:type="dxa"/>
            <w:tcBorders>
              <w:top w:val="nil"/>
              <w:left w:val="nil"/>
              <w:bottom w:val="single" w:sz="4" w:space="0" w:color="BFBFBF"/>
              <w:right w:val="single" w:sz="4" w:space="0" w:color="auto"/>
            </w:tcBorders>
            <w:shd w:val="clear" w:color="000000" w:fill="F2F2F2"/>
            <w:noWrap/>
            <w:vAlign w:val="center"/>
            <w:hideMark/>
          </w:tcPr>
          <w:p w14:paraId="4B5A2A5A" w14:textId="43EA0454" w:rsidR="00EC1382" w:rsidRPr="00C42568" w:rsidRDefault="00EC1382" w:rsidP="00EC1382">
            <w:pPr>
              <w:jc w:val="right"/>
              <w:rPr>
                <w:rFonts w:eastAsia="Times New Roman"/>
                <w:color w:val="C00000"/>
                <w:sz w:val="18"/>
                <w:szCs w:val="18"/>
              </w:rPr>
            </w:pPr>
            <w:r w:rsidRPr="00C42568">
              <w:rPr>
                <w:color w:val="C00000"/>
                <w:sz w:val="18"/>
                <w:szCs w:val="18"/>
              </w:rPr>
              <w:t>83%</w:t>
            </w:r>
          </w:p>
        </w:tc>
        <w:tc>
          <w:tcPr>
            <w:tcW w:w="360" w:type="dxa"/>
            <w:tcBorders>
              <w:top w:val="nil"/>
              <w:left w:val="nil"/>
              <w:bottom w:val="nil"/>
              <w:right w:val="nil"/>
            </w:tcBorders>
            <w:noWrap/>
            <w:vAlign w:val="bottom"/>
            <w:hideMark/>
          </w:tcPr>
          <w:p w14:paraId="5D17AE0A" w14:textId="77777777" w:rsidR="00EC1382" w:rsidRPr="00462BA9" w:rsidRDefault="00EC1382" w:rsidP="00EC1382">
            <w:pPr>
              <w:jc w:val="right"/>
              <w:rPr>
                <w:rFonts w:eastAsia="Times New Roman"/>
                <w:color w:val="0D0D0D"/>
                <w:sz w:val="18"/>
                <w:szCs w:val="18"/>
              </w:rPr>
            </w:pPr>
          </w:p>
        </w:tc>
        <w:tc>
          <w:tcPr>
            <w:tcW w:w="1980"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707C8C52" w14:textId="4F63F4D0" w:rsidR="00EC1382" w:rsidRPr="00F63C56" w:rsidRDefault="00EC1382" w:rsidP="00EC1382">
            <w:pPr>
              <w:rPr>
                <w:rFonts w:eastAsia="Times New Roman"/>
                <w:color w:val="C00000"/>
                <w:sz w:val="18"/>
                <w:szCs w:val="18"/>
              </w:rPr>
            </w:pPr>
            <w:r w:rsidRPr="00F63C56">
              <w:rPr>
                <w:color w:val="C00000"/>
                <w:sz w:val="18"/>
                <w:szCs w:val="18"/>
              </w:rPr>
              <w:t>Charlottetown, P.E.I.</w:t>
            </w:r>
          </w:p>
        </w:tc>
        <w:tc>
          <w:tcPr>
            <w:tcW w:w="1260" w:type="dxa"/>
            <w:tcBorders>
              <w:top w:val="nil"/>
              <w:left w:val="nil"/>
              <w:bottom w:val="single" w:sz="4" w:space="0" w:color="BFBFBF"/>
              <w:right w:val="single" w:sz="4" w:space="0" w:color="BFBFBF"/>
            </w:tcBorders>
            <w:shd w:val="clear" w:color="000000" w:fill="F2F2F2"/>
            <w:noWrap/>
            <w:vAlign w:val="center"/>
            <w:hideMark/>
          </w:tcPr>
          <w:p w14:paraId="75202C0F" w14:textId="3206089B" w:rsidR="00EC1382" w:rsidRPr="00C42568" w:rsidRDefault="00EC1382" w:rsidP="00EC1382">
            <w:pPr>
              <w:jc w:val="right"/>
              <w:rPr>
                <w:rFonts w:eastAsia="Times New Roman"/>
                <w:color w:val="C00000"/>
                <w:sz w:val="18"/>
                <w:szCs w:val="18"/>
              </w:rPr>
            </w:pPr>
            <w:r w:rsidRPr="00C42568">
              <w:rPr>
                <w:color w:val="C00000"/>
                <w:sz w:val="18"/>
                <w:szCs w:val="18"/>
              </w:rPr>
              <w:t>11,680</w:t>
            </w:r>
          </w:p>
        </w:tc>
        <w:tc>
          <w:tcPr>
            <w:tcW w:w="1260" w:type="dxa"/>
            <w:tcBorders>
              <w:top w:val="nil"/>
              <w:left w:val="nil"/>
              <w:bottom w:val="single" w:sz="4" w:space="0" w:color="BFBFBF"/>
              <w:right w:val="single" w:sz="4" w:space="0" w:color="auto"/>
            </w:tcBorders>
            <w:shd w:val="clear" w:color="000000" w:fill="F2F2F2"/>
            <w:noWrap/>
            <w:vAlign w:val="center"/>
            <w:hideMark/>
          </w:tcPr>
          <w:p w14:paraId="6E472878" w14:textId="01E470D9" w:rsidR="00EC1382" w:rsidRPr="00C42568" w:rsidRDefault="00EC1382" w:rsidP="00EC1382">
            <w:pPr>
              <w:jc w:val="right"/>
              <w:rPr>
                <w:rFonts w:eastAsia="Times New Roman"/>
                <w:color w:val="C00000"/>
                <w:sz w:val="18"/>
                <w:szCs w:val="18"/>
              </w:rPr>
            </w:pPr>
            <w:r w:rsidRPr="00C42568">
              <w:rPr>
                <w:color w:val="C00000"/>
                <w:sz w:val="18"/>
                <w:szCs w:val="18"/>
              </w:rPr>
              <w:t>83%</w:t>
            </w:r>
          </w:p>
        </w:tc>
      </w:tr>
      <w:tr w:rsidR="00EC1382" w:rsidRPr="00462BA9" w14:paraId="4C7F6DB1" w14:textId="77777777" w:rsidTr="00FE4BA0">
        <w:trPr>
          <w:trHeight w:val="402"/>
        </w:trPr>
        <w:tc>
          <w:tcPr>
            <w:tcW w:w="1975" w:type="dxa"/>
            <w:tcBorders>
              <w:top w:val="single" w:sz="4" w:space="0" w:color="BFBFBF"/>
              <w:left w:val="single" w:sz="4" w:space="0" w:color="auto"/>
              <w:bottom w:val="single" w:sz="4" w:space="0" w:color="BFBFBF"/>
              <w:right w:val="single" w:sz="4" w:space="0" w:color="000000"/>
            </w:tcBorders>
            <w:noWrap/>
            <w:vAlign w:val="center"/>
            <w:hideMark/>
          </w:tcPr>
          <w:p w14:paraId="00FEA9EF" w14:textId="622D0407" w:rsidR="00EC1382" w:rsidRPr="00F63C56" w:rsidRDefault="00EC1382" w:rsidP="00EC1382">
            <w:pPr>
              <w:rPr>
                <w:rFonts w:eastAsia="Times New Roman"/>
                <w:color w:val="C00000"/>
                <w:sz w:val="18"/>
                <w:szCs w:val="18"/>
              </w:rPr>
            </w:pPr>
            <w:r w:rsidRPr="00F63C56">
              <w:rPr>
                <w:color w:val="C00000"/>
                <w:sz w:val="18"/>
                <w:szCs w:val="18"/>
              </w:rPr>
              <w:t>Stratford, P.E.I.</w:t>
            </w:r>
          </w:p>
        </w:tc>
        <w:tc>
          <w:tcPr>
            <w:tcW w:w="1260" w:type="dxa"/>
            <w:tcBorders>
              <w:top w:val="nil"/>
              <w:left w:val="nil"/>
              <w:bottom w:val="single" w:sz="4" w:space="0" w:color="BFBFBF"/>
              <w:right w:val="single" w:sz="4" w:space="0" w:color="BFBFBF"/>
            </w:tcBorders>
            <w:noWrap/>
            <w:vAlign w:val="center"/>
            <w:hideMark/>
          </w:tcPr>
          <w:p w14:paraId="44C9F3B7" w14:textId="51DC569E" w:rsidR="00EC1382" w:rsidRPr="00C42568" w:rsidRDefault="00EC1382" w:rsidP="00EC1382">
            <w:pPr>
              <w:jc w:val="right"/>
              <w:rPr>
                <w:rFonts w:eastAsia="Times New Roman"/>
                <w:color w:val="C00000"/>
                <w:sz w:val="18"/>
                <w:szCs w:val="18"/>
              </w:rPr>
            </w:pPr>
            <w:r w:rsidRPr="00C42568">
              <w:rPr>
                <w:color w:val="C00000"/>
                <w:sz w:val="18"/>
                <w:szCs w:val="18"/>
              </w:rPr>
              <w:t>2,615</w:t>
            </w:r>
          </w:p>
        </w:tc>
        <w:tc>
          <w:tcPr>
            <w:tcW w:w="1260" w:type="dxa"/>
            <w:tcBorders>
              <w:top w:val="nil"/>
              <w:left w:val="nil"/>
              <w:bottom w:val="single" w:sz="4" w:space="0" w:color="BFBFBF"/>
              <w:right w:val="single" w:sz="4" w:space="0" w:color="auto"/>
            </w:tcBorders>
            <w:noWrap/>
            <w:vAlign w:val="center"/>
            <w:hideMark/>
          </w:tcPr>
          <w:p w14:paraId="12978EAC" w14:textId="02635E7D" w:rsidR="00EC1382" w:rsidRPr="00C42568" w:rsidRDefault="00EC1382" w:rsidP="00EC1382">
            <w:pPr>
              <w:jc w:val="right"/>
              <w:rPr>
                <w:rFonts w:eastAsia="Times New Roman"/>
                <w:color w:val="C00000"/>
                <w:sz w:val="18"/>
                <w:szCs w:val="18"/>
              </w:rPr>
            </w:pPr>
            <w:r w:rsidRPr="00C42568">
              <w:rPr>
                <w:color w:val="C00000"/>
                <w:sz w:val="18"/>
                <w:szCs w:val="18"/>
              </w:rPr>
              <w:t>70%</w:t>
            </w:r>
          </w:p>
        </w:tc>
        <w:tc>
          <w:tcPr>
            <w:tcW w:w="360" w:type="dxa"/>
            <w:tcBorders>
              <w:top w:val="nil"/>
              <w:left w:val="nil"/>
              <w:bottom w:val="nil"/>
              <w:right w:val="nil"/>
            </w:tcBorders>
            <w:noWrap/>
            <w:vAlign w:val="bottom"/>
            <w:hideMark/>
          </w:tcPr>
          <w:p w14:paraId="5B491D99" w14:textId="77777777" w:rsidR="00EC1382" w:rsidRPr="00462BA9" w:rsidRDefault="00EC1382" w:rsidP="00EC1382">
            <w:pPr>
              <w:jc w:val="right"/>
              <w:rPr>
                <w:rFonts w:eastAsia="Times New Roman"/>
                <w:color w:val="0D0D0D"/>
                <w:sz w:val="18"/>
                <w:szCs w:val="18"/>
              </w:rPr>
            </w:pPr>
          </w:p>
        </w:tc>
        <w:tc>
          <w:tcPr>
            <w:tcW w:w="1980" w:type="dxa"/>
            <w:tcBorders>
              <w:top w:val="single" w:sz="4" w:space="0" w:color="BFBFBF"/>
              <w:left w:val="single" w:sz="4" w:space="0" w:color="auto"/>
              <w:bottom w:val="single" w:sz="4" w:space="0" w:color="BFBFBF"/>
              <w:right w:val="single" w:sz="4" w:space="0" w:color="000000"/>
            </w:tcBorders>
            <w:noWrap/>
            <w:vAlign w:val="center"/>
            <w:hideMark/>
          </w:tcPr>
          <w:p w14:paraId="1F014A81" w14:textId="7B507D0E" w:rsidR="00EC1382" w:rsidRPr="00F63C56" w:rsidRDefault="00EC1382" w:rsidP="00EC1382">
            <w:pPr>
              <w:rPr>
                <w:rFonts w:eastAsia="Times New Roman"/>
                <w:color w:val="C00000"/>
                <w:sz w:val="18"/>
                <w:szCs w:val="18"/>
              </w:rPr>
            </w:pPr>
            <w:r w:rsidRPr="00F63C56">
              <w:rPr>
                <w:color w:val="C00000"/>
                <w:sz w:val="18"/>
                <w:szCs w:val="18"/>
              </w:rPr>
              <w:t>Stratford, P.E.I.</w:t>
            </w:r>
          </w:p>
        </w:tc>
        <w:tc>
          <w:tcPr>
            <w:tcW w:w="1260" w:type="dxa"/>
            <w:tcBorders>
              <w:top w:val="nil"/>
              <w:left w:val="nil"/>
              <w:bottom w:val="single" w:sz="4" w:space="0" w:color="BFBFBF"/>
              <w:right w:val="single" w:sz="4" w:space="0" w:color="BFBFBF"/>
            </w:tcBorders>
            <w:noWrap/>
            <w:vAlign w:val="center"/>
            <w:hideMark/>
          </w:tcPr>
          <w:p w14:paraId="0F93FB20" w14:textId="2C6C5DBC" w:rsidR="00EC1382" w:rsidRPr="00C42568" w:rsidRDefault="00EC1382" w:rsidP="00EC1382">
            <w:pPr>
              <w:jc w:val="right"/>
              <w:rPr>
                <w:rFonts w:eastAsia="Times New Roman"/>
                <w:color w:val="C00000"/>
                <w:sz w:val="18"/>
                <w:szCs w:val="18"/>
              </w:rPr>
            </w:pPr>
            <w:r w:rsidRPr="00C42568">
              <w:rPr>
                <w:color w:val="C00000"/>
                <w:sz w:val="18"/>
                <w:szCs w:val="18"/>
              </w:rPr>
              <w:t>400</w:t>
            </w:r>
          </w:p>
        </w:tc>
        <w:tc>
          <w:tcPr>
            <w:tcW w:w="1260" w:type="dxa"/>
            <w:tcBorders>
              <w:top w:val="nil"/>
              <w:left w:val="nil"/>
              <w:bottom w:val="single" w:sz="4" w:space="0" w:color="BFBFBF"/>
              <w:right w:val="single" w:sz="4" w:space="0" w:color="auto"/>
            </w:tcBorders>
            <w:noWrap/>
            <w:vAlign w:val="center"/>
            <w:hideMark/>
          </w:tcPr>
          <w:p w14:paraId="3B15C04F" w14:textId="5378F073" w:rsidR="00EC1382" w:rsidRPr="00C42568" w:rsidRDefault="00EC1382" w:rsidP="00EC1382">
            <w:pPr>
              <w:jc w:val="right"/>
              <w:rPr>
                <w:rFonts w:eastAsia="Times New Roman"/>
                <w:color w:val="C00000"/>
                <w:sz w:val="18"/>
                <w:szCs w:val="18"/>
              </w:rPr>
            </w:pPr>
            <w:r w:rsidRPr="00C42568">
              <w:rPr>
                <w:color w:val="C00000"/>
                <w:sz w:val="18"/>
                <w:szCs w:val="18"/>
              </w:rPr>
              <w:t>3%</w:t>
            </w:r>
          </w:p>
        </w:tc>
      </w:tr>
      <w:tr w:rsidR="00EC1382" w:rsidRPr="00462BA9" w14:paraId="4954DEE5" w14:textId="77777777" w:rsidTr="00FE4BA0">
        <w:trPr>
          <w:trHeight w:val="402"/>
        </w:trPr>
        <w:tc>
          <w:tcPr>
            <w:tcW w:w="197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F9FF4B8" w14:textId="4E65FACE" w:rsidR="00EC1382" w:rsidRPr="00F63C56" w:rsidRDefault="00EC1382" w:rsidP="00EC1382">
            <w:pPr>
              <w:rPr>
                <w:rFonts w:eastAsia="Times New Roman"/>
                <w:color w:val="C00000"/>
                <w:sz w:val="18"/>
                <w:szCs w:val="18"/>
              </w:rPr>
            </w:pPr>
            <w:r w:rsidRPr="00F63C56">
              <w:rPr>
                <w:color w:val="C00000"/>
                <w:sz w:val="18"/>
                <w:szCs w:val="18"/>
              </w:rPr>
              <w:lastRenderedPageBreak/>
              <w:t>Cornwall, P.E.I.</w:t>
            </w:r>
          </w:p>
        </w:tc>
        <w:tc>
          <w:tcPr>
            <w:tcW w:w="1260" w:type="dxa"/>
            <w:tcBorders>
              <w:top w:val="nil"/>
              <w:left w:val="nil"/>
              <w:bottom w:val="single" w:sz="4" w:space="0" w:color="BFBFBF"/>
              <w:right w:val="single" w:sz="4" w:space="0" w:color="BFBFBF"/>
            </w:tcBorders>
            <w:shd w:val="clear" w:color="000000" w:fill="F2F2F2"/>
            <w:noWrap/>
            <w:vAlign w:val="center"/>
            <w:hideMark/>
          </w:tcPr>
          <w:p w14:paraId="467C1361" w14:textId="546F06DB" w:rsidR="00EC1382" w:rsidRPr="00C42568" w:rsidRDefault="00EC1382" w:rsidP="00EC1382">
            <w:pPr>
              <w:jc w:val="right"/>
              <w:rPr>
                <w:rFonts w:eastAsia="Times New Roman"/>
                <w:color w:val="C00000"/>
                <w:sz w:val="18"/>
                <w:szCs w:val="18"/>
              </w:rPr>
            </w:pPr>
            <w:r w:rsidRPr="00C42568">
              <w:rPr>
                <w:color w:val="C00000"/>
                <w:sz w:val="18"/>
                <w:szCs w:val="18"/>
              </w:rPr>
              <w:t>1,710</w:t>
            </w:r>
          </w:p>
        </w:tc>
        <w:tc>
          <w:tcPr>
            <w:tcW w:w="1260" w:type="dxa"/>
            <w:tcBorders>
              <w:top w:val="nil"/>
              <w:left w:val="nil"/>
              <w:bottom w:val="single" w:sz="4" w:space="0" w:color="BFBFBF"/>
              <w:right w:val="single" w:sz="4" w:space="0" w:color="auto"/>
            </w:tcBorders>
            <w:shd w:val="clear" w:color="000000" w:fill="F2F2F2"/>
            <w:noWrap/>
            <w:vAlign w:val="center"/>
            <w:hideMark/>
          </w:tcPr>
          <w:p w14:paraId="21005698" w14:textId="0021BF0C" w:rsidR="00EC1382" w:rsidRPr="00C42568" w:rsidRDefault="00EC1382" w:rsidP="00EC1382">
            <w:pPr>
              <w:jc w:val="right"/>
              <w:rPr>
                <w:rFonts w:eastAsia="Times New Roman"/>
                <w:color w:val="C00000"/>
                <w:sz w:val="18"/>
                <w:szCs w:val="18"/>
              </w:rPr>
            </w:pPr>
            <w:r w:rsidRPr="00C42568">
              <w:rPr>
                <w:color w:val="C00000"/>
                <w:sz w:val="18"/>
                <w:szCs w:val="18"/>
              </w:rPr>
              <w:t>70%</w:t>
            </w:r>
          </w:p>
        </w:tc>
        <w:tc>
          <w:tcPr>
            <w:tcW w:w="360" w:type="dxa"/>
            <w:tcBorders>
              <w:top w:val="nil"/>
              <w:left w:val="nil"/>
              <w:bottom w:val="nil"/>
              <w:right w:val="nil"/>
            </w:tcBorders>
            <w:noWrap/>
            <w:vAlign w:val="bottom"/>
            <w:hideMark/>
          </w:tcPr>
          <w:p w14:paraId="2506BD58" w14:textId="77777777" w:rsidR="00EC1382" w:rsidRPr="00462BA9" w:rsidRDefault="00EC1382" w:rsidP="00EC1382">
            <w:pPr>
              <w:jc w:val="right"/>
              <w:rPr>
                <w:rFonts w:eastAsia="Times New Roman"/>
                <w:color w:val="0D0D0D"/>
                <w:sz w:val="18"/>
                <w:szCs w:val="18"/>
              </w:rPr>
            </w:pPr>
          </w:p>
        </w:tc>
        <w:tc>
          <w:tcPr>
            <w:tcW w:w="198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0E9A8E52" w14:textId="1C8D94C1" w:rsidR="00EC1382" w:rsidRPr="00F63C56" w:rsidRDefault="00EC1382" w:rsidP="00EC1382">
            <w:pPr>
              <w:rPr>
                <w:rFonts w:eastAsia="Times New Roman"/>
                <w:color w:val="C00000"/>
                <w:sz w:val="18"/>
                <w:szCs w:val="18"/>
              </w:rPr>
            </w:pPr>
            <w:r w:rsidRPr="00F63C56">
              <w:rPr>
                <w:color w:val="C00000"/>
                <w:sz w:val="18"/>
                <w:szCs w:val="18"/>
              </w:rPr>
              <w:t>East Hants, N.S.</w:t>
            </w:r>
          </w:p>
        </w:tc>
        <w:tc>
          <w:tcPr>
            <w:tcW w:w="1260" w:type="dxa"/>
            <w:tcBorders>
              <w:top w:val="nil"/>
              <w:left w:val="nil"/>
              <w:bottom w:val="single" w:sz="4" w:space="0" w:color="BFBFBF"/>
              <w:right w:val="single" w:sz="4" w:space="0" w:color="BFBFBF"/>
            </w:tcBorders>
            <w:shd w:val="clear" w:color="000000" w:fill="F2F2F2"/>
            <w:noWrap/>
            <w:vAlign w:val="center"/>
            <w:hideMark/>
          </w:tcPr>
          <w:p w14:paraId="5A529FDA" w14:textId="053DBE8A" w:rsidR="00EC1382" w:rsidRPr="00C42568" w:rsidRDefault="00EC1382" w:rsidP="00EC1382">
            <w:pPr>
              <w:jc w:val="right"/>
              <w:rPr>
                <w:rFonts w:eastAsia="Times New Roman"/>
                <w:color w:val="C00000"/>
                <w:sz w:val="18"/>
                <w:szCs w:val="18"/>
              </w:rPr>
            </w:pPr>
            <w:r w:rsidRPr="00C42568">
              <w:rPr>
                <w:color w:val="C00000"/>
                <w:sz w:val="18"/>
                <w:szCs w:val="18"/>
              </w:rPr>
              <w:t>210</w:t>
            </w:r>
          </w:p>
        </w:tc>
        <w:tc>
          <w:tcPr>
            <w:tcW w:w="1260" w:type="dxa"/>
            <w:tcBorders>
              <w:top w:val="nil"/>
              <w:left w:val="nil"/>
              <w:bottom w:val="single" w:sz="4" w:space="0" w:color="BFBFBF"/>
              <w:right w:val="single" w:sz="4" w:space="0" w:color="auto"/>
            </w:tcBorders>
            <w:shd w:val="clear" w:color="000000" w:fill="F2F2F2"/>
            <w:noWrap/>
            <w:vAlign w:val="center"/>
            <w:hideMark/>
          </w:tcPr>
          <w:p w14:paraId="2ECB53A6" w14:textId="5E9BA6A7" w:rsidR="00EC1382" w:rsidRPr="00C42568" w:rsidRDefault="00EC1382" w:rsidP="00EC1382">
            <w:pPr>
              <w:jc w:val="right"/>
              <w:rPr>
                <w:rFonts w:eastAsia="Times New Roman"/>
                <w:color w:val="C00000"/>
                <w:sz w:val="18"/>
                <w:szCs w:val="18"/>
              </w:rPr>
            </w:pPr>
            <w:r w:rsidRPr="00C42568">
              <w:rPr>
                <w:color w:val="C00000"/>
                <w:sz w:val="18"/>
                <w:szCs w:val="18"/>
              </w:rPr>
              <w:t>2%</w:t>
            </w:r>
          </w:p>
        </w:tc>
      </w:tr>
      <w:tr w:rsidR="00EC1382" w:rsidRPr="00462BA9" w14:paraId="13A9F6F7" w14:textId="77777777" w:rsidTr="00FE4BA0">
        <w:trPr>
          <w:trHeight w:val="402"/>
        </w:trPr>
        <w:tc>
          <w:tcPr>
            <w:tcW w:w="1975" w:type="dxa"/>
            <w:tcBorders>
              <w:top w:val="single" w:sz="4" w:space="0" w:color="BFBFBF"/>
              <w:left w:val="single" w:sz="4" w:space="0" w:color="auto"/>
              <w:bottom w:val="single" w:sz="4" w:space="0" w:color="BFBFBF"/>
              <w:right w:val="single" w:sz="4" w:space="0" w:color="000000"/>
            </w:tcBorders>
            <w:noWrap/>
            <w:vAlign w:val="center"/>
            <w:hideMark/>
          </w:tcPr>
          <w:p w14:paraId="57F7DDFE" w14:textId="270D930D" w:rsidR="00EC1382" w:rsidRPr="00F63C56" w:rsidRDefault="00EC1382" w:rsidP="00EC1382">
            <w:pPr>
              <w:rPr>
                <w:rFonts w:eastAsia="Times New Roman"/>
                <w:color w:val="C00000"/>
                <w:sz w:val="18"/>
                <w:szCs w:val="18"/>
              </w:rPr>
            </w:pPr>
            <w:r w:rsidRPr="00F63C56">
              <w:rPr>
                <w:color w:val="C00000"/>
                <w:sz w:val="18"/>
                <w:szCs w:val="18"/>
              </w:rPr>
              <w:t>West River, P.E.I.</w:t>
            </w:r>
          </w:p>
        </w:tc>
        <w:tc>
          <w:tcPr>
            <w:tcW w:w="1260" w:type="dxa"/>
            <w:tcBorders>
              <w:top w:val="nil"/>
              <w:left w:val="nil"/>
              <w:bottom w:val="single" w:sz="4" w:space="0" w:color="BFBFBF"/>
              <w:right w:val="single" w:sz="4" w:space="0" w:color="BFBFBF"/>
            </w:tcBorders>
            <w:noWrap/>
            <w:vAlign w:val="center"/>
            <w:hideMark/>
          </w:tcPr>
          <w:p w14:paraId="5B0C3B34" w14:textId="799E9F29" w:rsidR="00EC1382" w:rsidRPr="00C42568" w:rsidRDefault="00EC1382" w:rsidP="00EC1382">
            <w:pPr>
              <w:jc w:val="right"/>
              <w:rPr>
                <w:rFonts w:eastAsia="Times New Roman"/>
                <w:color w:val="C00000"/>
                <w:sz w:val="18"/>
                <w:szCs w:val="18"/>
              </w:rPr>
            </w:pPr>
            <w:r w:rsidRPr="00C42568">
              <w:rPr>
                <w:color w:val="C00000"/>
                <w:sz w:val="18"/>
                <w:szCs w:val="18"/>
              </w:rPr>
              <w:t>800</w:t>
            </w:r>
          </w:p>
        </w:tc>
        <w:tc>
          <w:tcPr>
            <w:tcW w:w="1260" w:type="dxa"/>
            <w:tcBorders>
              <w:top w:val="nil"/>
              <w:left w:val="nil"/>
              <w:bottom w:val="single" w:sz="4" w:space="0" w:color="BFBFBF"/>
              <w:right w:val="single" w:sz="4" w:space="0" w:color="auto"/>
            </w:tcBorders>
            <w:noWrap/>
            <w:vAlign w:val="center"/>
            <w:hideMark/>
          </w:tcPr>
          <w:p w14:paraId="7F48233C" w14:textId="00882ED2" w:rsidR="00EC1382" w:rsidRPr="00C42568" w:rsidRDefault="00EC1382" w:rsidP="00EC1382">
            <w:pPr>
              <w:jc w:val="right"/>
              <w:rPr>
                <w:rFonts w:eastAsia="Times New Roman"/>
                <w:color w:val="C00000"/>
                <w:sz w:val="18"/>
                <w:szCs w:val="18"/>
              </w:rPr>
            </w:pPr>
            <w:r w:rsidRPr="00C42568">
              <w:rPr>
                <w:color w:val="C00000"/>
                <w:sz w:val="18"/>
                <w:szCs w:val="18"/>
              </w:rPr>
              <w:t>72%</w:t>
            </w:r>
          </w:p>
        </w:tc>
        <w:tc>
          <w:tcPr>
            <w:tcW w:w="360" w:type="dxa"/>
            <w:tcBorders>
              <w:top w:val="nil"/>
              <w:left w:val="nil"/>
              <w:bottom w:val="nil"/>
              <w:right w:val="nil"/>
            </w:tcBorders>
            <w:noWrap/>
            <w:vAlign w:val="bottom"/>
            <w:hideMark/>
          </w:tcPr>
          <w:p w14:paraId="0D7CC3D7" w14:textId="77777777" w:rsidR="00EC1382" w:rsidRPr="00462BA9" w:rsidRDefault="00EC1382" w:rsidP="00EC1382">
            <w:pPr>
              <w:jc w:val="right"/>
              <w:rPr>
                <w:rFonts w:eastAsia="Times New Roman"/>
                <w:color w:val="0D0D0D"/>
                <w:sz w:val="18"/>
                <w:szCs w:val="18"/>
              </w:rPr>
            </w:pPr>
          </w:p>
        </w:tc>
        <w:tc>
          <w:tcPr>
            <w:tcW w:w="1980" w:type="dxa"/>
            <w:tcBorders>
              <w:top w:val="single" w:sz="4" w:space="0" w:color="BFBFBF"/>
              <w:left w:val="single" w:sz="4" w:space="0" w:color="auto"/>
              <w:bottom w:val="single" w:sz="4" w:space="0" w:color="BFBFBF"/>
              <w:right w:val="single" w:sz="4" w:space="0" w:color="000000"/>
            </w:tcBorders>
            <w:noWrap/>
            <w:vAlign w:val="center"/>
            <w:hideMark/>
          </w:tcPr>
          <w:p w14:paraId="0671B925" w14:textId="4C357382" w:rsidR="00EC1382" w:rsidRPr="00F63C56" w:rsidRDefault="00EC1382" w:rsidP="00EC1382">
            <w:pPr>
              <w:rPr>
                <w:rFonts w:eastAsia="Times New Roman"/>
                <w:color w:val="C00000"/>
                <w:sz w:val="18"/>
                <w:szCs w:val="18"/>
              </w:rPr>
            </w:pPr>
            <w:r w:rsidRPr="00F63C56">
              <w:rPr>
                <w:color w:val="C00000"/>
                <w:sz w:val="18"/>
                <w:szCs w:val="18"/>
              </w:rPr>
              <w:t>Summerside, P.E.I.</w:t>
            </w:r>
          </w:p>
        </w:tc>
        <w:tc>
          <w:tcPr>
            <w:tcW w:w="1260" w:type="dxa"/>
            <w:tcBorders>
              <w:top w:val="nil"/>
              <w:left w:val="nil"/>
              <w:bottom w:val="single" w:sz="4" w:space="0" w:color="BFBFBF"/>
              <w:right w:val="single" w:sz="4" w:space="0" w:color="BFBFBF"/>
            </w:tcBorders>
            <w:noWrap/>
            <w:vAlign w:val="center"/>
            <w:hideMark/>
          </w:tcPr>
          <w:p w14:paraId="53D87018" w14:textId="5E70A79A" w:rsidR="00EC1382" w:rsidRPr="00C42568" w:rsidRDefault="00EC1382" w:rsidP="00EC1382">
            <w:pPr>
              <w:jc w:val="right"/>
              <w:rPr>
                <w:rFonts w:eastAsia="Times New Roman"/>
                <w:color w:val="C00000"/>
                <w:sz w:val="18"/>
                <w:szCs w:val="18"/>
              </w:rPr>
            </w:pPr>
            <w:r w:rsidRPr="00C42568">
              <w:rPr>
                <w:color w:val="C00000"/>
                <w:sz w:val="18"/>
                <w:szCs w:val="18"/>
              </w:rPr>
              <w:t>200</w:t>
            </w:r>
          </w:p>
        </w:tc>
        <w:tc>
          <w:tcPr>
            <w:tcW w:w="1260" w:type="dxa"/>
            <w:tcBorders>
              <w:top w:val="nil"/>
              <w:left w:val="nil"/>
              <w:bottom w:val="single" w:sz="4" w:space="0" w:color="BFBFBF"/>
              <w:right w:val="single" w:sz="4" w:space="0" w:color="auto"/>
            </w:tcBorders>
            <w:noWrap/>
            <w:vAlign w:val="center"/>
            <w:hideMark/>
          </w:tcPr>
          <w:p w14:paraId="315136A4" w14:textId="398E2CE3" w:rsidR="00EC1382" w:rsidRPr="00C42568" w:rsidRDefault="00EC1382" w:rsidP="00EC1382">
            <w:pPr>
              <w:jc w:val="right"/>
              <w:rPr>
                <w:rFonts w:eastAsia="Times New Roman"/>
                <w:color w:val="C00000"/>
                <w:sz w:val="18"/>
                <w:szCs w:val="18"/>
              </w:rPr>
            </w:pPr>
            <w:r w:rsidRPr="00C42568">
              <w:rPr>
                <w:color w:val="C00000"/>
                <w:sz w:val="18"/>
                <w:szCs w:val="18"/>
              </w:rPr>
              <w:t>1%</w:t>
            </w:r>
          </w:p>
        </w:tc>
      </w:tr>
      <w:tr w:rsidR="00EC1382" w:rsidRPr="00462BA9" w14:paraId="3E58CC51" w14:textId="77777777" w:rsidTr="00EC1382">
        <w:trPr>
          <w:trHeight w:val="402"/>
        </w:trPr>
        <w:tc>
          <w:tcPr>
            <w:tcW w:w="197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7A741CD8" w14:textId="6A919B1E" w:rsidR="00EC1382" w:rsidRPr="00F63C56" w:rsidRDefault="00EC1382" w:rsidP="00EC1382">
            <w:pPr>
              <w:rPr>
                <w:rFonts w:eastAsia="Times New Roman"/>
                <w:color w:val="C00000"/>
                <w:sz w:val="18"/>
                <w:szCs w:val="18"/>
              </w:rPr>
            </w:pPr>
            <w:r w:rsidRPr="00F63C56">
              <w:rPr>
                <w:color w:val="C00000"/>
                <w:sz w:val="18"/>
                <w:szCs w:val="18"/>
              </w:rPr>
              <w:t>New Glasgow, P.E.I.</w:t>
            </w:r>
          </w:p>
        </w:tc>
        <w:tc>
          <w:tcPr>
            <w:tcW w:w="1260" w:type="dxa"/>
            <w:tcBorders>
              <w:top w:val="single" w:sz="4" w:space="0" w:color="BFBFBF"/>
              <w:left w:val="nil"/>
              <w:bottom w:val="single" w:sz="4" w:space="0" w:color="auto"/>
              <w:right w:val="single" w:sz="4" w:space="0" w:color="BFBFBF"/>
            </w:tcBorders>
            <w:shd w:val="clear" w:color="000000" w:fill="F2F2F2"/>
            <w:noWrap/>
            <w:vAlign w:val="center"/>
            <w:hideMark/>
          </w:tcPr>
          <w:p w14:paraId="538396BC" w14:textId="596F33F8" w:rsidR="00EC1382" w:rsidRPr="00C42568" w:rsidRDefault="00EC1382" w:rsidP="00EC1382">
            <w:pPr>
              <w:jc w:val="right"/>
              <w:rPr>
                <w:rFonts w:eastAsia="Times New Roman"/>
                <w:color w:val="C00000"/>
                <w:sz w:val="18"/>
                <w:szCs w:val="18"/>
              </w:rPr>
            </w:pPr>
            <w:r w:rsidRPr="00C42568">
              <w:rPr>
                <w:color w:val="C00000"/>
                <w:sz w:val="18"/>
                <w:szCs w:val="18"/>
              </w:rPr>
              <w:t>760</w:t>
            </w:r>
          </w:p>
        </w:tc>
        <w:tc>
          <w:tcPr>
            <w:tcW w:w="1260" w:type="dxa"/>
            <w:tcBorders>
              <w:top w:val="single" w:sz="4" w:space="0" w:color="BFBFBF"/>
              <w:left w:val="nil"/>
              <w:bottom w:val="single" w:sz="4" w:space="0" w:color="auto"/>
              <w:right w:val="single" w:sz="4" w:space="0" w:color="auto"/>
            </w:tcBorders>
            <w:shd w:val="clear" w:color="000000" w:fill="F2F2F2"/>
            <w:noWrap/>
            <w:vAlign w:val="center"/>
            <w:hideMark/>
          </w:tcPr>
          <w:p w14:paraId="7A3A8555" w14:textId="4AB1D73B" w:rsidR="00EC1382" w:rsidRPr="00C42568" w:rsidRDefault="00EC1382" w:rsidP="00EC1382">
            <w:pPr>
              <w:jc w:val="right"/>
              <w:rPr>
                <w:rFonts w:eastAsia="Times New Roman"/>
                <w:color w:val="C00000"/>
                <w:sz w:val="18"/>
                <w:szCs w:val="18"/>
              </w:rPr>
            </w:pPr>
            <w:r w:rsidRPr="00C42568">
              <w:rPr>
                <w:color w:val="C00000"/>
                <w:sz w:val="18"/>
                <w:szCs w:val="18"/>
              </w:rPr>
              <w:t>53%</w:t>
            </w:r>
          </w:p>
        </w:tc>
        <w:tc>
          <w:tcPr>
            <w:tcW w:w="360" w:type="dxa"/>
            <w:tcBorders>
              <w:top w:val="nil"/>
              <w:left w:val="nil"/>
              <w:bottom w:val="nil"/>
              <w:right w:val="nil"/>
            </w:tcBorders>
            <w:noWrap/>
            <w:vAlign w:val="bottom"/>
            <w:hideMark/>
          </w:tcPr>
          <w:p w14:paraId="321A0252" w14:textId="77777777" w:rsidR="00EC1382" w:rsidRPr="00462BA9" w:rsidRDefault="00EC1382" w:rsidP="00EC1382">
            <w:pPr>
              <w:jc w:val="right"/>
              <w:rPr>
                <w:rFonts w:eastAsia="Times New Roman"/>
                <w:color w:val="0D0D0D"/>
                <w:sz w:val="18"/>
                <w:szCs w:val="18"/>
              </w:rPr>
            </w:pPr>
          </w:p>
        </w:tc>
        <w:tc>
          <w:tcPr>
            <w:tcW w:w="1980"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2AD7C1C2" w14:textId="06DA513D" w:rsidR="00EC1382" w:rsidRPr="00F63C56" w:rsidRDefault="00EC1382" w:rsidP="00EC1382">
            <w:pPr>
              <w:rPr>
                <w:rFonts w:eastAsia="Times New Roman"/>
                <w:color w:val="C00000"/>
                <w:sz w:val="18"/>
                <w:szCs w:val="18"/>
              </w:rPr>
            </w:pPr>
            <w:r w:rsidRPr="00F63C56">
              <w:rPr>
                <w:color w:val="C00000"/>
                <w:sz w:val="18"/>
                <w:szCs w:val="18"/>
              </w:rPr>
              <w:t>Cornwall, P.E.I.</w:t>
            </w:r>
          </w:p>
        </w:tc>
        <w:tc>
          <w:tcPr>
            <w:tcW w:w="1260" w:type="dxa"/>
            <w:tcBorders>
              <w:top w:val="single" w:sz="4" w:space="0" w:color="BFBFBF"/>
              <w:left w:val="nil"/>
              <w:bottom w:val="single" w:sz="4" w:space="0" w:color="auto"/>
              <w:right w:val="single" w:sz="4" w:space="0" w:color="BFBFBF"/>
            </w:tcBorders>
            <w:shd w:val="clear" w:color="000000" w:fill="F2F2F2"/>
            <w:noWrap/>
            <w:vAlign w:val="center"/>
            <w:hideMark/>
          </w:tcPr>
          <w:p w14:paraId="3230EB45" w14:textId="311A9186" w:rsidR="00EC1382" w:rsidRPr="00C42568" w:rsidRDefault="00EC1382" w:rsidP="00EC1382">
            <w:pPr>
              <w:jc w:val="right"/>
              <w:rPr>
                <w:rFonts w:eastAsia="Times New Roman"/>
                <w:color w:val="C00000"/>
                <w:sz w:val="18"/>
                <w:szCs w:val="18"/>
              </w:rPr>
            </w:pPr>
            <w:r w:rsidRPr="00C42568">
              <w:rPr>
                <w:color w:val="C00000"/>
                <w:sz w:val="18"/>
                <w:szCs w:val="18"/>
              </w:rPr>
              <w:t>185</w:t>
            </w:r>
          </w:p>
        </w:tc>
        <w:tc>
          <w:tcPr>
            <w:tcW w:w="1260" w:type="dxa"/>
            <w:tcBorders>
              <w:top w:val="single" w:sz="4" w:space="0" w:color="BFBFBF"/>
              <w:left w:val="nil"/>
              <w:bottom w:val="single" w:sz="4" w:space="0" w:color="auto"/>
              <w:right w:val="single" w:sz="4" w:space="0" w:color="auto"/>
            </w:tcBorders>
            <w:shd w:val="clear" w:color="000000" w:fill="F2F2F2"/>
            <w:noWrap/>
            <w:vAlign w:val="center"/>
            <w:hideMark/>
          </w:tcPr>
          <w:p w14:paraId="19BE8DF6" w14:textId="2F26CA9A" w:rsidR="00EC1382" w:rsidRPr="00C42568" w:rsidRDefault="00EC1382" w:rsidP="00EC1382">
            <w:pPr>
              <w:jc w:val="right"/>
              <w:rPr>
                <w:rFonts w:eastAsia="Times New Roman"/>
                <w:color w:val="C00000"/>
                <w:sz w:val="18"/>
                <w:szCs w:val="18"/>
              </w:rPr>
            </w:pPr>
            <w:r w:rsidRPr="00C42568">
              <w:rPr>
                <w:color w:val="C00000"/>
                <w:sz w:val="18"/>
                <w:szCs w:val="18"/>
              </w:rPr>
              <w:t>1%</w:t>
            </w:r>
          </w:p>
        </w:tc>
      </w:tr>
      <w:tr w:rsidR="00EC1382" w:rsidRPr="00462BA9" w14:paraId="7598665E" w14:textId="77777777" w:rsidTr="00EC1382">
        <w:trPr>
          <w:trHeight w:val="402"/>
        </w:trPr>
        <w:tc>
          <w:tcPr>
            <w:tcW w:w="1975"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center"/>
          </w:tcPr>
          <w:p w14:paraId="184DC4A5" w14:textId="7E373615" w:rsidR="00EC1382" w:rsidRDefault="00EC1382" w:rsidP="00EC1382">
            <w:pPr>
              <w:rPr>
                <w:color w:val="0D0D0D"/>
                <w:sz w:val="18"/>
                <w:szCs w:val="18"/>
              </w:rPr>
            </w:pPr>
            <w:r>
              <w:rPr>
                <w:color w:val="0D0D0D"/>
                <w:sz w:val="18"/>
                <w:szCs w:val="18"/>
              </w:rPr>
              <w:t>Total (excl. local)</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center"/>
          </w:tcPr>
          <w:p w14:paraId="7A7DAAC8" w14:textId="2722B00D" w:rsidR="00EC1382" w:rsidRDefault="00EC1382" w:rsidP="00EC1382">
            <w:pPr>
              <w:jc w:val="right"/>
              <w:rPr>
                <w:color w:val="0D0D0D"/>
                <w:sz w:val="18"/>
                <w:szCs w:val="18"/>
              </w:rPr>
            </w:pPr>
            <w:r w:rsidRPr="00C42568">
              <w:rPr>
                <w:color w:val="C00000"/>
                <w:sz w:val="18"/>
                <w:szCs w:val="18"/>
              </w:rPr>
              <w:t>11,985</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20DA761" w14:textId="78C8B644" w:rsidR="00EC1382" w:rsidRDefault="00EC1382" w:rsidP="00EC1382">
            <w:pPr>
              <w:jc w:val="right"/>
              <w:rPr>
                <w:color w:val="0D0D0D"/>
                <w:sz w:val="18"/>
                <w:szCs w:val="18"/>
              </w:rPr>
            </w:pPr>
            <w:r>
              <w:rPr>
                <w:color w:val="0D0D0D"/>
                <w:sz w:val="18"/>
                <w:szCs w:val="18"/>
              </w:rPr>
              <w:t> </w:t>
            </w:r>
          </w:p>
        </w:tc>
        <w:tc>
          <w:tcPr>
            <w:tcW w:w="360" w:type="dxa"/>
            <w:tcBorders>
              <w:top w:val="nil"/>
              <w:left w:val="nil"/>
              <w:bottom w:val="nil"/>
              <w:right w:val="nil"/>
            </w:tcBorders>
            <w:noWrap/>
            <w:vAlign w:val="center"/>
          </w:tcPr>
          <w:p w14:paraId="20DAFD4C" w14:textId="77777777" w:rsidR="00EC1382" w:rsidRPr="00462BA9" w:rsidRDefault="00EC1382" w:rsidP="00EC1382">
            <w:pPr>
              <w:jc w:val="right"/>
              <w:rPr>
                <w:rFonts w:eastAsia="Times New Roman"/>
                <w:color w:val="0D0D0D"/>
                <w:sz w:val="18"/>
                <w:szCs w:val="18"/>
              </w:rPr>
            </w:pPr>
          </w:p>
        </w:tc>
        <w:tc>
          <w:tcPr>
            <w:tcW w:w="1980"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center"/>
          </w:tcPr>
          <w:p w14:paraId="0C3403E9" w14:textId="47053CD9" w:rsidR="00EC1382" w:rsidRPr="00462BA9" w:rsidRDefault="00EC1382" w:rsidP="00EC1382">
            <w:pPr>
              <w:rPr>
                <w:rFonts w:eastAsia="Times New Roman"/>
                <w:color w:val="0D0D0D"/>
                <w:sz w:val="18"/>
                <w:szCs w:val="18"/>
              </w:rPr>
            </w:pPr>
            <w:r>
              <w:rPr>
                <w:color w:val="0D0D0D"/>
                <w:sz w:val="18"/>
                <w:szCs w:val="18"/>
              </w:rPr>
              <w:t>Total (excl. local)</w:t>
            </w:r>
          </w:p>
        </w:tc>
        <w:tc>
          <w:tcPr>
            <w:tcW w:w="1260" w:type="dxa"/>
            <w:tcBorders>
              <w:top w:val="single" w:sz="4" w:space="0" w:color="auto"/>
              <w:left w:val="nil"/>
              <w:bottom w:val="single" w:sz="4" w:space="0" w:color="auto"/>
              <w:right w:val="single" w:sz="4" w:space="0" w:color="auto"/>
            </w:tcBorders>
            <w:shd w:val="clear" w:color="auto" w:fill="FFFFFF" w:themeFill="background1"/>
            <w:noWrap/>
            <w:vAlign w:val="center"/>
          </w:tcPr>
          <w:p w14:paraId="4286B712" w14:textId="2EFC2B46" w:rsidR="00EC1382" w:rsidRPr="00C42568" w:rsidRDefault="00EC1382" w:rsidP="00EC1382">
            <w:pPr>
              <w:jc w:val="right"/>
              <w:rPr>
                <w:rFonts w:eastAsia="Times New Roman"/>
                <w:color w:val="C00000"/>
                <w:sz w:val="18"/>
                <w:szCs w:val="18"/>
              </w:rPr>
            </w:pPr>
            <w:r w:rsidRPr="00C42568">
              <w:rPr>
                <w:color w:val="C00000"/>
                <w:sz w:val="18"/>
                <w:szCs w:val="18"/>
              </w:rPr>
              <w:t>2,315</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529F492" w14:textId="1B14D920" w:rsidR="00EC1382" w:rsidRPr="00462BA9" w:rsidRDefault="00EC1382" w:rsidP="00EC1382">
            <w:pPr>
              <w:jc w:val="right"/>
              <w:rPr>
                <w:rFonts w:eastAsia="Times New Roman"/>
                <w:color w:val="0D0D0D"/>
                <w:sz w:val="18"/>
                <w:szCs w:val="18"/>
              </w:rPr>
            </w:pPr>
            <w:r>
              <w:rPr>
                <w:color w:val="0D0D0D"/>
                <w:sz w:val="18"/>
                <w:szCs w:val="18"/>
              </w:rPr>
              <w:t> </w:t>
            </w:r>
          </w:p>
        </w:tc>
      </w:tr>
    </w:tbl>
    <w:p w14:paraId="0D35FEE4" w14:textId="63665EC3" w:rsidR="007944D4" w:rsidRDefault="007944D4" w:rsidP="007944D4">
      <w:pPr>
        <w:pStyle w:val="Source"/>
      </w:pPr>
      <w:r>
        <w:t xml:space="preserve">Source: derived from Statistics Canada Table </w:t>
      </w:r>
      <w:r w:rsidR="000D159F" w:rsidRPr="000D159F">
        <w:t>98</w:t>
      </w:r>
      <w:r w:rsidR="000D159F">
        <w:t>-</w:t>
      </w:r>
      <w:r w:rsidR="000D159F" w:rsidRPr="000D159F">
        <w:t>10</w:t>
      </w:r>
      <w:r w:rsidR="000D159F">
        <w:t>-</w:t>
      </w:r>
      <w:r w:rsidR="000D159F" w:rsidRPr="000D159F">
        <w:t>0459</w:t>
      </w:r>
    </w:p>
    <w:p w14:paraId="0B295255" w14:textId="77777777" w:rsidR="00773909" w:rsidRDefault="00773909" w:rsidP="0017568B"/>
    <w:p w14:paraId="6BDE8E5E" w14:textId="5B386D07" w:rsidR="00D239E5" w:rsidRDefault="00D239E5" w:rsidP="00D239E5">
      <w:pPr>
        <w:jc w:val="both"/>
      </w:pPr>
      <w:r>
        <w:t xml:space="preserve">A community that draws a large </w:t>
      </w:r>
      <w:r w:rsidR="00942D73">
        <w:t xml:space="preserve">volume </w:t>
      </w:r>
      <w:r>
        <w:t xml:space="preserve">of its workforce from surrounding </w:t>
      </w:r>
      <w:r w:rsidR="00942D73">
        <w:t xml:space="preserve">areas </w:t>
      </w:r>
      <w:r>
        <w:t xml:space="preserve">reflects a regional labour market </w:t>
      </w:r>
      <w:r w:rsidR="00942D73">
        <w:t>where</w:t>
      </w:r>
      <w:r>
        <w:t xml:space="preserve"> housing and employment may be geographically misaligned. Workers living outside the community may be doing so because local housing is unaffordable or unsuitable. High outbound commuting volumes, where residents travel to a nearby centre for work, may suggest insufficient local employment</w:t>
      </w:r>
      <w:r w:rsidR="00C0612B">
        <w:t xml:space="preserve"> or that</w:t>
      </w:r>
      <w:r>
        <w:t xml:space="preserve"> the community is absorbing demand spillover from higher-cost neighbouring markets, as workers seek more affordable alternatives within commuting range.</w:t>
      </w:r>
    </w:p>
    <w:p w14:paraId="463196EB" w14:textId="77777777" w:rsidR="00D239E5" w:rsidRDefault="00D239E5" w:rsidP="00D239E5">
      <w:pPr>
        <w:jc w:val="both"/>
      </w:pPr>
    </w:p>
    <w:p w14:paraId="39694FAA" w14:textId="543788E2" w:rsidR="0046569E" w:rsidRPr="0046569E" w:rsidRDefault="00D239E5" w:rsidP="00D239E5">
      <w:pPr>
        <w:jc w:val="both"/>
      </w:pPr>
      <w:r>
        <w:t xml:space="preserve">A large incoming commuter volume relative to </w:t>
      </w:r>
      <w:r w:rsidR="00007EA7">
        <w:t>total employed local residents</w:t>
      </w:r>
      <w:r>
        <w:t xml:space="preserve"> can indicate that the community serves as a</w:t>
      </w:r>
      <w:r w:rsidR="00007EA7">
        <w:t xml:space="preserve"> </w:t>
      </w:r>
      <w:r>
        <w:t xml:space="preserve">hub </w:t>
      </w:r>
      <w:r w:rsidR="00007EA7">
        <w:t>while not</w:t>
      </w:r>
      <w:r>
        <w:t xml:space="preserve"> providing </w:t>
      </w:r>
      <w:r w:rsidR="00007EA7">
        <w:t xml:space="preserve">enough </w:t>
      </w:r>
      <w:r>
        <w:t xml:space="preserve">housing for its workforce, </w:t>
      </w:r>
      <w:r w:rsidR="00007EA7">
        <w:t>which</w:t>
      </w:r>
      <w:r>
        <w:t xml:space="preserve"> points to housing supply gaps for workers at various income levels. Commuting patterns also carry implications for housing type: communities that function as bedroom communities for nearby urban centres will experience sustained demand for family-sized, ownership-oriented housing.</w:t>
      </w:r>
    </w:p>
    <w:p w14:paraId="5A605B66" w14:textId="77777777" w:rsidR="00CF6B4B" w:rsidRDefault="00CF6B4B" w:rsidP="004608FD"/>
    <w:p w14:paraId="7712524E" w14:textId="77777777" w:rsidR="00DA6D26" w:rsidRDefault="00DA6D26" w:rsidP="00DA6D26">
      <w:pPr>
        <w:pStyle w:val="Heading2"/>
      </w:pPr>
      <w:bookmarkStart w:id="31" w:name="_Toc223686640"/>
      <w:bookmarkStart w:id="32" w:name="_Toc237355938"/>
      <w:r>
        <w:t>INCOME</w:t>
      </w:r>
      <w:bookmarkEnd w:id="31"/>
      <w:bookmarkEnd w:id="32"/>
    </w:p>
    <w:p w14:paraId="3A7256FE" w14:textId="6580FF91" w:rsidR="007D0249" w:rsidRDefault="007D0249" w:rsidP="007D0249">
      <w:pPr>
        <w:pStyle w:val="Heading3"/>
      </w:pPr>
      <w:r>
        <w:t>Income by Household Characteristics</w:t>
      </w:r>
    </w:p>
    <w:p w14:paraId="03EE626F" w14:textId="2ACC23BD" w:rsidR="007D0249" w:rsidRDefault="00AC3792" w:rsidP="00980546">
      <w:pPr>
        <w:jc w:val="both"/>
      </w:pPr>
      <w:r w:rsidRPr="005D6FE7">
        <w:rPr>
          <w:rStyle w:val="Figure-textChar"/>
        </w:rPr>
        <w:fldChar w:fldCharType="begin"/>
      </w:r>
      <w:r w:rsidRPr="005D6FE7">
        <w:rPr>
          <w:rStyle w:val="Figure-textChar"/>
        </w:rPr>
        <w:instrText xml:space="preserve"> REF _Ref223274922 \h </w:instrText>
      </w:r>
      <w:r>
        <w:rPr>
          <w:rStyle w:val="Figure-textChar"/>
        </w:rPr>
        <w:instrText xml:space="preserve"> \* MERGEFORMAT </w:instrText>
      </w:r>
      <w:r w:rsidRPr="005D6FE7">
        <w:rPr>
          <w:rStyle w:val="Figure-textChar"/>
        </w:rPr>
      </w:r>
      <w:r w:rsidRPr="005D6FE7">
        <w:rPr>
          <w:rStyle w:val="Figure-textChar"/>
        </w:rPr>
        <w:fldChar w:fldCharType="separate"/>
      </w:r>
      <w:r w:rsidR="00CA6116" w:rsidRPr="00CA6116">
        <w:rPr>
          <w:rStyle w:val="Figure-textChar"/>
        </w:rPr>
        <w:t>Table 5.4</w:t>
      </w:r>
      <w:r w:rsidRPr="005D6FE7">
        <w:rPr>
          <w:rStyle w:val="Figure-textChar"/>
        </w:rPr>
        <w:fldChar w:fldCharType="end"/>
      </w:r>
      <w:r w:rsidRPr="005D6FE7">
        <w:t xml:space="preserve"> </w:t>
      </w:r>
      <w:r w:rsidR="00980546" w:rsidRPr="00980546">
        <w:t>presents median household income by key household characteristics and tenure, disaggregated across local, regional, and provincial geographies, establishing the income foundation upon which housing affordability analysis rests.</w:t>
      </w:r>
    </w:p>
    <w:p w14:paraId="4B2B968A" w14:textId="77777777" w:rsidR="00956381" w:rsidRDefault="00956381" w:rsidP="00956381"/>
    <w:p w14:paraId="623B1807" w14:textId="77777777" w:rsidR="00956381" w:rsidRDefault="00956381" w:rsidP="00956381">
      <w:pPr>
        <w:jc w:val="both"/>
      </w:pPr>
      <w:r>
        <w:t>A local median household income below regional or provincial comparators generally indicates reduced purchasing power among local households, translating into lower affordability thresholds for both ownership and rental housing. The income gap between owner and renter households is a near-universal finding, but its local magnitude is what matters: where renters earn substantially less than owners, affordability pressures concentrate disproportionately within the rental market. This is most often shown through Statistics Canada’s housing affordability indicators, discussed later in the report.</w:t>
      </w:r>
    </w:p>
    <w:p w14:paraId="447F7A4C" w14:textId="77777777" w:rsidR="00980546" w:rsidRDefault="00980546" w:rsidP="00980546">
      <w:pPr>
        <w:jc w:val="both"/>
      </w:pPr>
    </w:p>
    <w:p w14:paraId="075C6529" w14:textId="78B486EE" w:rsidR="00C61EB4" w:rsidRDefault="00C61EB4" w:rsidP="00C61EB4">
      <w:pPr>
        <w:pStyle w:val="Caption"/>
      </w:pPr>
      <w:bookmarkStart w:id="33" w:name="_Ref223274922"/>
      <w:r>
        <w:t xml:space="preserve">Table </w:t>
      </w:r>
      <w:fldSimple w:instr=" STYLEREF 1 \s ">
        <w:r w:rsidR="005E459C">
          <w:rPr>
            <w:noProof/>
          </w:rPr>
          <w:t>5</w:t>
        </w:r>
      </w:fldSimple>
      <w:r w:rsidR="00BD4359">
        <w:t>.</w:t>
      </w:r>
      <w:fldSimple w:instr=" SEQ Table \* ARABIC \s 1 ">
        <w:r w:rsidR="005E459C">
          <w:rPr>
            <w:noProof/>
          </w:rPr>
          <w:t>4</w:t>
        </w:r>
      </w:fldSimple>
      <w:bookmarkEnd w:id="33"/>
      <w:r>
        <w:t xml:space="preserve">: Median household income by household characteristic and geography, </w:t>
      </w:r>
      <w:r w:rsidR="00DF13BA">
        <w:t>2021 Census</w:t>
      </w:r>
    </w:p>
    <w:tbl>
      <w:tblPr>
        <w:tblW w:w="9355" w:type="dxa"/>
        <w:tblLayout w:type="fixed"/>
        <w:tblLook w:val="04A0" w:firstRow="1" w:lastRow="0" w:firstColumn="1" w:lastColumn="0" w:noHBand="0" w:noVBand="1"/>
      </w:tblPr>
      <w:tblGrid>
        <w:gridCol w:w="3711"/>
        <w:gridCol w:w="1881"/>
        <w:gridCol w:w="1881"/>
        <w:gridCol w:w="1882"/>
      </w:tblGrid>
      <w:tr w:rsidR="00621E3B" w:rsidRPr="00621E3B" w14:paraId="3C52BCFC" w14:textId="77777777" w:rsidTr="003C59F9">
        <w:trPr>
          <w:trHeight w:val="402"/>
          <w:tblHeader/>
        </w:trPr>
        <w:tc>
          <w:tcPr>
            <w:tcW w:w="3711"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488B8495" w14:textId="77777777" w:rsidR="00621E3B" w:rsidRPr="00621E3B" w:rsidRDefault="00621E3B" w:rsidP="00621E3B">
            <w:pPr>
              <w:rPr>
                <w:rFonts w:eastAsia="Times New Roman"/>
                <w:color w:val="FFFFFF"/>
                <w:sz w:val="18"/>
                <w:szCs w:val="18"/>
              </w:rPr>
            </w:pPr>
            <w:r w:rsidRPr="00621E3B">
              <w:rPr>
                <w:rFonts w:eastAsia="Times New Roman"/>
                <w:color w:val="FFFFFF"/>
                <w:sz w:val="18"/>
                <w:szCs w:val="18"/>
              </w:rPr>
              <w:t>Characteristic</w:t>
            </w:r>
          </w:p>
        </w:tc>
        <w:tc>
          <w:tcPr>
            <w:tcW w:w="1881"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B6A3095" w14:textId="77777777" w:rsidR="00621E3B" w:rsidRPr="00621E3B" w:rsidRDefault="00621E3B" w:rsidP="00621E3B">
            <w:pPr>
              <w:jc w:val="right"/>
              <w:rPr>
                <w:rFonts w:eastAsia="Times New Roman"/>
                <w:color w:val="FFFFFF"/>
                <w:sz w:val="18"/>
                <w:szCs w:val="18"/>
              </w:rPr>
            </w:pPr>
            <w:r w:rsidRPr="00621E3B">
              <w:rPr>
                <w:rFonts w:eastAsia="Times New Roman"/>
                <w:color w:val="FFFFFF"/>
                <w:sz w:val="18"/>
                <w:szCs w:val="18"/>
              </w:rPr>
              <w:t>Local</w:t>
            </w:r>
          </w:p>
        </w:tc>
        <w:tc>
          <w:tcPr>
            <w:tcW w:w="1881"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3D67F8D" w14:textId="77777777" w:rsidR="00621E3B" w:rsidRPr="00621E3B" w:rsidRDefault="00621E3B" w:rsidP="00621E3B">
            <w:pPr>
              <w:jc w:val="right"/>
              <w:rPr>
                <w:rFonts w:eastAsia="Times New Roman"/>
                <w:color w:val="FFFFFF"/>
                <w:sz w:val="18"/>
                <w:szCs w:val="18"/>
              </w:rPr>
            </w:pPr>
            <w:r w:rsidRPr="00621E3B">
              <w:rPr>
                <w:rFonts w:eastAsia="Times New Roman"/>
                <w:color w:val="FFFFFF"/>
                <w:sz w:val="18"/>
                <w:szCs w:val="18"/>
              </w:rPr>
              <w:t>Region</w:t>
            </w:r>
          </w:p>
        </w:tc>
        <w:tc>
          <w:tcPr>
            <w:tcW w:w="1882"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6E7F945" w14:textId="77777777" w:rsidR="00621E3B" w:rsidRPr="00621E3B" w:rsidRDefault="00621E3B" w:rsidP="00621E3B">
            <w:pPr>
              <w:jc w:val="right"/>
              <w:rPr>
                <w:rFonts w:eastAsia="Times New Roman"/>
                <w:color w:val="FFFFFF"/>
                <w:sz w:val="18"/>
                <w:szCs w:val="18"/>
              </w:rPr>
            </w:pPr>
            <w:r w:rsidRPr="00621E3B">
              <w:rPr>
                <w:rFonts w:eastAsia="Times New Roman"/>
                <w:color w:val="FFFFFF"/>
                <w:sz w:val="18"/>
                <w:szCs w:val="18"/>
              </w:rPr>
              <w:t>Province</w:t>
            </w:r>
          </w:p>
        </w:tc>
      </w:tr>
      <w:tr w:rsidR="00621E3B" w:rsidRPr="00621E3B" w14:paraId="350F4357" w14:textId="77777777" w:rsidTr="00621E3B">
        <w:trPr>
          <w:trHeight w:val="402"/>
        </w:trPr>
        <w:tc>
          <w:tcPr>
            <w:tcW w:w="3711" w:type="dxa"/>
            <w:tcBorders>
              <w:top w:val="nil"/>
              <w:left w:val="single" w:sz="4" w:space="0" w:color="auto"/>
              <w:bottom w:val="single" w:sz="4" w:space="0" w:color="auto"/>
              <w:right w:val="single" w:sz="4" w:space="0" w:color="000000"/>
            </w:tcBorders>
            <w:shd w:val="clear" w:color="000000" w:fill="F2F2F2"/>
            <w:noWrap/>
            <w:vAlign w:val="center"/>
            <w:hideMark/>
          </w:tcPr>
          <w:p w14:paraId="4D28DF32"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Total households</w:t>
            </w:r>
          </w:p>
        </w:tc>
        <w:tc>
          <w:tcPr>
            <w:tcW w:w="1881" w:type="dxa"/>
            <w:tcBorders>
              <w:top w:val="nil"/>
              <w:left w:val="nil"/>
              <w:bottom w:val="single" w:sz="4" w:space="0" w:color="auto"/>
              <w:right w:val="single" w:sz="4" w:space="0" w:color="BFBFBF"/>
            </w:tcBorders>
            <w:shd w:val="clear" w:color="000000" w:fill="F2F2F2"/>
            <w:noWrap/>
            <w:vAlign w:val="center"/>
            <w:hideMark/>
          </w:tcPr>
          <w:p w14:paraId="34075E3A"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$66,000</w:t>
            </w:r>
          </w:p>
        </w:tc>
        <w:tc>
          <w:tcPr>
            <w:tcW w:w="1881" w:type="dxa"/>
            <w:tcBorders>
              <w:top w:val="nil"/>
              <w:left w:val="nil"/>
              <w:bottom w:val="single" w:sz="4" w:space="0" w:color="auto"/>
              <w:right w:val="single" w:sz="4" w:space="0" w:color="BFBFBF"/>
            </w:tcBorders>
            <w:shd w:val="clear" w:color="000000" w:fill="F2F2F2"/>
            <w:noWrap/>
            <w:vAlign w:val="center"/>
            <w:hideMark/>
          </w:tcPr>
          <w:p w14:paraId="19B6A17A"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$77,000</w:t>
            </w:r>
          </w:p>
        </w:tc>
        <w:tc>
          <w:tcPr>
            <w:tcW w:w="1882" w:type="dxa"/>
            <w:tcBorders>
              <w:top w:val="nil"/>
              <w:left w:val="nil"/>
              <w:bottom w:val="single" w:sz="4" w:space="0" w:color="auto"/>
              <w:right w:val="single" w:sz="4" w:space="0" w:color="auto"/>
            </w:tcBorders>
            <w:shd w:val="clear" w:color="000000" w:fill="F2F2F2"/>
            <w:noWrap/>
            <w:vAlign w:val="center"/>
            <w:hideMark/>
          </w:tcPr>
          <w:p w14:paraId="0E5D86F6"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$73,500</w:t>
            </w:r>
          </w:p>
        </w:tc>
      </w:tr>
      <w:tr w:rsidR="00621E3B" w:rsidRPr="00621E3B" w14:paraId="33DB2DE9" w14:textId="77777777" w:rsidTr="003C59F9">
        <w:trPr>
          <w:trHeight w:val="402"/>
        </w:trPr>
        <w:tc>
          <w:tcPr>
            <w:tcW w:w="9355" w:type="dxa"/>
            <w:gridSpan w:val="4"/>
            <w:tcBorders>
              <w:top w:val="nil"/>
              <w:left w:val="single" w:sz="4" w:space="0" w:color="auto"/>
              <w:bottom w:val="single" w:sz="4" w:space="0" w:color="auto"/>
              <w:right w:val="single" w:sz="4" w:space="0" w:color="000000"/>
            </w:tcBorders>
            <w:shd w:val="clear" w:color="auto" w:fill="CFD9E3" w:themeFill="accent1"/>
            <w:noWrap/>
            <w:vAlign w:val="center"/>
            <w:hideMark/>
          </w:tcPr>
          <w:p w14:paraId="25972E62" w14:textId="6E7FF179" w:rsidR="00621E3B" w:rsidRPr="00621E3B" w:rsidRDefault="00621E3B" w:rsidP="00621E3B">
            <w:pPr>
              <w:rPr>
                <w:rFonts w:eastAsia="Times New Roman"/>
                <w:color w:val="000000"/>
                <w:sz w:val="18"/>
                <w:szCs w:val="18"/>
              </w:rPr>
            </w:pPr>
            <w:r w:rsidRPr="00621E3B">
              <w:rPr>
                <w:rFonts w:eastAsia="Times New Roman"/>
                <w:color w:val="000000"/>
                <w:sz w:val="18"/>
                <w:szCs w:val="18"/>
              </w:rPr>
              <w:t>By tenure</w:t>
            </w:r>
            <w:r>
              <w:rPr>
                <w:rFonts w:eastAsia="Times New Roman"/>
                <w:color w:val="000000"/>
                <w:sz w:val="18"/>
                <w:szCs w:val="18"/>
              </w:rPr>
              <w:t xml:space="preserve"> (estimates*)</w:t>
            </w:r>
          </w:p>
        </w:tc>
      </w:tr>
      <w:tr w:rsidR="00621E3B" w:rsidRPr="00621E3B" w14:paraId="7287EE66" w14:textId="77777777" w:rsidTr="00621E3B">
        <w:trPr>
          <w:trHeight w:val="402"/>
        </w:trPr>
        <w:tc>
          <w:tcPr>
            <w:tcW w:w="3711"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7A7D01FB"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Owner households</w:t>
            </w:r>
          </w:p>
        </w:tc>
        <w:tc>
          <w:tcPr>
            <w:tcW w:w="1881" w:type="dxa"/>
            <w:tcBorders>
              <w:top w:val="nil"/>
              <w:left w:val="nil"/>
              <w:bottom w:val="single" w:sz="4" w:space="0" w:color="BFBFBF"/>
              <w:right w:val="single" w:sz="4" w:space="0" w:color="BFBFBF"/>
            </w:tcBorders>
            <w:shd w:val="clear" w:color="000000" w:fill="F2F2F2"/>
            <w:noWrap/>
            <w:vAlign w:val="center"/>
            <w:hideMark/>
          </w:tcPr>
          <w:p w14:paraId="28C1FF2F"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$80,200</w:t>
            </w:r>
          </w:p>
        </w:tc>
        <w:tc>
          <w:tcPr>
            <w:tcW w:w="1881" w:type="dxa"/>
            <w:tcBorders>
              <w:top w:val="nil"/>
              <w:left w:val="nil"/>
              <w:bottom w:val="single" w:sz="4" w:space="0" w:color="BFBFBF"/>
              <w:right w:val="single" w:sz="4" w:space="0" w:color="BFBFBF"/>
            </w:tcBorders>
            <w:shd w:val="clear" w:color="000000" w:fill="F2F2F2"/>
            <w:noWrap/>
            <w:vAlign w:val="center"/>
            <w:hideMark/>
          </w:tcPr>
          <w:p w14:paraId="35677170"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$87,000</w:t>
            </w:r>
          </w:p>
        </w:tc>
        <w:tc>
          <w:tcPr>
            <w:tcW w:w="1882" w:type="dxa"/>
            <w:tcBorders>
              <w:top w:val="nil"/>
              <w:left w:val="nil"/>
              <w:bottom w:val="single" w:sz="4" w:space="0" w:color="BFBFBF"/>
              <w:right w:val="single" w:sz="4" w:space="0" w:color="auto"/>
            </w:tcBorders>
            <w:shd w:val="clear" w:color="000000" w:fill="F2F2F2"/>
            <w:noWrap/>
            <w:vAlign w:val="center"/>
            <w:hideMark/>
          </w:tcPr>
          <w:p w14:paraId="5C77947A"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$82,800</w:t>
            </w:r>
          </w:p>
        </w:tc>
      </w:tr>
      <w:tr w:rsidR="00621E3B" w:rsidRPr="00621E3B" w14:paraId="2706A46A" w14:textId="77777777" w:rsidTr="00621E3B">
        <w:trPr>
          <w:trHeight w:val="402"/>
        </w:trPr>
        <w:tc>
          <w:tcPr>
            <w:tcW w:w="3711" w:type="dxa"/>
            <w:tcBorders>
              <w:top w:val="single" w:sz="4" w:space="0" w:color="BFBFBF"/>
              <w:left w:val="single" w:sz="4" w:space="0" w:color="auto"/>
              <w:bottom w:val="single" w:sz="4" w:space="0" w:color="auto"/>
              <w:right w:val="single" w:sz="4" w:space="0" w:color="000000"/>
            </w:tcBorders>
            <w:shd w:val="clear" w:color="000000" w:fill="FFFFFF"/>
            <w:noWrap/>
            <w:vAlign w:val="center"/>
            <w:hideMark/>
          </w:tcPr>
          <w:p w14:paraId="63D1B657"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Renter households</w:t>
            </w:r>
          </w:p>
        </w:tc>
        <w:tc>
          <w:tcPr>
            <w:tcW w:w="1881" w:type="dxa"/>
            <w:tcBorders>
              <w:top w:val="nil"/>
              <w:left w:val="nil"/>
              <w:bottom w:val="single" w:sz="4" w:space="0" w:color="auto"/>
              <w:right w:val="single" w:sz="4" w:space="0" w:color="BFBFBF"/>
            </w:tcBorders>
            <w:shd w:val="clear" w:color="000000" w:fill="FFFFFF"/>
            <w:noWrap/>
            <w:vAlign w:val="center"/>
            <w:hideMark/>
          </w:tcPr>
          <w:p w14:paraId="7F4D0809"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$63,900</w:t>
            </w:r>
          </w:p>
        </w:tc>
        <w:tc>
          <w:tcPr>
            <w:tcW w:w="1881" w:type="dxa"/>
            <w:tcBorders>
              <w:top w:val="nil"/>
              <w:left w:val="nil"/>
              <w:bottom w:val="single" w:sz="4" w:space="0" w:color="auto"/>
              <w:right w:val="single" w:sz="4" w:space="0" w:color="BFBFBF"/>
            </w:tcBorders>
            <w:shd w:val="clear" w:color="000000" w:fill="FFFFFF"/>
            <w:noWrap/>
            <w:vAlign w:val="center"/>
            <w:hideMark/>
          </w:tcPr>
          <w:p w14:paraId="493A38B4"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$69,900</w:t>
            </w:r>
          </w:p>
        </w:tc>
        <w:tc>
          <w:tcPr>
            <w:tcW w:w="1882" w:type="dxa"/>
            <w:tcBorders>
              <w:top w:val="nil"/>
              <w:left w:val="nil"/>
              <w:bottom w:val="single" w:sz="4" w:space="0" w:color="auto"/>
              <w:right w:val="single" w:sz="4" w:space="0" w:color="auto"/>
            </w:tcBorders>
            <w:shd w:val="clear" w:color="000000" w:fill="FFFFFF"/>
            <w:noWrap/>
            <w:vAlign w:val="center"/>
            <w:hideMark/>
          </w:tcPr>
          <w:p w14:paraId="599E3FE9"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$66,500</w:t>
            </w:r>
          </w:p>
        </w:tc>
      </w:tr>
      <w:tr w:rsidR="00621E3B" w:rsidRPr="00621E3B" w14:paraId="1BF1A3B8" w14:textId="77777777" w:rsidTr="003C59F9">
        <w:trPr>
          <w:trHeight w:val="402"/>
        </w:trPr>
        <w:tc>
          <w:tcPr>
            <w:tcW w:w="9355" w:type="dxa"/>
            <w:gridSpan w:val="4"/>
            <w:tcBorders>
              <w:top w:val="nil"/>
              <w:left w:val="single" w:sz="4" w:space="0" w:color="auto"/>
              <w:bottom w:val="single" w:sz="4" w:space="0" w:color="auto"/>
              <w:right w:val="single" w:sz="4" w:space="0" w:color="000000"/>
            </w:tcBorders>
            <w:shd w:val="clear" w:color="auto" w:fill="CFD9E3" w:themeFill="accent1"/>
            <w:noWrap/>
            <w:vAlign w:val="center"/>
            <w:hideMark/>
          </w:tcPr>
          <w:p w14:paraId="44DE3705"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lastRenderedPageBreak/>
              <w:t>By household size</w:t>
            </w:r>
          </w:p>
        </w:tc>
      </w:tr>
      <w:tr w:rsidR="00621E3B" w:rsidRPr="00621E3B" w14:paraId="2FA87CBB" w14:textId="77777777" w:rsidTr="00621E3B">
        <w:trPr>
          <w:trHeight w:val="402"/>
        </w:trPr>
        <w:tc>
          <w:tcPr>
            <w:tcW w:w="3711"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202288B6"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1 person households</w:t>
            </w:r>
          </w:p>
        </w:tc>
        <w:tc>
          <w:tcPr>
            <w:tcW w:w="1881" w:type="dxa"/>
            <w:tcBorders>
              <w:top w:val="nil"/>
              <w:left w:val="nil"/>
              <w:bottom w:val="single" w:sz="4" w:space="0" w:color="BFBFBF"/>
              <w:right w:val="single" w:sz="4" w:space="0" w:color="BFBFBF"/>
            </w:tcBorders>
            <w:shd w:val="clear" w:color="000000" w:fill="F2F2F2"/>
            <w:noWrap/>
            <w:vAlign w:val="center"/>
            <w:hideMark/>
          </w:tcPr>
          <w:p w14:paraId="67E370CD"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$36,400</w:t>
            </w:r>
          </w:p>
        </w:tc>
        <w:tc>
          <w:tcPr>
            <w:tcW w:w="1881" w:type="dxa"/>
            <w:tcBorders>
              <w:top w:val="nil"/>
              <w:left w:val="nil"/>
              <w:bottom w:val="single" w:sz="4" w:space="0" w:color="BFBFBF"/>
              <w:right w:val="single" w:sz="4" w:space="0" w:color="BFBFBF"/>
            </w:tcBorders>
            <w:shd w:val="clear" w:color="000000" w:fill="F2F2F2"/>
            <w:noWrap/>
            <w:vAlign w:val="center"/>
            <w:hideMark/>
          </w:tcPr>
          <w:p w14:paraId="1B6B5BA4"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$38,800</w:t>
            </w:r>
          </w:p>
        </w:tc>
        <w:tc>
          <w:tcPr>
            <w:tcW w:w="1882" w:type="dxa"/>
            <w:tcBorders>
              <w:top w:val="nil"/>
              <w:left w:val="nil"/>
              <w:bottom w:val="single" w:sz="4" w:space="0" w:color="BFBFBF"/>
              <w:right w:val="single" w:sz="4" w:space="0" w:color="auto"/>
            </w:tcBorders>
            <w:shd w:val="clear" w:color="000000" w:fill="F2F2F2"/>
            <w:noWrap/>
            <w:vAlign w:val="center"/>
            <w:hideMark/>
          </w:tcPr>
          <w:p w14:paraId="00A75D07"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$36,400</w:t>
            </w:r>
          </w:p>
        </w:tc>
      </w:tr>
      <w:tr w:rsidR="00621E3B" w:rsidRPr="00621E3B" w14:paraId="259153F1" w14:textId="77777777" w:rsidTr="00621E3B">
        <w:trPr>
          <w:trHeight w:val="402"/>
        </w:trPr>
        <w:tc>
          <w:tcPr>
            <w:tcW w:w="3711" w:type="dxa"/>
            <w:tcBorders>
              <w:top w:val="single" w:sz="4" w:space="0" w:color="BFBFBF"/>
              <w:left w:val="single" w:sz="4" w:space="0" w:color="auto"/>
              <w:bottom w:val="single" w:sz="4" w:space="0" w:color="BFBFBF"/>
              <w:right w:val="single" w:sz="4" w:space="0" w:color="000000"/>
            </w:tcBorders>
            <w:shd w:val="clear" w:color="000000" w:fill="FFFFFF"/>
            <w:noWrap/>
            <w:vAlign w:val="center"/>
            <w:hideMark/>
          </w:tcPr>
          <w:p w14:paraId="6DC5EBB2"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2 person households</w:t>
            </w:r>
          </w:p>
        </w:tc>
        <w:tc>
          <w:tcPr>
            <w:tcW w:w="1881" w:type="dxa"/>
            <w:tcBorders>
              <w:top w:val="nil"/>
              <w:left w:val="nil"/>
              <w:bottom w:val="single" w:sz="4" w:space="0" w:color="BFBFBF"/>
              <w:right w:val="single" w:sz="4" w:space="0" w:color="BFBFBF"/>
            </w:tcBorders>
            <w:shd w:val="clear" w:color="000000" w:fill="FFFFFF"/>
            <w:noWrap/>
            <w:vAlign w:val="center"/>
            <w:hideMark/>
          </w:tcPr>
          <w:p w14:paraId="5CF0083B"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$76,000</w:t>
            </w:r>
          </w:p>
        </w:tc>
        <w:tc>
          <w:tcPr>
            <w:tcW w:w="1881" w:type="dxa"/>
            <w:tcBorders>
              <w:top w:val="nil"/>
              <w:left w:val="nil"/>
              <w:bottom w:val="single" w:sz="4" w:space="0" w:color="BFBFBF"/>
              <w:right w:val="single" w:sz="4" w:space="0" w:color="BFBFBF"/>
            </w:tcBorders>
            <w:shd w:val="clear" w:color="000000" w:fill="FFFFFF"/>
            <w:noWrap/>
            <w:vAlign w:val="center"/>
            <w:hideMark/>
          </w:tcPr>
          <w:p w14:paraId="7F78ABB4"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$81,000</w:t>
            </w:r>
          </w:p>
        </w:tc>
        <w:tc>
          <w:tcPr>
            <w:tcW w:w="1882" w:type="dxa"/>
            <w:tcBorders>
              <w:top w:val="nil"/>
              <w:left w:val="nil"/>
              <w:bottom w:val="single" w:sz="4" w:space="0" w:color="BFBFBF"/>
              <w:right w:val="single" w:sz="4" w:space="0" w:color="auto"/>
            </w:tcBorders>
            <w:shd w:val="clear" w:color="000000" w:fill="FFFFFF"/>
            <w:noWrap/>
            <w:vAlign w:val="center"/>
            <w:hideMark/>
          </w:tcPr>
          <w:p w14:paraId="53600449"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$78,000</w:t>
            </w:r>
          </w:p>
        </w:tc>
      </w:tr>
      <w:tr w:rsidR="00621E3B" w:rsidRPr="00621E3B" w14:paraId="00318550" w14:textId="77777777" w:rsidTr="00621E3B">
        <w:trPr>
          <w:trHeight w:val="402"/>
        </w:trPr>
        <w:tc>
          <w:tcPr>
            <w:tcW w:w="3711"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534DFBD9"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3 person households</w:t>
            </w:r>
          </w:p>
        </w:tc>
        <w:tc>
          <w:tcPr>
            <w:tcW w:w="1881" w:type="dxa"/>
            <w:tcBorders>
              <w:top w:val="nil"/>
              <w:left w:val="nil"/>
              <w:bottom w:val="single" w:sz="4" w:space="0" w:color="BFBFBF"/>
              <w:right w:val="single" w:sz="4" w:space="0" w:color="BFBFBF"/>
            </w:tcBorders>
            <w:shd w:val="clear" w:color="000000" w:fill="F2F2F2"/>
            <w:noWrap/>
            <w:vAlign w:val="center"/>
            <w:hideMark/>
          </w:tcPr>
          <w:p w14:paraId="71C38F9E"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$91,000</w:t>
            </w:r>
          </w:p>
        </w:tc>
        <w:tc>
          <w:tcPr>
            <w:tcW w:w="1881" w:type="dxa"/>
            <w:tcBorders>
              <w:top w:val="nil"/>
              <w:left w:val="nil"/>
              <w:bottom w:val="single" w:sz="4" w:space="0" w:color="BFBFBF"/>
              <w:right w:val="single" w:sz="4" w:space="0" w:color="BFBFBF"/>
            </w:tcBorders>
            <w:shd w:val="clear" w:color="000000" w:fill="F2F2F2"/>
            <w:noWrap/>
            <w:vAlign w:val="center"/>
            <w:hideMark/>
          </w:tcPr>
          <w:p w14:paraId="76698DCA"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$101,000</w:t>
            </w:r>
          </w:p>
        </w:tc>
        <w:tc>
          <w:tcPr>
            <w:tcW w:w="1882" w:type="dxa"/>
            <w:tcBorders>
              <w:top w:val="nil"/>
              <w:left w:val="nil"/>
              <w:bottom w:val="single" w:sz="4" w:space="0" w:color="BFBFBF"/>
              <w:right w:val="single" w:sz="4" w:space="0" w:color="auto"/>
            </w:tcBorders>
            <w:shd w:val="clear" w:color="000000" w:fill="F2F2F2"/>
            <w:noWrap/>
            <w:vAlign w:val="center"/>
            <w:hideMark/>
          </w:tcPr>
          <w:p w14:paraId="4A718614"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$99,000</w:t>
            </w:r>
          </w:p>
        </w:tc>
      </w:tr>
      <w:tr w:rsidR="00621E3B" w:rsidRPr="00621E3B" w14:paraId="77383506" w14:textId="77777777" w:rsidTr="00621E3B">
        <w:trPr>
          <w:trHeight w:val="402"/>
        </w:trPr>
        <w:tc>
          <w:tcPr>
            <w:tcW w:w="3711" w:type="dxa"/>
            <w:tcBorders>
              <w:top w:val="single" w:sz="4" w:space="0" w:color="BFBFBF"/>
              <w:left w:val="single" w:sz="4" w:space="0" w:color="auto"/>
              <w:bottom w:val="single" w:sz="4" w:space="0" w:color="BFBFBF"/>
              <w:right w:val="single" w:sz="4" w:space="0" w:color="000000"/>
            </w:tcBorders>
            <w:shd w:val="clear" w:color="000000" w:fill="FFFFFF"/>
            <w:noWrap/>
            <w:vAlign w:val="center"/>
            <w:hideMark/>
          </w:tcPr>
          <w:p w14:paraId="06D3EB97"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4 person households</w:t>
            </w:r>
          </w:p>
        </w:tc>
        <w:tc>
          <w:tcPr>
            <w:tcW w:w="1881" w:type="dxa"/>
            <w:tcBorders>
              <w:top w:val="nil"/>
              <w:left w:val="nil"/>
              <w:bottom w:val="single" w:sz="4" w:space="0" w:color="BFBFBF"/>
              <w:right w:val="single" w:sz="4" w:space="0" w:color="BFBFBF"/>
            </w:tcBorders>
            <w:shd w:val="clear" w:color="000000" w:fill="FFFFFF"/>
            <w:noWrap/>
            <w:vAlign w:val="center"/>
            <w:hideMark/>
          </w:tcPr>
          <w:p w14:paraId="0B01A2B4"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$117,000</w:t>
            </w:r>
          </w:p>
        </w:tc>
        <w:tc>
          <w:tcPr>
            <w:tcW w:w="1881" w:type="dxa"/>
            <w:tcBorders>
              <w:top w:val="nil"/>
              <w:left w:val="nil"/>
              <w:bottom w:val="single" w:sz="4" w:space="0" w:color="BFBFBF"/>
              <w:right w:val="single" w:sz="4" w:space="0" w:color="BFBFBF"/>
            </w:tcBorders>
            <w:shd w:val="clear" w:color="000000" w:fill="FFFFFF"/>
            <w:noWrap/>
            <w:vAlign w:val="center"/>
            <w:hideMark/>
          </w:tcPr>
          <w:p w14:paraId="58CB80A3"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$126,000</w:t>
            </w:r>
          </w:p>
        </w:tc>
        <w:tc>
          <w:tcPr>
            <w:tcW w:w="1882" w:type="dxa"/>
            <w:tcBorders>
              <w:top w:val="nil"/>
              <w:left w:val="nil"/>
              <w:bottom w:val="single" w:sz="4" w:space="0" w:color="BFBFBF"/>
              <w:right w:val="single" w:sz="4" w:space="0" w:color="auto"/>
            </w:tcBorders>
            <w:shd w:val="clear" w:color="000000" w:fill="FFFFFF"/>
            <w:noWrap/>
            <w:vAlign w:val="center"/>
            <w:hideMark/>
          </w:tcPr>
          <w:p w14:paraId="1212D313"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$122,000</w:t>
            </w:r>
          </w:p>
        </w:tc>
      </w:tr>
      <w:tr w:rsidR="00621E3B" w:rsidRPr="00621E3B" w14:paraId="47D681BF" w14:textId="77777777" w:rsidTr="00621E3B">
        <w:trPr>
          <w:trHeight w:val="402"/>
        </w:trPr>
        <w:tc>
          <w:tcPr>
            <w:tcW w:w="3711"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42571F11"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5+ person households</w:t>
            </w:r>
          </w:p>
        </w:tc>
        <w:tc>
          <w:tcPr>
            <w:tcW w:w="1881" w:type="dxa"/>
            <w:tcBorders>
              <w:top w:val="nil"/>
              <w:left w:val="nil"/>
              <w:bottom w:val="single" w:sz="4" w:space="0" w:color="auto"/>
              <w:right w:val="single" w:sz="4" w:space="0" w:color="BFBFBF"/>
            </w:tcBorders>
            <w:shd w:val="clear" w:color="000000" w:fill="F2F2F2"/>
            <w:noWrap/>
            <w:vAlign w:val="center"/>
            <w:hideMark/>
          </w:tcPr>
          <w:p w14:paraId="234F9AA1"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$128,000</w:t>
            </w:r>
          </w:p>
        </w:tc>
        <w:tc>
          <w:tcPr>
            <w:tcW w:w="1881" w:type="dxa"/>
            <w:tcBorders>
              <w:top w:val="nil"/>
              <w:left w:val="nil"/>
              <w:bottom w:val="single" w:sz="4" w:space="0" w:color="auto"/>
              <w:right w:val="single" w:sz="4" w:space="0" w:color="BFBFBF"/>
            </w:tcBorders>
            <w:shd w:val="clear" w:color="000000" w:fill="F2F2F2"/>
            <w:noWrap/>
            <w:vAlign w:val="center"/>
            <w:hideMark/>
          </w:tcPr>
          <w:p w14:paraId="3FEBE8F5"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$132,000</w:t>
            </w:r>
          </w:p>
        </w:tc>
        <w:tc>
          <w:tcPr>
            <w:tcW w:w="1882" w:type="dxa"/>
            <w:tcBorders>
              <w:top w:val="nil"/>
              <w:left w:val="nil"/>
              <w:bottom w:val="single" w:sz="4" w:space="0" w:color="auto"/>
              <w:right w:val="single" w:sz="4" w:space="0" w:color="auto"/>
            </w:tcBorders>
            <w:shd w:val="clear" w:color="000000" w:fill="F2F2F2"/>
            <w:noWrap/>
            <w:vAlign w:val="center"/>
            <w:hideMark/>
          </w:tcPr>
          <w:p w14:paraId="5854CA02"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$129,000</w:t>
            </w:r>
          </w:p>
        </w:tc>
      </w:tr>
      <w:tr w:rsidR="00621E3B" w:rsidRPr="00621E3B" w14:paraId="26402FAC" w14:textId="77777777" w:rsidTr="003C59F9">
        <w:trPr>
          <w:trHeight w:val="402"/>
        </w:trPr>
        <w:tc>
          <w:tcPr>
            <w:tcW w:w="9355" w:type="dxa"/>
            <w:gridSpan w:val="4"/>
            <w:tcBorders>
              <w:top w:val="nil"/>
              <w:left w:val="single" w:sz="4" w:space="0" w:color="auto"/>
              <w:bottom w:val="single" w:sz="4" w:space="0" w:color="auto"/>
              <w:right w:val="single" w:sz="4" w:space="0" w:color="000000"/>
            </w:tcBorders>
            <w:shd w:val="clear" w:color="auto" w:fill="CFD9E3" w:themeFill="accent1"/>
            <w:noWrap/>
            <w:vAlign w:val="center"/>
            <w:hideMark/>
          </w:tcPr>
          <w:p w14:paraId="0B3C601F"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By household family type</w:t>
            </w:r>
          </w:p>
        </w:tc>
      </w:tr>
      <w:tr w:rsidR="00621E3B" w:rsidRPr="00621E3B" w14:paraId="459BA84C" w14:textId="77777777" w:rsidTr="00621E3B">
        <w:trPr>
          <w:trHeight w:val="402"/>
        </w:trPr>
        <w:tc>
          <w:tcPr>
            <w:tcW w:w="3711" w:type="dxa"/>
            <w:tcBorders>
              <w:top w:val="single" w:sz="4" w:space="0" w:color="auto"/>
              <w:left w:val="single" w:sz="4" w:space="0" w:color="auto"/>
              <w:bottom w:val="single" w:sz="4" w:space="0" w:color="BFBFBF"/>
              <w:right w:val="single" w:sz="4" w:space="0" w:color="000000"/>
            </w:tcBorders>
            <w:shd w:val="clear" w:color="000000" w:fill="F2F2F2"/>
            <w:noWrap/>
            <w:vAlign w:val="center"/>
            <w:hideMark/>
          </w:tcPr>
          <w:p w14:paraId="0771ABFC"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Couples without child(ren)</w:t>
            </w:r>
          </w:p>
        </w:tc>
        <w:tc>
          <w:tcPr>
            <w:tcW w:w="1881" w:type="dxa"/>
            <w:tcBorders>
              <w:top w:val="nil"/>
              <w:left w:val="nil"/>
              <w:bottom w:val="single" w:sz="4" w:space="0" w:color="BFBFBF"/>
              <w:right w:val="single" w:sz="4" w:space="0" w:color="BFBFBF"/>
            </w:tcBorders>
            <w:shd w:val="clear" w:color="000000" w:fill="F2F2F2"/>
            <w:noWrap/>
            <w:vAlign w:val="center"/>
            <w:hideMark/>
          </w:tcPr>
          <w:p w14:paraId="2EDF9580"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$87,000</w:t>
            </w:r>
          </w:p>
        </w:tc>
        <w:tc>
          <w:tcPr>
            <w:tcW w:w="1881" w:type="dxa"/>
            <w:tcBorders>
              <w:top w:val="nil"/>
              <w:left w:val="nil"/>
              <w:bottom w:val="single" w:sz="4" w:space="0" w:color="BFBFBF"/>
              <w:right w:val="single" w:sz="4" w:space="0" w:color="BFBFBF"/>
            </w:tcBorders>
            <w:shd w:val="clear" w:color="000000" w:fill="F2F2F2"/>
            <w:noWrap/>
            <w:vAlign w:val="center"/>
            <w:hideMark/>
          </w:tcPr>
          <w:p w14:paraId="527716C2"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$88,000</w:t>
            </w:r>
          </w:p>
        </w:tc>
        <w:tc>
          <w:tcPr>
            <w:tcW w:w="1882" w:type="dxa"/>
            <w:tcBorders>
              <w:top w:val="nil"/>
              <w:left w:val="nil"/>
              <w:bottom w:val="single" w:sz="4" w:space="0" w:color="BFBFBF"/>
              <w:right w:val="single" w:sz="4" w:space="0" w:color="auto"/>
            </w:tcBorders>
            <w:shd w:val="clear" w:color="000000" w:fill="F2F2F2"/>
            <w:noWrap/>
            <w:vAlign w:val="center"/>
            <w:hideMark/>
          </w:tcPr>
          <w:p w14:paraId="3DB0E05A"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$83,000</w:t>
            </w:r>
          </w:p>
        </w:tc>
      </w:tr>
      <w:tr w:rsidR="00621E3B" w:rsidRPr="00621E3B" w14:paraId="35122F60" w14:textId="77777777" w:rsidTr="00621E3B">
        <w:trPr>
          <w:trHeight w:val="402"/>
        </w:trPr>
        <w:tc>
          <w:tcPr>
            <w:tcW w:w="3711" w:type="dxa"/>
            <w:tcBorders>
              <w:top w:val="single" w:sz="4" w:space="0" w:color="BFBFBF"/>
              <w:left w:val="single" w:sz="4" w:space="0" w:color="auto"/>
              <w:bottom w:val="single" w:sz="4" w:space="0" w:color="BFBFBF"/>
              <w:right w:val="single" w:sz="4" w:space="0" w:color="000000"/>
            </w:tcBorders>
            <w:shd w:val="clear" w:color="000000" w:fill="FFFFFF"/>
            <w:noWrap/>
            <w:vAlign w:val="center"/>
            <w:hideMark/>
          </w:tcPr>
          <w:p w14:paraId="7F945002"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Couples with child(ren)</w:t>
            </w:r>
          </w:p>
        </w:tc>
        <w:tc>
          <w:tcPr>
            <w:tcW w:w="1881" w:type="dxa"/>
            <w:tcBorders>
              <w:top w:val="nil"/>
              <w:left w:val="nil"/>
              <w:bottom w:val="single" w:sz="4" w:space="0" w:color="BFBFBF"/>
              <w:right w:val="single" w:sz="4" w:space="0" w:color="BFBFBF"/>
            </w:tcBorders>
            <w:shd w:val="clear" w:color="000000" w:fill="FFFFFF"/>
            <w:noWrap/>
            <w:vAlign w:val="center"/>
            <w:hideMark/>
          </w:tcPr>
          <w:p w14:paraId="77CE6C36"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$115,000</w:t>
            </w:r>
          </w:p>
        </w:tc>
        <w:tc>
          <w:tcPr>
            <w:tcW w:w="1881" w:type="dxa"/>
            <w:tcBorders>
              <w:top w:val="nil"/>
              <w:left w:val="nil"/>
              <w:bottom w:val="single" w:sz="4" w:space="0" w:color="BFBFBF"/>
              <w:right w:val="single" w:sz="4" w:space="0" w:color="BFBFBF"/>
            </w:tcBorders>
            <w:shd w:val="clear" w:color="000000" w:fill="FFFFFF"/>
            <w:noWrap/>
            <w:vAlign w:val="center"/>
            <w:hideMark/>
          </w:tcPr>
          <w:p w14:paraId="451A4DD3"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$123,000</w:t>
            </w:r>
          </w:p>
        </w:tc>
        <w:tc>
          <w:tcPr>
            <w:tcW w:w="1882" w:type="dxa"/>
            <w:tcBorders>
              <w:top w:val="nil"/>
              <w:left w:val="nil"/>
              <w:bottom w:val="single" w:sz="4" w:space="0" w:color="BFBFBF"/>
              <w:right w:val="single" w:sz="4" w:space="0" w:color="auto"/>
            </w:tcBorders>
            <w:shd w:val="clear" w:color="000000" w:fill="FFFFFF"/>
            <w:noWrap/>
            <w:vAlign w:val="center"/>
            <w:hideMark/>
          </w:tcPr>
          <w:p w14:paraId="1D287B62"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$119,000</w:t>
            </w:r>
          </w:p>
        </w:tc>
      </w:tr>
      <w:tr w:rsidR="00621E3B" w:rsidRPr="00621E3B" w14:paraId="362591F1" w14:textId="77777777" w:rsidTr="00621E3B">
        <w:trPr>
          <w:trHeight w:val="402"/>
        </w:trPr>
        <w:tc>
          <w:tcPr>
            <w:tcW w:w="3711"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15B04860"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Lone parents</w:t>
            </w:r>
          </w:p>
        </w:tc>
        <w:tc>
          <w:tcPr>
            <w:tcW w:w="1881" w:type="dxa"/>
            <w:tcBorders>
              <w:top w:val="nil"/>
              <w:left w:val="nil"/>
              <w:bottom w:val="single" w:sz="4" w:space="0" w:color="BFBFBF"/>
              <w:right w:val="single" w:sz="4" w:space="0" w:color="BFBFBF"/>
            </w:tcBorders>
            <w:shd w:val="clear" w:color="000000" w:fill="F2F2F2"/>
            <w:noWrap/>
            <w:vAlign w:val="center"/>
            <w:hideMark/>
          </w:tcPr>
          <w:p w14:paraId="26D53DD4"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$57,200</w:t>
            </w:r>
          </w:p>
        </w:tc>
        <w:tc>
          <w:tcPr>
            <w:tcW w:w="1881" w:type="dxa"/>
            <w:tcBorders>
              <w:top w:val="nil"/>
              <w:left w:val="nil"/>
              <w:bottom w:val="single" w:sz="4" w:space="0" w:color="BFBFBF"/>
              <w:right w:val="single" w:sz="4" w:space="0" w:color="BFBFBF"/>
            </w:tcBorders>
            <w:shd w:val="clear" w:color="000000" w:fill="F2F2F2"/>
            <w:noWrap/>
            <w:vAlign w:val="center"/>
            <w:hideMark/>
          </w:tcPr>
          <w:p w14:paraId="5DB1B545"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$61,600</w:t>
            </w:r>
          </w:p>
        </w:tc>
        <w:tc>
          <w:tcPr>
            <w:tcW w:w="1882" w:type="dxa"/>
            <w:tcBorders>
              <w:top w:val="nil"/>
              <w:left w:val="nil"/>
              <w:bottom w:val="single" w:sz="4" w:space="0" w:color="BFBFBF"/>
              <w:right w:val="single" w:sz="4" w:space="0" w:color="auto"/>
            </w:tcBorders>
            <w:shd w:val="clear" w:color="000000" w:fill="F2F2F2"/>
            <w:noWrap/>
            <w:vAlign w:val="center"/>
            <w:hideMark/>
          </w:tcPr>
          <w:p w14:paraId="05840E4F"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$60,400</w:t>
            </w:r>
          </w:p>
        </w:tc>
      </w:tr>
      <w:tr w:rsidR="00621E3B" w:rsidRPr="00621E3B" w14:paraId="2F82A284" w14:textId="77777777" w:rsidTr="00621E3B">
        <w:trPr>
          <w:trHeight w:val="402"/>
        </w:trPr>
        <w:tc>
          <w:tcPr>
            <w:tcW w:w="3711" w:type="dxa"/>
            <w:tcBorders>
              <w:top w:val="single" w:sz="4" w:space="0" w:color="BFBFBF"/>
              <w:left w:val="single" w:sz="4" w:space="0" w:color="auto"/>
              <w:bottom w:val="single" w:sz="4" w:space="0" w:color="auto"/>
              <w:right w:val="single" w:sz="4" w:space="0" w:color="000000"/>
            </w:tcBorders>
            <w:shd w:val="clear" w:color="000000" w:fill="FFFFFF"/>
            <w:noWrap/>
            <w:vAlign w:val="center"/>
            <w:hideMark/>
          </w:tcPr>
          <w:p w14:paraId="5A5C8897" w14:textId="77777777" w:rsidR="00621E3B" w:rsidRPr="00621E3B" w:rsidRDefault="00621E3B" w:rsidP="00621E3B">
            <w:pPr>
              <w:rPr>
                <w:rFonts w:eastAsia="Times New Roman"/>
                <w:color w:val="000000"/>
                <w:sz w:val="18"/>
                <w:szCs w:val="18"/>
              </w:rPr>
            </w:pPr>
            <w:r w:rsidRPr="00621E3B">
              <w:rPr>
                <w:rFonts w:eastAsia="Times New Roman"/>
                <w:color w:val="000000"/>
                <w:sz w:val="18"/>
                <w:szCs w:val="18"/>
              </w:rPr>
              <w:t>Non-census families</w:t>
            </w:r>
          </w:p>
        </w:tc>
        <w:tc>
          <w:tcPr>
            <w:tcW w:w="1881" w:type="dxa"/>
            <w:tcBorders>
              <w:top w:val="nil"/>
              <w:left w:val="nil"/>
              <w:bottom w:val="single" w:sz="4" w:space="0" w:color="auto"/>
              <w:right w:val="single" w:sz="4" w:space="0" w:color="BFBFBF"/>
            </w:tcBorders>
            <w:shd w:val="clear" w:color="000000" w:fill="FFFFFF"/>
            <w:noWrap/>
            <w:vAlign w:val="center"/>
            <w:hideMark/>
          </w:tcPr>
          <w:p w14:paraId="2AF0F1FB"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$42,000</w:t>
            </w:r>
          </w:p>
        </w:tc>
        <w:tc>
          <w:tcPr>
            <w:tcW w:w="1881" w:type="dxa"/>
            <w:tcBorders>
              <w:top w:val="nil"/>
              <w:left w:val="nil"/>
              <w:bottom w:val="single" w:sz="4" w:space="0" w:color="auto"/>
              <w:right w:val="single" w:sz="4" w:space="0" w:color="BFBFBF"/>
            </w:tcBorders>
            <w:shd w:val="clear" w:color="000000" w:fill="FFFFFF"/>
            <w:noWrap/>
            <w:vAlign w:val="center"/>
            <w:hideMark/>
          </w:tcPr>
          <w:p w14:paraId="787FFDF3"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$43,200</w:t>
            </w:r>
          </w:p>
        </w:tc>
        <w:tc>
          <w:tcPr>
            <w:tcW w:w="1882" w:type="dxa"/>
            <w:tcBorders>
              <w:top w:val="nil"/>
              <w:left w:val="nil"/>
              <w:bottom w:val="single" w:sz="4" w:space="0" w:color="auto"/>
              <w:right w:val="single" w:sz="4" w:space="0" w:color="auto"/>
            </w:tcBorders>
            <w:shd w:val="clear" w:color="000000" w:fill="FFFFFF"/>
            <w:noWrap/>
            <w:vAlign w:val="center"/>
            <w:hideMark/>
          </w:tcPr>
          <w:p w14:paraId="613E5653" w14:textId="77777777" w:rsidR="00621E3B" w:rsidRPr="00C42568" w:rsidRDefault="00621E3B" w:rsidP="00621E3B">
            <w:pPr>
              <w:jc w:val="right"/>
              <w:rPr>
                <w:rFonts w:eastAsia="Times New Roman"/>
                <w:color w:val="C00000"/>
                <w:sz w:val="18"/>
                <w:szCs w:val="18"/>
              </w:rPr>
            </w:pPr>
            <w:r w:rsidRPr="00C42568">
              <w:rPr>
                <w:rFonts w:eastAsia="Times New Roman"/>
                <w:color w:val="C00000"/>
                <w:sz w:val="18"/>
                <w:szCs w:val="18"/>
              </w:rPr>
              <w:t>$40,400</w:t>
            </w:r>
          </w:p>
        </w:tc>
      </w:tr>
    </w:tbl>
    <w:p w14:paraId="4D6428CF" w14:textId="03B0D711" w:rsidR="00144BF7" w:rsidRDefault="00830C6D" w:rsidP="00F07F69">
      <w:pPr>
        <w:pStyle w:val="Source"/>
      </w:pPr>
      <w:r>
        <w:t>* Income by tenure not available for lower level geographies. Estimate</w:t>
      </w:r>
      <w:r w:rsidR="00DE5364">
        <w:t>d</w:t>
      </w:r>
      <w:r>
        <w:t xml:space="preserve"> by </w:t>
      </w:r>
      <w:r w:rsidR="00144BF7">
        <w:t>performing a weighted calculation using income by household size and the distribution of household sizes for owner and renter households.</w:t>
      </w:r>
    </w:p>
    <w:p w14:paraId="760BAE05" w14:textId="77777777" w:rsidR="00053640" w:rsidRDefault="00144BF7" w:rsidP="00F07F69">
      <w:pPr>
        <w:pStyle w:val="Source"/>
      </w:pPr>
      <w:r>
        <w:t xml:space="preserve">Source: derived from Statistics Canada Tables </w:t>
      </w:r>
      <w:r w:rsidR="002572A5" w:rsidRPr="002572A5">
        <w:t>98</w:t>
      </w:r>
      <w:r w:rsidR="00F07F69">
        <w:t>-</w:t>
      </w:r>
      <w:r w:rsidR="002572A5" w:rsidRPr="002572A5">
        <w:t>10</w:t>
      </w:r>
      <w:r w:rsidR="00F07F69">
        <w:t>-</w:t>
      </w:r>
      <w:r w:rsidR="002572A5" w:rsidRPr="002572A5">
        <w:t>0057</w:t>
      </w:r>
      <w:r w:rsidR="002572A5">
        <w:t xml:space="preserve"> and </w:t>
      </w:r>
      <w:r w:rsidR="00F07F69" w:rsidRPr="00F07F69">
        <w:t>98</w:t>
      </w:r>
      <w:r w:rsidR="00F07F69">
        <w:t>-</w:t>
      </w:r>
      <w:r w:rsidR="00F07F69" w:rsidRPr="00F07F69">
        <w:t>10</w:t>
      </w:r>
      <w:r w:rsidR="00F07F69">
        <w:t>-</w:t>
      </w:r>
      <w:r w:rsidR="00F07F69" w:rsidRPr="00F07F69">
        <w:t>0240</w:t>
      </w:r>
    </w:p>
    <w:p w14:paraId="34728142" w14:textId="77777777" w:rsidR="009B7C4E" w:rsidRDefault="009B7C4E" w:rsidP="009B7C4E">
      <w:pPr>
        <w:jc w:val="both"/>
      </w:pPr>
    </w:p>
    <w:p w14:paraId="19137B55" w14:textId="32376B23" w:rsidR="00022BFD" w:rsidRDefault="009B7C4E" w:rsidP="009B7C4E">
      <w:pPr>
        <w:jc w:val="both"/>
      </w:pPr>
      <w:r>
        <w:t>Lone-parent and single-person households typically show the lowest median incomes</w:t>
      </w:r>
      <w:r w:rsidR="00A806E7">
        <w:t xml:space="preserve"> and</w:t>
      </w:r>
      <w:r>
        <w:t xml:space="preserve"> their income levels relative to local housing costs </w:t>
      </w:r>
      <w:r w:rsidR="00A806E7">
        <w:t xml:space="preserve">often </w:t>
      </w:r>
      <w:r>
        <w:t xml:space="preserve">define the floor of unmet affordability need. Income by household size reveals the economic capacity of families at different life stages. </w:t>
      </w:r>
      <w:r w:rsidR="00A11605">
        <w:t>For example, l</w:t>
      </w:r>
      <w:r>
        <w:t>arge family households with low median incomes</w:t>
      </w:r>
      <w:r w:rsidR="00A11605">
        <w:t xml:space="preserve"> may </w:t>
      </w:r>
      <w:r>
        <w:t>represent a distinct need for affordable, larger-unit rental options that most markets systematically undersupply. Where renter median incomes fall substantially below the income required to afford average local rents, the gap represents the structural affordability deficit that housing policy must address.</w:t>
      </w:r>
    </w:p>
    <w:p w14:paraId="1F1182B5" w14:textId="77777777" w:rsidR="009B7C4E" w:rsidRDefault="009B7C4E" w:rsidP="009B7C4E"/>
    <w:p w14:paraId="7D252856" w14:textId="0CCC0977" w:rsidR="004E1B04" w:rsidRDefault="004E1B04" w:rsidP="007D0249">
      <w:pPr>
        <w:pStyle w:val="Heading3"/>
      </w:pPr>
      <w:r>
        <w:t>Government Transfers</w:t>
      </w:r>
    </w:p>
    <w:p w14:paraId="0F562B6D" w14:textId="3D91051A" w:rsidR="009264B0" w:rsidRDefault="009264B0" w:rsidP="009264B0">
      <w:pPr>
        <w:jc w:val="both"/>
      </w:pPr>
      <w:r w:rsidRPr="009264B0">
        <w:t xml:space="preserve">Understanding the composition of household income is essential to assessing the depth and stability of housing affordability across a community. Median household income figures capture what households earn in aggregate but obscure the degree to which that income is derived from employment </w:t>
      </w:r>
      <w:r w:rsidR="009636D8">
        <w:t>(</w:t>
      </w:r>
      <w:r w:rsidRPr="009264B0">
        <w:t>which is responsive to local economic conditions</w:t>
      </w:r>
      <w:r w:rsidR="009636D8">
        <w:t>)</w:t>
      </w:r>
      <w:r w:rsidRPr="009264B0">
        <w:t xml:space="preserve"> versus government transfers</w:t>
      </w:r>
      <w:r w:rsidR="009636D8">
        <w:t xml:space="preserve"> (</w:t>
      </w:r>
      <w:r w:rsidRPr="009264B0">
        <w:t>which are largely fixed, inflation-sensitive, and program-dependent</w:t>
      </w:r>
      <w:r w:rsidR="009636D8">
        <w:t>)</w:t>
      </w:r>
      <w:r w:rsidRPr="009264B0">
        <w:t>. Communities with a high share of residents relying on transfer income face a</w:t>
      </w:r>
      <w:r w:rsidR="00380B45">
        <w:t>n</w:t>
      </w:r>
      <w:r w:rsidRPr="009264B0">
        <w:t xml:space="preserve"> affordability constraint that cannot be resolved through </w:t>
      </w:r>
      <w:r w:rsidR="00C2662A">
        <w:t>economic</w:t>
      </w:r>
      <w:r w:rsidRPr="009264B0">
        <w:t xml:space="preserve"> growth alone: the households in question are either outside the labour force by age or circumstance, or are supplementing low employment earnings with program support</w:t>
      </w:r>
      <w:r w:rsidR="001C4A42">
        <w:t>.</w:t>
      </w:r>
      <w:r w:rsidRPr="009264B0">
        <w:t xml:space="preserve"> </w:t>
      </w:r>
      <w:r w:rsidR="001C4A42">
        <w:t>T</w:t>
      </w:r>
      <w:r w:rsidRPr="009264B0">
        <w:t>his distinction matters because it shapes the type of housing intervention most likely to be effective</w:t>
      </w:r>
      <w:r w:rsidR="00C436EF">
        <w:t xml:space="preserve">. For example, </w:t>
      </w:r>
      <w:r w:rsidRPr="009264B0">
        <w:t>market-rate supply additions do little for households whose incomes are set by pension or benefit schedules rather tha</w:t>
      </w:r>
      <w:r w:rsidR="00C436EF">
        <w:t>n salaries</w:t>
      </w:r>
      <w:r w:rsidRPr="009264B0">
        <w:t>.</w:t>
      </w:r>
    </w:p>
    <w:p w14:paraId="04FEE88C" w14:textId="77777777" w:rsidR="009264B0" w:rsidRDefault="009264B0" w:rsidP="009264B0">
      <w:pPr>
        <w:jc w:val="both"/>
      </w:pPr>
    </w:p>
    <w:p w14:paraId="5A60F455" w14:textId="045099A0" w:rsidR="004E1B04" w:rsidRDefault="009264B0" w:rsidP="009264B0">
      <w:pPr>
        <w:jc w:val="both"/>
      </w:pPr>
      <w:r w:rsidRPr="009264B0">
        <w:rPr>
          <w:rStyle w:val="Figure-textChar"/>
        </w:rPr>
        <w:fldChar w:fldCharType="begin"/>
      </w:r>
      <w:r w:rsidRPr="009264B0">
        <w:rPr>
          <w:rStyle w:val="Figure-textChar"/>
        </w:rPr>
        <w:instrText xml:space="preserve"> REF _Ref223951787 \h </w:instrText>
      </w:r>
      <w:r>
        <w:rPr>
          <w:rStyle w:val="Figure-textChar"/>
        </w:rPr>
        <w:instrText xml:space="preserve"> \* MERGEFORMAT </w:instrText>
      </w:r>
      <w:r w:rsidRPr="009264B0">
        <w:rPr>
          <w:rStyle w:val="Figure-textChar"/>
        </w:rPr>
      </w:r>
      <w:r w:rsidRPr="009264B0">
        <w:rPr>
          <w:rStyle w:val="Figure-textChar"/>
        </w:rPr>
        <w:fldChar w:fldCharType="separate"/>
      </w:r>
      <w:r w:rsidR="00CA6116" w:rsidRPr="00CA6116">
        <w:rPr>
          <w:rStyle w:val="Figure-textChar"/>
        </w:rPr>
        <w:t>Table 5.5</w:t>
      </w:r>
      <w:r w:rsidRPr="009264B0">
        <w:rPr>
          <w:rStyle w:val="Figure-textChar"/>
        </w:rPr>
        <w:fldChar w:fldCharType="end"/>
      </w:r>
      <w:r w:rsidRPr="009264B0">
        <w:t xml:space="preserve"> presents the share of the local, regional, and provincial populations receiving select government transfer income sources as of the 2021 Census, including private retirement income, Old Age Security</w:t>
      </w:r>
      <w:r w:rsidR="00D45960">
        <w:t xml:space="preserve"> (OAS)</w:t>
      </w:r>
      <w:r w:rsidRPr="009264B0">
        <w:t xml:space="preserve"> and the Guaranteed Income Supplement</w:t>
      </w:r>
      <w:r w:rsidR="00D45960">
        <w:t xml:space="preserve"> (GIS)</w:t>
      </w:r>
      <w:r w:rsidRPr="009264B0">
        <w:t>, the Canada and Quebec Pension Plans</w:t>
      </w:r>
      <w:r w:rsidR="00D45960">
        <w:t xml:space="preserve"> (CPP and QPP)</w:t>
      </w:r>
      <w:r w:rsidRPr="009264B0">
        <w:t>, Employment Insurance</w:t>
      </w:r>
      <w:r w:rsidR="00D45960">
        <w:t xml:space="preserve"> (EI)</w:t>
      </w:r>
      <w:r w:rsidRPr="009264B0">
        <w:t>, and child benefits.</w:t>
      </w:r>
    </w:p>
    <w:p w14:paraId="554E3DDD" w14:textId="77777777" w:rsidR="009264B0" w:rsidRDefault="009264B0" w:rsidP="004E1B04"/>
    <w:p w14:paraId="6F1F1337" w14:textId="59E2E899" w:rsidR="00DF13BA" w:rsidRDefault="00DF13BA" w:rsidP="00DF13BA">
      <w:pPr>
        <w:pStyle w:val="Caption"/>
      </w:pPr>
      <w:bookmarkStart w:id="34" w:name="_Ref223951787"/>
      <w:r>
        <w:lastRenderedPageBreak/>
        <w:t xml:space="preserve">Table </w:t>
      </w:r>
      <w:fldSimple w:instr=" STYLEREF 1 \s ">
        <w:r w:rsidR="005E459C">
          <w:rPr>
            <w:noProof/>
          </w:rPr>
          <w:t>5</w:t>
        </w:r>
      </w:fldSimple>
      <w:r w:rsidR="00BD4359">
        <w:t>.</w:t>
      </w:r>
      <w:fldSimple w:instr=" SEQ Table \* ARABIC \s 1 ">
        <w:r w:rsidR="005E459C">
          <w:rPr>
            <w:noProof/>
          </w:rPr>
          <w:t>5</w:t>
        </w:r>
      </w:fldSimple>
      <w:bookmarkEnd w:id="34"/>
      <w:r>
        <w:t>: Select government transfer incomes by geography, 2021 Census</w:t>
      </w:r>
    </w:p>
    <w:tbl>
      <w:tblPr>
        <w:tblW w:w="9355" w:type="dxa"/>
        <w:tblLayout w:type="fixed"/>
        <w:tblLook w:val="04A0" w:firstRow="1" w:lastRow="0" w:firstColumn="1" w:lastColumn="0" w:noHBand="0" w:noVBand="1"/>
      </w:tblPr>
      <w:tblGrid>
        <w:gridCol w:w="2519"/>
        <w:gridCol w:w="1139"/>
        <w:gridCol w:w="1139"/>
        <w:gridCol w:w="1140"/>
        <w:gridCol w:w="1139"/>
        <w:gridCol w:w="1139"/>
        <w:gridCol w:w="1140"/>
      </w:tblGrid>
      <w:tr w:rsidR="004E1B04" w:rsidRPr="004E1B04" w14:paraId="1F1DD599" w14:textId="77777777" w:rsidTr="003C59F9">
        <w:trPr>
          <w:trHeight w:val="402"/>
          <w:tblHeader/>
        </w:trPr>
        <w:tc>
          <w:tcPr>
            <w:tcW w:w="2519" w:type="dxa"/>
            <w:tcBorders>
              <w:top w:val="nil"/>
              <w:left w:val="nil"/>
              <w:bottom w:val="nil"/>
              <w:right w:val="nil"/>
            </w:tcBorders>
            <w:noWrap/>
            <w:vAlign w:val="center"/>
            <w:hideMark/>
          </w:tcPr>
          <w:p w14:paraId="6B33BC26" w14:textId="77777777" w:rsidR="004E1B04" w:rsidRPr="004E1B04" w:rsidRDefault="004E1B04" w:rsidP="004E1B04">
            <w:pPr>
              <w:rPr>
                <w:rFonts w:ascii="Times New Roman" w:eastAsia="Times New Roman" w:hAnsi="Times New Roman" w:cs="Times New Roman"/>
                <w:sz w:val="24"/>
                <w:szCs w:val="24"/>
              </w:rPr>
            </w:pPr>
          </w:p>
        </w:tc>
        <w:tc>
          <w:tcPr>
            <w:tcW w:w="2278"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3AC5EA14" w14:textId="77777777" w:rsidR="004E1B04" w:rsidRPr="004E1B04" w:rsidRDefault="004E1B04" w:rsidP="004E1B04">
            <w:pPr>
              <w:jc w:val="center"/>
              <w:rPr>
                <w:rFonts w:eastAsia="Times New Roman"/>
                <w:color w:val="FFFFFF"/>
                <w:sz w:val="18"/>
                <w:szCs w:val="18"/>
              </w:rPr>
            </w:pPr>
            <w:r w:rsidRPr="004E1B04">
              <w:rPr>
                <w:rFonts w:eastAsia="Times New Roman"/>
                <w:color w:val="FFFFFF"/>
                <w:sz w:val="18"/>
                <w:szCs w:val="18"/>
              </w:rPr>
              <w:t>Local</w:t>
            </w:r>
          </w:p>
        </w:tc>
        <w:tc>
          <w:tcPr>
            <w:tcW w:w="2279"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55B1C6DF" w14:textId="77777777" w:rsidR="004E1B04" w:rsidRPr="004E1B04" w:rsidRDefault="004E1B04" w:rsidP="004E1B04">
            <w:pPr>
              <w:jc w:val="center"/>
              <w:rPr>
                <w:rFonts w:eastAsia="Times New Roman"/>
                <w:color w:val="FFFFFF"/>
                <w:sz w:val="18"/>
                <w:szCs w:val="18"/>
              </w:rPr>
            </w:pPr>
            <w:r w:rsidRPr="004E1B04">
              <w:rPr>
                <w:rFonts w:eastAsia="Times New Roman"/>
                <w:color w:val="FFFFFF"/>
                <w:sz w:val="18"/>
                <w:szCs w:val="18"/>
              </w:rPr>
              <w:t>Region</w:t>
            </w:r>
          </w:p>
        </w:tc>
        <w:tc>
          <w:tcPr>
            <w:tcW w:w="2279"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20274F67" w14:textId="77777777" w:rsidR="004E1B04" w:rsidRPr="004E1B04" w:rsidRDefault="004E1B04" w:rsidP="004E1B04">
            <w:pPr>
              <w:jc w:val="center"/>
              <w:rPr>
                <w:rFonts w:eastAsia="Times New Roman"/>
                <w:color w:val="FFFFFF"/>
                <w:sz w:val="18"/>
                <w:szCs w:val="18"/>
              </w:rPr>
            </w:pPr>
            <w:r w:rsidRPr="004E1B04">
              <w:rPr>
                <w:rFonts w:eastAsia="Times New Roman"/>
                <w:color w:val="FFFFFF"/>
                <w:sz w:val="18"/>
                <w:szCs w:val="18"/>
              </w:rPr>
              <w:t>Province</w:t>
            </w:r>
          </w:p>
        </w:tc>
      </w:tr>
      <w:tr w:rsidR="00E62AC3" w:rsidRPr="004E1B04" w14:paraId="6273CA1F" w14:textId="77777777" w:rsidTr="003C59F9">
        <w:trPr>
          <w:trHeight w:val="402"/>
          <w:tblHeader/>
        </w:trPr>
        <w:tc>
          <w:tcPr>
            <w:tcW w:w="2519"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56980461" w14:textId="77777777" w:rsidR="00E62AC3" w:rsidRPr="004E1B04" w:rsidRDefault="00E62AC3" w:rsidP="00E62AC3">
            <w:pPr>
              <w:rPr>
                <w:rFonts w:eastAsia="Times New Roman"/>
                <w:color w:val="FFFFFF"/>
                <w:sz w:val="18"/>
                <w:szCs w:val="18"/>
              </w:rPr>
            </w:pPr>
            <w:r w:rsidRPr="004E1B04">
              <w:rPr>
                <w:rFonts w:eastAsia="Times New Roman"/>
                <w:color w:val="FFFFFF"/>
                <w:sz w:val="18"/>
                <w:szCs w:val="18"/>
              </w:rPr>
              <w:t>Select income sources</w:t>
            </w:r>
          </w:p>
        </w:tc>
        <w:tc>
          <w:tcPr>
            <w:tcW w:w="1139" w:type="dxa"/>
            <w:tcBorders>
              <w:top w:val="nil"/>
              <w:left w:val="nil"/>
              <w:bottom w:val="single" w:sz="4" w:space="0" w:color="auto"/>
              <w:right w:val="single" w:sz="4" w:space="0" w:color="BFBFBF"/>
            </w:tcBorders>
            <w:shd w:val="clear" w:color="auto" w:fill="CFD9E3" w:themeFill="accent1"/>
            <w:noWrap/>
            <w:vAlign w:val="center"/>
            <w:hideMark/>
          </w:tcPr>
          <w:p w14:paraId="20ECE71D" w14:textId="77777777" w:rsidR="00E62AC3" w:rsidRPr="004E1B04" w:rsidRDefault="00E62AC3" w:rsidP="00E62AC3">
            <w:pPr>
              <w:jc w:val="right"/>
              <w:rPr>
                <w:rFonts w:eastAsia="Times New Roman"/>
                <w:color w:val="000000"/>
                <w:sz w:val="18"/>
                <w:szCs w:val="18"/>
              </w:rPr>
            </w:pPr>
            <w:r w:rsidRPr="004E1B04">
              <w:rPr>
                <w:rFonts w:eastAsia="Times New Roman"/>
                <w:color w:val="000000"/>
                <w:sz w:val="18"/>
                <w:szCs w:val="18"/>
              </w:rPr>
              <w:t>Population</w:t>
            </w:r>
          </w:p>
        </w:tc>
        <w:tc>
          <w:tcPr>
            <w:tcW w:w="1139" w:type="dxa"/>
            <w:tcBorders>
              <w:top w:val="nil"/>
              <w:left w:val="nil"/>
              <w:bottom w:val="single" w:sz="4" w:space="0" w:color="auto"/>
              <w:right w:val="single" w:sz="4" w:space="0" w:color="auto"/>
            </w:tcBorders>
            <w:shd w:val="clear" w:color="auto" w:fill="CFD9E3" w:themeFill="accent1"/>
            <w:noWrap/>
            <w:vAlign w:val="center"/>
            <w:hideMark/>
          </w:tcPr>
          <w:p w14:paraId="3B6B1043" w14:textId="4FDB8C16" w:rsidR="00E62AC3" w:rsidRPr="004E1B04" w:rsidRDefault="00E62AC3" w:rsidP="00E62AC3">
            <w:pPr>
              <w:jc w:val="right"/>
              <w:rPr>
                <w:rFonts w:eastAsia="Times New Roman"/>
                <w:color w:val="000000"/>
                <w:sz w:val="18"/>
                <w:szCs w:val="18"/>
              </w:rPr>
            </w:pPr>
            <w:r>
              <w:rPr>
                <w:rFonts w:eastAsia="Times New Roman"/>
                <w:color w:val="000000"/>
                <w:sz w:val="18"/>
                <w:szCs w:val="18"/>
              </w:rPr>
              <w:t>Pop. s</w:t>
            </w:r>
            <w:r w:rsidRPr="004E1B04">
              <w:rPr>
                <w:rFonts w:eastAsia="Times New Roman"/>
                <w:color w:val="000000"/>
                <w:sz w:val="18"/>
                <w:szCs w:val="18"/>
              </w:rPr>
              <w:t>hare</w:t>
            </w:r>
          </w:p>
        </w:tc>
        <w:tc>
          <w:tcPr>
            <w:tcW w:w="1140" w:type="dxa"/>
            <w:tcBorders>
              <w:top w:val="nil"/>
              <w:left w:val="nil"/>
              <w:bottom w:val="single" w:sz="4" w:space="0" w:color="auto"/>
              <w:right w:val="single" w:sz="4" w:space="0" w:color="BFBFBF"/>
            </w:tcBorders>
            <w:shd w:val="clear" w:color="auto" w:fill="CFD9E3" w:themeFill="accent1"/>
            <w:noWrap/>
            <w:vAlign w:val="center"/>
            <w:hideMark/>
          </w:tcPr>
          <w:p w14:paraId="155BB42F" w14:textId="77777777" w:rsidR="00E62AC3" w:rsidRPr="004E1B04" w:rsidRDefault="00E62AC3" w:rsidP="00E62AC3">
            <w:pPr>
              <w:jc w:val="right"/>
              <w:rPr>
                <w:rFonts w:eastAsia="Times New Roman"/>
                <w:color w:val="000000"/>
                <w:sz w:val="18"/>
                <w:szCs w:val="18"/>
              </w:rPr>
            </w:pPr>
            <w:r w:rsidRPr="004E1B04">
              <w:rPr>
                <w:rFonts w:eastAsia="Times New Roman"/>
                <w:color w:val="000000"/>
                <w:sz w:val="18"/>
                <w:szCs w:val="18"/>
              </w:rPr>
              <w:t>Population</w:t>
            </w:r>
          </w:p>
        </w:tc>
        <w:tc>
          <w:tcPr>
            <w:tcW w:w="1139" w:type="dxa"/>
            <w:tcBorders>
              <w:top w:val="nil"/>
              <w:left w:val="nil"/>
              <w:bottom w:val="single" w:sz="4" w:space="0" w:color="auto"/>
              <w:right w:val="single" w:sz="4" w:space="0" w:color="auto"/>
            </w:tcBorders>
            <w:shd w:val="clear" w:color="auto" w:fill="CFD9E3" w:themeFill="accent1"/>
            <w:noWrap/>
            <w:vAlign w:val="center"/>
            <w:hideMark/>
          </w:tcPr>
          <w:p w14:paraId="7A1C1A61" w14:textId="1A833830" w:rsidR="00E62AC3" w:rsidRPr="004E1B04" w:rsidRDefault="00E62AC3" w:rsidP="00E62AC3">
            <w:pPr>
              <w:jc w:val="right"/>
              <w:rPr>
                <w:rFonts w:eastAsia="Times New Roman"/>
                <w:color w:val="000000"/>
                <w:sz w:val="18"/>
                <w:szCs w:val="18"/>
              </w:rPr>
            </w:pPr>
            <w:r>
              <w:rPr>
                <w:rFonts w:eastAsia="Times New Roman"/>
                <w:color w:val="000000"/>
                <w:sz w:val="18"/>
                <w:szCs w:val="18"/>
              </w:rPr>
              <w:t>Pop. s</w:t>
            </w:r>
            <w:r w:rsidRPr="004E1B04">
              <w:rPr>
                <w:rFonts w:eastAsia="Times New Roman"/>
                <w:color w:val="000000"/>
                <w:sz w:val="18"/>
                <w:szCs w:val="18"/>
              </w:rPr>
              <w:t>hare</w:t>
            </w:r>
          </w:p>
        </w:tc>
        <w:tc>
          <w:tcPr>
            <w:tcW w:w="1139" w:type="dxa"/>
            <w:tcBorders>
              <w:top w:val="nil"/>
              <w:left w:val="nil"/>
              <w:bottom w:val="single" w:sz="4" w:space="0" w:color="auto"/>
              <w:right w:val="single" w:sz="4" w:space="0" w:color="BFBFBF"/>
            </w:tcBorders>
            <w:shd w:val="clear" w:color="auto" w:fill="CFD9E3" w:themeFill="accent1"/>
            <w:noWrap/>
            <w:vAlign w:val="center"/>
            <w:hideMark/>
          </w:tcPr>
          <w:p w14:paraId="232CFAFE" w14:textId="77777777" w:rsidR="00E62AC3" w:rsidRPr="004E1B04" w:rsidRDefault="00E62AC3" w:rsidP="00E62AC3">
            <w:pPr>
              <w:jc w:val="right"/>
              <w:rPr>
                <w:rFonts w:eastAsia="Times New Roman"/>
                <w:color w:val="000000"/>
                <w:sz w:val="18"/>
                <w:szCs w:val="18"/>
              </w:rPr>
            </w:pPr>
            <w:r w:rsidRPr="004E1B04">
              <w:rPr>
                <w:rFonts w:eastAsia="Times New Roman"/>
                <w:color w:val="000000"/>
                <w:sz w:val="18"/>
                <w:szCs w:val="18"/>
              </w:rPr>
              <w:t>Population</w:t>
            </w:r>
          </w:p>
        </w:tc>
        <w:tc>
          <w:tcPr>
            <w:tcW w:w="1140" w:type="dxa"/>
            <w:tcBorders>
              <w:top w:val="nil"/>
              <w:left w:val="nil"/>
              <w:bottom w:val="single" w:sz="4" w:space="0" w:color="auto"/>
              <w:right w:val="single" w:sz="4" w:space="0" w:color="auto"/>
            </w:tcBorders>
            <w:shd w:val="clear" w:color="auto" w:fill="CFD9E3" w:themeFill="accent1"/>
            <w:noWrap/>
            <w:vAlign w:val="center"/>
            <w:hideMark/>
          </w:tcPr>
          <w:p w14:paraId="0FA5B094" w14:textId="6A43F059" w:rsidR="00E62AC3" w:rsidRPr="004E1B04" w:rsidRDefault="00E62AC3" w:rsidP="00E62AC3">
            <w:pPr>
              <w:jc w:val="right"/>
              <w:rPr>
                <w:rFonts w:eastAsia="Times New Roman"/>
                <w:color w:val="000000"/>
                <w:sz w:val="18"/>
                <w:szCs w:val="18"/>
              </w:rPr>
            </w:pPr>
            <w:r>
              <w:rPr>
                <w:rFonts w:eastAsia="Times New Roman"/>
                <w:color w:val="000000"/>
                <w:sz w:val="18"/>
                <w:szCs w:val="18"/>
              </w:rPr>
              <w:t>Pop. s</w:t>
            </w:r>
            <w:r w:rsidRPr="004E1B04">
              <w:rPr>
                <w:rFonts w:eastAsia="Times New Roman"/>
                <w:color w:val="000000"/>
                <w:sz w:val="18"/>
                <w:szCs w:val="18"/>
              </w:rPr>
              <w:t>hare</w:t>
            </w:r>
          </w:p>
        </w:tc>
      </w:tr>
      <w:tr w:rsidR="00E62AC3" w:rsidRPr="004E1B04" w14:paraId="4782659F" w14:textId="77777777" w:rsidTr="004E1B04">
        <w:trPr>
          <w:trHeight w:val="402"/>
        </w:trPr>
        <w:tc>
          <w:tcPr>
            <w:tcW w:w="2519" w:type="dxa"/>
            <w:tcBorders>
              <w:top w:val="nil"/>
              <w:left w:val="single" w:sz="4" w:space="0" w:color="auto"/>
              <w:bottom w:val="single" w:sz="4" w:space="0" w:color="BFBFBF"/>
              <w:right w:val="single" w:sz="4" w:space="0" w:color="auto"/>
            </w:tcBorders>
            <w:shd w:val="clear" w:color="000000" w:fill="F2F2F2"/>
            <w:noWrap/>
            <w:vAlign w:val="center"/>
            <w:hideMark/>
          </w:tcPr>
          <w:p w14:paraId="0F1DF57C" w14:textId="77777777" w:rsidR="00E62AC3" w:rsidRPr="004E1B04" w:rsidRDefault="00E62AC3" w:rsidP="00E62AC3">
            <w:pPr>
              <w:rPr>
                <w:rFonts w:eastAsia="Times New Roman"/>
                <w:color w:val="000000"/>
                <w:sz w:val="18"/>
                <w:szCs w:val="18"/>
              </w:rPr>
            </w:pPr>
            <w:r w:rsidRPr="004E1B04">
              <w:rPr>
                <w:rFonts w:eastAsia="Times New Roman"/>
                <w:color w:val="000000"/>
                <w:sz w:val="18"/>
                <w:szCs w:val="18"/>
              </w:rPr>
              <w:t>Private retirement income</w:t>
            </w:r>
          </w:p>
        </w:tc>
        <w:tc>
          <w:tcPr>
            <w:tcW w:w="1139" w:type="dxa"/>
            <w:tcBorders>
              <w:top w:val="nil"/>
              <w:left w:val="nil"/>
              <w:bottom w:val="single" w:sz="4" w:space="0" w:color="BFBFBF"/>
              <w:right w:val="single" w:sz="4" w:space="0" w:color="BFBFBF"/>
            </w:tcBorders>
            <w:shd w:val="clear" w:color="000000" w:fill="F2F2F2"/>
            <w:noWrap/>
            <w:vAlign w:val="center"/>
            <w:hideMark/>
          </w:tcPr>
          <w:p w14:paraId="0B5F50F2"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5,700</w:t>
            </w:r>
          </w:p>
        </w:tc>
        <w:tc>
          <w:tcPr>
            <w:tcW w:w="1139" w:type="dxa"/>
            <w:tcBorders>
              <w:top w:val="nil"/>
              <w:left w:val="nil"/>
              <w:bottom w:val="single" w:sz="4" w:space="0" w:color="BFBFBF"/>
              <w:right w:val="single" w:sz="4" w:space="0" w:color="auto"/>
            </w:tcBorders>
            <w:shd w:val="clear" w:color="000000" w:fill="F2F2F2"/>
            <w:noWrap/>
            <w:vAlign w:val="center"/>
            <w:hideMark/>
          </w:tcPr>
          <w:p w14:paraId="62B0FE8C"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18%</w:t>
            </w:r>
          </w:p>
        </w:tc>
        <w:tc>
          <w:tcPr>
            <w:tcW w:w="1140" w:type="dxa"/>
            <w:tcBorders>
              <w:top w:val="nil"/>
              <w:left w:val="nil"/>
              <w:bottom w:val="single" w:sz="4" w:space="0" w:color="BFBFBF"/>
              <w:right w:val="single" w:sz="4" w:space="0" w:color="BFBFBF"/>
            </w:tcBorders>
            <w:shd w:val="clear" w:color="000000" w:fill="F2F2F2"/>
            <w:noWrap/>
            <w:vAlign w:val="center"/>
            <w:hideMark/>
          </w:tcPr>
          <w:p w14:paraId="3B222843"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13,050</w:t>
            </w:r>
          </w:p>
        </w:tc>
        <w:tc>
          <w:tcPr>
            <w:tcW w:w="1139" w:type="dxa"/>
            <w:tcBorders>
              <w:top w:val="nil"/>
              <w:left w:val="nil"/>
              <w:bottom w:val="single" w:sz="4" w:space="0" w:color="BFBFBF"/>
              <w:right w:val="single" w:sz="4" w:space="0" w:color="auto"/>
            </w:tcBorders>
            <w:shd w:val="clear" w:color="000000" w:fill="F2F2F2"/>
            <w:noWrap/>
            <w:vAlign w:val="center"/>
            <w:hideMark/>
          </w:tcPr>
          <w:p w14:paraId="286F5F4B"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18%</w:t>
            </w:r>
          </w:p>
        </w:tc>
        <w:tc>
          <w:tcPr>
            <w:tcW w:w="1139" w:type="dxa"/>
            <w:tcBorders>
              <w:top w:val="nil"/>
              <w:left w:val="nil"/>
              <w:bottom w:val="single" w:sz="4" w:space="0" w:color="BFBFBF"/>
              <w:right w:val="single" w:sz="4" w:space="0" w:color="BFBFBF"/>
            </w:tcBorders>
            <w:shd w:val="clear" w:color="000000" w:fill="F2F2F2"/>
            <w:noWrap/>
            <w:vAlign w:val="center"/>
            <w:hideMark/>
          </w:tcPr>
          <w:p w14:paraId="53A788A0"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22,080</w:t>
            </w:r>
          </w:p>
        </w:tc>
        <w:tc>
          <w:tcPr>
            <w:tcW w:w="1140" w:type="dxa"/>
            <w:tcBorders>
              <w:top w:val="nil"/>
              <w:left w:val="nil"/>
              <w:bottom w:val="single" w:sz="4" w:space="0" w:color="BFBFBF"/>
              <w:right w:val="single" w:sz="4" w:space="0" w:color="auto"/>
            </w:tcBorders>
            <w:shd w:val="clear" w:color="000000" w:fill="F2F2F2"/>
            <w:noWrap/>
            <w:vAlign w:val="center"/>
            <w:hideMark/>
          </w:tcPr>
          <w:p w14:paraId="5D314DCC"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17%</w:t>
            </w:r>
          </w:p>
        </w:tc>
      </w:tr>
      <w:tr w:rsidR="00E62AC3" w:rsidRPr="004E1B04" w14:paraId="5DC4E33E" w14:textId="77777777" w:rsidTr="004E1B04">
        <w:trPr>
          <w:trHeight w:val="402"/>
        </w:trPr>
        <w:tc>
          <w:tcPr>
            <w:tcW w:w="2519" w:type="dxa"/>
            <w:tcBorders>
              <w:top w:val="nil"/>
              <w:left w:val="single" w:sz="4" w:space="0" w:color="auto"/>
              <w:bottom w:val="single" w:sz="4" w:space="0" w:color="BFBFBF"/>
              <w:right w:val="single" w:sz="4" w:space="0" w:color="auto"/>
            </w:tcBorders>
            <w:noWrap/>
            <w:vAlign w:val="center"/>
            <w:hideMark/>
          </w:tcPr>
          <w:p w14:paraId="70816EC8" w14:textId="77777777" w:rsidR="00E62AC3" w:rsidRPr="004E1B04" w:rsidRDefault="00E62AC3" w:rsidP="00E62AC3">
            <w:pPr>
              <w:rPr>
                <w:rFonts w:eastAsia="Times New Roman"/>
                <w:color w:val="000000"/>
                <w:sz w:val="18"/>
                <w:szCs w:val="18"/>
              </w:rPr>
            </w:pPr>
            <w:r w:rsidRPr="004E1B04">
              <w:rPr>
                <w:rFonts w:eastAsia="Times New Roman"/>
                <w:color w:val="000000"/>
                <w:sz w:val="18"/>
                <w:szCs w:val="18"/>
              </w:rPr>
              <w:t>OAS and GIS</w:t>
            </w:r>
          </w:p>
        </w:tc>
        <w:tc>
          <w:tcPr>
            <w:tcW w:w="1139" w:type="dxa"/>
            <w:tcBorders>
              <w:top w:val="nil"/>
              <w:left w:val="nil"/>
              <w:bottom w:val="single" w:sz="4" w:space="0" w:color="BFBFBF"/>
              <w:right w:val="single" w:sz="4" w:space="0" w:color="BFBFBF"/>
            </w:tcBorders>
            <w:noWrap/>
            <w:vAlign w:val="center"/>
            <w:hideMark/>
          </w:tcPr>
          <w:p w14:paraId="3083EFAF"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6,810</w:t>
            </w:r>
          </w:p>
        </w:tc>
        <w:tc>
          <w:tcPr>
            <w:tcW w:w="1139" w:type="dxa"/>
            <w:tcBorders>
              <w:top w:val="nil"/>
              <w:left w:val="nil"/>
              <w:bottom w:val="single" w:sz="4" w:space="0" w:color="BFBFBF"/>
              <w:right w:val="single" w:sz="4" w:space="0" w:color="auto"/>
            </w:tcBorders>
            <w:noWrap/>
            <w:vAlign w:val="center"/>
            <w:hideMark/>
          </w:tcPr>
          <w:p w14:paraId="508EDE52"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21%</w:t>
            </w:r>
          </w:p>
        </w:tc>
        <w:tc>
          <w:tcPr>
            <w:tcW w:w="1140" w:type="dxa"/>
            <w:tcBorders>
              <w:top w:val="nil"/>
              <w:left w:val="nil"/>
              <w:bottom w:val="single" w:sz="4" w:space="0" w:color="BFBFBF"/>
              <w:right w:val="single" w:sz="4" w:space="0" w:color="BFBFBF"/>
            </w:tcBorders>
            <w:noWrap/>
            <w:vAlign w:val="center"/>
            <w:hideMark/>
          </w:tcPr>
          <w:p w14:paraId="13F3D026"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15,450</w:t>
            </w:r>
          </w:p>
        </w:tc>
        <w:tc>
          <w:tcPr>
            <w:tcW w:w="1139" w:type="dxa"/>
            <w:tcBorders>
              <w:top w:val="nil"/>
              <w:left w:val="nil"/>
              <w:bottom w:val="single" w:sz="4" w:space="0" w:color="BFBFBF"/>
              <w:right w:val="single" w:sz="4" w:space="0" w:color="auto"/>
            </w:tcBorders>
            <w:noWrap/>
            <w:vAlign w:val="center"/>
            <w:hideMark/>
          </w:tcPr>
          <w:p w14:paraId="0B850BEA"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21%</w:t>
            </w:r>
          </w:p>
        </w:tc>
        <w:tc>
          <w:tcPr>
            <w:tcW w:w="1139" w:type="dxa"/>
            <w:tcBorders>
              <w:top w:val="nil"/>
              <w:left w:val="nil"/>
              <w:bottom w:val="single" w:sz="4" w:space="0" w:color="BFBFBF"/>
              <w:right w:val="single" w:sz="4" w:space="0" w:color="BFBFBF"/>
            </w:tcBorders>
            <w:noWrap/>
            <w:vAlign w:val="center"/>
            <w:hideMark/>
          </w:tcPr>
          <w:p w14:paraId="0A26B5C6"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29,255</w:t>
            </w:r>
          </w:p>
        </w:tc>
        <w:tc>
          <w:tcPr>
            <w:tcW w:w="1140" w:type="dxa"/>
            <w:tcBorders>
              <w:top w:val="nil"/>
              <w:left w:val="nil"/>
              <w:bottom w:val="single" w:sz="4" w:space="0" w:color="BFBFBF"/>
              <w:right w:val="single" w:sz="4" w:space="0" w:color="auto"/>
            </w:tcBorders>
            <w:noWrap/>
            <w:vAlign w:val="center"/>
            <w:hideMark/>
          </w:tcPr>
          <w:p w14:paraId="0A183564"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23%</w:t>
            </w:r>
          </w:p>
        </w:tc>
      </w:tr>
      <w:tr w:rsidR="00E62AC3" w:rsidRPr="004E1B04" w14:paraId="02038C93" w14:textId="77777777" w:rsidTr="004E1B04">
        <w:trPr>
          <w:trHeight w:val="402"/>
        </w:trPr>
        <w:tc>
          <w:tcPr>
            <w:tcW w:w="2519" w:type="dxa"/>
            <w:tcBorders>
              <w:top w:val="nil"/>
              <w:left w:val="single" w:sz="4" w:space="0" w:color="auto"/>
              <w:bottom w:val="single" w:sz="4" w:space="0" w:color="BFBFBF"/>
              <w:right w:val="single" w:sz="4" w:space="0" w:color="auto"/>
            </w:tcBorders>
            <w:shd w:val="clear" w:color="000000" w:fill="F2F2F2"/>
            <w:noWrap/>
            <w:vAlign w:val="center"/>
            <w:hideMark/>
          </w:tcPr>
          <w:p w14:paraId="654E97EA" w14:textId="77777777" w:rsidR="00E62AC3" w:rsidRPr="004E1B04" w:rsidRDefault="00E62AC3" w:rsidP="00E62AC3">
            <w:pPr>
              <w:rPr>
                <w:rFonts w:eastAsia="Times New Roman"/>
                <w:color w:val="000000"/>
                <w:sz w:val="18"/>
                <w:szCs w:val="18"/>
              </w:rPr>
            </w:pPr>
            <w:r w:rsidRPr="004E1B04">
              <w:rPr>
                <w:rFonts w:eastAsia="Times New Roman"/>
                <w:color w:val="000000"/>
                <w:sz w:val="18"/>
                <w:szCs w:val="18"/>
              </w:rPr>
              <w:t>CPP and QPP</w:t>
            </w:r>
          </w:p>
        </w:tc>
        <w:tc>
          <w:tcPr>
            <w:tcW w:w="1139" w:type="dxa"/>
            <w:tcBorders>
              <w:top w:val="nil"/>
              <w:left w:val="nil"/>
              <w:bottom w:val="single" w:sz="4" w:space="0" w:color="BFBFBF"/>
              <w:right w:val="single" w:sz="4" w:space="0" w:color="BFBFBF"/>
            </w:tcBorders>
            <w:shd w:val="clear" w:color="000000" w:fill="F2F2F2"/>
            <w:noWrap/>
            <w:vAlign w:val="center"/>
            <w:hideMark/>
          </w:tcPr>
          <w:p w14:paraId="1326D669"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9,050</w:t>
            </w:r>
          </w:p>
        </w:tc>
        <w:tc>
          <w:tcPr>
            <w:tcW w:w="1139" w:type="dxa"/>
            <w:tcBorders>
              <w:top w:val="nil"/>
              <w:left w:val="nil"/>
              <w:bottom w:val="single" w:sz="4" w:space="0" w:color="BFBFBF"/>
              <w:right w:val="single" w:sz="4" w:space="0" w:color="auto"/>
            </w:tcBorders>
            <w:shd w:val="clear" w:color="000000" w:fill="F2F2F2"/>
            <w:noWrap/>
            <w:vAlign w:val="center"/>
            <w:hideMark/>
          </w:tcPr>
          <w:p w14:paraId="53FC2AEC"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28%</w:t>
            </w:r>
          </w:p>
        </w:tc>
        <w:tc>
          <w:tcPr>
            <w:tcW w:w="1140" w:type="dxa"/>
            <w:tcBorders>
              <w:top w:val="nil"/>
              <w:left w:val="nil"/>
              <w:bottom w:val="single" w:sz="4" w:space="0" w:color="BFBFBF"/>
              <w:right w:val="single" w:sz="4" w:space="0" w:color="BFBFBF"/>
            </w:tcBorders>
            <w:shd w:val="clear" w:color="000000" w:fill="F2F2F2"/>
            <w:noWrap/>
            <w:vAlign w:val="center"/>
            <w:hideMark/>
          </w:tcPr>
          <w:p w14:paraId="0C078318"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20,925</w:t>
            </w:r>
          </w:p>
        </w:tc>
        <w:tc>
          <w:tcPr>
            <w:tcW w:w="1139" w:type="dxa"/>
            <w:tcBorders>
              <w:top w:val="nil"/>
              <w:left w:val="nil"/>
              <w:bottom w:val="single" w:sz="4" w:space="0" w:color="BFBFBF"/>
              <w:right w:val="single" w:sz="4" w:space="0" w:color="auto"/>
            </w:tcBorders>
            <w:shd w:val="clear" w:color="000000" w:fill="F2F2F2"/>
            <w:noWrap/>
            <w:vAlign w:val="center"/>
            <w:hideMark/>
          </w:tcPr>
          <w:p w14:paraId="173CDDA7"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29%</w:t>
            </w:r>
          </w:p>
        </w:tc>
        <w:tc>
          <w:tcPr>
            <w:tcW w:w="1139" w:type="dxa"/>
            <w:tcBorders>
              <w:top w:val="nil"/>
              <w:left w:val="nil"/>
              <w:bottom w:val="single" w:sz="4" w:space="0" w:color="BFBFBF"/>
              <w:right w:val="single" w:sz="4" w:space="0" w:color="BFBFBF"/>
            </w:tcBorders>
            <w:shd w:val="clear" w:color="000000" w:fill="F2F2F2"/>
            <w:noWrap/>
            <w:vAlign w:val="center"/>
            <w:hideMark/>
          </w:tcPr>
          <w:p w14:paraId="15101069"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39,560</w:t>
            </w:r>
          </w:p>
        </w:tc>
        <w:tc>
          <w:tcPr>
            <w:tcW w:w="1140" w:type="dxa"/>
            <w:tcBorders>
              <w:top w:val="nil"/>
              <w:left w:val="nil"/>
              <w:bottom w:val="single" w:sz="4" w:space="0" w:color="BFBFBF"/>
              <w:right w:val="single" w:sz="4" w:space="0" w:color="auto"/>
            </w:tcBorders>
            <w:shd w:val="clear" w:color="000000" w:fill="F2F2F2"/>
            <w:noWrap/>
            <w:vAlign w:val="center"/>
            <w:hideMark/>
          </w:tcPr>
          <w:p w14:paraId="24523D39"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31%</w:t>
            </w:r>
          </w:p>
        </w:tc>
      </w:tr>
      <w:tr w:rsidR="00E62AC3" w:rsidRPr="004E1B04" w14:paraId="714B7A60" w14:textId="77777777" w:rsidTr="004E1B04">
        <w:trPr>
          <w:trHeight w:val="402"/>
        </w:trPr>
        <w:tc>
          <w:tcPr>
            <w:tcW w:w="2519" w:type="dxa"/>
            <w:tcBorders>
              <w:top w:val="nil"/>
              <w:left w:val="single" w:sz="4" w:space="0" w:color="auto"/>
              <w:bottom w:val="single" w:sz="4" w:space="0" w:color="BFBFBF"/>
              <w:right w:val="single" w:sz="4" w:space="0" w:color="auto"/>
            </w:tcBorders>
            <w:noWrap/>
            <w:vAlign w:val="center"/>
            <w:hideMark/>
          </w:tcPr>
          <w:p w14:paraId="5D34A736" w14:textId="77777777" w:rsidR="00E62AC3" w:rsidRPr="004E1B04" w:rsidRDefault="00E62AC3" w:rsidP="00E62AC3">
            <w:pPr>
              <w:rPr>
                <w:rFonts w:eastAsia="Times New Roman"/>
                <w:color w:val="000000"/>
                <w:sz w:val="18"/>
                <w:szCs w:val="18"/>
              </w:rPr>
            </w:pPr>
            <w:r w:rsidRPr="004E1B04">
              <w:rPr>
                <w:rFonts w:eastAsia="Times New Roman"/>
                <w:color w:val="000000"/>
                <w:sz w:val="18"/>
                <w:szCs w:val="18"/>
              </w:rPr>
              <w:t>Employment Insurance (EI)</w:t>
            </w:r>
          </w:p>
        </w:tc>
        <w:tc>
          <w:tcPr>
            <w:tcW w:w="1139" w:type="dxa"/>
            <w:tcBorders>
              <w:top w:val="nil"/>
              <w:left w:val="nil"/>
              <w:bottom w:val="single" w:sz="4" w:space="0" w:color="BFBFBF"/>
              <w:right w:val="single" w:sz="4" w:space="0" w:color="BFBFBF"/>
            </w:tcBorders>
            <w:noWrap/>
            <w:vAlign w:val="center"/>
            <w:hideMark/>
          </w:tcPr>
          <w:p w14:paraId="47FFAB38"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4,655</w:t>
            </w:r>
          </w:p>
        </w:tc>
        <w:tc>
          <w:tcPr>
            <w:tcW w:w="1139" w:type="dxa"/>
            <w:tcBorders>
              <w:top w:val="nil"/>
              <w:left w:val="nil"/>
              <w:bottom w:val="single" w:sz="4" w:space="0" w:color="BFBFBF"/>
              <w:right w:val="single" w:sz="4" w:space="0" w:color="auto"/>
            </w:tcBorders>
            <w:noWrap/>
            <w:vAlign w:val="center"/>
            <w:hideMark/>
          </w:tcPr>
          <w:p w14:paraId="365863B4"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14%</w:t>
            </w:r>
          </w:p>
        </w:tc>
        <w:tc>
          <w:tcPr>
            <w:tcW w:w="1140" w:type="dxa"/>
            <w:tcBorders>
              <w:top w:val="nil"/>
              <w:left w:val="nil"/>
              <w:bottom w:val="single" w:sz="4" w:space="0" w:color="BFBFBF"/>
              <w:right w:val="single" w:sz="4" w:space="0" w:color="BFBFBF"/>
            </w:tcBorders>
            <w:noWrap/>
            <w:vAlign w:val="center"/>
            <w:hideMark/>
          </w:tcPr>
          <w:p w14:paraId="77F5BA7E"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11,525</w:t>
            </w:r>
          </w:p>
        </w:tc>
        <w:tc>
          <w:tcPr>
            <w:tcW w:w="1139" w:type="dxa"/>
            <w:tcBorders>
              <w:top w:val="nil"/>
              <w:left w:val="nil"/>
              <w:bottom w:val="single" w:sz="4" w:space="0" w:color="BFBFBF"/>
              <w:right w:val="single" w:sz="4" w:space="0" w:color="auto"/>
            </w:tcBorders>
            <w:noWrap/>
            <w:vAlign w:val="center"/>
            <w:hideMark/>
          </w:tcPr>
          <w:p w14:paraId="29006644"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16%</w:t>
            </w:r>
          </w:p>
        </w:tc>
        <w:tc>
          <w:tcPr>
            <w:tcW w:w="1139" w:type="dxa"/>
            <w:tcBorders>
              <w:top w:val="nil"/>
              <w:left w:val="nil"/>
              <w:bottom w:val="single" w:sz="4" w:space="0" w:color="BFBFBF"/>
              <w:right w:val="single" w:sz="4" w:space="0" w:color="BFBFBF"/>
            </w:tcBorders>
            <w:noWrap/>
            <w:vAlign w:val="center"/>
            <w:hideMark/>
          </w:tcPr>
          <w:p w14:paraId="0F600729"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26,050</w:t>
            </w:r>
          </w:p>
        </w:tc>
        <w:tc>
          <w:tcPr>
            <w:tcW w:w="1140" w:type="dxa"/>
            <w:tcBorders>
              <w:top w:val="nil"/>
              <w:left w:val="nil"/>
              <w:bottom w:val="single" w:sz="4" w:space="0" w:color="BFBFBF"/>
              <w:right w:val="single" w:sz="4" w:space="0" w:color="auto"/>
            </w:tcBorders>
            <w:noWrap/>
            <w:vAlign w:val="center"/>
            <w:hideMark/>
          </w:tcPr>
          <w:p w14:paraId="71FF7C2B"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21%</w:t>
            </w:r>
          </w:p>
        </w:tc>
      </w:tr>
      <w:tr w:rsidR="00E62AC3" w:rsidRPr="004E1B04" w14:paraId="59E35368" w14:textId="77777777" w:rsidTr="004E1B04">
        <w:trPr>
          <w:trHeight w:val="402"/>
        </w:trPr>
        <w:tc>
          <w:tcPr>
            <w:tcW w:w="2519" w:type="dxa"/>
            <w:tcBorders>
              <w:top w:val="nil"/>
              <w:left w:val="single" w:sz="4" w:space="0" w:color="auto"/>
              <w:bottom w:val="single" w:sz="4" w:space="0" w:color="auto"/>
              <w:right w:val="single" w:sz="4" w:space="0" w:color="auto"/>
            </w:tcBorders>
            <w:shd w:val="clear" w:color="000000" w:fill="F2F2F2"/>
            <w:noWrap/>
            <w:vAlign w:val="center"/>
            <w:hideMark/>
          </w:tcPr>
          <w:p w14:paraId="77A29F58" w14:textId="77777777" w:rsidR="00E62AC3" w:rsidRPr="004E1B04" w:rsidRDefault="00E62AC3" w:rsidP="00E62AC3">
            <w:pPr>
              <w:rPr>
                <w:rFonts w:eastAsia="Times New Roman"/>
                <w:color w:val="000000"/>
                <w:sz w:val="18"/>
                <w:szCs w:val="18"/>
              </w:rPr>
            </w:pPr>
            <w:r w:rsidRPr="004E1B04">
              <w:rPr>
                <w:rFonts w:eastAsia="Times New Roman"/>
                <w:color w:val="000000"/>
                <w:sz w:val="18"/>
                <w:szCs w:val="18"/>
              </w:rPr>
              <w:t>Child benefits</w:t>
            </w:r>
          </w:p>
        </w:tc>
        <w:tc>
          <w:tcPr>
            <w:tcW w:w="1139" w:type="dxa"/>
            <w:tcBorders>
              <w:top w:val="nil"/>
              <w:left w:val="nil"/>
              <w:bottom w:val="single" w:sz="4" w:space="0" w:color="auto"/>
              <w:right w:val="single" w:sz="4" w:space="0" w:color="BFBFBF"/>
            </w:tcBorders>
            <w:shd w:val="clear" w:color="000000" w:fill="F2F2F2"/>
            <w:noWrap/>
            <w:vAlign w:val="center"/>
            <w:hideMark/>
          </w:tcPr>
          <w:p w14:paraId="34C7F785"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3,475</w:t>
            </w:r>
          </w:p>
        </w:tc>
        <w:tc>
          <w:tcPr>
            <w:tcW w:w="1139" w:type="dxa"/>
            <w:tcBorders>
              <w:top w:val="nil"/>
              <w:left w:val="nil"/>
              <w:bottom w:val="single" w:sz="4" w:space="0" w:color="auto"/>
              <w:right w:val="single" w:sz="4" w:space="0" w:color="auto"/>
            </w:tcBorders>
            <w:shd w:val="clear" w:color="000000" w:fill="F2F2F2"/>
            <w:noWrap/>
            <w:vAlign w:val="center"/>
            <w:hideMark/>
          </w:tcPr>
          <w:p w14:paraId="766F693A"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11%</w:t>
            </w:r>
          </w:p>
        </w:tc>
        <w:tc>
          <w:tcPr>
            <w:tcW w:w="1140" w:type="dxa"/>
            <w:tcBorders>
              <w:top w:val="nil"/>
              <w:left w:val="nil"/>
              <w:bottom w:val="single" w:sz="4" w:space="0" w:color="auto"/>
              <w:right w:val="single" w:sz="4" w:space="0" w:color="BFBFBF"/>
            </w:tcBorders>
            <w:shd w:val="clear" w:color="000000" w:fill="F2F2F2"/>
            <w:noWrap/>
            <w:vAlign w:val="center"/>
            <w:hideMark/>
          </w:tcPr>
          <w:p w14:paraId="2B24D3F4"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9,210</w:t>
            </w:r>
          </w:p>
        </w:tc>
        <w:tc>
          <w:tcPr>
            <w:tcW w:w="1139" w:type="dxa"/>
            <w:tcBorders>
              <w:top w:val="nil"/>
              <w:left w:val="nil"/>
              <w:bottom w:val="single" w:sz="4" w:space="0" w:color="auto"/>
              <w:right w:val="single" w:sz="4" w:space="0" w:color="auto"/>
            </w:tcBorders>
            <w:shd w:val="clear" w:color="000000" w:fill="F2F2F2"/>
            <w:noWrap/>
            <w:vAlign w:val="center"/>
            <w:hideMark/>
          </w:tcPr>
          <w:p w14:paraId="3EE3F11C"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13%</w:t>
            </w:r>
          </w:p>
        </w:tc>
        <w:tc>
          <w:tcPr>
            <w:tcW w:w="1139" w:type="dxa"/>
            <w:tcBorders>
              <w:top w:val="nil"/>
              <w:left w:val="nil"/>
              <w:bottom w:val="single" w:sz="4" w:space="0" w:color="auto"/>
              <w:right w:val="single" w:sz="4" w:space="0" w:color="BFBFBF"/>
            </w:tcBorders>
            <w:shd w:val="clear" w:color="000000" w:fill="F2F2F2"/>
            <w:noWrap/>
            <w:vAlign w:val="center"/>
            <w:hideMark/>
          </w:tcPr>
          <w:p w14:paraId="49A5A539"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15,700</w:t>
            </w:r>
          </w:p>
        </w:tc>
        <w:tc>
          <w:tcPr>
            <w:tcW w:w="1140" w:type="dxa"/>
            <w:tcBorders>
              <w:top w:val="nil"/>
              <w:left w:val="nil"/>
              <w:bottom w:val="single" w:sz="4" w:space="0" w:color="auto"/>
              <w:right w:val="single" w:sz="4" w:space="0" w:color="auto"/>
            </w:tcBorders>
            <w:shd w:val="clear" w:color="000000" w:fill="F2F2F2"/>
            <w:noWrap/>
            <w:vAlign w:val="center"/>
            <w:hideMark/>
          </w:tcPr>
          <w:p w14:paraId="72C064AE" w14:textId="77777777" w:rsidR="00E62AC3" w:rsidRPr="00C42568" w:rsidRDefault="00E62AC3" w:rsidP="00E62AC3">
            <w:pPr>
              <w:jc w:val="right"/>
              <w:rPr>
                <w:rFonts w:eastAsia="Times New Roman"/>
                <w:color w:val="C00000"/>
                <w:sz w:val="18"/>
                <w:szCs w:val="18"/>
              </w:rPr>
            </w:pPr>
            <w:r w:rsidRPr="00C42568">
              <w:rPr>
                <w:rFonts w:eastAsia="Times New Roman"/>
                <w:color w:val="C00000"/>
                <w:sz w:val="18"/>
                <w:szCs w:val="18"/>
              </w:rPr>
              <w:t>12%</w:t>
            </w:r>
          </w:p>
        </w:tc>
      </w:tr>
    </w:tbl>
    <w:p w14:paraId="2D41BD8F" w14:textId="61399915" w:rsidR="004E1B04" w:rsidRDefault="00E62AC3" w:rsidP="002D3CFD">
      <w:pPr>
        <w:pStyle w:val="Source"/>
      </w:pPr>
      <w:r>
        <w:t xml:space="preserve">Source: Statistics Canada Table </w:t>
      </w:r>
      <w:r w:rsidR="002D3CFD" w:rsidRPr="002D3CFD">
        <w:t>98</w:t>
      </w:r>
      <w:r w:rsidR="002D3CFD">
        <w:t>-</w:t>
      </w:r>
      <w:r w:rsidR="002D3CFD" w:rsidRPr="002D3CFD">
        <w:t>10</w:t>
      </w:r>
      <w:r w:rsidR="002D3CFD">
        <w:t>-</w:t>
      </w:r>
      <w:r w:rsidR="002D3CFD" w:rsidRPr="002D3CFD">
        <w:t>0070</w:t>
      </w:r>
    </w:p>
    <w:p w14:paraId="1F4F9E14" w14:textId="77777777" w:rsidR="004E1B04" w:rsidRDefault="004E1B04" w:rsidP="004E1B04"/>
    <w:p w14:paraId="0E2B6411" w14:textId="76AC62C1" w:rsidR="000066D9" w:rsidRDefault="000066D9" w:rsidP="000066D9">
      <w:pPr>
        <w:jc w:val="both"/>
      </w:pPr>
      <w:r>
        <w:t>A</w:t>
      </w:r>
      <w:r w:rsidRPr="000066D9">
        <w:t xml:space="preserve"> community's transfer income profile is most meaningful when considered as a whole, revealing whether dependency is concentrated among seniors, working-age households, or families with children. Where local shares notably exceed regional and provincial comparators for pension- and retirement-related transfers, it signals a population with a higher concentration of older adults on fixed incomes, for whom rent growth and housing cost volatility represent a disproportionate risk. Where EI receipt is elevated, it may indicate a workforce with greater exposure to seasonal or precarious employment, pointing to income instability that compounds affordability challenges in ways that aggregate income figures would not capture.</w:t>
      </w:r>
    </w:p>
    <w:p w14:paraId="574E66D8" w14:textId="77777777" w:rsidR="000066D9" w:rsidRPr="000066D9" w:rsidRDefault="000066D9" w:rsidP="000066D9">
      <w:pPr>
        <w:jc w:val="both"/>
      </w:pPr>
    </w:p>
    <w:p w14:paraId="45278668" w14:textId="7F7D9467" w:rsidR="000D1966" w:rsidRDefault="000066D9" w:rsidP="000066D9">
      <w:pPr>
        <w:jc w:val="both"/>
      </w:pPr>
      <w:r w:rsidRPr="000066D9">
        <w:t>Where local shares are below regional or provincial norms for a given transfer type, the absence is as informative as the presence</w:t>
      </w:r>
      <w:r w:rsidR="00420452">
        <w:t>. For instance,</w:t>
      </w:r>
      <w:r w:rsidRPr="000066D9">
        <w:t xml:space="preserve"> a below-average child benefit share may reflect a smaller family-aged population</w:t>
      </w:r>
      <w:r w:rsidR="0037783F">
        <w:t>.</w:t>
      </w:r>
      <w:r w:rsidRPr="000066D9">
        <w:t xml:space="preserve"> </w:t>
      </w:r>
    </w:p>
    <w:p w14:paraId="1EA1A8B0" w14:textId="77777777" w:rsidR="000D1966" w:rsidRDefault="000D1966" w:rsidP="000066D9">
      <w:pPr>
        <w:jc w:val="both"/>
      </w:pPr>
    </w:p>
    <w:p w14:paraId="31AAA94F" w14:textId="52E19C43" w:rsidR="000066D9" w:rsidRPr="000066D9" w:rsidRDefault="000066D9" w:rsidP="000066D9">
      <w:pPr>
        <w:jc w:val="both"/>
      </w:pPr>
      <w:r w:rsidRPr="000066D9">
        <w:t xml:space="preserve">Divergences between population share and the composition of housing need identified elsewhere in the assessment provide a useful cross-check: where a transfer-dependent population is large but its housing need appears understated in core need metrics, it may indicate that program income is sufficient to clear affordability thresholds while still leaving households financially precarious and vulnerable to any </w:t>
      </w:r>
      <w:r w:rsidR="0037783F">
        <w:t xml:space="preserve">real </w:t>
      </w:r>
      <w:r w:rsidRPr="000066D9">
        <w:t>reduction in benefit levels or increase in market rents</w:t>
      </w:r>
      <w:r w:rsidR="00892A62">
        <w:t xml:space="preserve"> (e.g., seniors without mortgages but limited income to pay for substantial repairs)</w:t>
      </w:r>
      <w:r w:rsidRPr="000066D9">
        <w:t>.</w:t>
      </w:r>
    </w:p>
    <w:p w14:paraId="58CA7567" w14:textId="77777777" w:rsidR="000066D9" w:rsidRDefault="000066D9" w:rsidP="004E1B04"/>
    <w:p w14:paraId="7F854DA3" w14:textId="685E1A55" w:rsidR="007D0249" w:rsidRDefault="007D0249" w:rsidP="007D0249">
      <w:pPr>
        <w:pStyle w:val="Heading3"/>
      </w:pPr>
      <w:r>
        <w:t xml:space="preserve">Income </w:t>
      </w:r>
      <w:r w:rsidR="00EE38FE">
        <w:t>Categories</w:t>
      </w:r>
    </w:p>
    <w:p w14:paraId="5F74204A" w14:textId="0FB32B15" w:rsidR="00194EB0" w:rsidRDefault="00194EB0" w:rsidP="00194EB0">
      <w:pPr>
        <w:jc w:val="both"/>
      </w:pPr>
      <w:r>
        <w:t>This section</w:t>
      </w:r>
      <w:r w:rsidRPr="00194EB0">
        <w:t xml:space="preserve"> </w:t>
      </w:r>
      <w:r w:rsidR="0037783F">
        <w:t>is based</w:t>
      </w:r>
      <w:r w:rsidRPr="00194EB0">
        <w:t xml:space="preserve"> on a custom tabulation produced by the Housing Assessment Resource Tools (HART) project, a research initiative developed to support housing needs assessments across Canada. HART establishes five household income categories </w:t>
      </w:r>
      <w:r>
        <w:t>(</w:t>
      </w:r>
      <w:r w:rsidRPr="00194EB0">
        <w:t>very low, low, moderate, median, and high</w:t>
      </w:r>
      <w:r>
        <w:t>),</w:t>
      </w:r>
      <w:r w:rsidRPr="00194EB0">
        <w:t xml:space="preserve"> defined as bands of annual household income derived from the local area median household income, allowing affordability thresholds to reflect local economic conditions rather than national or provincial averages. This income-banding approach is designed specifically for housing planning purposes</w:t>
      </w:r>
      <w:r w:rsidR="0037783F">
        <w:t>. U</w:t>
      </w:r>
      <w:r w:rsidRPr="00194EB0">
        <w:t>nlike poverty measures or decile-based income distributions, the HART categories are calibrated to the income levels at which households are expected to transition between inability to afford market housing, marginal affordability, and market accessibility without assistance.</w:t>
      </w:r>
    </w:p>
    <w:p w14:paraId="18EEBB88" w14:textId="77777777" w:rsidR="00194EB0" w:rsidRDefault="00194EB0" w:rsidP="00194EB0"/>
    <w:p w14:paraId="11B97000" w14:textId="5CDEB374" w:rsidR="00405390" w:rsidRDefault="00470C4A" w:rsidP="00470C4A">
      <w:pPr>
        <w:jc w:val="both"/>
      </w:pPr>
      <w:r w:rsidRPr="00470C4A">
        <w:rPr>
          <w:rStyle w:val="Figure-textChar"/>
        </w:rPr>
        <w:fldChar w:fldCharType="begin"/>
      </w:r>
      <w:r w:rsidRPr="00470C4A">
        <w:rPr>
          <w:rStyle w:val="Figure-textChar"/>
        </w:rPr>
        <w:instrText xml:space="preserve"> REF _Ref223275134 \h </w:instrText>
      </w:r>
      <w:r>
        <w:rPr>
          <w:rStyle w:val="Figure-textChar"/>
        </w:rPr>
        <w:instrText xml:space="preserve"> \* MERGEFORMAT </w:instrText>
      </w:r>
      <w:r w:rsidRPr="00470C4A">
        <w:rPr>
          <w:rStyle w:val="Figure-textChar"/>
        </w:rPr>
      </w:r>
      <w:r w:rsidRPr="00470C4A">
        <w:rPr>
          <w:rStyle w:val="Figure-textChar"/>
        </w:rPr>
        <w:fldChar w:fldCharType="separate"/>
      </w:r>
      <w:r w:rsidR="00CA6116" w:rsidRPr="00CA6116">
        <w:rPr>
          <w:rStyle w:val="Figure-textChar"/>
        </w:rPr>
        <w:t>Table 5.6</w:t>
      </w:r>
      <w:r w:rsidRPr="00470C4A">
        <w:rPr>
          <w:rStyle w:val="Figure-textChar"/>
        </w:rPr>
        <w:fldChar w:fldCharType="end"/>
      </w:r>
      <w:r>
        <w:t xml:space="preserve"> </w:t>
      </w:r>
      <w:r w:rsidR="00B175D1" w:rsidRPr="00B175D1">
        <w:t>distributes households across</w:t>
      </w:r>
      <w:r w:rsidR="00194EB0">
        <w:t xml:space="preserve"> these</w:t>
      </w:r>
      <w:r w:rsidR="00B175D1" w:rsidRPr="00B175D1">
        <w:t xml:space="preserve"> five income categories, disaggregated by tenure and household size, providing a view of the income landscape.</w:t>
      </w:r>
    </w:p>
    <w:p w14:paraId="4414524B" w14:textId="77777777" w:rsidR="00470C4A" w:rsidRDefault="00470C4A" w:rsidP="00562FCD"/>
    <w:p w14:paraId="24198691" w14:textId="020E9C6B" w:rsidR="00BD0940" w:rsidRDefault="00BD0940" w:rsidP="00BD0940">
      <w:pPr>
        <w:pStyle w:val="Caption"/>
      </w:pPr>
      <w:bookmarkStart w:id="35" w:name="_Ref223275134"/>
      <w:r>
        <w:lastRenderedPageBreak/>
        <w:t xml:space="preserve">Table </w:t>
      </w:r>
      <w:fldSimple w:instr=" STYLEREF 1 \s ">
        <w:r w:rsidR="005E459C">
          <w:rPr>
            <w:noProof/>
          </w:rPr>
          <w:t>5</w:t>
        </w:r>
      </w:fldSimple>
      <w:r w:rsidR="00BD4359">
        <w:t>.</w:t>
      </w:r>
      <w:fldSimple w:instr=" SEQ Table \* ARABIC \s 1 ">
        <w:r w:rsidR="005E459C">
          <w:rPr>
            <w:noProof/>
          </w:rPr>
          <w:t>6</w:t>
        </w:r>
      </w:fldSimple>
      <w:bookmarkEnd w:id="35"/>
      <w:r>
        <w:t>: Household income categories by household characteristic, 2021</w:t>
      </w:r>
      <w:r w:rsidR="00DF13BA">
        <w:t xml:space="preserve"> Census</w:t>
      </w:r>
    </w:p>
    <w:tbl>
      <w:tblPr>
        <w:tblW w:w="9360" w:type="dxa"/>
        <w:tblLayout w:type="fixed"/>
        <w:tblLook w:val="04A0" w:firstRow="1" w:lastRow="0" w:firstColumn="1" w:lastColumn="0" w:noHBand="0" w:noVBand="1"/>
      </w:tblPr>
      <w:tblGrid>
        <w:gridCol w:w="1080"/>
        <w:gridCol w:w="1620"/>
        <w:gridCol w:w="1080"/>
        <w:gridCol w:w="1116"/>
        <w:gridCol w:w="1116"/>
        <w:gridCol w:w="1116"/>
        <w:gridCol w:w="1116"/>
        <w:gridCol w:w="1116"/>
      </w:tblGrid>
      <w:tr w:rsidR="00405390" w:rsidRPr="00405390" w14:paraId="16BDB443" w14:textId="77777777" w:rsidTr="003C59F9">
        <w:trPr>
          <w:trHeight w:val="402"/>
          <w:tblHeader/>
        </w:trPr>
        <w:tc>
          <w:tcPr>
            <w:tcW w:w="1080" w:type="dxa"/>
            <w:tcBorders>
              <w:top w:val="nil"/>
              <w:left w:val="nil"/>
              <w:bottom w:val="nil"/>
              <w:right w:val="nil"/>
            </w:tcBorders>
            <w:noWrap/>
            <w:vAlign w:val="center"/>
            <w:hideMark/>
          </w:tcPr>
          <w:p w14:paraId="6198D526" w14:textId="77777777" w:rsidR="00405390" w:rsidRPr="00405390" w:rsidRDefault="00405390" w:rsidP="00405390">
            <w:pPr>
              <w:rPr>
                <w:rFonts w:ascii="Times New Roman" w:eastAsia="Times New Roman" w:hAnsi="Times New Roman" w:cs="Times New Roman"/>
                <w:sz w:val="24"/>
                <w:szCs w:val="24"/>
              </w:rPr>
            </w:pPr>
          </w:p>
        </w:tc>
        <w:tc>
          <w:tcPr>
            <w:tcW w:w="1620" w:type="dxa"/>
            <w:tcBorders>
              <w:top w:val="nil"/>
              <w:left w:val="nil"/>
              <w:bottom w:val="nil"/>
              <w:right w:val="nil"/>
            </w:tcBorders>
            <w:noWrap/>
            <w:vAlign w:val="center"/>
            <w:hideMark/>
          </w:tcPr>
          <w:p w14:paraId="3F35F317" w14:textId="77777777" w:rsidR="00405390" w:rsidRPr="00405390" w:rsidRDefault="00405390" w:rsidP="00405390">
            <w:pPr>
              <w:rPr>
                <w:rFonts w:ascii="Times New Roman" w:eastAsia="Times New Roman" w:hAnsi="Times New Roman" w:cs="Times New Roman"/>
                <w:sz w:val="20"/>
                <w:szCs w:val="20"/>
              </w:rPr>
            </w:pPr>
          </w:p>
        </w:tc>
        <w:tc>
          <w:tcPr>
            <w:tcW w:w="1080" w:type="dxa"/>
            <w:tcBorders>
              <w:top w:val="nil"/>
              <w:left w:val="nil"/>
              <w:bottom w:val="nil"/>
              <w:right w:val="nil"/>
            </w:tcBorders>
            <w:noWrap/>
            <w:vAlign w:val="center"/>
            <w:hideMark/>
          </w:tcPr>
          <w:p w14:paraId="13BB7C7F" w14:textId="77777777" w:rsidR="00405390" w:rsidRPr="00405390" w:rsidRDefault="00405390" w:rsidP="00405390">
            <w:pPr>
              <w:rPr>
                <w:rFonts w:ascii="Times New Roman" w:eastAsia="Times New Roman" w:hAnsi="Times New Roman" w:cs="Times New Roman"/>
                <w:sz w:val="20"/>
                <w:szCs w:val="20"/>
              </w:rPr>
            </w:pPr>
          </w:p>
        </w:tc>
        <w:tc>
          <w:tcPr>
            <w:tcW w:w="5580" w:type="dxa"/>
            <w:gridSpan w:val="5"/>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1AA3BE06" w14:textId="77777777" w:rsidR="00405390" w:rsidRPr="00405390" w:rsidRDefault="00405390" w:rsidP="00405390">
            <w:pPr>
              <w:jc w:val="center"/>
              <w:rPr>
                <w:rFonts w:eastAsia="Times New Roman"/>
                <w:color w:val="FFFFFF"/>
                <w:sz w:val="18"/>
                <w:szCs w:val="18"/>
              </w:rPr>
            </w:pPr>
            <w:r w:rsidRPr="00405390">
              <w:rPr>
                <w:rFonts w:eastAsia="Times New Roman"/>
                <w:color w:val="FFFFFF"/>
                <w:sz w:val="18"/>
                <w:szCs w:val="18"/>
              </w:rPr>
              <w:t>Income category</w:t>
            </w:r>
          </w:p>
        </w:tc>
      </w:tr>
      <w:tr w:rsidR="00405390" w:rsidRPr="00405390" w14:paraId="741A3F20" w14:textId="77777777" w:rsidTr="003C59F9">
        <w:trPr>
          <w:trHeight w:val="402"/>
          <w:tblHeader/>
        </w:trPr>
        <w:tc>
          <w:tcPr>
            <w:tcW w:w="1080" w:type="dxa"/>
            <w:tcBorders>
              <w:top w:val="nil"/>
              <w:left w:val="nil"/>
              <w:bottom w:val="nil"/>
              <w:right w:val="nil"/>
            </w:tcBorders>
            <w:noWrap/>
            <w:vAlign w:val="center"/>
            <w:hideMark/>
          </w:tcPr>
          <w:p w14:paraId="06B93E24" w14:textId="77777777" w:rsidR="00405390" w:rsidRPr="00405390" w:rsidRDefault="00405390" w:rsidP="00405390">
            <w:pPr>
              <w:jc w:val="center"/>
              <w:rPr>
                <w:rFonts w:eastAsia="Times New Roman"/>
                <w:color w:val="FFFFFF"/>
                <w:sz w:val="18"/>
                <w:szCs w:val="18"/>
              </w:rPr>
            </w:pPr>
          </w:p>
        </w:tc>
        <w:tc>
          <w:tcPr>
            <w:tcW w:w="1620" w:type="dxa"/>
            <w:tcBorders>
              <w:top w:val="nil"/>
              <w:left w:val="nil"/>
              <w:bottom w:val="nil"/>
              <w:right w:val="nil"/>
            </w:tcBorders>
            <w:noWrap/>
            <w:vAlign w:val="center"/>
            <w:hideMark/>
          </w:tcPr>
          <w:p w14:paraId="0B91AFB7" w14:textId="77777777" w:rsidR="00405390" w:rsidRPr="00405390" w:rsidRDefault="00405390" w:rsidP="00405390">
            <w:pPr>
              <w:rPr>
                <w:rFonts w:ascii="Times New Roman" w:eastAsia="Times New Roman" w:hAnsi="Times New Roman" w:cs="Times New Roman"/>
                <w:sz w:val="20"/>
                <w:szCs w:val="20"/>
              </w:rPr>
            </w:pP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FFB838" w:themeFill="accent5" w:themeFillTint="99"/>
            <w:noWrap/>
            <w:vAlign w:val="center"/>
            <w:hideMark/>
          </w:tcPr>
          <w:p w14:paraId="40A19560" w14:textId="77777777" w:rsidR="00405390" w:rsidRPr="003C59F9" w:rsidRDefault="00405390" w:rsidP="00405390">
            <w:pPr>
              <w:jc w:val="center"/>
              <w:rPr>
                <w:rFonts w:eastAsia="Times New Roman"/>
                <w:sz w:val="18"/>
                <w:szCs w:val="18"/>
              </w:rPr>
            </w:pPr>
            <w:r w:rsidRPr="003C59F9">
              <w:rPr>
                <w:rFonts w:eastAsia="Times New Roman"/>
                <w:sz w:val="18"/>
                <w:szCs w:val="18"/>
              </w:rPr>
              <w:t>Total</w:t>
            </w:r>
          </w:p>
          <w:p w14:paraId="6F0EC1A4" w14:textId="6F4B7A69" w:rsidR="00F56221" w:rsidRPr="003C59F9" w:rsidRDefault="00F56221" w:rsidP="00405390">
            <w:pPr>
              <w:jc w:val="center"/>
              <w:rPr>
                <w:rFonts w:eastAsia="Times New Roman"/>
                <w:sz w:val="18"/>
                <w:szCs w:val="18"/>
              </w:rPr>
            </w:pPr>
            <w:r w:rsidRPr="003C59F9">
              <w:rPr>
                <w:rFonts w:eastAsia="Times New Roman"/>
                <w:sz w:val="18"/>
                <w:szCs w:val="18"/>
              </w:rPr>
              <w:t>HHs</w:t>
            </w:r>
          </w:p>
        </w:tc>
        <w:tc>
          <w:tcPr>
            <w:tcW w:w="1116" w:type="dxa"/>
            <w:tcBorders>
              <w:top w:val="nil"/>
              <w:left w:val="nil"/>
              <w:bottom w:val="single" w:sz="4" w:space="0" w:color="auto"/>
              <w:right w:val="single" w:sz="4" w:space="0" w:color="BFBFBF"/>
            </w:tcBorders>
            <w:shd w:val="clear" w:color="auto" w:fill="ACBED8" w:themeFill="accent3" w:themeFillTint="66"/>
            <w:noWrap/>
            <w:vAlign w:val="center"/>
            <w:hideMark/>
          </w:tcPr>
          <w:p w14:paraId="24279954" w14:textId="77777777" w:rsidR="00405390" w:rsidRPr="00405390" w:rsidRDefault="00405390" w:rsidP="00405390">
            <w:pPr>
              <w:jc w:val="right"/>
              <w:rPr>
                <w:rFonts w:eastAsia="Times New Roman"/>
                <w:color w:val="000000"/>
                <w:sz w:val="18"/>
                <w:szCs w:val="18"/>
              </w:rPr>
            </w:pPr>
            <w:r w:rsidRPr="00405390">
              <w:rPr>
                <w:rFonts w:eastAsia="Times New Roman"/>
                <w:color w:val="000000"/>
                <w:sz w:val="18"/>
                <w:szCs w:val="18"/>
              </w:rPr>
              <w:t>Very low</w:t>
            </w:r>
          </w:p>
        </w:tc>
        <w:tc>
          <w:tcPr>
            <w:tcW w:w="1116" w:type="dxa"/>
            <w:tcBorders>
              <w:top w:val="nil"/>
              <w:left w:val="nil"/>
              <w:bottom w:val="single" w:sz="4" w:space="0" w:color="auto"/>
              <w:right w:val="single" w:sz="4" w:space="0" w:color="BFBFBF"/>
            </w:tcBorders>
            <w:shd w:val="clear" w:color="auto" w:fill="ACBED8" w:themeFill="accent3" w:themeFillTint="66"/>
            <w:noWrap/>
            <w:vAlign w:val="center"/>
            <w:hideMark/>
          </w:tcPr>
          <w:p w14:paraId="1E3202F6" w14:textId="77777777" w:rsidR="00405390" w:rsidRPr="00405390" w:rsidRDefault="00405390" w:rsidP="00405390">
            <w:pPr>
              <w:jc w:val="right"/>
              <w:rPr>
                <w:rFonts w:eastAsia="Times New Roman"/>
                <w:color w:val="000000"/>
                <w:sz w:val="18"/>
                <w:szCs w:val="18"/>
              </w:rPr>
            </w:pPr>
            <w:r w:rsidRPr="00405390">
              <w:rPr>
                <w:rFonts w:eastAsia="Times New Roman"/>
                <w:color w:val="000000"/>
                <w:sz w:val="18"/>
                <w:szCs w:val="18"/>
              </w:rPr>
              <w:t>Low</w:t>
            </w:r>
          </w:p>
        </w:tc>
        <w:tc>
          <w:tcPr>
            <w:tcW w:w="1116" w:type="dxa"/>
            <w:tcBorders>
              <w:top w:val="nil"/>
              <w:left w:val="nil"/>
              <w:bottom w:val="single" w:sz="4" w:space="0" w:color="auto"/>
              <w:right w:val="single" w:sz="4" w:space="0" w:color="BFBFBF"/>
            </w:tcBorders>
            <w:shd w:val="clear" w:color="auto" w:fill="ACBED8" w:themeFill="accent3" w:themeFillTint="66"/>
            <w:noWrap/>
            <w:vAlign w:val="center"/>
            <w:hideMark/>
          </w:tcPr>
          <w:p w14:paraId="7FA849DE" w14:textId="77777777" w:rsidR="00405390" w:rsidRPr="00405390" w:rsidRDefault="00405390" w:rsidP="00405390">
            <w:pPr>
              <w:jc w:val="right"/>
              <w:rPr>
                <w:rFonts w:eastAsia="Times New Roman"/>
                <w:color w:val="000000"/>
                <w:sz w:val="18"/>
                <w:szCs w:val="18"/>
              </w:rPr>
            </w:pPr>
            <w:r w:rsidRPr="00405390">
              <w:rPr>
                <w:rFonts w:eastAsia="Times New Roman"/>
                <w:color w:val="000000"/>
                <w:sz w:val="18"/>
                <w:szCs w:val="18"/>
              </w:rPr>
              <w:t>Moderate</w:t>
            </w:r>
          </w:p>
        </w:tc>
        <w:tc>
          <w:tcPr>
            <w:tcW w:w="1116" w:type="dxa"/>
            <w:tcBorders>
              <w:top w:val="nil"/>
              <w:left w:val="nil"/>
              <w:bottom w:val="single" w:sz="4" w:space="0" w:color="auto"/>
              <w:right w:val="single" w:sz="4" w:space="0" w:color="BFBFBF"/>
            </w:tcBorders>
            <w:shd w:val="clear" w:color="auto" w:fill="ACBED8" w:themeFill="accent3" w:themeFillTint="66"/>
            <w:noWrap/>
            <w:vAlign w:val="center"/>
            <w:hideMark/>
          </w:tcPr>
          <w:p w14:paraId="7626B3D2" w14:textId="77777777" w:rsidR="00405390" w:rsidRPr="00405390" w:rsidRDefault="00405390" w:rsidP="00405390">
            <w:pPr>
              <w:jc w:val="right"/>
              <w:rPr>
                <w:rFonts w:eastAsia="Times New Roman"/>
                <w:color w:val="000000"/>
                <w:sz w:val="18"/>
                <w:szCs w:val="18"/>
              </w:rPr>
            </w:pPr>
            <w:r w:rsidRPr="00405390">
              <w:rPr>
                <w:rFonts w:eastAsia="Times New Roman"/>
                <w:color w:val="000000"/>
                <w:sz w:val="18"/>
                <w:szCs w:val="18"/>
              </w:rPr>
              <w:t>Median</w:t>
            </w:r>
          </w:p>
        </w:tc>
        <w:tc>
          <w:tcPr>
            <w:tcW w:w="1116" w:type="dxa"/>
            <w:tcBorders>
              <w:top w:val="nil"/>
              <w:left w:val="nil"/>
              <w:bottom w:val="single" w:sz="4" w:space="0" w:color="auto"/>
              <w:right w:val="single" w:sz="4" w:space="0" w:color="auto"/>
            </w:tcBorders>
            <w:shd w:val="clear" w:color="auto" w:fill="ACBED8" w:themeFill="accent3" w:themeFillTint="66"/>
            <w:noWrap/>
            <w:vAlign w:val="center"/>
            <w:hideMark/>
          </w:tcPr>
          <w:p w14:paraId="45CD67F7" w14:textId="77777777" w:rsidR="00405390" w:rsidRPr="00405390" w:rsidRDefault="00405390" w:rsidP="00405390">
            <w:pPr>
              <w:jc w:val="right"/>
              <w:rPr>
                <w:rFonts w:eastAsia="Times New Roman"/>
                <w:color w:val="000000"/>
                <w:sz w:val="18"/>
                <w:szCs w:val="18"/>
              </w:rPr>
            </w:pPr>
            <w:r w:rsidRPr="00405390">
              <w:rPr>
                <w:rFonts w:eastAsia="Times New Roman"/>
                <w:color w:val="000000"/>
                <w:sz w:val="18"/>
                <w:szCs w:val="18"/>
              </w:rPr>
              <w:t>High</w:t>
            </w:r>
          </w:p>
        </w:tc>
      </w:tr>
      <w:tr w:rsidR="00405390" w:rsidRPr="00405390" w14:paraId="61A1D010" w14:textId="77777777" w:rsidTr="003C59F9">
        <w:trPr>
          <w:trHeight w:val="402"/>
          <w:tblHeader/>
        </w:trPr>
        <w:tc>
          <w:tcPr>
            <w:tcW w:w="1080" w:type="dxa"/>
            <w:tcBorders>
              <w:top w:val="nil"/>
              <w:left w:val="nil"/>
              <w:bottom w:val="nil"/>
              <w:right w:val="nil"/>
            </w:tcBorders>
            <w:noWrap/>
            <w:vAlign w:val="center"/>
            <w:hideMark/>
          </w:tcPr>
          <w:p w14:paraId="2DF4AB02" w14:textId="77777777" w:rsidR="00405390" w:rsidRPr="00405390" w:rsidRDefault="00405390" w:rsidP="00405390">
            <w:pPr>
              <w:jc w:val="right"/>
              <w:rPr>
                <w:rFonts w:eastAsia="Times New Roman"/>
                <w:color w:val="000000"/>
                <w:sz w:val="18"/>
                <w:szCs w:val="18"/>
              </w:rPr>
            </w:pPr>
          </w:p>
        </w:tc>
        <w:tc>
          <w:tcPr>
            <w:tcW w:w="1620" w:type="dxa"/>
            <w:tcBorders>
              <w:top w:val="nil"/>
              <w:left w:val="nil"/>
              <w:bottom w:val="nil"/>
              <w:right w:val="nil"/>
            </w:tcBorders>
            <w:noWrap/>
            <w:vAlign w:val="center"/>
            <w:hideMark/>
          </w:tcPr>
          <w:p w14:paraId="1E513349" w14:textId="77777777" w:rsidR="00405390" w:rsidRPr="00405390" w:rsidRDefault="00405390" w:rsidP="00405390">
            <w:pPr>
              <w:rPr>
                <w:rFonts w:ascii="Times New Roman" w:eastAsia="Times New Roman" w:hAnsi="Times New Roman" w:cs="Times New Roman"/>
                <w:sz w:val="20"/>
                <w:szCs w:val="20"/>
              </w:rPr>
            </w:pPr>
          </w:p>
        </w:tc>
        <w:tc>
          <w:tcPr>
            <w:tcW w:w="1080" w:type="dxa"/>
            <w:vMerge/>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2C293CE8" w14:textId="77777777" w:rsidR="00405390" w:rsidRPr="00405390" w:rsidRDefault="00405390" w:rsidP="00405390">
            <w:pPr>
              <w:rPr>
                <w:rFonts w:eastAsia="Times New Roman"/>
                <w:color w:val="FFFFFF"/>
                <w:sz w:val="18"/>
                <w:szCs w:val="18"/>
              </w:rPr>
            </w:pPr>
          </w:p>
        </w:tc>
        <w:tc>
          <w:tcPr>
            <w:tcW w:w="1116" w:type="dxa"/>
            <w:vMerge w:val="restart"/>
            <w:tcBorders>
              <w:top w:val="nil"/>
              <w:left w:val="single" w:sz="4" w:space="0" w:color="auto"/>
              <w:bottom w:val="single" w:sz="4" w:space="0" w:color="000000"/>
              <w:right w:val="single" w:sz="4" w:space="0" w:color="BFBFBF"/>
            </w:tcBorders>
            <w:shd w:val="clear" w:color="auto" w:fill="D5DEEB" w:themeFill="accent3" w:themeFillTint="33"/>
            <w:vAlign w:val="center"/>
            <w:hideMark/>
          </w:tcPr>
          <w:p w14:paraId="45124B66"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$0 to $13,300</w:t>
            </w:r>
          </w:p>
        </w:tc>
        <w:tc>
          <w:tcPr>
            <w:tcW w:w="1116" w:type="dxa"/>
            <w:vMerge w:val="restart"/>
            <w:tcBorders>
              <w:top w:val="nil"/>
              <w:left w:val="single" w:sz="4" w:space="0" w:color="BFBFBF"/>
              <w:bottom w:val="single" w:sz="4" w:space="0" w:color="000000"/>
              <w:right w:val="single" w:sz="4" w:space="0" w:color="BFBFBF"/>
            </w:tcBorders>
            <w:shd w:val="clear" w:color="auto" w:fill="D5DEEB" w:themeFill="accent3" w:themeFillTint="33"/>
            <w:vAlign w:val="center"/>
            <w:hideMark/>
          </w:tcPr>
          <w:p w14:paraId="69E36DF4"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$13,301 to $33,300</w:t>
            </w:r>
          </w:p>
        </w:tc>
        <w:tc>
          <w:tcPr>
            <w:tcW w:w="1116" w:type="dxa"/>
            <w:vMerge w:val="restart"/>
            <w:tcBorders>
              <w:top w:val="nil"/>
              <w:left w:val="single" w:sz="4" w:space="0" w:color="BFBFBF"/>
              <w:bottom w:val="single" w:sz="4" w:space="0" w:color="000000"/>
              <w:right w:val="single" w:sz="4" w:space="0" w:color="BFBFBF"/>
            </w:tcBorders>
            <w:shd w:val="clear" w:color="auto" w:fill="D5DEEB" w:themeFill="accent3" w:themeFillTint="33"/>
            <w:vAlign w:val="center"/>
            <w:hideMark/>
          </w:tcPr>
          <w:p w14:paraId="54FE2B0A"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$33,301 to $53,200</w:t>
            </w:r>
          </w:p>
        </w:tc>
        <w:tc>
          <w:tcPr>
            <w:tcW w:w="1116" w:type="dxa"/>
            <w:vMerge w:val="restart"/>
            <w:tcBorders>
              <w:top w:val="nil"/>
              <w:left w:val="single" w:sz="4" w:space="0" w:color="BFBFBF"/>
              <w:bottom w:val="single" w:sz="4" w:space="0" w:color="000000"/>
              <w:right w:val="single" w:sz="4" w:space="0" w:color="BFBFBF"/>
            </w:tcBorders>
            <w:shd w:val="clear" w:color="auto" w:fill="D5DEEB" w:themeFill="accent3" w:themeFillTint="33"/>
            <w:vAlign w:val="center"/>
            <w:hideMark/>
          </w:tcPr>
          <w:p w14:paraId="35C61313"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$53,201 to $79,800</w:t>
            </w:r>
          </w:p>
        </w:tc>
        <w:tc>
          <w:tcPr>
            <w:tcW w:w="1116" w:type="dxa"/>
            <w:vMerge w:val="restart"/>
            <w:tcBorders>
              <w:top w:val="nil"/>
              <w:left w:val="single" w:sz="4" w:space="0" w:color="BFBFBF"/>
              <w:bottom w:val="single" w:sz="4" w:space="0" w:color="000000"/>
              <w:right w:val="single" w:sz="4" w:space="0" w:color="auto"/>
            </w:tcBorders>
            <w:shd w:val="clear" w:color="auto" w:fill="D5DEEB" w:themeFill="accent3" w:themeFillTint="33"/>
            <w:vAlign w:val="center"/>
            <w:hideMark/>
          </w:tcPr>
          <w:p w14:paraId="0AD67DB9"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$79,801+</w:t>
            </w:r>
          </w:p>
        </w:tc>
      </w:tr>
      <w:tr w:rsidR="00405390" w:rsidRPr="00405390" w14:paraId="100A8CF2" w14:textId="77777777" w:rsidTr="003C59F9">
        <w:trPr>
          <w:trHeight w:val="402"/>
        </w:trPr>
        <w:tc>
          <w:tcPr>
            <w:tcW w:w="2700" w:type="dxa"/>
            <w:gridSpan w:val="2"/>
            <w:tcBorders>
              <w:top w:val="single" w:sz="4" w:space="0" w:color="auto"/>
              <w:left w:val="single" w:sz="4" w:space="0" w:color="auto"/>
              <w:bottom w:val="single" w:sz="4" w:space="0" w:color="auto"/>
              <w:right w:val="nil"/>
            </w:tcBorders>
            <w:shd w:val="clear" w:color="auto" w:fill="42618C" w:themeFill="accent3"/>
            <w:noWrap/>
            <w:vAlign w:val="center"/>
            <w:hideMark/>
          </w:tcPr>
          <w:p w14:paraId="17B7D5F3" w14:textId="77777777" w:rsidR="00405390" w:rsidRPr="00405390" w:rsidRDefault="00405390" w:rsidP="00405390">
            <w:pPr>
              <w:rPr>
                <w:rFonts w:eastAsia="Times New Roman"/>
                <w:color w:val="FFFFFF"/>
                <w:sz w:val="18"/>
                <w:szCs w:val="18"/>
              </w:rPr>
            </w:pPr>
            <w:r w:rsidRPr="00405390">
              <w:rPr>
                <w:rFonts w:eastAsia="Times New Roman"/>
                <w:color w:val="FFFFFF"/>
                <w:sz w:val="18"/>
                <w:szCs w:val="18"/>
              </w:rPr>
              <w:t>Characteristic</w:t>
            </w:r>
          </w:p>
        </w:tc>
        <w:tc>
          <w:tcPr>
            <w:tcW w:w="1080" w:type="dxa"/>
            <w:vMerge/>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0297807B" w14:textId="77777777" w:rsidR="00405390" w:rsidRPr="00405390" w:rsidRDefault="00405390" w:rsidP="00405390">
            <w:pPr>
              <w:rPr>
                <w:rFonts w:eastAsia="Times New Roman"/>
                <w:color w:val="FFFFFF"/>
                <w:sz w:val="18"/>
                <w:szCs w:val="18"/>
              </w:rPr>
            </w:pPr>
          </w:p>
        </w:tc>
        <w:tc>
          <w:tcPr>
            <w:tcW w:w="1116" w:type="dxa"/>
            <w:vMerge/>
            <w:tcBorders>
              <w:top w:val="nil"/>
              <w:left w:val="single" w:sz="4" w:space="0" w:color="auto"/>
              <w:bottom w:val="single" w:sz="4" w:space="0" w:color="000000"/>
              <w:right w:val="single" w:sz="4" w:space="0" w:color="BFBFBF"/>
            </w:tcBorders>
            <w:shd w:val="clear" w:color="auto" w:fill="D5DEEB" w:themeFill="accent3" w:themeFillTint="33"/>
            <w:vAlign w:val="center"/>
            <w:hideMark/>
          </w:tcPr>
          <w:p w14:paraId="0928A0D0" w14:textId="77777777" w:rsidR="00405390" w:rsidRPr="00405390" w:rsidRDefault="00405390" w:rsidP="00405390">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BFBFBF"/>
            </w:tcBorders>
            <w:shd w:val="clear" w:color="auto" w:fill="D5DEEB" w:themeFill="accent3" w:themeFillTint="33"/>
            <w:vAlign w:val="center"/>
            <w:hideMark/>
          </w:tcPr>
          <w:p w14:paraId="76AE12E5" w14:textId="77777777" w:rsidR="00405390" w:rsidRPr="00405390" w:rsidRDefault="00405390" w:rsidP="00405390">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BFBFBF"/>
            </w:tcBorders>
            <w:shd w:val="clear" w:color="auto" w:fill="D5DEEB" w:themeFill="accent3" w:themeFillTint="33"/>
            <w:vAlign w:val="center"/>
            <w:hideMark/>
          </w:tcPr>
          <w:p w14:paraId="0F17C908" w14:textId="77777777" w:rsidR="00405390" w:rsidRPr="00405390" w:rsidRDefault="00405390" w:rsidP="00405390">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BFBFBF"/>
            </w:tcBorders>
            <w:shd w:val="clear" w:color="auto" w:fill="D5DEEB" w:themeFill="accent3" w:themeFillTint="33"/>
            <w:vAlign w:val="center"/>
            <w:hideMark/>
          </w:tcPr>
          <w:p w14:paraId="1E87E730" w14:textId="77777777" w:rsidR="00405390" w:rsidRPr="00405390" w:rsidRDefault="00405390" w:rsidP="00405390">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auto"/>
            </w:tcBorders>
            <w:shd w:val="clear" w:color="auto" w:fill="D5DEEB" w:themeFill="accent3" w:themeFillTint="33"/>
            <w:vAlign w:val="center"/>
            <w:hideMark/>
          </w:tcPr>
          <w:p w14:paraId="5EBCE784" w14:textId="77777777" w:rsidR="00405390" w:rsidRPr="00405390" w:rsidRDefault="00405390" w:rsidP="00405390">
            <w:pPr>
              <w:rPr>
                <w:rFonts w:eastAsia="Times New Roman"/>
                <w:color w:val="000000"/>
                <w:sz w:val="18"/>
                <w:szCs w:val="18"/>
              </w:rPr>
            </w:pPr>
          </w:p>
        </w:tc>
      </w:tr>
      <w:tr w:rsidR="00405390" w:rsidRPr="00405390" w14:paraId="72C446FF" w14:textId="77777777" w:rsidTr="00405390">
        <w:trPr>
          <w:trHeight w:val="402"/>
        </w:trPr>
        <w:tc>
          <w:tcPr>
            <w:tcW w:w="2700"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7FCDD928"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Total</w:t>
            </w:r>
          </w:p>
        </w:tc>
        <w:tc>
          <w:tcPr>
            <w:tcW w:w="1080" w:type="dxa"/>
            <w:tcBorders>
              <w:top w:val="nil"/>
              <w:left w:val="single" w:sz="4" w:space="0" w:color="auto"/>
              <w:bottom w:val="single" w:sz="4" w:space="0" w:color="auto"/>
              <w:right w:val="single" w:sz="4" w:space="0" w:color="auto"/>
            </w:tcBorders>
            <w:shd w:val="clear" w:color="000000" w:fill="F2F2F2"/>
            <w:noWrap/>
            <w:vAlign w:val="center"/>
            <w:hideMark/>
          </w:tcPr>
          <w:p w14:paraId="1710CB0B"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17,085</w:t>
            </w:r>
          </w:p>
        </w:tc>
        <w:tc>
          <w:tcPr>
            <w:tcW w:w="1116" w:type="dxa"/>
            <w:tcBorders>
              <w:top w:val="nil"/>
              <w:left w:val="nil"/>
              <w:bottom w:val="single" w:sz="4" w:space="0" w:color="auto"/>
              <w:right w:val="single" w:sz="4" w:space="0" w:color="BFBFBF"/>
            </w:tcBorders>
            <w:shd w:val="clear" w:color="000000" w:fill="F2F2F2"/>
            <w:noWrap/>
            <w:vAlign w:val="center"/>
            <w:hideMark/>
          </w:tcPr>
          <w:p w14:paraId="7A4A340B"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3%</w:t>
            </w:r>
          </w:p>
        </w:tc>
        <w:tc>
          <w:tcPr>
            <w:tcW w:w="1116" w:type="dxa"/>
            <w:tcBorders>
              <w:top w:val="nil"/>
              <w:left w:val="nil"/>
              <w:bottom w:val="single" w:sz="4" w:space="0" w:color="auto"/>
              <w:right w:val="single" w:sz="4" w:space="0" w:color="BFBFBF"/>
            </w:tcBorders>
            <w:shd w:val="clear" w:color="000000" w:fill="F2F2F2"/>
            <w:noWrap/>
            <w:vAlign w:val="center"/>
            <w:hideMark/>
          </w:tcPr>
          <w:p w14:paraId="0BBB7C0A"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17%</w:t>
            </w:r>
          </w:p>
        </w:tc>
        <w:tc>
          <w:tcPr>
            <w:tcW w:w="1116" w:type="dxa"/>
            <w:tcBorders>
              <w:top w:val="nil"/>
              <w:left w:val="nil"/>
              <w:bottom w:val="single" w:sz="4" w:space="0" w:color="auto"/>
              <w:right w:val="single" w:sz="4" w:space="0" w:color="BFBFBF"/>
            </w:tcBorders>
            <w:shd w:val="clear" w:color="000000" w:fill="F2F2F2"/>
            <w:noWrap/>
            <w:vAlign w:val="center"/>
            <w:hideMark/>
          </w:tcPr>
          <w:p w14:paraId="329250CB"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19%</w:t>
            </w:r>
          </w:p>
        </w:tc>
        <w:tc>
          <w:tcPr>
            <w:tcW w:w="1116" w:type="dxa"/>
            <w:tcBorders>
              <w:top w:val="nil"/>
              <w:left w:val="nil"/>
              <w:bottom w:val="single" w:sz="4" w:space="0" w:color="auto"/>
              <w:right w:val="single" w:sz="4" w:space="0" w:color="BFBFBF"/>
            </w:tcBorders>
            <w:shd w:val="clear" w:color="000000" w:fill="F2F2F2"/>
            <w:noWrap/>
            <w:vAlign w:val="center"/>
            <w:hideMark/>
          </w:tcPr>
          <w:p w14:paraId="32324853"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21%</w:t>
            </w:r>
          </w:p>
        </w:tc>
        <w:tc>
          <w:tcPr>
            <w:tcW w:w="1116" w:type="dxa"/>
            <w:tcBorders>
              <w:top w:val="nil"/>
              <w:left w:val="nil"/>
              <w:bottom w:val="single" w:sz="4" w:space="0" w:color="auto"/>
              <w:right w:val="single" w:sz="4" w:space="0" w:color="auto"/>
            </w:tcBorders>
            <w:shd w:val="clear" w:color="000000" w:fill="F2F2F2"/>
            <w:noWrap/>
            <w:vAlign w:val="center"/>
            <w:hideMark/>
          </w:tcPr>
          <w:p w14:paraId="4E0D640E"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40%</w:t>
            </w:r>
          </w:p>
        </w:tc>
      </w:tr>
      <w:tr w:rsidR="00405390" w:rsidRPr="00405390" w14:paraId="549F886F" w14:textId="77777777" w:rsidTr="00405390">
        <w:trPr>
          <w:trHeight w:val="402"/>
        </w:trPr>
        <w:tc>
          <w:tcPr>
            <w:tcW w:w="2700" w:type="dxa"/>
            <w:gridSpan w:val="2"/>
            <w:tcBorders>
              <w:top w:val="single" w:sz="4" w:space="0" w:color="auto"/>
              <w:left w:val="single" w:sz="4" w:space="0" w:color="auto"/>
              <w:bottom w:val="single" w:sz="4" w:space="0" w:color="BFBFBF"/>
              <w:right w:val="nil"/>
            </w:tcBorders>
            <w:shd w:val="clear" w:color="000000" w:fill="FFFFFF"/>
            <w:noWrap/>
            <w:vAlign w:val="center"/>
            <w:hideMark/>
          </w:tcPr>
          <w:p w14:paraId="6EE4A3A3"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Owner households</w:t>
            </w:r>
          </w:p>
        </w:tc>
        <w:tc>
          <w:tcPr>
            <w:tcW w:w="1080" w:type="dxa"/>
            <w:tcBorders>
              <w:top w:val="nil"/>
              <w:left w:val="single" w:sz="4" w:space="0" w:color="auto"/>
              <w:bottom w:val="single" w:sz="4" w:space="0" w:color="BFBFBF"/>
              <w:right w:val="single" w:sz="4" w:space="0" w:color="auto"/>
            </w:tcBorders>
            <w:shd w:val="clear" w:color="000000" w:fill="FFFFFF"/>
            <w:noWrap/>
            <w:vAlign w:val="center"/>
            <w:hideMark/>
          </w:tcPr>
          <w:p w14:paraId="54669FEC"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7,850</w:t>
            </w:r>
          </w:p>
        </w:tc>
        <w:tc>
          <w:tcPr>
            <w:tcW w:w="1116" w:type="dxa"/>
            <w:tcBorders>
              <w:top w:val="nil"/>
              <w:left w:val="nil"/>
              <w:bottom w:val="single" w:sz="4" w:space="0" w:color="BFBFBF"/>
              <w:right w:val="single" w:sz="4" w:space="0" w:color="BFBFBF"/>
            </w:tcBorders>
            <w:shd w:val="clear" w:color="000000" w:fill="FFFFFF"/>
            <w:noWrap/>
            <w:vAlign w:val="center"/>
            <w:hideMark/>
          </w:tcPr>
          <w:p w14:paraId="0011F662"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w:t>
            </w:r>
          </w:p>
        </w:tc>
        <w:tc>
          <w:tcPr>
            <w:tcW w:w="1116" w:type="dxa"/>
            <w:tcBorders>
              <w:top w:val="nil"/>
              <w:left w:val="nil"/>
              <w:bottom w:val="single" w:sz="4" w:space="0" w:color="BFBFBF"/>
              <w:right w:val="single" w:sz="4" w:space="0" w:color="BFBFBF"/>
            </w:tcBorders>
            <w:shd w:val="clear" w:color="000000" w:fill="FFFFFF"/>
            <w:noWrap/>
            <w:vAlign w:val="center"/>
            <w:hideMark/>
          </w:tcPr>
          <w:p w14:paraId="4C25B251"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7%</w:t>
            </w:r>
          </w:p>
        </w:tc>
        <w:tc>
          <w:tcPr>
            <w:tcW w:w="1116" w:type="dxa"/>
            <w:tcBorders>
              <w:top w:val="nil"/>
              <w:left w:val="nil"/>
              <w:bottom w:val="single" w:sz="4" w:space="0" w:color="BFBFBF"/>
              <w:right w:val="single" w:sz="4" w:space="0" w:color="BFBFBF"/>
            </w:tcBorders>
            <w:shd w:val="clear" w:color="000000" w:fill="FFFFFF"/>
            <w:noWrap/>
            <w:vAlign w:val="center"/>
            <w:hideMark/>
          </w:tcPr>
          <w:p w14:paraId="5D36A76A"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12%</w:t>
            </w:r>
          </w:p>
        </w:tc>
        <w:tc>
          <w:tcPr>
            <w:tcW w:w="1116" w:type="dxa"/>
            <w:tcBorders>
              <w:top w:val="nil"/>
              <w:left w:val="nil"/>
              <w:bottom w:val="single" w:sz="4" w:space="0" w:color="BFBFBF"/>
              <w:right w:val="single" w:sz="4" w:space="0" w:color="BFBFBF"/>
            </w:tcBorders>
            <w:shd w:val="clear" w:color="000000" w:fill="FFFFFF"/>
            <w:noWrap/>
            <w:vAlign w:val="center"/>
            <w:hideMark/>
          </w:tcPr>
          <w:p w14:paraId="14C17AC2"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18%</w:t>
            </w:r>
          </w:p>
        </w:tc>
        <w:tc>
          <w:tcPr>
            <w:tcW w:w="1116" w:type="dxa"/>
            <w:tcBorders>
              <w:top w:val="nil"/>
              <w:left w:val="nil"/>
              <w:bottom w:val="single" w:sz="4" w:space="0" w:color="BFBFBF"/>
              <w:right w:val="single" w:sz="4" w:space="0" w:color="auto"/>
            </w:tcBorders>
            <w:shd w:val="clear" w:color="000000" w:fill="FFFFFF"/>
            <w:noWrap/>
            <w:vAlign w:val="center"/>
            <w:hideMark/>
          </w:tcPr>
          <w:p w14:paraId="5D8F1182"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62%</w:t>
            </w:r>
          </w:p>
        </w:tc>
      </w:tr>
      <w:tr w:rsidR="00405390" w:rsidRPr="00405390" w14:paraId="08219FD3" w14:textId="77777777" w:rsidTr="00405390">
        <w:trPr>
          <w:trHeight w:val="402"/>
        </w:trPr>
        <w:tc>
          <w:tcPr>
            <w:tcW w:w="2700" w:type="dxa"/>
            <w:gridSpan w:val="2"/>
            <w:tcBorders>
              <w:top w:val="single" w:sz="4" w:space="0" w:color="BFBFBF"/>
              <w:left w:val="single" w:sz="4" w:space="0" w:color="auto"/>
              <w:bottom w:val="single" w:sz="4" w:space="0" w:color="auto"/>
              <w:right w:val="nil"/>
            </w:tcBorders>
            <w:shd w:val="clear" w:color="000000" w:fill="F2F2F2"/>
            <w:noWrap/>
            <w:vAlign w:val="center"/>
            <w:hideMark/>
          </w:tcPr>
          <w:p w14:paraId="0741ECDC"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Renter households</w:t>
            </w:r>
          </w:p>
        </w:tc>
        <w:tc>
          <w:tcPr>
            <w:tcW w:w="1080" w:type="dxa"/>
            <w:tcBorders>
              <w:top w:val="nil"/>
              <w:left w:val="single" w:sz="4" w:space="0" w:color="auto"/>
              <w:bottom w:val="single" w:sz="4" w:space="0" w:color="auto"/>
              <w:right w:val="single" w:sz="4" w:space="0" w:color="auto"/>
            </w:tcBorders>
            <w:shd w:val="clear" w:color="000000" w:fill="F2F2F2"/>
            <w:noWrap/>
            <w:vAlign w:val="center"/>
            <w:hideMark/>
          </w:tcPr>
          <w:p w14:paraId="072861EF"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9,230</w:t>
            </w:r>
          </w:p>
        </w:tc>
        <w:tc>
          <w:tcPr>
            <w:tcW w:w="1116" w:type="dxa"/>
            <w:tcBorders>
              <w:top w:val="nil"/>
              <w:left w:val="nil"/>
              <w:bottom w:val="single" w:sz="4" w:space="0" w:color="auto"/>
              <w:right w:val="single" w:sz="4" w:space="0" w:color="BFBFBF"/>
            </w:tcBorders>
            <w:shd w:val="clear" w:color="000000" w:fill="F2F2F2"/>
            <w:noWrap/>
            <w:vAlign w:val="center"/>
            <w:hideMark/>
          </w:tcPr>
          <w:p w14:paraId="3341AF2B"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4%</w:t>
            </w:r>
          </w:p>
        </w:tc>
        <w:tc>
          <w:tcPr>
            <w:tcW w:w="1116" w:type="dxa"/>
            <w:tcBorders>
              <w:top w:val="nil"/>
              <w:left w:val="nil"/>
              <w:bottom w:val="single" w:sz="4" w:space="0" w:color="auto"/>
              <w:right w:val="single" w:sz="4" w:space="0" w:color="BFBFBF"/>
            </w:tcBorders>
            <w:shd w:val="clear" w:color="000000" w:fill="F2F2F2"/>
            <w:noWrap/>
            <w:vAlign w:val="center"/>
            <w:hideMark/>
          </w:tcPr>
          <w:p w14:paraId="79E9D7F0"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26%</w:t>
            </w:r>
          </w:p>
        </w:tc>
        <w:tc>
          <w:tcPr>
            <w:tcW w:w="1116" w:type="dxa"/>
            <w:tcBorders>
              <w:top w:val="nil"/>
              <w:left w:val="nil"/>
              <w:bottom w:val="single" w:sz="4" w:space="0" w:color="auto"/>
              <w:right w:val="single" w:sz="4" w:space="0" w:color="BFBFBF"/>
            </w:tcBorders>
            <w:shd w:val="clear" w:color="000000" w:fill="F2F2F2"/>
            <w:noWrap/>
            <w:vAlign w:val="center"/>
            <w:hideMark/>
          </w:tcPr>
          <w:p w14:paraId="1B0E11CB"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25%</w:t>
            </w:r>
          </w:p>
        </w:tc>
        <w:tc>
          <w:tcPr>
            <w:tcW w:w="1116" w:type="dxa"/>
            <w:tcBorders>
              <w:top w:val="nil"/>
              <w:left w:val="nil"/>
              <w:bottom w:val="single" w:sz="4" w:space="0" w:color="auto"/>
              <w:right w:val="single" w:sz="4" w:space="0" w:color="BFBFBF"/>
            </w:tcBorders>
            <w:shd w:val="clear" w:color="000000" w:fill="F2F2F2"/>
            <w:noWrap/>
            <w:vAlign w:val="center"/>
            <w:hideMark/>
          </w:tcPr>
          <w:p w14:paraId="05CD591D"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23%</w:t>
            </w:r>
          </w:p>
        </w:tc>
        <w:tc>
          <w:tcPr>
            <w:tcW w:w="1116" w:type="dxa"/>
            <w:tcBorders>
              <w:top w:val="nil"/>
              <w:left w:val="nil"/>
              <w:bottom w:val="single" w:sz="4" w:space="0" w:color="auto"/>
              <w:right w:val="single" w:sz="4" w:space="0" w:color="auto"/>
            </w:tcBorders>
            <w:shd w:val="clear" w:color="000000" w:fill="F2F2F2"/>
            <w:noWrap/>
            <w:vAlign w:val="center"/>
            <w:hideMark/>
          </w:tcPr>
          <w:p w14:paraId="31E06223"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22%</w:t>
            </w:r>
          </w:p>
        </w:tc>
      </w:tr>
      <w:tr w:rsidR="00405390" w:rsidRPr="00405390" w14:paraId="77D5C679" w14:textId="77777777" w:rsidTr="00405390">
        <w:trPr>
          <w:trHeight w:val="402"/>
        </w:trPr>
        <w:tc>
          <w:tcPr>
            <w:tcW w:w="2700" w:type="dxa"/>
            <w:gridSpan w:val="2"/>
            <w:tcBorders>
              <w:top w:val="single" w:sz="4" w:space="0" w:color="auto"/>
              <w:left w:val="single" w:sz="4" w:space="0" w:color="auto"/>
              <w:bottom w:val="single" w:sz="4" w:space="0" w:color="BFBFBF"/>
              <w:right w:val="nil"/>
            </w:tcBorders>
            <w:shd w:val="clear" w:color="000000" w:fill="FFFFFF"/>
            <w:noWrap/>
            <w:vAlign w:val="center"/>
            <w:hideMark/>
          </w:tcPr>
          <w:p w14:paraId="0CFD2398"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1 person households</w:t>
            </w:r>
          </w:p>
        </w:tc>
        <w:tc>
          <w:tcPr>
            <w:tcW w:w="1080" w:type="dxa"/>
            <w:tcBorders>
              <w:top w:val="nil"/>
              <w:left w:val="single" w:sz="4" w:space="0" w:color="auto"/>
              <w:bottom w:val="single" w:sz="4" w:space="0" w:color="BFBFBF"/>
              <w:right w:val="single" w:sz="4" w:space="0" w:color="auto"/>
            </w:tcBorders>
            <w:shd w:val="clear" w:color="000000" w:fill="FFFFFF"/>
            <w:noWrap/>
            <w:vAlign w:val="center"/>
            <w:hideMark/>
          </w:tcPr>
          <w:p w14:paraId="664B2BB3"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6,045</w:t>
            </w:r>
          </w:p>
        </w:tc>
        <w:tc>
          <w:tcPr>
            <w:tcW w:w="1116" w:type="dxa"/>
            <w:tcBorders>
              <w:top w:val="nil"/>
              <w:left w:val="nil"/>
              <w:bottom w:val="single" w:sz="4" w:space="0" w:color="BFBFBF"/>
              <w:right w:val="single" w:sz="4" w:space="0" w:color="BFBFBF"/>
            </w:tcBorders>
            <w:shd w:val="clear" w:color="000000" w:fill="FFFFFF"/>
            <w:noWrap/>
            <w:vAlign w:val="center"/>
            <w:hideMark/>
          </w:tcPr>
          <w:p w14:paraId="6CD855AE"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5%</w:t>
            </w:r>
          </w:p>
        </w:tc>
        <w:tc>
          <w:tcPr>
            <w:tcW w:w="1116" w:type="dxa"/>
            <w:tcBorders>
              <w:top w:val="nil"/>
              <w:left w:val="nil"/>
              <w:bottom w:val="single" w:sz="4" w:space="0" w:color="BFBFBF"/>
              <w:right w:val="single" w:sz="4" w:space="0" w:color="BFBFBF"/>
            </w:tcBorders>
            <w:shd w:val="clear" w:color="000000" w:fill="FFFFFF"/>
            <w:noWrap/>
            <w:vAlign w:val="center"/>
            <w:hideMark/>
          </w:tcPr>
          <w:p w14:paraId="425BE461"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40%</w:t>
            </w:r>
          </w:p>
        </w:tc>
        <w:tc>
          <w:tcPr>
            <w:tcW w:w="1116" w:type="dxa"/>
            <w:tcBorders>
              <w:top w:val="nil"/>
              <w:left w:val="nil"/>
              <w:bottom w:val="single" w:sz="4" w:space="0" w:color="BFBFBF"/>
              <w:right w:val="single" w:sz="4" w:space="0" w:color="BFBFBF"/>
            </w:tcBorders>
            <w:shd w:val="clear" w:color="000000" w:fill="FFFFFF"/>
            <w:noWrap/>
            <w:vAlign w:val="center"/>
            <w:hideMark/>
          </w:tcPr>
          <w:p w14:paraId="5A5533EE"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28%</w:t>
            </w:r>
          </w:p>
        </w:tc>
        <w:tc>
          <w:tcPr>
            <w:tcW w:w="1116" w:type="dxa"/>
            <w:tcBorders>
              <w:top w:val="nil"/>
              <w:left w:val="nil"/>
              <w:bottom w:val="single" w:sz="4" w:space="0" w:color="BFBFBF"/>
              <w:right w:val="single" w:sz="4" w:space="0" w:color="BFBFBF"/>
            </w:tcBorders>
            <w:shd w:val="clear" w:color="000000" w:fill="FFFFFF"/>
            <w:noWrap/>
            <w:vAlign w:val="center"/>
            <w:hideMark/>
          </w:tcPr>
          <w:p w14:paraId="11B6115F"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17%</w:t>
            </w:r>
          </w:p>
        </w:tc>
        <w:tc>
          <w:tcPr>
            <w:tcW w:w="1116" w:type="dxa"/>
            <w:tcBorders>
              <w:top w:val="nil"/>
              <w:left w:val="nil"/>
              <w:bottom w:val="single" w:sz="4" w:space="0" w:color="BFBFBF"/>
              <w:right w:val="single" w:sz="4" w:space="0" w:color="auto"/>
            </w:tcBorders>
            <w:shd w:val="clear" w:color="000000" w:fill="FFFFFF"/>
            <w:noWrap/>
            <w:vAlign w:val="center"/>
            <w:hideMark/>
          </w:tcPr>
          <w:p w14:paraId="10C5302C"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10%</w:t>
            </w:r>
          </w:p>
        </w:tc>
      </w:tr>
      <w:tr w:rsidR="00405390" w:rsidRPr="00405390" w14:paraId="1013EE13" w14:textId="77777777" w:rsidTr="00405390">
        <w:trPr>
          <w:trHeight w:val="402"/>
        </w:trPr>
        <w:tc>
          <w:tcPr>
            <w:tcW w:w="2700" w:type="dxa"/>
            <w:gridSpan w:val="2"/>
            <w:tcBorders>
              <w:top w:val="single" w:sz="4" w:space="0" w:color="BFBFBF"/>
              <w:left w:val="single" w:sz="4" w:space="0" w:color="auto"/>
              <w:bottom w:val="single" w:sz="4" w:space="0" w:color="BFBFBF"/>
              <w:right w:val="nil"/>
            </w:tcBorders>
            <w:shd w:val="clear" w:color="000000" w:fill="F2F2F2"/>
            <w:noWrap/>
            <w:vAlign w:val="center"/>
            <w:hideMark/>
          </w:tcPr>
          <w:p w14:paraId="5F2BFC87"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2 person households</w:t>
            </w:r>
          </w:p>
        </w:tc>
        <w:tc>
          <w:tcPr>
            <w:tcW w:w="1080" w:type="dxa"/>
            <w:tcBorders>
              <w:top w:val="nil"/>
              <w:left w:val="single" w:sz="4" w:space="0" w:color="auto"/>
              <w:bottom w:val="single" w:sz="4" w:space="0" w:color="BFBFBF"/>
              <w:right w:val="single" w:sz="4" w:space="0" w:color="auto"/>
            </w:tcBorders>
            <w:shd w:val="clear" w:color="000000" w:fill="F2F2F2"/>
            <w:noWrap/>
            <w:vAlign w:val="center"/>
            <w:hideMark/>
          </w:tcPr>
          <w:p w14:paraId="3583A887"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5,825</w:t>
            </w:r>
          </w:p>
        </w:tc>
        <w:tc>
          <w:tcPr>
            <w:tcW w:w="1116" w:type="dxa"/>
            <w:tcBorders>
              <w:top w:val="nil"/>
              <w:left w:val="nil"/>
              <w:bottom w:val="single" w:sz="4" w:space="0" w:color="BFBFBF"/>
              <w:right w:val="single" w:sz="4" w:space="0" w:color="BFBFBF"/>
            </w:tcBorders>
            <w:shd w:val="clear" w:color="000000" w:fill="F2F2F2"/>
            <w:noWrap/>
            <w:vAlign w:val="center"/>
            <w:hideMark/>
          </w:tcPr>
          <w:p w14:paraId="16E50296"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w:t>
            </w:r>
          </w:p>
        </w:tc>
        <w:tc>
          <w:tcPr>
            <w:tcW w:w="1116" w:type="dxa"/>
            <w:tcBorders>
              <w:top w:val="nil"/>
              <w:left w:val="nil"/>
              <w:bottom w:val="single" w:sz="4" w:space="0" w:color="BFBFBF"/>
              <w:right w:val="single" w:sz="4" w:space="0" w:color="BFBFBF"/>
            </w:tcBorders>
            <w:shd w:val="clear" w:color="000000" w:fill="F2F2F2"/>
            <w:noWrap/>
            <w:vAlign w:val="center"/>
            <w:hideMark/>
          </w:tcPr>
          <w:p w14:paraId="6AA0E92A"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6%</w:t>
            </w:r>
          </w:p>
        </w:tc>
        <w:tc>
          <w:tcPr>
            <w:tcW w:w="1116" w:type="dxa"/>
            <w:tcBorders>
              <w:top w:val="nil"/>
              <w:left w:val="nil"/>
              <w:bottom w:val="single" w:sz="4" w:space="0" w:color="BFBFBF"/>
              <w:right w:val="single" w:sz="4" w:space="0" w:color="BFBFBF"/>
            </w:tcBorders>
            <w:shd w:val="clear" w:color="000000" w:fill="F2F2F2"/>
            <w:noWrap/>
            <w:vAlign w:val="center"/>
            <w:hideMark/>
          </w:tcPr>
          <w:p w14:paraId="3A1DE4B2"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17%</w:t>
            </w:r>
          </w:p>
        </w:tc>
        <w:tc>
          <w:tcPr>
            <w:tcW w:w="1116" w:type="dxa"/>
            <w:tcBorders>
              <w:top w:val="nil"/>
              <w:left w:val="nil"/>
              <w:bottom w:val="single" w:sz="4" w:space="0" w:color="BFBFBF"/>
              <w:right w:val="single" w:sz="4" w:space="0" w:color="BFBFBF"/>
            </w:tcBorders>
            <w:shd w:val="clear" w:color="000000" w:fill="F2F2F2"/>
            <w:noWrap/>
            <w:vAlign w:val="center"/>
            <w:hideMark/>
          </w:tcPr>
          <w:p w14:paraId="27DB64D8"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27%</w:t>
            </w:r>
          </w:p>
        </w:tc>
        <w:tc>
          <w:tcPr>
            <w:tcW w:w="1116" w:type="dxa"/>
            <w:tcBorders>
              <w:top w:val="nil"/>
              <w:left w:val="nil"/>
              <w:bottom w:val="single" w:sz="4" w:space="0" w:color="BFBFBF"/>
              <w:right w:val="single" w:sz="4" w:space="0" w:color="auto"/>
            </w:tcBorders>
            <w:shd w:val="clear" w:color="000000" w:fill="F2F2F2"/>
            <w:noWrap/>
            <w:vAlign w:val="center"/>
            <w:hideMark/>
          </w:tcPr>
          <w:p w14:paraId="26B886B1"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48%</w:t>
            </w:r>
          </w:p>
        </w:tc>
      </w:tr>
      <w:tr w:rsidR="00405390" w:rsidRPr="00405390" w14:paraId="5E56AB60" w14:textId="77777777" w:rsidTr="00405390">
        <w:trPr>
          <w:trHeight w:val="402"/>
        </w:trPr>
        <w:tc>
          <w:tcPr>
            <w:tcW w:w="2700" w:type="dxa"/>
            <w:gridSpan w:val="2"/>
            <w:tcBorders>
              <w:top w:val="single" w:sz="4" w:space="0" w:color="BFBFBF"/>
              <w:left w:val="single" w:sz="4" w:space="0" w:color="auto"/>
              <w:bottom w:val="single" w:sz="4" w:space="0" w:color="BFBFBF"/>
              <w:right w:val="nil"/>
            </w:tcBorders>
            <w:shd w:val="clear" w:color="000000" w:fill="FFFFFF"/>
            <w:noWrap/>
            <w:vAlign w:val="center"/>
            <w:hideMark/>
          </w:tcPr>
          <w:p w14:paraId="67A10419"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3 person households</w:t>
            </w:r>
          </w:p>
        </w:tc>
        <w:tc>
          <w:tcPr>
            <w:tcW w:w="1080" w:type="dxa"/>
            <w:tcBorders>
              <w:top w:val="nil"/>
              <w:left w:val="single" w:sz="4" w:space="0" w:color="auto"/>
              <w:bottom w:val="single" w:sz="4" w:space="0" w:color="BFBFBF"/>
              <w:right w:val="single" w:sz="4" w:space="0" w:color="auto"/>
            </w:tcBorders>
            <w:shd w:val="clear" w:color="000000" w:fill="FFFFFF"/>
            <w:noWrap/>
            <w:vAlign w:val="center"/>
            <w:hideMark/>
          </w:tcPr>
          <w:p w14:paraId="272731F0"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2,450</w:t>
            </w:r>
          </w:p>
        </w:tc>
        <w:tc>
          <w:tcPr>
            <w:tcW w:w="1116" w:type="dxa"/>
            <w:tcBorders>
              <w:top w:val="nil"/>
              <w:left w:val="nil"/>
              <w:bottom w:val="single" w:sz="4" w:space="0" w:color="BFBFBF"/>
              <w:right w:val="single" w:sz="4" w:space="0" w:color="BFBFBF"/>
            </w:tcBorders>
            <w:shd w:val="clear" w:color="000000" w:fill="FFFFFF"/>
            <w:noWrap/>
            <w:vAlign w:val="center"/>
            <w:hideMark/>
          </w:tcPr>
          <w:p w14:paraId="25B38B85"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w:t>
            </w:r>
          </w:p>
        </w:tc>
        <w:tc>
          <w:tcPr>
            <w:tcW w:w="1116" w:type="dxa"/>
            <w:tcBorders>
              <w:top w:val="nil"/>
              <w:left w:val="nil"/>
              <w:bottom w:val="single" w:sz="4" w:space="0" w:color="BFBFBF"/>
              <w:right w:val="single" w:sz="4" w:space="0" w:color="BFBFBF"/>
            </w:tcBorders>
            <w:shd w:val="clear" w:color="000000" w:fill="FFFFFF"/>
            <w:noWrap/>
            <w:vAlign w:val="center"/>
            <w:hideMark/>
          </w:tcPr>
          <w:p w14:paraId="73FC4428"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4%</w:t>
            </w:r>
          </w:p>
        </w:tc>
        <w:tc>
          <w:tcPr>
            <w:tcW w:w="1116" w:type="dxa"/>
            <w:tcBorders>
              <w:top w:val="nil"/>
              <w:left w:val="nil"/>
              <w:bottom w:val="single" w:sz="4" w:space="0" w:color="BFBFBF"/>
              <w:right w:val="single" w:sz="4" w:space="0" w:color="BFBFBF"/>
            </w:tcBorders>
            <w:shd w:val="clear" w:color="000000" w:fill="FFFFFF"/>
            <w:noWrap/>
            <w:vAlign w:val="center"/>
            <w:hideMark/>
          </w:tcPr>
          <w:p w14:paraId="2FCFA061"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13%</w:t>
            </w:r>
          </w:p>
        </w:tc>
        <w:tc>
          <w:tcPr>
            <w:tcW w:w="1116" w:type="dxa"/>
            <w:tcBorders>
              <w:top w:val="nil"/>
              <w:left w:val="nil"/>
              <w:bottom w:val="single" w:sz="4" w:space="0" w:color="BFBFBF"/>
              <w:right w:val="single" w:sz="4" w:space="0" w:color="BFBFBF"/>
            </w:tcBorders>
            <w:shd w:val="clear" w:color="000000" w:fill="FFFFFF"/>
            <w:noWrap/>
            <w:vAlign w:val="center"/>
            <w:hideMark/>
          </w:tcPr>
          <w:p w14:paraId="4B4867CE"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22%</w:t>
            </w:r>
          </w:p>
        </w:tc>
        <w:tc>
          <w:tcPr>
            <w:tcW w:w="1116" w:type="dxa"/>
            <w:tcBorders>
              <w:top w:val="nil"/>
              <w:left w:val="nil"/>
              <w:bottom w:val="single" w:sz="4" w:space="0" w:color="BFBFBF"/>
              <w:right w:val="single" w:sz="4" w:space="0" w:color="auto"/>
            </w:tcBorders>
            <w:shd w:val="clear" w:color="000000" w:fill="FFFFFF"/>
            <w:noWrap/>
            <w:vAlign w:val="center"/>
            <w:hideMark/>
          </w:tcPr>
          <w:p w14:paraId="33C31703"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59%</w:t>
            </w:r>
          </w:p>
        </w:tc>
      </w:tr>
      <w:tr w:rsidR="00405390" w:rsidRPr="00405390" w14:paraId="74AD5BAC" w14:textId="77777777" w:rsidTr="00405390">
        <w:trPr>
          <w:trHeight w:val="402"/>
        </w:trPr>
        <w:tc>
          <w:tcPr>
            <w:tcW w:w="2700" w:type="dxa"/>
            <w:gridSpan w:val="2"/>
            <w:tcBorders>
              <w:top w:val="single" w:sz="4" w:space="0" w:color="BFBFBF"/>
              <w:left w:val="single" w:sz="4" w:space="0" w:color="auto"/>
              <w:bottom w:val="single" w:sz="4" w:space="0" w:color="BFBFBF"/>
              <w:right w:val="nil"/>
            </w:tcBorders>
            <w:shd w:val="clear" w:color="000000" w:fill="F2F2F2"/>
            <w:noWrap/>
            <w:vAlign w:val="center"/>
            <w:hideMark/>
          </w:tcPr>
          <w:p w14:paraId="3DF9612F"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4 person households</w:t>
            </w:r>
          </w:p>
        </w:tc>
        <w:tc>
          <w:tcPr>
            <w:tcW w:w="1080" w:type="dxa"/>
            <w:tcBorders>
              <w:top w:val="nil"/>
              <w:left w:val="single" w:sz="4" w:space="0" w:color="auto"/>
              <w:bottom w:val="single" w:sz="4" w:space="0" w:color="BFBFBF"/>
              <w:right w:val="single" w:sz="4" w:space="0" w:color="auto"/>
            </w:tcBorders>
            <w:shd w:val="clear" w:color="000000" w:fill="F2F2F2"/>
            <w:noWrap/>
            <w:vAlign w:val="center"/>
            <w:hideMark/>
          </w:tcPr>
          <w:p w14:paraId="231223B7"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1,795</w:t>
            </w:r>
          </w:p>
        </w:tc>
        <w:tc>
          <w:tcPr>
            <w:tcW w:w="1116" w:type="dxa"/>
            <w:tcBorders>
              <w:top w:val="nil"/>
              <w:left w:val="nil"/>
              <w:bottom w:val="single" w:sz="4" w:space="0" w:color="BFBFBF"/>
              <w:right w:val="single" w:sz="4" w:space="0" w:color="BFBFBF"/>
            </w:tcBorders>
            <w:shd w:val="clear" w:color="000000" w:fill="F2F2F2"/>
            <w:noWrap/>
            <w:vAlign w:val="center"/>
            <w:hideMark/>
          </w:tcPr>
          <w:p w14:paraId="09F0DC94"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w:t>
            </w:r>
          </w:p>
        </w:tc>
        <w:tc>
          <w:tcPr>
            <w:tcW w:w="1116" w:type="dxa"/>
            <w:tcBorders>
              <w:top w:val="nil"/>
              <w:left w:val="nil"/>
              <w:bottom w:val="single" w:sz="4" w:space="0" w:color="BFBFBF"/>
              <w:right w:val="single" w:sz="4" w:space="0" w:color="BFBFBF"/>
            </w:tcBorders>
            <w:shd w:val="clear" w:color="000000" w:fill="F2F2F2"/>
            <w:noWrap/>
            <w:vAlign w:val="center"/>
            <w:hideMark/>
          </w:tcPr>
          <w:p w14:paraId="784ADCF9"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2%</w:t>
            </w:r>
          </w:p>
        </w:tc>
        <w:tc>
          <w:tcPr>
            <w:tcW w:w="1116" w:type="dxa"/>
            <w:tcBorders>
              <w:top w:val="nil"/>
              <w:left w:val="nil"/>
              <w:bottom w:val="single" w:sz="4" w:space="0" w:color="BFBFBF"/>
              <w:right w:val="single" w:sz="4" w:space="0" w:color="BFBFBF"/>
            </w:tcBorders>
            <w:shd w:val="clear" w:color="000000" w:fill="F2F2F2"/>
            <w:noWrap/>
            <w:vAlign w:val="center"/>
            <w:hideMark/>
          </w:tcPr>
          <w:p w14:paraId="6B0C3A09"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7%</w:t>
            </w:r>
          </w:p>
        </w:tc>
        <w:tc>
          <w:tcPr>
            <w:tcW w:w="1116" w:type="dxa"/>
            <w:tcBorders>
              <w:top w:val="nil"/>
              <w:left w:val="nil"/>
              <w:bottom w:val="single" w:sz="4" w:space="0" w:color="BFBFBF"/>
              <w:right w:val="single" w:sz="4" w:space="0" w:color="BFBFBF"/>
            </w:tcBorders>
            <w:shd w:val="clear" w:color="000000" w:fill="F2F2F2"/>
            <w:noWrap/>
            <w:vAlign w:val="center"/>
            <w:hideMark/>
          </w:tcPr>
          <w:p w14:paraId="4F1B5598"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13%</w:t>
            </w:r>
          </w:p>
        </w:tc>
        <w:tc>
          <w:tcPr>
            <w:tcW w:w="1116" w:type="dxa"/>
            <w:tcBorders>
              <w:top w:val="nil"/>
              <w:left w:val="nil"/>
              <w:bottom w:val="single" w:sz="4" w:space="0" w:color="BFBFBF"/>
              <w:right w:val="single" w:sz="4" w:space="0" w:color="auto"/>
            </w:tcBorders>
            <w:shd w:val="clear" w:color="000000" w:fill="F2F2F2"/>
            <w:noWrap/>
            <w:vAlign w:val="center"/>
            <w:hideMark/>
          </w:tcPr>
          <w:p w14:paraId="66AF7877"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76%</w:t>
            </w:r>
          </w:p>
        </w:tc>
      </w:tr>
      <w:tr w:rsidR="00405390" w:rsidRPr="00405390" w14:paraId="10699182" w14:textId="77777777" w:rsidTr="00405390">
        <w:trPr>
          <w:trHeight w:val="402"/>
        </w:trPr>
        <w:tc>
          <w:tcPr>
            <w:tcW w:w="2700" w:type="dxa"/>
            <w:gridSpan w:val="2"/>
            <w:tcBorders>
              <w:top w:val="single" w:sz="4" w:space="0" w:color="BFBFBF"/>
              <w:left w:val="single" w:sz="4" w:space="0" w:color="auto"/>
              <w:bottom w:val="single" w:sz="4" w:space="0" w:color="auto"/>
              <w:right w:val="nil"/>
            </w:tcBorders>
            <w:shd w:val="clear" w:color="000000" w:fill="FFFFFF"/>
            <w:noWrap/>
            <w:vAlign w:val="center"/>
            <w:hideMark/>
          </w:tcPr>
          <w:p w14:paraId="39A2CBA6" w14:textId="77777777" w:rsidR="00405390" w:rsidRPr="00405390" w:rsidRDefault="00405390" w:rsidP="00405390">
            <w:pPr>
              <w:rPr>
                <w:rFonts w:eastAsia="Times New Roman"/>
                <w:color w:val="000000"/>
                <w:sz w:val="18"/>
                <w:szCs w:val="18"/>
              </w:rPr>
            </w:pPr>
            <w:r w:rsidRPr="00405390">
              <w:rPr>
                <w:rFonts w:eastAsia="Times New Roman"/>
                <w:color w:val="000000"/>
                <w:sz w:val="18"/>
                <w:szCs w:val="18"/>
              </w:rPr>
              <w:t>5+ person households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356B6404"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970</w:t>
            </w:r>
          </w:p>
        </w:tc>
        <w:tc>
          <w:tcPr>
            <w:tcW w:w="1116" w:type="dxa"/>
            <w:tcBorders>
              <w:top w:val="nil"/>
              <w:left w:val="nil"/>
              <w:bottom w:val="single" w:sz="4" w:space="0" w:color="auto"/>
              <w:right w:val="single" w:sz="4" w:space="0" w:color="BFBFBF"/>
            </w:tcBorders>
            <w:shd w:val="clear" w:color="000000" w:fill="FFFFFF"/>
            <w:noWrap/>
            <w:vAlign w:val="center"/>
            <w:hideMark/>
          </w:tcPr>
          <w:p w14:paraId="73E8B695"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0%</w:t>
            </w:r>
          </w:p>
        </w:tc>
        <w:tc>
          <w:tcPr>
            <w:tcW w:w="1116" w:type="dxa"/>
            <w:tcBorders>
              <w:top w:val="nil"/>
              <w:left w:val="nil"/>
              <w:bottom w:val="single" w:sz="4" w:space="0" w:color="auto"/>
              <w:right w:val="single" w:sz="4" w:space="0" w:color="BFBFBF"/>
            </w:tcBorders>
            <w:shd w:val="clear" w:color="000000" w:fill="FFFFFF"/>
            <w:noWrap/>
            <w:vAlign w:val="center"/>
            <w:hideMark/>
          </w:tcPr>
          <w:p w14:paraId="41B156C2"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0%</w:t>
            </w:r>
          </w:p>
        </w:tc>
        <w:tc>
          <w:tcPr>
            <w:tcW w:w="1116" w:type="dxa"/>
            <w:tcBorders>
              <w:top w:val="nil"/>
              <w:left w:val="nil"/>
              <w:bottom w:val="single" w:sz="4" w:space="0" w:color="auto"/>
              <w:right w:val="single" w:sz="4" w:space="0" w:color="BFBFBF"/>
            </w:tcBorders>
            <w:shd w:val="clear" w:color="000000" w:fill="FFFFFF"/>
            <w:noWrap/>
            <w:vAlign w:val="center"/>
            <w:hideMark/>
          </w:tcPr>
          <w:p w14:paraId="4B5A2838"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7%</w:t>
            </w:r>
          </w:p>
        </w:tc>
        <w:tc>
          <w:tcPr>
            <w:tcW w:w="1116" w:type="dxa"/>
            <w:tcBorders>
              <w:top w:val="nil"/>
              <w:left w:val="nil"/>
              <w:bottom w:val="single" w:sz="4" w:space="0" w:color="auto"/>
              <w:right w:val="single" w:sz="4" w:space="0" w:color="BFBFBF"/>
            </w:tcBorders>
            <w:shd w:val="clear" w:color="000000" w:fill="FFFFFF"/>
            <w:noWrap/>
            <w:vAlign w:val="center"/>
            <w:hideMark/>
          </w:tcPr>
          <w:p w14:paraId="5CC5BAB8"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16%</w:t>
            </w:r>
          </w:p>
        </w:tc>
        <w:tc>
          <w:tcPr>
            <w:tcW w:w="1116" w:type="dxa"/>
            <w:tcBorders>
              <w:top w:val="nil"/>
              <w:left w:val="nil"/>
              <w:bottom w:val="single" w:sz="4" w:space="0" w:color="auto"/>
              <w:right w:val="single" w:sz="4" w:space="0" w:color="auto"/>
            </w:tcBorders>
            <w:shd w:val="clear" w:color="000000" w:fill="FFFFFF"/>
            <w:noWrap/>
            <w:vAlign w:val="center"/>
            <w:hideMark/>
          </w:tcPr>
          <w:p w14:paraId="2898FE89" w14:textId="77777777" w:rsidR="00405390" w:rsidRPr="00C42568" w:rsidRDefault="00405390" w:rsidP="00405390">
            <w:pPr>
              <w:jc w:val="right"/>
              <w:rPr>
                <w:rFonts w:eastAsia="Times New Roman"/>
                <w:color w:val="C00000"/>
                <w:sz w:val="18"/>
                <w:szCs w:val="18"/>
              </w:rPr>
            </w:pPr>
            <w:r w:rsidRPr="00C42568">
              <w:rPr>
                <w:rFonts w:eastAsia="Times New Roman"/>
                <w:color w:val="C00000"/>
                <w:sz w:val="18"/>
                <w:szCs w:val="18"/>
              </w:rPr>
              <w:t>75%</w:t>
            </w:r>
          </w:p>
        </w:tc>
      </w:tr>
    </w:tbl>
    <w:p w14:paraId="05CCD626" w14:textId="6175B369" w:rsidR="00CE4DF5" w:rsidRDefault="00CE4DF5" w:rsidP="00CE4DF5">
      <w:pPr>
        <w:pStyle w:val="Source"/>
      </w:pPr>
      <w:r>
        <w:t>Source: derived from Housing Assessment Resource Tools (HART)</w:t>
      </w:r>
      <w:r>
        <w:rPr>
          <w:rStyle w:val="FootnoteReference"/>
        </w:rPr>
        <w:footnoteReference w:id="1"/>
      </w:r>
    </w:p>
    <w:p w14:paraId="1E4034E4" w14:textId="77777777" w:rsidR="00CE4DF5" w:rsidRDefault="00CE4DF5" w:rsidP="00CE4DF5"/>
    <w:p w14:paraId="364F3E36" w14:textId="1381B4B6" w:rsidR="00AE3380" w:rsidRDefault="00AE3380" w:rsidP="00AE3380">
      <w:pPr>
        <w:jc w:val="both"/>
      </w:pPr>
      <w:r>
        <w:t>A large share of renter households in the very low</w:t>
      </w:r>
      <w:r w:rsidR="0037783F">
        <w:t>-</w:t>
      </w:r>
      <w:r>
        <w:t xml:space="preserve"> and low</w:t>
      </w:r>
      <w:r w:rsidR="0037783F">
        <w:t>-</w:t>
      </w:r>
      <w:r>
        <w:t>income categories quantifies the segment of the market potentially unable to afford market-rate rental housing without assistance, and provides an indication of the scale of non-market and subsidized housing need. Where single-person households show elevated concentrations at the very low</w:t>
      </w:r>
      <w:r w:rsidR="007331F4">
        <w:t>-</w:t>
      </w:r>
      <w:r>
        <w:t xml:space="preserve"> and low</w:t>
      </w:r>
      <w:r w:rsidR="007331F4">
        <w:t>-</w:t>
      </w:r>
      <w:r>
        <w:t>income levels, the analysis may point to acute need for small, deeply affordable units.</w:t>
      </w:r>
    </w:p>
    <w:p w14:paraId="77FD52F8" w14:textId="77777777" w:rsidR="00AE3380" w:rsidRDefault="00AE3380" w:rsidP="00AE3380">
      <w:pPr>
        <w:jc w:val="both"/>
      </w:pPr>
    </w:p>
    <w:p w14:paraId="21B0D0F7" w14:textId="19127F8D" w:rsidR="00D853D3" w:rsidRDefault="00AE3380" w:rsidP="00AE3380">
      <w:pPr>
        <w:jc w:val="both"/>
      </w:pPr>
      <w:r>
        <w:t>The distribution of owner households across income categories establishes the depth of ownership market participation: a high share of low-income owners may signal precarious ownership tenure, with households at risk of failing to maintain their homes or of being displaced by rising ownership costs.</w:t>
      </w:r>
    </w:p>
    <w:p w14:paraId="5B8623A1" w14:textId="77777777" w:rsidR="00AE3380" w:rsidRDefault="00AE3380" w:rsidP="00AE3380"/>
    <w:p w14:paraId="02C6FE2D" w14:textId="77777777" w:rsidR="00A34E48" w:rsidRDefault="00A34E48" w:rsidP="00C749A0">
      <w:pPr>
        <w:pStyle w:val="Heading3"/>
      </w:pPr>
      <w:r>
        <w:t>Poverty</w:t>
      </w:r>
    </w:p>
    <w:p w14:paraId="059CA93B" w14:textId="25CAC87B" w:rsidR="00A34E48" w:rsidRDefault="009218D1" w:rsidP="009218D1">
      <w:pPr>
        <w:jc w:val="both"/>
      </w:pPr>
      <w:r w:rsidRPr="009218D1">
        <w:rPr>
          <w:rStyle w:val="Figure-textChar"/>
        </w:rPr>
        <w:fldChar w:fldCharType="begin"/>
      </w:r>
      <w:r w:rsidRPr="009218D1">
        <w:rPr>
          <w:rStyle w:val="Figure-textChar"/>
        </w:rPr>
        <w:instrText xml:space="preserve"> REF _Ref223608090 \h </w:instrText>
      </w:r>
      <w:r>
        <w:rPr>
          <w:rStyle w:val="Figure-textChar"/>
        </w:rPr>
        <w:instrText xml:space="preserve"> \* MERGEFORMAT </w:instrText>
      </w:r>
      <w:r w:rsidRPr="009218D1">
        <w:rPr>
          <w:rStyle w:val="Figure-textChar"/>
        </w:rPr>
      </w:r>
      <w:r w:rsidRPr="009218D1">
        <w:rPr>
          <w:rStyle w:val="Figure-textChar"/>
        </w:rPr>
        <w:fldChar w:fldCharType="separate"/>
      </w:r>
      <w:r w:rsidR="00CA6116" w:rsidRPr="00CA6116">
        <w:rPr>
          <w:rStyle w:val="Figure-textChar"/>
        </w:rPr>
        <w:t>Table 5.7</w:t>
      </w:r>
      <w:r w:rsidRPr="009218D1">
        <w:rPr>
          <w:rStyle w:val="Figure-textChar"/>
        </w:rPr>
        <w:fldChar w:fldCharType="end"/>
      </w:r>
      <w:r w:rsidRPr="009218D1">
        <w:t xml:space="preserve"> </w:t>
      </w:r>
      <w:r w:rsidR="00C02ED8" w:rsidRPr="00C02ED8">
        <w:t>presents the local poverty rate disaggregated by economic family type and age group, comparing local conditions against regional and provincial benchmarks to establish the depth of income poverty underlying affordability challenges.</w:t>
      </w:r>
    </w:p>
    <w:p w14:paraId="7A0EDB5D" w14:textId="77777777" w:rsidR="001907A7" w:rsidRDefault="001907A7" w:rsidP="001907A7"/>
    <w:p w14:paraId="27026643" w14:textId="77777777" w:rsidR="001907A7" w:rsidRDefault="001907A7" w:rsidP="001907A7">
      <w:pPr>
        <w:jc w:val="both"/>
      </w:pPr>
      <w:r>
        <w:t xml:space="preserve">A local total poverty rate above regional and provincial comparators signals that a larger share of the community's population faces the most severe income constraints. The breakdown by economic family type reveals where poverty is most concentrated. Single persons and persons living with only non-relatives typically record the highest rates and represent households for whom even modestly priced market rental housing is functionally inaccessible. Elevated rates among lone-parent families, particularly woman-led lone-parent households, point to a population </w:t>
      </w:r>
      <w:r>
        <w:lastRenderedPageBreak/>
        <w:t>combining income poverty with suitability needs, as these households typically require multi-bedroom units at price points the market does not supply without subsidy.</w:t>
      </w:r>
    </w:p>
    <w:p w14:paraId="5C797071" w14:textId="77777777" w:rsidR="009218D1" w:rsidRDefault="009218D1" w:rsidP="00A34E48"/>
    <w:p w14:paraId="5E2131A0" w14:textId="257C9E0C" w:rsidR="002579D8" w:rsidRDefault="002579D8" w:rsidP="002579D8">
      <w:pPr>
        <w:pStyle w:val="Caption"/>
      </w:pPr>
      <w:bookmarkStart w:id="36" w:name="_Ref223608090"/>
      <w:r>
        <w:t xml:space="preserve">Table </w:t>
      </w:r>
      <w:fldSimple w:instr=" STYLEREF 1 \s ">
        <w:r w:rsidR="005E459C">
          <w:rPr>
            <w:noProof/>
          </w:rPr>
          <w:t>5</w:t>
        </w:r>
      </w:fldSimple>
      <w:r w:rsidR="00BD4359">
        <w:t>.</w:t>
      </w:r>
      <w:fldSimple w:instr=" SEQ Table \* ARABIC \s 1 ">
        <w:r w:rsidR="005E459C">
          <w:rPr>
            <w:noProof/>
          </w:rPr>
          <w:t>7</w:t>
        </w:r>
      </w:fldSimple>
      <w:bookmarkEnd w:id="36"/>
      <w:r>
        <w:t xml:space="preserve">: Percent of persons in poverty </w:t>
      </w:r>
      <w:r w:rsidR="009218D1">
        <w:t>(</w:t>
      </w:r>
      <w:r w:rsidR="00240D99">
        <w:t>Market Basket Measure) by characteristic and</w:t>
      </w:r>
      <w:r>
        <w:t xml:space="preserve"> geography, 2021</w:t>
      </w:r>
      <w:r w:rsidR="00DF13BA">
        <w:t xml:space="preserve"> Census</w:t>
      </w:r>
    </w:p>
    <w:tbl>
      <w:tblPr>
        <w:tblW w:w="9355" w:type="dxa"/>
        <w:tblLayout w:type="fixed"/>
        <w:tblLook w:val="04A0" w:firstRow="1" w:lastRow="0" w:firstColumn="1" w:lastColumn="0" w:noHBand="0" w:noVBand="1"/>
      </w:tblPr>
      <w:tblGrid>
        <w:gridCol w:w="3955"/>
        <w:gridCol w:w="1800"/>
        <w:gridCol w:w="481"/>
        <w:gridCol w:w="1319"/>
        <w:gridCol w:w="1800"/>
      </w:tblGrid>
      <w:tr w:rsidR="00990A27" w:rsidRPr="00990A27" w14:paraId="179B68BC" w14:textId="77777777" w:rsidTr="003C59F9">
        <w:trPr>
          <w:trHeight w:val="402"/>
          <w:tblHeader/>
        </w:trPr>
        <w:tc>
          <w:tcPr>
            <w:tcW w:w="395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28483820" w14:textId="6274C33E" w:rsidR="00990A27" w:rsidRPr="00990A27" w:rsidRDefault="00990A27" w:rsidP="00990A27">
            <w:pPr>
              <w:rPr>
                <w:rFonts w:eastAsia="Times New Roman"/>
                <w:color w:val="FFFFFF"/>
                <w:sz w:val="18"/>
                <w:szCs w:val="18"/>
              </w:rPr>
            </w:pPr>
            <w:r w:rsidRPr="00990A27">
              <w:rPr>
                <w:rFonts w:eastAsia="Times New Roman"/>
                <w:color w:val="FFFFFF"/>
                <w:sz w:val="18"/>
                <w:szCs w:val="18"/>
              </w:rPr>
              <w:t> </w:t>
            </w:r>
            <w:r w:rsidR="00240D99">
              <w:rPr>
                <w:rFonts w:eastAsia="Times New Roman"/>
                <w:color w:val="FFFFFF"/>
                <w:sz w:val="18"/>
                <w:szCs w:val="18"/>
              </w:rPr>
              <w:t>Characteristic</w:t>
            </w:r>
          </w:p>
        </w:tc>
        <w:tc>
          <w:tcPr>
            <w:tcW w:w="1800" w:type="dxa"/>
            <w:tcBorders>
              <w:top w:val="single" w:sz="4" w:space="0" w:color="auto"/>
              <w:left w:val="single" w:sz="4" w:space="0" w:color="auto"/>
              <w:bottom w:val="single" w:sz="4" w:space="0" w:color="auto"/>
              <w:right w:val="single" w:sz="4" w:space="0" w:color="BFBFBF"/>
            </w:tcBorders>
            <w:shd w:val="clear" w:color="auto" w:fill="42618C" w:themeFill="accent3"/>
            <w:noWrap/>
            <w:vAlign w:val="center"/>
            <w:hideMark/>
          </w:tcPr>
          <w:p w14:paraId="759DE09D" w14:textId="77777777" w:rsidR="00990A27" w:rsidRPr="00990A27" w:rsidRDefault="00990A27" w:rsidP="00990A27">
            <w:pPr>
              <w:jc w:val="right"/>
              <w:rPr>
                <w:rFonts w:eastAsia="Times New Roman"/>
                <w:color w:val="FFFFFF"/>
                <w:sz w:val="18"/>
                <w:szCs w:val="18"/>
              </w:rPr>
            </w:pPr>
            <w:r w:rsidRPr="00990A27">
              <w:rPr>
                <w:rFonts w:eastAsia="Times New Roman"/>
                <w:color w:val="FFFFFF"/>
                <w:sz w:val="18"/>
                <w:szCs w:val="18"/>
              </w:rPr>
              <w:t>Local</w:t>
            </w:r>
          </w:p>
        </w:tc>
        <w:tc>
          <w:tcPr>
            <w:tcW w:w="1800" w:type="dxa"/>
            <w:gridSpan w:val="2"/>
            <w:tcBorders>
              <w:top w:val="single" w:sz="4" w:space="0" w:color="auto"/>
              <w:left w:val="nil"/>
              <w:bottom w:val="single" w:sz="4" w:space="0" w:color="auto"/>
              <w:right w:val="single" w:sz="4" w:space="0" w:color="BFBFBF"/>
            </w:tcBorders>
            <w:shd w:val="clear" w:color="auto" w:fill="42618C" w:themeFill="accent3"/>
            <w:noWrap/>
            <w:vAlign w:val="center"/>
            <w:hideMark/>
          </w:tcPr>
          <w:p w14:paraId="44BEE1B1" w14:textId="77777777" w:rsidR="00990A27" w:rsidRPr="00990A27" w:rsidRDefault="00990A27" w:rsidP="00990A27">
            <w:pPr>
              <w:jc w:val="right"/>
              <w:rPr>
                <w:rFonts w:eastAsia="Times New Roman"/>
                <w:color w:val="FFFFFF"/>
                <w:sz w:val="18"/>
                <w:szCs w:val="18"/>
              </w:rPr>
            </w:pPr>
            <w:r w:rsidRPr="00990A27">
              <w:rPr>
                <w:rFonts w:eastAsia="Times New Roman"/>
                <w:color w:val="FFFFFF"/>
                <w:sz w:val="18"/>
                <w:szCs w:val="18"/>
              </w:rPr>
              <w:t>Region</w:t>
            </w:r>
          </w:p>
        </w:tc>
        <w:tc>
          <w:tcPr>
            <w:tcW w:w="18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9E52A7A" w14:textId="77777777" w:rsidR="00990A27" w:rsidRPr="00990A27" w:rsidRDefault="00990A27" w:rsidP="00990A27">
            <w:pPr>
              <w:jc w:val="right"/>
              <w:rPr>
                <w:rFonts w:eastAsia="Times New Roman"/>
                <w:color w:val="FFFFFF"/>
                <w:sz w:val="18"/>
                <w:szCs w:val="18"/>
              </w:rPr>
            </w:pPr>
            <w:r w:rsidRPr="00990A27">
              <w:rPr>
                <w:rFonts w:eastAsia="Times New Roman"/>
                <w:color w:val="FFFFFF"/>
                <w:sz w:val="18"/>
                <w:szCs w:val="18"/>
              </w:rPr>
              <w:t>Province</w:t>
            </w:r>
          </w:p>
        </w:tc>
      </w:tr>
      <w:tr w:rsidR="00990A27" w:rsidRPr="00990A27" w14:paraId="1301BC42" w14:textId="77777777" w:rsidTr="00990A27">
        <w:trPr>
          <w:trHeight w:val="402"/>
        </w:trPr>
        <w:tc>
          <w:tcPr>
            <w:tcW w:w="3955" w:type="dxa"/>
            <w:tcBorders>
              <w:top w:val="nil"/>
              <w:left w:val="single" w:sz="4" w:space="0" w:color="auto"/>
              <w:bottom w:val="single" w:sz="4" w:space="0" w:color="auto"/>
              <w:right w:val="nil"/>
            </w:tcBorders>
            <w:shd w:val="clear" w:color="000000" w:fill="F2F2F2"/>
            <w:noWrap/>
            <w:vAlign w:val="center"/>
            <w:hideMark/>
          </w:tcPr>
          <w:p w14:paraId="400DA2AE"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Total persons</w:t>
            </w:r>
          </w:p>
        </w:tc>
        <w:tc>
          <w:tcPr>
            <w:tcW w:w="1800" w:type="dxa"/>
            <w:tcBorders>
              <w:top w:val="nil"/>
              <w:left w:val="single" w:sz="4" w:space="0" w:color="auto"/>
              <w:bottom w:val="single" w:sz="4" w:space="0" w:color="auto"/>
              <w:right w:val="single" w:sz="4" w:space="0" w:color="BFBFBF"/>
            </w:tcBorders>
            <w:shd w:val="clear" w:color="000000" w:fill="F2F2F2"/>
            <w:noWrap/>
            <w:vAlign w:val="center"/>
            <w:hideMark/>
          </w:tcPr>
          <w:p w14:paraId="6626B165"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14%</w:t>
            </w:r>
          </w:p>
        </w:tc>
        <w:tc>
          <w:tcPr>
            <w:tcW w:w="1800" w:type="dxa"/>
            <w:gridSpan w:val="2"/>
            <w:tcBorders>
              <w:top w:val="nil"/>
              <w:left w:val="nil"/>
              <w:bottom w:val="single" w:sz="4" w:space="0" w:color="auto"/>
              <w:right w:val="single" w:sz="4" w:space="0" w:color="BFBFBF"/>
            </w:tcBorders>
            <w:shd w:val="clear" w:color="000000" w:fill="F2F2F2"/>
            <w:noWrap/>
            <w:vAlign w:val="center"/>
            <w:hideMark/>
          </w:tcPr>
          <w:p w14:paraId="757054C4"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9%</w:t>
            </w:r>
          </w:p>
        </w:tc>
        <w:tc>
          <w:tcPr>
            <w:tcW w:w="1800" w:type="dxa"/>
            <w:tcBorders>
              <w:top w:val="nil"/>
              <w:left w:val="nil"/>
              <w:bottom w:val="single" w:sz="4" w:space="0" w:color="auto"/>
              <w:right w:val="single" w:sz="4" w:space="0" w:color="auto"/>
            </w:tcBorders>
            <w:shd w:val="clear" w:color="000000" w:fill="F2F2F2"/>
            <w:noWrap/>
            <w:vAlign w:val="center"/>
            <w:hideMark/>
          </w:tcPr>
          <w:p w14:paraId="7170E4AD"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9%</w:t>
            </w:r>
          </w:p>
        </w:tc>
      </w:tr>
      <w:tr w:rsidR="00990A27" w:rsidRPr="00990A27" w14:paraId="14A59DE7" w14:textId="77777777" w:rsidTr="003C59F9">
        <w:trPr>
          <w:trHeight w:val="402"/>
        </w:trPr>
        <w:tc>
          <w:tcPr>
            <w:tcW w:w="3955" w:type="dxa"/>
            <w:tcBorders>
              <w:top w:val="single" w:sz="4" w:space="0" w:color="auto"/>
              <w:left w:val="single" w:sz="4" w:space="0" w:color="auto"/>
              <w:bottom w:val="single" w:sz="4" w:space="0" w:color="auto"/>
              <w:right w:val="nil"/>
            </w:tcBorders>
            <w:shd w:val="clear" w:color="auto" w:fill="CFD9E3" w:themeFill="accent1"/>
            <w:noWrap/>
            <w:vAlign w:val="center"/>
            <w:hideMark/>
          </w:tcPr>
          <w:p w14:paraId="449FE9BF"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By economic family type</w:t>
            </w:r>
          </w:p>
        </w:tc>
        <w:tc>
          <w:tcPr>
            <w:tcW w:w="2281" w:type="dxa"/>
            <w:gridSpan w:val="2"/>
            <w:tcBorders>
              <w:top w:val="nil"/>
              <w:left w:val="nil"/>
              <w:bottom w:val="single" w:sz="4" w:space="0" w:color="auto"/>
              <w:right w:val="nil"/>
            </w:tcBorders>
            <w:shd w:val="clear" w:color="auto" w:fill="CFD9E3" w:themeFill="accent1"/>
            <w:noWrap/>
            <w:vAlign w:val="center"/>
            <w:hideMark/>
          </w:tcPr>
          <w:p w14:paraId="45D71FF3"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 </w:t>
            </w:r>
          </w:p>
        </w:tc>
        <w:tc>
          <w:tcPr>
            <w:tcW w:w="3119" w:type="dxa"/>
            <w:gridSpan w:val="2"/>
            <w:tcBorders>
              <w:top w:val="nil"/>
              <w:left w:val="nil"/>
              <w:bottom w:val="single" w:sz="4" w:space="0" w:color="auto"/>
              <w:right w:val="single" w:sz="4" w:space="0" w:color="auto"/>
            </w:tcBorders>
            <w:shd w:val="clear" w:color="auto" w:fill="CFD9E3" w:themeFill="accent1"/>
            <w:noWrap/>
            <w:vAlign w:val="center"/>
            <w:hideMark/>
          </w:tcPr>
          <w:p w14:paraId="68F185C4"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 </w:t>
            </w:r>
          </w:p>
        </w:tc>
      </w:tr>
      <w:tr w:rsidR="00990A27" w:rsidRPr="00990A27" w14:paraId="1C521766" w14:textId="77777777" w:rsidTr="00990A27">
        <w:trPr>
          <w:trHeight w:val="402"/>
        </w:trPr>
        <w:tc>
          <w:tcPr>
            <w:tcW w:w="3955" w:type="dxa"/>
            <w:tcBorders>
              <w:top w:val="nil"/>
              <w:left w:val="single" w:sz="4" w:space="0" w:color="auto"/>
              <w:bottom w:val="single" w:sz="4" w:space="0" w:color="BFBFBF"/>
              <w:right w:val="nil"/>
            </w:tcBorders>
            <w:shd w:val="clear" w:color="000000" w:fill="F2F2F2"/>
            <w:noWrap/>
            <w:vAlign w:val="center"/>
            <w:hideMark/>
          </w:tcPr>
          <w:p w14:paraId="30A75766"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Persons in couples without children</w:t>
            </w:r>
          </w:p>
        </w:tc>
        <w:tc>
          <w:tcPr>
            <w:tcW w:w="1800" w:type="dxa"/>
            <w:tcBorders>
              <w:top w:val="nil"/>
              <w:left w:val="single" w:sz="4" w:space="0" w:color="auto"/>
              <w:bottom w:val="single" w:sz="4" w:space="0" w:color="BFBFBF"/>
              <w:right w:val="single" w:sz="4" w:space="0" w:color="BFBFBF"/>
            </w:tcBorders>
            <w:shd w:val="clear" w:color="000000" w:fill="F2F2F2"/>
            <w:noWrap/>
            <w:vAlign w:val="center"/>
            <w:hideMark/>
          </w:tcPr>
          <w:p w14:paraId="1ED0AB8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4%</w:t>
            </w:r>
          </w:p>
        </w:tc>
        <w:tc>
          <w:tcPr>
            <w:tcW w:w="1800" w:type="dxa"/>
            <w:gridSpan w:val="2"/>
            <w:tcBorders>
              <w:top w:val="nil"/>
              <w:left w:val="nil"/>
              <w:bottom w:val="single" w:sz="4" w:space="0" w:color="BFBFBF"/>
              <w:right w:val="single" w:sz="4" w:space="0" w:color="BFBFBF"/>
            </w:tcBorders>
            <w:shd w:val="clear" w:color="000000" w:fill="F2F2F2"/>
            <w:noWrap/>
            <w:vAlign w:val="center"/>
            <w:hideMark/>
          </w:tcPr>
          <w:p w14:paraId="46518B8C"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3%</w:t>
            </w:r>
          </w:p>
        </w:tc>
        <w:tc>
          <w:tcPr>
            <w:tcW w:w="1800" w:type="dxa"/>
            <w:tcBorders>
              <w:top w:val="nil"/>
              <w:left w:val="nil"/>
              <w:bottom w:val="single" w:sz="4" w:space="0" w:color="BFBFBF"/>
              <w:right w:val="single" w:sz="4" w:space="0" w:color="auto"/>
            </w:tcBorders>
            <w:shd w:val="clear" w:color="000000" w:fill="F2F2F2"/>
            <w:noWrap/>
            <w:vAlign w:val="center"/>
            <w:hideMark/>
          </w:tcPr>
          <w:p w14:paraId="41635F76"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3%</w:t>
            </w:r>
          </w:p>
        </w:tc>
      </w:tr>
      <w:tr w:rsidR="00990A27" w:rsidRPr="00990A27" w14:paraId="5E407CF9" w14:textId="77777777" w:rsidTr="00990A27">
        <w:trPr>
          <w:trHeight w:val="402"/>
        </w:trPr>
        <w:tc>
          <w:tcPr>
            <w:tcW w:w="3955" w:type="dxa"/>
            <w:tcBorders>
              <w:top w:val="nil"/>
              <w:left w:val="single" w:sz="4" w:space="0" w:color="auto"/>
              <w:bottom w:val="single" w:sz="4" w:space="0" w:color="BFBFBF"/>
              <w:right w:val="nil"/>
            </w:tcBorders>
            <w:shd w:val="clear" w:color="000000" w:fill="FFFFFF"/>
            <w:noWrap/>
            <w:vAlign w:val="center"/>
            <w:hideMark/>
          </w:tcPr>
          <w:p w14:paraId="14585C41"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Persons in couples with child(ren)</w:t>
            </w:r>
          </w:p>
        </w:tc>
        <w:tc>
          <w:tcPr>
            <w:tcW w:w="1800" w:type="dxa"/>
            <w:tcBorders>
              <w:top w:val="nil"/>
              <w:left w:val="single" w:sz="4" w:space="0" w:color="auto"/>
              <w:bottom w:val="single" w:sz="4" w:space="0" w:color="BFBFBF"/>
              <w:right w:val="single" w:sz="4" w:space="0" w:color="BFBFBF"/>
            </w:tcBorders>
            <w:shd w:val="clear" w:color="000000" w:fill="FFFFFF"/>
            <w:noWrap/>
            <w:vAlign w:val="center"/>
            <w:hideMark/>
          </w:tcPr>
          <w:p w14:paraId="1CD7E5EF"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9%</w:t>
            </w:r>
          </w:p>
        </w:tc>
        <w:tc>
          <w:tcPr>
            <w:tcW w:w="1800" w:type="dxa"/>
            <w:gridSpan w:val="2"/>
            <w:tcBorders>
              <w:top w:val="nil"/>
              <w:left w:val="nil"/>
              <w:bottom w:val="single" w:sz="4" w:space="0" w:color="BFBFBF"/>
              <w:right w:val="single" w:sz="4" w:space="0" w:color="BFBFBF"/>
            </w:tcBorders>
            <w:shd w:val="clear" w:color="000000" w:fill="FFFFFF"/>
            <w:noWrap/>
            <w:vAlign w:val="center"/>
            <w:hideMark/>
          </w:tcPr>
          <w:p w14:paraId="219CBDC5"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6%</w:t>
            </w:r>
          </w:p>
        </w:tc>
        <w:tc>
          <w:tcPr>
            <w:tcW w:w="1800" w:type="dxa"/>
            <w:tcBorders>
              <w:top w:val="nil"/>
              <w:left w:val="nil"/>
              <w:bottom w:val="single" w:sz="4" w:space="0" w:color="BFBFBF"/>
              <w:right w:val="single" w:sz="4" w:space="0" w:color="auto"/>
            </w:tcBorders>
            <w:shd w:val="clear" w:color="000000" w:fill="FFFFFF"/>
            <w:noWrap/>
            <w:vAlign w:val="center"/>
            <w:hideMark/>
          </w:tcPr>
          <w:p w14:paraId="1528EE09"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5%</w:t>
            </w:r>
          </w:p>
        </w:tc>
      </w:tr>
      <w:tr w:rsidR="00990A27" w:rsidRPr="00990A27" w14:paraId="15292409" w14:textId="77777777" w:rsidTr="00990A27">
        <w:trPr>
          <w:trHeight w:val="402"/>
        </w:trPr>
        <w:tc>
          <w:tcPr>
            <w:tcW w:w="3955" w:type="dxa"/>
            <w:tcBorders>
              <w:top w:val="nil"/>
              <w:left w:val="single" w:sz="4" w:space="0" w:color="auto"/>
              <w:bottom w:val="single" w:sz="4" w:space="0" w:color="BFBFBF"/>
              <w:right w:val="nil"/>
            </w:tcBorders>
            <w:shd w:val="clear" w:color="000000" w:fill="F2F2F2"/>
            <w:noWrap/>
            <w:vAlign w:val="center"/>
            <w:hideMark/>
          </w:tcPr>
          <w:p w14:paraId="6B075504"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Man + lone parent</w:t>
            </w:r>
          </w:p>
        </w:tc>
        <w:tc>
          <w:tcPr>
            <w:tcW w:w="1800" w:type="dxa"/>
            <w:tcBorders>
              <w:top w:val="nil"/>
              <w:left w:val="single" w:sz="4" w:space="0" w:color="auto"/>
              <w:bottom w:val="single" w:sz="4" w:space="0" w:color="BFBFBF"/>
              <w:right w:val="single" w:sz="4" w:space="0" w:color="BFBFBF"/>
            </w:tcBorders>
            <w:shd w:val="clear" w:color="000000" w:fill="F2F2F2"/>
            <w:noWrap/>
            <w:vAlign w:val="center"/>
            <w:hideMark/>
          </w:tcPr>
          <w:p w14:paraId="13555E43"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12%</w:t>
            </w:r>
          </w:p>
        </w:tc>
        <w:tc>
          <w:tcPr>
            <w:tcW w:w="1800" w:type="dxa"/>
            <w:gridSpan w:val="2"/>
            <w:tcBorders>
              <w:top w:val="nil"/>
              <w:left w:val="nil"/>
              <w:bottom w:val="single" w:sz="4" w:space="0" w:color="BFBFBF"/>
              <w:right w:val="single" w:sz="4" w:space="0" w:color="BFBFBF"/>
            </w:tcBorders>
            <w:shd w:val="clear" w:color="000000" w:fill="F2F2F2"/>
            <w:noWrap/>
            <w:vAlign w:val="center"/>
            <w:hideMark/>
          </w:tcPr>
          <w:p w14:paraId="4D0DE1B8"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14%</w:t>
            </w:r>
          </w:p>
        </w:tc>
        <w:tc>
          <w:tcPr>
            <w:tcW w:w="1800" w:type="dxa"/>
            <w:tcBorders>
              <w:top w:val="nil"/>
              <w:left w:val="nil"/>
              <w:bottom w:val="single" w:sz="4" w:space="0" w:color="BFBFBF"/>
              <w:right w:val="single" w:sz="4" w:space="0" w:color="auto"/>
            </w:tcBorders>
            <w:shd w:val="clear" w:color="000000" w:fill="F2F2F2"/>
            <w:noWrap/>
            <w:vAlign w:val="center"/>
            <w:hideMark/>
          </w:tcPr>
          <w:p w14:paraId="28991E38"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17%</w:t>
            </w:r>
          </w:p>
        </w:tc>
      </w:tr>
      <w:tr w:rsidR="00990A27" w:rsidRPr="00990A27" w14:paraId="212A72B5" w14:textId="77777777" w:rsidTr="00990A27">
        <w:trPr>
          <w:trHeight w:val="402"/>
        </w:trPr>
        <w:tc>
          <w:tcPr>
            <w:tcW w:w="3955" w:type="dxa"/>
            <w:tcBorders>
              <w:top w:val="nil"/>
              <w:left w:val="single" w:sz="4" w:space="0" w:color="auto"/>
              <w:bottom w:val="single" w:sz="4" w:space="0" w:color="BFBFBF"/>
              <w:right w:val="nil"/>
            </w:tcBorders>
            <w:shd w:val="clear" w:color="000000" w:fill="FFFFFF"/>
            <w:noWrap/>
            <w:vAlign w:val="center"/>
            <w:hideMark/>
          </w:tcPr>
          <w:p w14:paraId="66583101"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Woman+ lone parent</w:t>
            </w:r>
          </w:p>
        </w:tc>
        <w:tc>
          <w:tcPr>
            <w:tcW w:w="1800" w:type="dxa"/>
            <w:tcBorders>
              <w:top w:val="nil"/>
              <w:left w:val="single" w:sz="4" w:space="0" w:color="auto"/>
              <w:bottom w:val="single" w:sz="4" w:space="0" w:color="BFBFBF"/>
              <w:right w:val="single" w:sz="4" w:space="0" w:color="BFBFBF"/>
            </w:tcBorders>
            <w:shd w:val="clear" w:color="000000" w:fill="FFFFFF"/>
            <w:noWrap/>
            <w:vAlign w:val="center"/>
            <w:hideMark/>
          </w:tcPr>
          <w:p w14:paraId="605CD4FE"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18%</w:t>
            </w:r>
          </w:p>
        </w:tc>
        <w:tc>
          <w:tcPr>
            <w:tcW w:w="1800" w:type="dxa"/>
            <w:gridSpan w:val="2"/>
            <w:tcBorders>
              <w:top w:val="nil"/>
              <w:left w:val="nil"/>
              <w:bottom w:val="single" w:sz="4" w:space="0" w:color="BFBFBF"/>
              <w:right w:val="single" w:sz="4" w:space="0" w:color="BFBFBF"/>
            </w:tcBorders>
            <w:shd w:val="clear" w:color="000000" w:fill="FFFFFF"/>
            <w:noWrap/>
            <w:vAlign w:val="center"/>
            <w:hideMark/>
          </w:tcPr>
          <w:p w14:paraId="6464081C"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15%</w:t>
            </w:r>
          </w:p>
        </w:tc>
        <w:tc>
          <w:tcPr>
            <w:tcW w:w="1800" w:type="dxa"/>
            <w:tcBorders>
              <w:top w:val="nil"/>
              <w:left w:val="nil"/>
              <w:bottom w:val="single" w:sz="4" w:space="0" w:color="BFBFBF"/>
              <w:right w:val="single" w:sz="4" w:space="0" w:color="auto"/>
            </w:tcBorders>
            <w:shd w:val="clear" w:color="000000" w:fill="FFFFFF"/>
            <w:noWrap/>
            <w:vAlign w:val="center"/>
            <w:hideMark/>
          </w:tcPr>
          <w:p w14:paraId="6C981354"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15%</w:t>
            </w:r>
          </w:p>
        </w:tc>
      </w:tr>
      <w:tr w:rsidR="00990A27" w:rsidRPr="00990A27" w14:paraId="3AE9E0E2" w14:textId="77777777" w:rsidTr="00990A27">
        <w:trPr>
          <w:trHeight w:val="402"/>
        </w:trPr>
        <w:tc>
          <w:tcPr>
            <w:tcW w:w="3955" w:type="dxa"/>
            <w:tcBorders>
              <w:top w:val="nil"/>
              <w:left w:val="single" w:sz="4" w:space="0" w:color="auto"/>
              <w:bottom w:val="single" w:sz="4" w:space="0" w:color="BFBFBF"/>
              <w:right w:val="nil"/>
            </w:tcBorders>
            <w:shd w:val="clear" w:color="000000" w:fill="F2F2F2"/>
            <w:noWrap/>
            <w:vAlign w:val="center"/>
            <w:hideMark/>
          </w:tcPr>
          <w:p w14:paraId="747F4086"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Single persons</w:t>
            </w:r>
          </w:p>
        </w:tc>
        <w:tc>
          <w:tcPr>
            <w:tcW w:w="1800" w:type="dxa"/>
            <w:tcBorders>
              <w:top w:val="nil"/>
              <w:left w:val="single" w:sz="4" w:space="0" w:color="auto"/>
              <w:bottom w:val="single" w:sz="4" w:space="0" w:color="BFBFBF"/>
              <w:right w:val="single" w:sz="4" w:space="0" w:color="BFBFBF"/>
            </w:tcBorders>
            <w:shd w:val="clear" w:color="000000" w:fill="F2F2F2"/>
            <w:noWrap/>
            <w:vAlign w:val="center"/>
            <w:hideMark/>
          </w:tcPr>
          <w:p w14:paraId="50DB4C6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20%</w:t>
            </w:r>
          </w:p>
        </w:tc>
        <w:tc>
          <w:tcPr>
            <w:tcW w:w="1800" w:type="dxa"/>
            <w:gridSpan w:val="2"/>
            <w:tcBorders>
              <w:top w:val="nil"/>
              <w:left w:val="nil"/>
              <w:bottom w:val="single" w:sz="4" w:space="0" w:color="BFBFBF"/>
              <w:right w:val="single" w:sz="4" w:space="0" w:color="BFBFBF"/>
            </w:tcBorders>
            <w:shd w:val="clear" w:color="000000" w:fill="F2F2F2"/>
            <w:noWrap/>
            <w:vAlign w:val="center"/>
            <w:hideMark/>
          </w:tcPr>
          <w:p w14:paraId="080F628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18%</w:t>
            </w:r>
          </w:p>
        </w:tc>
        <w:tc>
          <w:tcPr>
            <w:tcW w:w="1800" w:type="dxa"/>
            <w:tcBorders>
              <w:top w:val="nil"/>
              <w:left w:val="nil"/>
              <w:bottom w:val="single" w:sz="4" w:space="0" w:color="BFBFBF"/>
              <w:right w:val="single" w:sz="4" w:space="0" w:color="auto"/>
            </w:tcBorders>
            <w:shd w:val="clear" w:color="000000" w:fill="F2F2F2"/>
            <w:noWrap/>
            <w:vAlign w:val="center"/>
            <w:hideMark/>
          </w:tcPr>
          <w:p w14:paraId="51440E6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18%</w:t>
            </w:r>
          </w:p>
        </w:tc>
      </w:tr>
      <w:tr w:rsidR="00990A27" w:rsidRPr="00990A27" w14:paraId="0D4F80FE" w14:textId="77777777" w:rsidTr="00990A27">
        <w:trPr>
          <w:trHeight w:val="402"/>
        </w:trPr>
        <w:tc>
          <w:tcPr>
            <w:tcW w:w="3955" w:type="dxa"/>
            <w:tcBorders>
              <w:top w:val="nil"/>
              <w:left w:val="single" w:sz="4" w:space="0" w:color="auto"/>
              <w:bottom w:val="nil"/>
              <w:right w:val="nil"/>
            </w:tcBorders>
            <w:shd w:val="clear" w:color="000000" w:fill="FFFFFF"/>
            <w:noWrap/>
            <w:vAlign w:val="center"/>
            <w:hideMark/>
          </w:tcPr>
          <w:p w14:paraId="396518EA"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Persons living with non-relatives only</w:t>
            </w:r>
          </w:p>
        </w:tc>
        <w:tc>
          <w:tcPr>
            <w:tcW w:w="1800" w:type="dxa"/>
            <w:tcBorders>
              <w:top w:val="nil"/>
              <w:left w:val="single" w:sz="4" w:space="0" w:color="auto"/>
              <w:bottom w:val="nil"/>
              <w:right w:val="single" w:sz="4" w:space="0" w:color="BFBFBF"/>
            </w:tcBorders>
            <w:shd w:val="clear" w:color="000000" w:fill="FFFFFF"/>
            <w:noWrap/>
            <w:vAlign w:val="center"/>
            <w:hideMark/>
          </w:tcPr>
          <w:p w14:paraId="7679A88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38%</w:t>
            </w:r>
          </w:p>
        </w:tc>
        <w:tc>
          <w:tcPr>
            <w:tcW w:w="1800" w:type="dxa"/>
            <w:gridSpan w:val="2"/>
            <w:tcBorders>
              <w:top w:val="nil"/>
              <w:left w:val="nil"/>
              <w:bottom w:val="nil"/>
              <w:right w:val="single" w:sz="4" w:space="0" w:color="BFBFBF"/>
            </w:tcBorders>
            <w:shd w:val="clear" w:color="000000" w:fill="FFFFFF"/>
            <w:noWrap/>
            <w:vAlign w:val="center"/>
            <w:hideMark/>
          </w:tcPr>
          <w:p w14:paraId="3443A6AD"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32%</w:t>
            </w:r>
          </w:p>
        </w:tc>
        <w:tc>
          <w:tcPr>
            <w:tcW w:w="1800" w:type="dxa"/>
            <w:tcBorders>
              <w:top w:val="nil"/>
              <w:left w:val="nil"/>
              <w:bottom w:val="nil"/>
              <w:right w:val="single" w:sz="4" w:space="0" w:color="auto"/>
            </w:tcBorders>
            <w:shd w:val="clear" w:color="000000" w:fill="FFFFFF"/>
            <w:noWrap/>
            <w:vAlign w:val="center"/>
            <w:hideMark/>
          </w:tcPr>
          <w:p w14:paraId="225E0E18"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30%</w:t>
            </w:r>
          </w:p>
        </w:tc>
      </w:tr>
      <w:tr w:rsidR="00990A27" w:rsidRPr="00990A27" w14:paraId="281FFFD8" w14:textId="77777777" w:rsidTr="003C59F9">
        <w:trPr>
          <w:trHeight w:val="402"/>
        </w:trPr>
        <w:tc>
          <w:tcPr>
            <w:tcW w:w="3955" w:type="dxa"/>
            <w:tcBorders>
              <w:top w:val="single" w:sz="4" w:space="0" w:color="auto"/>
              <w:left w:val="single" w:sz="4" w:space="0" w:color="auto"/>
              <w:bottom w:val="single" w:sz="4" w:space="0" w:color="auto"/>
              <w:right w:val="nil"/>
            </w:tcBorders>
            <w:shd w:val="clear" w:color="auto" w:fill="CFD9E3" w:themeFill="accent1"/>
            <w:noWrap/>
            <w:vAlign w:val="center"/>
            <w:hideMark/>
          </w:tcPr>
          <w:p w14:paraId="3E1454AF"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By age group</w:t>
            </w:r>
          </w:p>
        </w:tc>
        <w:tc>
          <w:tcPr>
            <w:tcW w:w="1800" w:type="dxa"/>
            <w:tcBorders>
              <w:top w:val="single" w:sz="4" w:space="0" w:color="auto"/>
              <w:left w:val="nil"/>
              <w:bottom w:val="single" w:sz="4" w:space="0" w:color="auto"/>
              <w:right w:val="nil"/>
            </w:tcBorders>
            <w:shd w:val="clear" w:color="auto" w:fill="CFD9E3" w:themeFill="accent1"/>
            <w:noWrap/>
            <w:vAlign w:val="center"/>
            <w:hideMark/>
          </w:tcPr>
          <w:p w14:paraId="2D019132"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 </w:t>
            </w:r>
          </w:p>
        </w:tc>
        <w:tc>
          <w:tcPr>
            <w:tcW w:w="1800" w:type="dxa"/>
            <w:gridSpan w:val="2"/>
            <w:tcBorders>
              <w:top w:val="single" w:sz="4" w:space="0" w:color="auto"/>
              <w:left w:val="nil"/>
              <w:bottom w:val="single" w:sz="4" w:space="0" w:color="auto"/>
              <w:right w:val="nil"/>
            </w:tcBorders>
            <w:shd w:val="clear" w:color="auto" w:fill="CFD9E3" w:themeFill="accent1"/>
            <w:noWrap/>
            <w:vAlign w:val="center"/>
            <w:hideMark/>
          </w:tcPr>
          <w:p w14:paraId="302BF9EA"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 </w:t>
            </w:r>
          </w:p>
        </w:tc>
        <w:tc>
          <w:tcPr>
            <w:tcW w:w="1800"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221F5C2D"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 </w:t>
            </w:r>
          </w:p>
        </w:tc>
      </w:tr>
      <w:tr w:rsidR="00990A27" w:rsidRPr="00990A27" w14:paraId="15CE56C3" w14:textId="77777777" w:rsidTr="00990A27">
        <w:trPr>
          <w:trHeight w:val="402"/>
        </w:trPr>
        <w:tc>
          <w:tcPr>
            <w:tcW w:w="3955" w:type="dxa"/>
            <w:tcBorders>
              <w:top w:val="nil"/>
              <w:left w:val="single" w:sz="4" w:space="0" w:color="auto"/>
              <w:bottom w:val="single" w:sz="4" w:space="0" w:color="BFBFBF"/>
              <w:right w:val="nil"/>
            </w:tcBorders>
            <w:shd w:val="clear" w:color="000000" w:fill="F2F2F2"/>
            <w:noWrap/>
            <w:vAlign w:val="center"/>
            <w:hideMark/>
          </w:tcPr>
          <w:p w14:paraId="6EA6BE9C"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0 to 5 year olds</w:t>
            </w:r>
          </w:p>
        </w:tc>
        <w:tc>
          <w:tcPr>
            <w:tcW w:w="1800" w:type="dxa"/>
            <w:tcBorders>
              <w:top w:val="nil"/>
              <w:left w:val="single" w:sz="4" w:space="0" w:color="auto"/>
              <w:bottom w:val="single" w:sz="4" w:space="0" w:color="BFBFBF"/>
              <w:right w:val="single" w:sz="4" w:space="0" w:color="BFBFBF"/>
            </w:tcBorders>
            <w:shd w:val="clear" w:color="000000" w:fill="F2F2F2"/>
            <w:noWrap/>
            <w:vAlign w:val="center"/>
            <w:hideMark/>
          </w:tcPr>
          <w:p w14:paraId="0DEB48E8"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15%</w:t>
            </w:r>
          </w:p>
        </w:tc>
        <w:tc>
          <w:tcPr>
            <w:tcW w:w="1800" w:type="dxa"/>
            <w:gridSpan w:val="2"/>
            <w:tcBorders>
              <w:top w:val="nil"/>
              <w:left w:val="nil"/>
              <w:bottom w:val="single" w:sz="4" w:space="0" w:color="BFBFBF"/>
              <w:right w:val="single" w:sz="4" w:space="0" w:color="BFBFBF"/>
            </w:tcBorders>
            <w:shd w:val="clear" w:color="000000" w:fill="F2F2F2"/>
            <w:noWrap/>
            <w:vAlign w:val="center"/>
            <w:hideMark/>
          </w:tcPr>
          <w:p w14:paraId="1658A4DB"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11%</w:t>
            </w:r>
          </w:p>
        </w:tc>
        <w:tc>
          <w:tcPr>
            <w:tcW w:w="1800" w:type="dxa"/>
            <w:tcBorders>
              <w:top w:val="nil"/>
              <w:left w:val="nil"/>
              <w:bottom w:val="single" w:sz="4" w:space="0" w:color="BFBFBF"/>
              <w:right w:val="single" w:sz="4" w:space="0" w:color="auto"/>
            </w:tcBorders>
            <w:shd w:val="clear" w:color="000000" w:fill="F2F2F2"/>
            <w:noWrap/>
            <w:vAlign w:val="center"/>
            <w:hideMark/>
          </w:tcPr>
          <w:p w14:paraId="61B91E5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10%</w:t>
            </w:r>
          </w:p>
        </w:tc>
      </w:tr>
      <w:tr w:rsidR="00990A27" w:rsidRPr="00990A27" w14:paraId="6BAC1517" w14:textId="77777777" w:rsidTr="00990A27">
        <w:trPr>
          <w:trHeight w:val="402"/>
        </w:trPr>
        <w:tc>
          <w:tcPr>
            <w:tcW w:w="3955" w:type="dxa"/>
            <w:tcBorders>
              <w:top w:val="nil"/>
              <w:left w:val="single" w:sz="4" w:space="0" w:color="auto"/>
              <w:bottom w:val="single" w:sz="4" w:space="0" w:color="BFBFBF"/>
              <w:right w:val="nil"/>
            </w:tcBorders>
            <w:shd w:val="clear" w:color="000000" w:fill="FFFFFF"/>
            <w:noWrap/>
            <w:vAlign w:val="center"/>
            <w:hideMark/>
          </w:tcPr>
          <w:p w14:paraId="27E3382E"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6 to 17 year olds</w:t>
            </w:r>
          </w:p>
        </w:tc>
        <w:tc>
          <w:tcPr>
            <w:tcW w:w="1800" w:type="dxa"/>
            <w:tcBorders>
              <w:top w:val="nil"/>
              <w:left w:val="single" w:sz="4" w:space="0" w:color="auto"/>
              <w:bottom w:val="single" w:sz="4" w:space="0" w:color="BFBFBF"/>
              <w:right w:val="single" w:sz="4" w:space="0" w:color="BFBFBF"/>
            </w:tcBorders>
            <w:shd w:val="clear" w:color="000000" w:fill="FFFFFF"/>
            <w:noWrap/>
            <w:vAlign w:val="center"/>
            <w:hideMark/>
          </w:tcPr>
          <w:p w14:paraId="52EEFF2C"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14%</w:t>
            </w:r>
          </w:p>
        </w:tc>
        <w:tc>
          <w:tcPr>
            <w:tcW w:w="1800" w:type="dxa"/>
            <w:gridSpan w:val="2"/>
            <w:tcBorders>
              <w:top w:val="nil"/>
              <w:left w:val="nil"/>
              <w:bottom w:val="single" w:sz="4" w:space="0" w:color="BFBFBF"/>
              <w:right w:val="single" w:sz="4" w:space="0" w:color="BFBFBF"/>
            </w:tcBorders>
            <w:shd w:val="clear" w:color="000000" w:fill="FFFFFF"/>
            <w:noWrap/>
            <w:vAlign w:val="center"/>
            <w:hideMark/>
          </w:tcPr>
          <w:p w14:paraId="35C0193F"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10%</w:t>
            </w:r>
          </w:p>
        </w:tc>
        <w:tc>
          <w:tcPr>
            <w:tcW w:w="1800" w:type="dxa"/>
            <w:tcBorders>
              <w:top w:val="nil"/>
              <w:left w:val="nil"/>
              <w:bottom w:val="single" w:sz="4" w:space="0" w:color="BFBFBF"/>
              <w:right w:val="single" w:sz="4" w:space="0" w:color="auto"/>
            </w:tcBorders>
            <w:shd w:val="clear" w:color="000000" w:fill="FFFFFF"/>
            <w:noWrap/>
            <w:vAlign w:val="center"/>
            <w:hideMark/>
          </w:tcPr>
          <w:p w14:paraId="25954CB2"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10%</w:t>
            </w:r>
          </w:p>
        </w:tc>
      </w:tr>
      <w:tr w:rsidR="00990A27" w:rsidRPr="00990A27" w14:paraId="0D882A62" w14:textId="77777777" w:rsidTr="00990A27">
        <w:trPr>
          <w:trHeight w:val="402"/>
        </w:trPr>
        <w:tc>
          <w:tcPr>
            <w:tcW w:w="3955" w:type="dxa"/>
            <w:tcBorders>
              <w:top w:val="nil"/>
              <w:left w:val="single" w:sz="4" w:space="0" w:color="auto"/>
              <w:bottom w:val="single" w:sz="4" w:space="0" w:color="BFBFBF"/>
              <w:right w:val="nil"/>
            </w:tcBorders>
            <w:shd w:val="clear" w:color="000000" w:fill="F2F2F2"/>
            <w:noWrap/>
            <w:vAlign w:val="center"/>
            <w:hideMark/>
          </w:tcPr>
          <w:p w14:paraId="43B1F7AF"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18 to 24 year olds</w:t>
            </w:r>
          </w:p>
        </w:tc>
        <w:tc>
          <w:tcPr>
            <w:tcW w:w="1800" w:type="dxa"/>
            <w:tcBorders>
              <w:top w:val="nil"/>
              <w:left w:val="single" w:sz="4" w:space="0" w:color="auto"/>
              <w:bottom w:val="single" w:sz="4" w:space="0" w:color="BFBFBF"/>
              <w:right w:val="single" w:sz="4" w:space="0" w:color="BFBFBF"/>
            </w:tcBorders>
            <w:shd w:val="clear" w:color="000000" w:fill="F2F2F2"/>
            <w:noWrap/>
            <w:vAlign w:val="center"/>
            <w:hideMark/>
          </w:tcPr>
          <w:p w14:paraId="1D77D6CF"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26%</w:t>
            </w:r>
          </w:p>
        </w:tc>
        <w:tc>
          <w:tcPr>
            <w:tcW w:w="1800" w:type="dxa"/>
            <w:gridSpan w:val="2"/>
            <w:tcBorders>
              <w:top w:val="nil"/>
              <w:left w:val="nil"/>
              <w:bottom w:val="single" w:sz="4" w:space="0" w:color="BFBFBF"/>
              <w:right w:val="single" w:sz="4" w:space="0" w:color="BFBFBF"/>
            </w:tcBorders>
            <w:shd w:val="clear" w:color="000000" w:fill="F2F2F2"/>
            <w:noWrap/>
            <w:vAlign w:val="center"/>
            <w:hideMark/>
          </w:tcPr>
          <w:p w14:paraId="19787BB3"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17%</w:t>
            </w:r>
          </w:p>
        </w:tc>
        <w:tc>
          <w:tcPr>
            <w:tcW w:w="1800" w:type="dxa"/>
            <w:tcBorders>
              <w:top w:val="nil"/>
              <w:left w:val="nil"/>
              <w:bottom w:val="single" w:sz="4" w:space="0" w:color="BFBFBF"/>
              <w:right w:val="single" w:sz="4" w:space="0" w:color="auto"/>
            </w:tcBorders>
            <w:shd w:val="clear" w:color="000000" w:fill="F2F2F2"/>
            <w:noWrap/>
            <w:vAlign w:val="center"/>
            <w:hideMark/>
          </w:tcPr>
          <w:p w14:paraId="3E2E33DB"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14%</w:t>
            </w:r>
          </w:p>
        </w:tc>
      </w:tr>
      <w:tr w:rsidR="00990A27" w:rsidRPr="00990A27" w14:paraId="4E0B8E72" w14:textId="77777777" w:rsidTr="00990A27">
        <w:trPr>
          <w:trHeight w:val="402"/>
        </w:trPr>
        <w:tc>
          <w:tcPr>
            <w:tcW w:w="3955" w:type="dxa"/>
            <w:tcBorders>
              <w:top w:val="nil"/>
              <w:left w:val="single" w:sz="4" w:space="0" w:color="auto"/>
              <w:bottom w:val="single" w:sz="4" w:space="0" w:color="BFBFBF"/>
              <w:right w:val="nil"/>
            </w:tcBorders>
            <w:shd w:val="clear" w:color="000000" w:fill="FFFFFF"/>
            <w:noWrap/>
            <w:vAlign w:val="center"/>
            <w:hideMark/>
          </w:tcPr>
          <w:p w14:paraId="3BCEB291"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25 to 54 year olds</w:t>
            </w:r>
          </w:p>
        </w:tc>
        <w:tc>
          <w:tcPr>
            <w:tcW w:w="1800" w:type="dxa"/>
            <w:tcBorders>
              <w:top w:val="nil"/>
              <w:left w:val="single" w:sz="4" w:space="0" w:color="auto"/>
              <w:bottom w:val="single" w:sz="4" w:space="0" w:color="BFBFBF"/>
              <w:right w:val="single" w:sz="4" w:space="0" w:color="BFBFBF"/>
            </w:tcBorders>
            <w:shd w:val="clear" w:color="000000" w:fill="FFFFFF"/>
            <w:noWrap/>
            <w:vAlign w:val="center"/>
            <w:hideMark/>
          </w:tcPr>
          <w:p w14:paraId="03A52AA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14%</w:t>
            </w:r>
          </w:p>
        </w:tc>
        <w:tc>
          <w:tcPr>
            <w:tcW w:w="1800" w:type="dxa"/>
            <w:gridSpan w:val="2"/>
            <w:tcBorders>
              <w:top w:val="nil"/>
              <w:left w:val="nil"/>
              <w:bottom w:val="single" w:sz="4" w:space="0" w:color="BFBFBF"/>
              <w:right w:val="single" w:sz="4" w:space="0" w:color="BFBFBF"/>
            </w:tcBorders>
            <w:shd w:val="clear" w:color="000000" w:fill="FFFFFF"/>
            <w:noWrap/>
            <w:vAlign w:val="center"/>
            <w:hideMark/>
          </w:tcPr>
          <w:p w14:paraId="726261E5"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10%</w:t>
            </w:r>
          </w:p>
        </w:tc>
        <w:tc>
          <w:tcPr>
            <w:tcW w:w="1800" w:type="dxa"/>
            <w:tcBorders>
              <w:top w:val="nil"/>
              <w:left w:val="nil"/>
              <w:bottom w:val="single" w:sz="4" w:space="0" w:color="BFBFBF"/>
              <w:right w:val="single" w:sz="4" w:space="0" w:color="auto"/>
            </w:tcBorders>
            <w:shd w:val="clear" w:color="000000" w:fill="FFFFFF"/>
            <w:noWrap/>
            <w:vAlign w:val="center"/>
            <w:hideMark/>
          </w:tcPr>
          <w:p w14:paraId="4352797D"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9%</w:t>
            </w:r>
          </w:p>
        </w:tc>
      </w:tr>
      <w:tr w:rsidR="00990A27" w:rsidRPr="00990A27" w14:paraId="25709504" w14:textId="77777777" w:rsidTr="00990A27">
        <w:trPr>
          <w:trHeight w:val="402"/>
        </w:trPr>
        <w:tc>
          <w:tcPr>
            <w:tcW w:w="3955" w:type="dxa"/>
            <w:tcBorders>
              <w:top w:val="nil"/>
              <w:left w:val="single" w:sz="4" w:space="0" w:color="auto"/>
              <w:bottom w:val="single" w:sz="4" w:space="0" w:color="BFBFBF"/>
              <w:right w:val="nil"/>
            </w:tcBorders>
            <w:shd w:val="clear" w:color="000000" w:fill="F2F2F2"/>
            <w:noWrap/>
            <w:vAlign w:val="center"/>
            <w:hideMark/>
          </w:tcPr>
          <w:p w14:paraId="2C6483AE"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55 to 64 year olds</w:t>
            </w:r>
          </w:p>
        </w:tc>
        <w:tc>
          <w:tcPr>
            <w:tcW w:w="1800" w:type="dxa"/>
            <w:tcBorders>
              <w:top w:val="nil"/>
              <w:left w:val="single" w:sz="4" w:space="0" w:color="auto"/>
              <w:bottom w:val="single" w:sz="4" w:space="0" w:color="BFBFBF"/>
              <w:right w:val="single" w:sz="4" w:space="0" w:color="BFBFBF"/>
            </w:tcBorders>
            <w:shd w:val="clear" w:color="000000" w:fill="F2F2F2"/>
            <w:noWrap/>
            <w:vAlign w:val="center"/>
            <w:hideMark/>
          </w:tcPr>
          <w:p w14:paraId="271C8301"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11%</w:t>
            </w:r>
          </w:p>
        </w:tc>
        <w:tc>
          <w:tcPr>
            <w:tcW w:w="1800" w:type="dxa"/>
            <w:gridSpan w:val="2"/>
            <w:tcBorders>
              <w:top w:val="nil"/>
              <w:left w:val="nil"/>
              <w:bottom w:val="single" w:sz="4" w:space="0" w:color="BFBFBF"/>
              <w:right w:val="single" w:sz="4" w:space="0" w:color="BFBFBF"/>
            </w:tcBorders>
            <w:shd w:val="clear" w:color="000000" w:fill="F2F2F2"/>
            <w:noWrap/>
            <w:vAlign w:val="center"/>
            <w:hideMark/>
          </w:tcPr>
          <w:p w14:paraId="0BDA7A35"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8%</w:t>
            </w:r>
          </w:p>
        </w:tc>
        <w:tc>
          <w:tcPr>
            <w:tcW w:w="1800" w:type="dxa"/>
            <w:tcBorders>
              <w:top w:val="nil"/>
              <w:left w:val="nil"/>
              <w:bottom w:val="single" w:sz="4" w:space="0" w:color="BFBFBF"/>
              <w:right w:val="single" w:sz="4" w:space="0" w:color="auto"/>
            </w:tcBorders>
            <w:shd w:val="clear" w:color="000000" w:fill="F2F2F2"/>
            <w:noWrap/>
            <w:vAlign w:val="center"/>
            <w:hideMark/>
          </w:tcPr>
          <w:p w14:paraId="578F099C"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8%</w:t>
            </w:r>
          </w:p>
        </w:tc>
      </w:tr>
      <w:tr w:rsidR="00990A27" w:rsidRPr="00990A27" w14:paraId="3CD5376E" w14:textId="77777777" w:rsidTr="00990A27">
        <w:trPr>
          <w:trHeight w:val="402"/>
        </w:trPr>
        <w:tc>
          <w:tcPr>
            <w:tcW w:w="3955" w:type="dxa"/>
            <w:tcBorders>
              <w:top w:val="nil"/>
              <w:left w:val="single" w:sz="4" w:space="0" w:color="auto"/>
              <w:bottom w:val="single" w:sz="4" w:space="0" w:color="auto"/>
              <w:right w:val="nil"/>
            </w:tcBorders>
            <w:shd w:val="clear" w:color="000000" w:fill="FFFFFF"/>
            <w:noWrap/>
            <w:vAlign w:val="center"/>
            <w:hideMark/>
          </w:tcPr>
          <w:p w14:paraId="6B119125" w14:textId="77777777" w:rsidR="00990A27" w:rsidRPr="00990A27" w:rsidRDefault="00990A27" w:rsidP="00990A27">
            <w:pPr>
              <w:rPr>
                <w:rFonts w:eastAsia="Times New Roman"/>
                <w:color w:val="000000"/>
                <w:sz w:val="18"/>
                <w:szCs w:val="18"/>
              </w:rPr>
            </w:pPr>
            <w:r w:rsidRPr="00990A27">
              <w:rPr>
                <w:rFonts w:eastAsia="Times New Roman"/>
                <w:color w:val="000000"/>
                <w:sz w:val="18"/>
                <w:szCs w:val="18"/>
              </w:rPr>
              <w:t>65+ year olds</w:t>
            </w:r>
          </w:p>
        </w:tc>
        <w:tc>
          <w:tcPr>
            <w:tcW w:w="1800" w:type="dxa"/>
            <w:tcBorders>
              <w:top w:val="nil"/>
              <w:left w:val="single" w:sz="4" w:space="0" w:color="auto"/>
              <w:bottom w:val="single" w:sz="4" w:space="0" w:color="auto"/>
              <w:right w:val="single" w:sz="4" w:space="0" w:color="BFBFBF"/>
            </w:tcBorders>
            <w:shd w:val="clear" w:color="000000" w:fill="FFFFFF"/>
            <w:noWrap/>
            <w:vAlign w:val="center"/>
            <w:hideMark/>
          </w:tcPr>
          <w:p w14:paraId="1BFA185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6%</w:t>
            </w:r>
          </w:p>
        </w:tc>
        <w:tc>
          <w:tcPr>
            <w:tcW w:w="1800" w:type="dxa"/>
            <w:gridSpan w:val="2"/>
            <w:tcBorders>
              <w:top w:val="nil"/>
              <w:left w:val="nil"/>
              <w:bottom w:val="single" w:sz="4" w:space="0" w:color="auto"/>
              <w:right w:val="single" w:sz="4" w:space="0" w:color="BFBFBF"/>
            </w:tcBorders>
            <w:shd w:val="clear" w:color="000000" w:fill="FFFFFF"/>
            <w:noWrap/>
            <w:vAlign w:val="center"/>
            <w:hideMark/>
          </w:tcPr>
          <w:p w14:paraId="6484FB5A"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5%</w:t>
            </w:r>
          </w:p>
        </w:tc>
        <w:tc>
          <w:tcPr>
            <w:tcW w:w="1800" w:type="dxa"/>
            <w:tcBorders>
              <w:top w:val="nil"/>
              <w:left w:val="nil"/>
              <w:bottom w:val="single" w:sz="4" w:space="0" w:color="auto"/>
              <w:right w:val="single" w:sz="4" w:space="0" w:color="auto"/>
            </w:tcBorders>
            <w:shd w:val="clear" w:color="000000" w:fill="FFFFFF"/>
            <w:noWrap/>
            <w:vAlign w:val="center"/>
            <w:hideMark/>
          </w:tcPr>
          <w:p w14:paraId="5CAB908C" w14:textId="77777777" w:rsidR="00990A27" w:rsidRPr="00C42568" w:rsidRDefault="00990A27" w:rsidP="00990A27">
            <w:pPr>
              <w:jc w:val="right"/>
              <w:rPr>
                <w:rFonts w:eastAsia="Times New Roman"/>
                <w:color w:val="C00000"/>
                <w:sz w:val="18"/>
                <w:szCs w:val="18"/>
              </w:rPr>
            </w:pPr>
            <w:r w:rsidRPr="00C42568">
              <w:rPr>
                <w:rFonts w:eastAsia="Times New Roman"/>
                <w:color w:val="C00000"/>
                <w:sz w:val="18"/>
                <w:szCs w:val="18"/>
              </w:rPr>
              <w:t>5%</w:t>
            </w:r>
          </w:p>
        </w:tc>
      </w:tr>
    </w:tbl>
    <w:p w14:paraId="43DCBA8A" w14:textId="77777777" w:rsidR="005D3F00" w:rsidRDefault="009B5F38" w:rsidP="009B5F38">
      <w:pPr>
        <w:pStyle w:val="Source"/>
      </w:pPr>
      <w:r>
        <w:t xml:space="preserve">Source: Statistics Canada Table </w:t>
      </w:r>
      <w:r w:rsidRPr="009B5F38">
        <w:t>98-10-0113</w:t>
      </w:r>
    </w:p>
    <w:p w14:paraId="7B28EAE7" w14:textId="77777777" w:rsidR="00C50925" w:rsidRDefault="00C50925" w:rsidP="00C50925">
      <w:pPr>
        <w:jc w:val="both"/>
      </w:pPr>
    </w:p>
    <w:p w14:paraId="6804AAB4" w14:textId="77777777" w:rsidR="00DB3EFC" w:rsidRDefault="00C50925" w:rsidP="00C50925">
      <w:pPr>
        <w:jc w:val="both"/>
      </w:pPr>
      <w:r>
        <w:t xml:space="preserve">The breakdown by age group provides a different lens on the same underlying condition. High poverty rates among 18-to-24 year olds often reflect a combination of students, precarious entry-level employment, and limited access to income support programs. Elevated rates among children (0-17) are an indicator of housing insecurity risk: children in poverty are disproportionately likely to </w:t>
      </w:r>
      <w:r w:rsidR="000168CE">
        <w:t xml:space="preserve">be in households that </w:t>
      </w:r>
      <w:r>
        <w:t xml:space="preserve">live in overcrowded, inadequate, or unaffordable dwellings. </w:t>
      </w:r>
    </w:p>
    <w:p w14:paraId="5821468A" w14:textId="77777777" w:rsidR="00DB3EFC" w:rsidRDefault="00DB3EFC" w:rsidP="00C50925">
      <w:pPr>
        <w:jc w:val="both"/>
      </w:pPr>
    </w:p>
    <w:p w14:paraId="7D9739EB" w14:textId="77777777" w:rsidR="001907A7" w:rsidRDefault="00C50925" w:rsidP="00C50925">
      <w:pPr>
        <w:jc w:val="both"/>
      </w:pPr>
      <w:r>
        <w:t>Relatively lower rates among seniors (65+) warrant careful interpretation, as seniors may show lower measured poverty rates due to pension income while still facing affordability stress if fixed incomes do not keep pace with rent growth.</w:t>
      </w:r>
    </w:p>
    <w:p w14:paraId="6AF23D1C" w14:textId="77777777" w:rsidR="001907A7" w:rsidRDefault="001907A7" w:rsidP="00C50925">
      <w:pPr>
        <w:jc w:val="both"/>
      </w:pPr>
    </w:p>
    <w:p w14:paraId="7B5CB4A9" w14:textId="2D95E801" w:rsidR="004608FD" w:rsidRDefault="004608FD" w:rsidP="00C50925">
      <w:pPr>
        <w:jc w:val="both"/>
      </w:pPr>
      <w:r>
        <w:br w:type="page"/>
      </w:r>
    </w:p>
    <w:p w14:paraId="36C4DC56" w14:textId="2CB160E4" w:rsidR="0043538E" w:rsidRDefault="00072A93" w:rsidP="00072A93">
      <w:pPr>
        <w:pStyle w:val="Heading1"/>
      </w:pPr>
      <w:bookmarkStart w:id="37" w:name="_Toc223686641"/>
      <w:bookmarkStart w:id="38" w:name="_Toc237355939"/>
      <w:r>
        <w:lastRenderedPageBreak/>
        <w:t>HOUSING PROFILE</w:t>
      </w:r>
      <w:bookmarkEnd w:id="37"/>
      <w:bookmarkEnd w:id="38"/>
    </w:p>
    <w:p w14:paraId="54BA0CFA" w14:textId="77777777" w:rsidR="007F4DC2" w:rsidRDefault="007F4DC2" w:rsidP="00253520">
      <w:pPr>
        <w:jc w:val="both"/>
      </w:pPr>
    </w:p>
    <w:p w14:paraId="2BC5A084" w14:textId="0DFB7F5A" w:rsidR="007F4DC2" w:rsidRDefault="000819AE" w:rsidP="000819AE">
      <w:pPr>
        <w:jc w:val="both"/>
      </w:pPr>
      <w:r w:rsidRPr="000819AE">
        <w:t>This section provides a comprehensive inventory and analysis of the community's existing housing stock, rental market, home prices, construction activity, and non-market housing</w:t>
      </w:r>
      <w:r w:rsidR="00B03DC7">
        <w:t xml:space="preserve"> supply</w:t>
      </w:r>
      <w:r w:rsidRPr="000819AE">
        <w:t xml:space="preserve">. </w:t>
      </w:r>
      <w:r w:rsidR="002A384D">
        <w:t>Where possible, comparisons are made between the local community and the county / region and province said community belongs to.</w:t>
      </w:r>
    </w:p>
    <w:p w14:paraId="690571ED" w14:textId="77777777" w:rsidR="000819AE" w:rsidRDefault="000819AE" w:rsidP="00022B3E"/>
    <w:p w14:paraId="2FD770F9" w14:textId="5DD4120F" w:rsidR="0043538E" w:rsidRDefault="00072A93">
      <w:pPr>
        <w:pStyle w:val="Heading2"/>
      </w:pPr>
      <w:bookmarkStart w:id="39" w:name="_Toc223686642"/>
      <w:bookmarkStart w:id="40" w:name="_Toc237355940"/>
      <w:r>
        <w:t>EXISTING INVENTORY</w:t>
      </w:r>
      <w:bookmarkEnd w:id="39"/>
      <w:bookmarkEnd w:id="40"/>
    </w:p>
    <w:p w14:paraId="3E8F1FDC" w14:textId="2FDDDF50" w:rsidR="00B060B1" w:rsidRDefault="00C63F46" w:rsidP="00B060B1">
      <w:pPr>
        <w:jc w:val="both"/>
      </w:pPr>
      <w:r w:rsidRPr="00C63F46">
        <w:rPr>
          <w:rStyle w:val="Figure-textChar"/>
        </w:rPr>
        <w:fldChar w:fldCharType="begin"/>
      </w:r>
      <w:r w:rsidRPr="00C63F46">
        <w:rPr>
          <w:rStyle w:val="Figure-textChar"/>
        </w:rPr>
        <w:instrText xml:space="preserve"> REF _Ref223275555 \h  \* MERGEFORMAT </w:instrText>
      </w:r>
      <w:r w:rsidRPr="00C63F46">
        <w:rPr>
          <w:rStyle w:val="Figure-textChar"/>
        </w:rPr>
      </w:r>
      <w:r w:rsidRPr="00C63F46">
        <w:rPr>
          <w:rStyle w:val="Figure-textChar"/>
        </w:rPr>
        <w:fldChar w:fldCharType="separate"/>
      </w:r>
      <w:r w:rsidR="00CA6116" w:rsidRPr="00CA6116">
        <w:rPr>
          <w:rStyle w:val="Figure-textChar"/>
        </w:rPr>
        <w:t>Table 6.1</w:t>
      </w:r>
      <w:r w:rsidRPr="00C63F46">
        <w:rPr>
          <w:rStyle w:val="Figure-textChar"/>
        </w:rPr>
        <w:fldChar w:fldCharType="end"/>
      </w:r>
      <w:r w:rsidR="00B060B1" w:rsidRPr="00B060B1">
        <w:t xml:space="preserve"> describes the composition of the local housing stock by structural type and tenure, </w:t>
      </w:r>
      <w:r w:rsidR="00566EC8">
        <w:t>placing</w:t>
      </w:r>
      <w:r w:rsidR="00B060B1" w:rsidRPr="00B060B1">
        <w:t xml:space="preserve"> the community's existing supply profile within its </w:t>
      </w:r>
      <w:r w:rsidR="00566EC8">
        <w:t>broader</w:t>
      </w:r>
      <w:r w:rsidR="00B060B1" w:rsidRPr="00B060B1">
        <w:t xml:space="preserve"> context</w:t>
      </w:r>
      <w:r w:rsidR="0018449D">
        <w:t>.</w:t>
      </w:r>
      <w:r w:rsidR="008133AF">
        <w:t xml:space="preserve"> Note that the </w:t>
      </w:r>
      <w:r w:rsidR="00407CC9">
        <w:t>inventory</w:t>
      </w:r>
      <w:r w:rsidR="008133AF">
        <w:t xml:space="preserve"> </w:t>
      </w:r>
      <w:r w:rsidR="004F15C0">
        <w:t xml:space="preserve">represents those homes occupied by a “usual resident,” or someone that identifies the dwelling as their primary residence. Meaning, the actual </w:t>
      </w:r>
      <w:r w:rsidR="00DA5AB4">
        <w:t xml:space="preserve">total stock is likely higher (and dramatically so in communities with </w:t>
      </w:r>
      <w:r w:rsidR="00357A3F">
        <w:t>a notable presence of cottages, chalets, or recreational properties).</w:t>
      </w:r>
    </w:p>
    <w:p w14:paraId="5DD9F448" w14:textId="77777777" w:rsidR="00683659" w:rsidRDefault="00683659" w:rsidP="008966FC"/>
    <w:p w14:paraId="692CD088" w14:textId="122B3DFC" w:rsidR="0023120F" w:rsidRDefault="0023120F" w:rsidP="0023120F">
      <w:pPr>
        <w:pStyle w:val="Caption"/>
      </w:pPr>
      <w:bookmarkStart w:id="41" w:name="_Ref223275555"/>
      <w:r>
        <w:t xml:space="preserve">Table </w:t>
      </w:r>
      <w:fldSimple w:instr=" STYLEREF 1 \s ">
        <w:r w:rsidR="005E459C">
          <w:rPr>
            <w:noProof/>
          </w:rPr>
          <w:t>6</w:t>
        </w:r>
      </w:fldSimple>
      <w:r w:rsidR="00BD4359">
        <w:t>.</w:t>
      </w:r>
      <w:fldSimple w:instr=" SEQ Table \* ARABIC \s 1 ">
        <w:r w:rsidR="005E459C">
          <w:rPr>
            <w:noProof/>
          </w:rPr>
          <w:t>1</w:t>
        </w:r>
      </w:fldSimple>
      <w:bookmarkEnd w:id="41"/>
      <w:r>
        <w:t>: Dwellings occupied by a usual resident by structure type, tenure, and geography, 2021</w:t>
      </w:r>
    </w:p>
    <w:tbl>
      <w:tblPr>
        <w:tblW w:w="9360" w:type="dxa"/>
        <w:tblLayout w:type="fixed"/>
        <w:tblLook w:val="04A0" w:firstRow="1" w:lastRow="0" w:firstColumn="1" w:lastColumn="0" w:noHBand="0" w:noVBand="1"/>
      </w:tblPr>
      <w:tblGrid>
        <w:gridCol w:w="1239"/>
        <w:gridCol w:w="1238"/>
        <w:gridCol w:w="1147"/>
        <w:gridCol w:w="1147"/>
        <w:gridCol w:w="1147"/>
        <w:gridCol w:w="1147"/>
        <w:gridCol w:w="1147"/>
        <w:gridCol w:w="1148"/>
      </w:tblGrid>
      <w:tr w:rsidR="002B3B23" w:rsidRPr="002B3B23" w14:paraId="7AEFBE3D" w14:textId="77777777" w:rsidTr="003C59F9">
        <w:trPr>
          <w:trHeight w:val="402"/>
          <w:tblHeader/>
        </w:trPr>
        <w:tc>
          <w:tcPr>
            <w:tcW w:w="1239" w:type="dxa"/>
            <w:tcBorders>
              <w:top w:val="nil"/>
              <w:left w:val="nil"/>
              <w:bottom w:val="single" w:sz="4" w:space="0" w:color="auto"/>
              <w:right w:val="nil"/>
            </w:tcBorders>
            <w:noWrap/>
            <w:vAlign w:val="center"/>
            <w:hideMark/>
          </w:tcPr>
          <w:p w14:paraId="27F4E6D9" w14:textId="77777777" w:rsidR="002B3B23" w:rsidRPr="002B3B23" w:rsidRDefault="002B3B23" w:rsidP="008B19CE">
            <w:pPr>
              <w:rPr>
                <w:rFonts w:ascii="Times New Roman" w:eastAsia="Times New Roman" w:hAnsi="Times New Roman" w:cs="Times New Roman"/>
                <w:sz w:val="24"/>
                <w:szCs w:val="24"/>
              </w:rPr>
            </w:pPr>
          </w:p>
        </w:tc>
        <w:tc>
          <w:tcPr>
            <w:tcW w:w="1238" w:type="dxa"/>
            <w:tcBorders>
              <w:top w:val="nil"/>
              <w:left w:val="nil"/>
              <w:bottom w:val="single" w:sz="4" w:space="0" w:color="auto"/>
              <w:right w:val="nil"/>
            </w:tcBorders>
            <w:noWrap/>
            <w:vAlign w:val="center"/>
            <w:hideMark/>
          </w:tcPr>
          <w:p w14:paraId="7948E207" w14:textId="77777777" w:rsidR="002B3B23" w:rsidRPr="002B3B23" w:rsidRDefault="002B3B23" w:rsidP="008B19CE">
            <w:pPr>
              <w:rPr>
                <w:rFonts w:ascii="Times New Roman" w:eastAsia="Times New Roman" w:hAnsi="Times New Roman" w:cs="Times New Roman"/>
                <w:sz w:val="20"/>
                <w:szCs w:val="20"/>
              </w:rPr>
            </w:pPr>
          </w:p>
        </w:tc>
        <w:tc>
          <w:tcPr>
            <w:tcW w:w="3441" w:type="dxa"/>
            <w:gridSpan w:val="3"/>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7C142684" w14:textId="77777777" w:rsidR="002B3B23" w:rsidRPr="002B3B23" w:rsidRDefault="002B3B23" w:rsidP="008B19CE">
            <w:pPr>
              <w:jc w:val="center"/>
              <w:rPr>
                <w:rFonts w:eastAsia="Times New Roman"/>
                <w:color w:val="FFFFFF"/>
                <w:sz w:val="18"/>
                <w:szCs w:val="18"/>
              </w:rPr>
            </w:pPr>
            <w:r w:rsidRPr="002B3B23">
              <w:rPr>
                <w:rFonts w:eastAsia="Times New Roman"/>
                <w:color w:val="FFFFFF"/>
                <w:sz w:val="18"/>
                <w:szCs w:val="18"/>
              </w:rPr>
              <w:t>By tenure</w:t>
            </w:r>
          </w:p>
        </w:tc>
        <w:tc>
          <w:tcPr>
            <w:tcW w:w="3442" w:type="dxa"/>
            <w:gridSpan w:val="3"/>
            <w:tcBorders>
              <w:top w:val="single" w:sz="4" w:space="0" w:color="auto"/>
              <w:left w:val="nil"/>
              <w:bottom w:val="single" w:sz="4" w:space="0" w:color="auto"/>
              <w:right w:val="single" w:sz="4" w:space="0" w:color="000000"/>
            </w:tcBorders>
            <w:shd w:val="clear" w:color="auto" w:fill="080314" w:themeFill="accent4"/>
            <w:noWrap/>
            <w:vAlign w:val="center"/>
            <w:hideMark/>
          </w:tcPr>
          <w:p w14:paraId="2C169F73" w14:textId="141EE129" w:rsidR="002B3B23" w:rsidRPr="002B3B23" w:rsidRDefault="002324E3" w:rsidP="008B19CE">
            <w:pPr>
              <w:jc w:val="center"/>
              <w:rPr>
                <w:rFonts w:eastAsia="Times New Roman"/>
                <w:color w:val="FFFFFF"/>
                <w:sz w:val="18"/>
                <w:szCs w:val="18"/>
              </w:rPr>
            </w:pPr>
            <w:r>
              <w:rPr>
                <w:rFonts w:eastAsia="Times New Roman"/>
                <w:color w:val="FFFFFF"/>
                <w:sz w:val="18"/>
                <w:szCs w:val="18"/>
              </w:rPr>
              <w:t>Share of total dwellings</w:t>
            </w:r>
          </w:p>
        </w:tc>
      </w:tr>
      <w:tr w:rsidR="00E84840" w:rsidRPr="002B3B23" w14:paraId="6E097DAB" w14:textId="77777777" w:rsidTr="003C59F9">
        <w:trPr>
          <w:trHeight w:val="402"/>
          <w:tblHeader/>
        </w:trPr>
        <w:tc>
          <w:tcPr>
            <w:tcW w:w="2477" w:type="dxa"/>
            <w:gridSpan w:val="2"/>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5A622497" w14:textId="77777777" w:rsidR="002B3B23" w:rsidRPr="002B3B23" w:rsidRDefault="002B3B23" w:rsidP="008B19CE">
            <w:pPr>
              <w:rPr>
                <w:rFonts w:eastAsia="Times New Roman"/>
                <w:color w:val="FFFFFF"/>
                <w:sz w:val="18"/>
                <w:szCs w:val="18"/>
              </w:rPr>
            </w:pPr>
            <w:r w:rsidRPr="002B3B23">
              <w:rPr>
                <w:rFonts w:eastAsia="Times New Roman"/>
                <w:color w:val="FFFFFF"/>
                <w:sz w:val="18"/>
                <w:szCs w:val="18"/>
              </w:rPr>
              <w:t>Characteristic</w:t>
            </w:r>
          </w:p>
        </w:tc>
        <w:tc>
          <w:tcPr>
            <w:tcW w:w="1147" w:type="dxa"/>
            <w:tcBorders>
              <w:top w:val="single" w:sz="4" w:space="0" w:color="auto"/>
              <w:left w:val="single" w:sz="4" w:space="0" w:color="auto"/>
              <w:bottom w:val="single" w:sz="4" w:space="0" w:color="auto"/>
              <w:right w:val="single" w:sz="4" w:space="0" w:color="auto"/>
            </w:tcBorders>
            <w:shd w:val="clear" w:color="auto" w:fill="CFD9E3" w:themeFill="accent1"/>
            <w:noWrap/>
            <w:vAlign w:val="center"/>
            <w:hideMark/>
          </w:tcPr>
          <w:p w14:paraId="0222AD92" w14:textId="77777777" w:rsidR="002B3B23" w:rsidRPr="002B3B23" w:rsidRDefault="002B3B23" w:rsidP="008B19CE">
            <w:pPr>
              <w:jc w:val="right"/>
              <w:rPr>
                <w:rFonts w:eastAsia="Times New Roman"/>
                <w:color w:val="0D0D0D"/>
                <w:sz w:val="18"/>
                <w:szCs w:val="18"/>
              </w:rPr>
            </w:pPr>
            <w:r w:rsidRPr="002B3B23">
              <w:rPr>
                <w:rFonts w:eastAsia="Times New Roman"/>
                <w:color w:val="0D0D0D"/>
                <w:sz w:val="18"/>
                <w:szCs w:val="18"/>
              </w:rPr>
              <w:t>Total</w:t>
            </w:r>
          </w:p>
        </w:tc>
        <w:tc>
          <w:tcPr>
            <w:tcW w:w="1147" w:type="dxa"/>
            <w:tcBorders>
              <w:top w:val="single" w:sz="4" w:space="0" w:color="auto"/>
              <w:left w:val="nil"/>
              <w:bottom w:val="single" w:sz="4" w:space="0" w:color="auto"/>
              <w:right w:val="single" w:sz="4" w:space="0" w:color="BFBFBF"/>
            </w:tcBorders>
            <w:shd w:val="clear" w:color="auto" w:fill="CFD9E3" w:themeFill="accent1"/>
            <w:noWrap/>
            <w:vAlign w:val="center"/>
            <w:hideMark/>
          </w:tcPr>
          <w:p w14:paraId="07695F0F" w14:textId="77777777" w:rsidR="002B3B23" w:rsidRPr="002B3B23" w:rsidRDefault="002B3B23" w:rsidP="008B19CE">
            <w:pPr>
              <w:jc w:val="right"/>
              <w:rPr>
                <w:rFonts w:eastAsia="Times New Roman"/>
                <w:color w:val="0D0D0D"/>
                <w:sz w:val="18"/>
                <w:szCs w:val="18"/>
              </w:rPr>
            </w:pPr>
            <w:r w:rsidRPr="002B3B23">
              <w:rPr>
                <w:rFonts w:eastAsia="Times New Roman"/>
                <w:color w:val="0D0D0D"/>
                <w:sz w:val="18"/>
                <w:szCs w:val="18"/>
              </w:rPr>
              <w:t>Owner</w:t>
            </w:r>
          </w:p>
        </w:tc>
        <w:tc>
          <w:tcPr>
            <w:tcW w:w="1147"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70706B96" w14:textId="77777777" w:rsidR="002B3B23" w:rsidRPr="002B3B23" w:rsidRDefault="002B3B23" w:rsidP="008B19CE">
            <w:pPr>
              <w:jc w:val="right"/>
              <w:rPr>
                <w:rFonts w:eastAsia="Times New Roman"/>
                <w:color w:val="0D0D0D"/>
                <w:sz w:val="18"/>
                <w:szCs w:val="18"/>
              </w:rPr>
            </w:pPr>
            <w:r w:rsidRPr="002B3B23">
              <w:rPr>
                <w:rFonts w:eastAsia="Times New Roman"/>
                <w:color w:val="0D0D0D"/>
                <w:sz w:val="18"/>
                <w:szCs w:val="18"/>
              </w:rPr>
              <w:t>Renter</w:t>
            </w:r>
          </w:p>
        </w:tc>
        <w:tc>
          <w:tcPr>
            <w:tcW w:w="1147" w:type="dxa"/>
            <w:tcBorders>
              <w:top w:val="single" w:sz="4" w:space="0" w:color="auto"/>
              <w:left w:val="nil"/>
              <w:bottom w:val="single" w:sz="4" w:space="0" w:color="auto"/>
              <w:right w:val="single" w:sz="4" w:space="0" w:color="BFBFBF"/>
            </w:tcBorders>
            <w:shd w:val="clear" w:color="auto" w:fill="DED3F8" w:themeFill="accent4" w:themeFillTint="1A"/>
            <w:noWrap/>
            <w:vAlign w:val="center"/>
            <w:hideMark/>
          </w:tcPr>
          <w:p w14:paraId="23DC3F9D" w14:textId="77777777" w:rsidR="002B3B23" w:rsidRPr="002B3B23" w:rsidRDefault="002B3B23" w:rsidP="008B19CE">
            <w:pPr>
              <w:jc w:val="right"/>
              <w:rPr>
                <w:rFonts w:eastAsia="Times New Roman"/>
                <w:color w:val="0D0D0D"/>
                <w:sz w:val="18"/>
                <w:szCs w:val="18"/>
              </w:rPr>
            </w:pPr>
            <w:r w:rsidRPr="002B3B23">
              <w:rPr>
                <w:rFonts w:eastAsia="Times New Roman"/>
                <w:color w:val="0D0D0D"/>
                <w:sz w:val="18"/>
                <w:szCs w:val="18"/>
              </w:rPr>
              <w:t>Local</w:t>
            </w:r>
          </w:p>
        </w:tc>
        <w:tc>
          <w:tcPr>
            <w:tcW w:w="1147" w:type="dxa"/>
            <w:tcBorders>
              <w:top w:val="single" w:sz="4" w:space="0" w:color="auto"/>
              <w:left w:val="nil"/>
              <w:bottom w:val="single" w:sz="4" w:space="0" w:color="auto"/>
              <w:right w:val="single" w:sz="4" w:space="0" w:color="BFBFBF"/>
            </w:tcBorders>
            <w:shd w:val="clear" w:color="auto" w:fill="DED3F8" w:themeFill="accent4" w:themeFillTint="1A"/>
            <w:noWrap/>
            <w:vAlign w:val="center"/>
            <w:hideMark/>
          </w:tcPr>
          <w:p w14:paraId="53812467" w14:textId="77777777" w:rsidR="002B3B23" w:rsidRPr="002B3B23" w:rsidRDefault="002B3B23" w:rsidP="008B19CE">
            <w:pPr>
              <w:jc w:val="right"/>
              <w:rPr>
                <w:rFonts w:eastAsia="Times New Roman"/>
                <w:color w:val="0D0D0D"/>
                <w:sz w:val="18"/>
                <w:szCs w:val="18"/>
              </w:rPr>
            </w:pPr>
            <w:r w:rsidRPr="002B3B23">
              <w:rPr>
                <w:rFonts w:eastAsia="Times New Roman"/>
                <w:color w:val="0D0D0D"/>
                <w:sz w:val="18"/>
                <w:szCs w:val="18"/>
              </w:rPr>
              <w:t>Region</w:t>
            </w:r>
          </w:p>
        </w:tc>
        <w:tc>
          <w:tcPr>
            <w:tcW w:w="1148" w:type="dxa"/>
            <w:tcBorders>
              <w:top w:val="single" w:sz="4" w:space="0" w:color="auto"/>
              <w:left w:val="nil"/>
              <w:bottom w:val="single" w:sz="4" w:space="0" w:color="auto"/>
              <w:right w:val="single" w:sz="4" w:space="0" w:color="auto"/>
            </w:tcBorders>
            <w:shd w:val="clear" w:color="auto" w:fill="DED3F8" w:themeFill="accent4" w:themeFillTint="1A"/>
            <w:noWrap/>
            <w:vAlign w:val="center"/>
            <w:hideMark/>
          </w:tcPr>
          <w:p w14:paraId="1C5E705E" w14:textId="77777777" w:rsidR="002B3B23" w:rsidRPr="002B3B23" w:rsidRDefault="002B3B23" w:rsidP="008B19CE">
            <w:pPr>
              <w:jc w:val="right"/>
              <w:rPr>
                <w:rFonts w:eastAsia="Times New Roman"/>
                <w:color w:val="0D0D0D"/>
                <w:sz w:val="18"/>
                <w:szCs w:val="18"/>
              </w:rPr>
            </w:pPr>
            <w:r w:rsidRPr="002B3B23">
              <w:rPr>
                <w:rFonts w:eastAsia="Times New Roman"/>
                <w:color w:val="0D0D0D"/>
                <w:sz w:val="18"/>
                <w:szCs w:val="18"/>
              </w:rPr>
              <w:t>Province</w:t>
            </w:r>
          </w:p>
        </w:tc>
      </w:tr>
      <w:tr w:rsidR="00E84840" w:rsidRPr="002B3B23" w14:paraId="353DFE0A" w14:textId="77777777" w:rsidTr="00527117">
        <w:trPr>
          <w:trHeight w:val="402"/>
        </w:trPr>
        <w:tc>
          <w:tcPr>
            <w:tcW w:w="2477"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7D26F9CF"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Total</w:t>
            </w:r>
          </w:p>
        </w:tc>
        <w:tc>
          <w:tcPr>
            <w:tcW w:w="1147" w:type="dxa"/>
            <w:tcBorders>
              <w:top w:val="single" w:sz="4" w:space="0" w:color="auto"/>
              <w:left w:val="nil"/>
              <w:bottom w:val="single" w:sz="4" w:space="0" w:color="auto"/>
              <w:right w:val="single" w:sz="4" w:space="0" w:color="auto"/>
            </w:tcBorders>
            <w:shd w:val="clear" w:color="000000" w:fill="F2F2F2"/>
            <w:noWrap/>
            <w:vAlign w:val="center"/>
            <w:hideMark/>
          </w:tcPr>
          <w:p w14:paraId="5B4A8198"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17,180</w:t>
            </w:r>
          </w:p>
        </w:tc>
        <w:tc>
          <w:tcPr>
            <w:tcW w:w="1147" w:type="dxa"/>
            <w:tcBorders>
              <w:top w:val="single" w:sz="4" w:space="0" w:color="auto"/>
              <w:left w:val="nil"/>
              <w:bottom w:val="single" w:sz="4" w:space="0" w:color="auto"/>
              <w:right w:val="single" w:sz="4" w:space="0" w:color="BFBFBF"/>
            </w:tcBorders>
            <w:shd w:val="clear" w:color="000000" w:fill="F2F2F2"/>
            <w:noWrap/>
            <w:vAlign w:val="center"/>
            <w:hideMark/>
          </w:tcPr>
          <w:p w14:paraId="545A86C0"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46%</w:t>
            </w:r>
          </w:p>
        </w:tc>
        <w:tc>
          <w:tcPr>
            <w:tcW w:w="1147" w:type="dxa"/>
            <w:tcBorders>
              <w:top w:val="single" w:sz="4" w:space="0" w:color="auto"/>
              <w:left w:val="nil"/>
              <w:bottom w:val="single" w:sz="4" w:space="0" w:color="auto"/>
              <w:right w:val="single" w:sz="4" w:space="0" w:color="BFBFBF"/>
            </w:tcBorders>
            <w:shd w:val="clear" w:color="000000" w:fill="F2F2F2"/>
            <w:noWrap/>
            <w:vAlign w:val="center"/>
            <w:hideMark/>
          </w:tcPr>
          <w:p w14:paraId="2FF0481F"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54%</w:t>
            </w:r>
          </w:p>
        </w:tc>
        <w:tc>
          <w:tcPr>
            <w:tcW w:w="1147" w:type="dxa"/>
            <w:tcBorders>
              <w:top w:val="single" w:sz="4" w:space="0" w:color="auto"/>
              <w:left w:val="single" w:sz="4" w:space="0" w:color="auto"/>
              <w:bottom w:val="single" w:sz="4" w:space="0" w:color="auto"/>
              <w:right w:val="single" w:sz="4" w:space="0" w:color="BFBFBF"/>
            </w:tcBorders>
            <w:shd w:val="clear" w:color="000000" w:fill="F2F2F2"/>
            <w:noWrap/>
            <w:vAlign w:val="center"/>
            <w:hideMark/>
          </w:tcPr>
          <w:p w14:paraId="300B94F8"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17,180</w:t>
            </w:r>
          </w:p>
        </w:tc>
        <w:tc>
          <w:tcPr>
            <w:tcW w:w="1147" w:type="dxa"/>
            <w:tcBorders>
              <w:top w:val="single" w:sz="4" w:space="0" w:color="auto"/>
              <w:left w:val="nil"/>
              <w:bottom w:val="single" w:sz="4" w:space="0" w:color="auto"/>
              <w:right w:val="single" w:sz="4" w:space="0" w:color="BFBFBF"/>
            </w:tcBorders>
            <w:shd w:val="clear" w:color="000000" w:fill="F2F2F2"/>
            <w:noWrap/>
            <w:vAlign w:val="center"/>
            <w:hideMark/>
          </w:tcPr>
          <w:p w14:paraId="475EC16A"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37,230</w:t>
            </w:r>
          </w:p>
        </w:tc>
        <w:tc>
          <w:tcPr>
            <w:tcW w:w="1148" w:type="dxa"/>
            <w:tcBorders>
              <w:top w:val="single" w:sz="4" w:space="0" w:color="auto"/>
              <w:left w:val="nil"/>
              <w:bottom w:val="single" w:sz="4" w:space="0" w:color="auto"/>
              <w:right w:val="single" w:sz="4" w:space="0" w:color="auto"/>
            </w:tcBorders>
            <w:shd w:val="clear" w:color="000000" w:fill="F2F2F2"/>
            <w:noWrap/>
            <w:vAlign w:val="center"/>
            <w:hideMark/>
          </w:tcPr>
          <w:p w14:paraId="192ED8C0"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64,570</w:t>
            </w:r>
          </w:p>
        </w:tc>
      </w:tr>
      <w:tr w:rsidR="002B3B23" w:rsidRPr="002B3B23" w14:paraId="56BFE967" w14:textId="77777777" w:rsidTr="008B19CE">
        <w:trPr>
          <w:trHeight w:val="402"/>
        </w:trPr>
        <w:tc>
          <w:tcPr>
            <w:tcW w:w="2477" w:type="dxa"/>
            <w:gridSpan w:val="2"/>
            <w:tcBorders>
              <w:top w:val="single" w:sz="4" w:space="0" w:color="auto"/>
              <w:left w:val="single" w:sz="4" w:space="0" w:color="auto"/>
              <w:bottom w:val="single" w:sz="4" w:space="0" w:color="BFBFBF"/>
              <w:right w:val="single" w:sz="4" w:space="0" w:color="000000"/>
            </w:tcBorders>
            <w:noWrap/>
            <w:vAlign w:val="center"/>
            <w:hideMark/>
          </w:tcPr>
          <w:p w14:paraId="264799A1"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Single-detached</w:t>
            </w:r>
          </w:p>
        </w:tc>
        <w:tc>
          <w:tcPr>
            <w:tcW w:w="1147" w:type="dxa"/>
            <w:tcBorders>
              <w:top w:val="nil"/>
              <w:left w:val="nil"/>
              <w:bottom w:val="single" w:sz="4" w:space="0" w:color="BFBFBF"/>
              <w:right w:val="single" w:sz="4" w:space="0" w:color="auto"/>
            </w:tcBorders>
            <w:noWrap/>
            <w:vAlign w:val="center"/>
            <w:hideMark/>
          </w:tcPr>
          <w:p w14:paraId="23DD80B8"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7,485</w:t>
            </w:r>
          </w:p>
        </w:tc>
        <w:tc>
          <w:tcPr>
            <w:tcW w:w="1147" w:type="dxa"/>
            <w:tcBorders>
              <w:top w:val="nil"/>
              <w:left w:val="nil"/>
              <w:bottom w:val="single" w:sz="4" w:space="0" w:color="BFBFBF"/>
              <w:right w:val="single" w:sz="4" w:space="0" w:color="BFBFBF"/>
            </w:tcBorders>
            <w:noWrap/>
            <w:vAlign w:val="center"/>
            <w:hideMark/>
          </w:tcPr>
          <w:p w14:paraId="039FD469"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87%</w:t>
            </w:r>
          </w:p>
        </w:tc>
        <w:tc>
          <w:tcPr>
            <w:tcW w:w="1147" w:type="dxa"/>
            <w:tcBorders>
              <w:top w:val="nil"/>
              <w:left w:val="nil"/>
              <w:bottom w:val="single" w:sz="4" w:space="0" w:color="BFBFBF"/>
              <w:right w:val="single" w:sz="4" w:space="0" w:color="auto"/>
            </w:tcBorders>
            <w:noWrap/>
            <w:vAlign w:val="center"/>
            <w:hideMark/>
          </w:tcPr>
          <w:p w14:paraId="25A47126"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13%</w:t>
            </w:r>
          </w:p>
        </w:tc>
        <w:tc>
          <w:tcPr>
            <w:tcW w:w="1147" w:type="dxa"/>
            <w:tcBorders>
              <w:top w:val="nil"/>
              <w:left w:val="nil"/>
              <w:bottom w:val="single" w:sz="4" w:space="0" w:color="BFBFBF"/>
              <w:right w:val="single" w:sz="4" w:space="0" w:color="BFBFBF"/>
            </w:tcBorders>
            <w:noWrap/>
            <w:vAlign w:val="center"/>
            <w:hideMark/>
          </w:tcPr>
          <w:p w14:paraId="309590B4"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44%</w:t>
            </w:r>
          </w:p>
        </w:tc>
        <w:tc>
          <w:tcPr>
            <w:tcW w:w="1147" w:type="dxa"/>
            <w:tcBorders>
              <w:top w:val="nil"/>
              <w:left w:val="nil"/>
              <w:bottom w:val="single" w:sz="4" w:space="0" w:color="BFBFBF"/>
              <w:right w:val="single" w:sz="4" w:space="0" w:color="BFBFBF"/>
            </w:tcBorders>
            <w:noWrap/>
            <w:vAlign w:val="center"/>
            <w:hideMark/>
          </w:tcPr>
          <w:p w14:paraId="74DD1152"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64%</w:t>
            </w:r>
          </w:p>
        </w:tc>
        <w:tc>
          <w:tcPr>
            <w:tcW w:w="1148" w:type="dxa"/>
            <w:tcBorders>
              <w:top w:val="nil"/>
              <w:left w:val="nil"/>
              <w:bottom w:val="single" w:sz="4" w:space="0" w:color="BFBFBF"/>
              <w:right w:val="single" w:sz="4" w:space="0" w:color="auto"/>
            </w:tcBorders>
            <w:noWrap/>
            <w:vAlign w:val="center"/>
            <w:hideMark/>
          </w:tcPr>
          <w:p w14:paraId="5FEE5F03"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68%</w:t>
            </w:r>
          </w:p>
        </w:tc>
      </w:tr>
      <w:tr w:rsidR="002B3B23" w:rsidRPr="002B3B23" w14:paraId="4B3F6C3C" w14:textId="77777777" w:rsidTr="008B19CE">
        <w:trPr>
          <w:trHeight w:val="402"/>
        </w:trPr>
        <w:tc>
          <w:tcPr>
            <w:tcW w:w="2477"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1B6A032A"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Semi-detached</w:t>
            </w:r>
          </w:p>
        </w:tc>
        <w:tc>
          <w:tcPr>
            <w:tcW w:w="1147" w:type="dxa"/>
            <w:tcBorders>
              <w:top w:val="nil"/>
              <w:left w:val="nil"/>
              <w:bottom w:val="single" w:sz="4" w:space="0" w:color="BFBFBF"/>
              <w:right w:val="single" w:sz="4" w:space="0" w:color="auto"/>
            </w:tcBorders>
            <w:shd w:val="clear" w:color="000000" w:fill="F2F2F2"/>
            <w:noWrap/>
            <w:vAlign w:val="center"/>
            <w:hideMark/>
          </w:tcPr>
          <w:p w14:paraId="4D082791"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1,560</w:t>
            </w:r>
          </w:p>
        </w:tc>
        <w:tc>
          <w:tcPr>
            <w:tcW w:w="1147" w:type="dxa"/>
            <w:tcBorders>
              <w:top w:val="nil"/>
              <w:left w:val="nil"/>
              <w:bottom w:val="single" w:sz="4" w:space="0" w:color="BFBFBF"/>
              <w:right w:val="single" w:sz="4" w:space="0" w:color="BFBFBF"/>
            </w:tcBorders>
            <w:shd w:val="clear" w:color="000000" w:fill="F2F2F2"/>
            <w:noWrap/>
            <w:vAlign w:val="center"/>
            <w:hideMark/>
          </w:tcPr>
          <w:p w14:paraId="4CE2C030"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33%</w:t>
            </w:r>
          </w:p>
        </w:tc>
        <w:tc>
          <w:tcPr>
            <w:tcW w:w="1147" w:type="dxa"/>
            <w:tcBorders>
              <w:top w:val="nil"/>
              <w:left w:val="nil"/>
              <w:bottom w:val="single" w:sz="4" w:space="0" w:color="BFBFBF"/>
              <w:right w:val="single" w:sz="4" w:space="0" w:color="auto"/>
            </w:tcBorders>
            <w:shd w:val="clear" w:color="000000" w:fill="F2F2F2"/>
            <w:noWrap/>
            <w:vAlign w:val="center"/>
            <w:hideMark/>
          </w:tcPr>
          <w:p w14:paraId="31F3DB76"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67%</w:t>
            </w:r>
          </w:p>
        </w:tc>
        <w:tc>
          <w:tcPr>
            <w:tcW w:w="1147" w:type="dxa"/>
            <w:tcBorders>
              <w:top w:val="nil"/>
              <w:left w:val="nil"/>
              <w:bottom w:val="single" w:sz="4" w:space="0" w:color="BFBFBF"/>
              <w:right w:val="single" w:sz="4" w:space="0" w:color="BFBFBF"/>
            </w:tcBorders>
            <w:shd w:val="clear" w:color="000000" w:fill="F2F2F2"/>
            <w:noWrap/>
            <w:vAlign w:val="center"/>
            <w:hideMark/>
          </w:tcPr>
          <w:p w14:paraId="73371887"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9%</w:t>
            </w:r>
          </w:p>
        </w:tc>
        <w:tc>
          <w:tcPr>
            <w:tcW w:w="1147" w:type="dxa"/>
            <w:tcBorders>
              <w:top w:val="nil"/>
              <w:left w:val="nil"/>
              <w:bottom w:val="single" w:sz="4" w:space="0" w:color="BFBFBF"/>
              <w:right w:val="single" w:sz="4" w:space="0" w:color="BFBFBF"/>
            </w:tcBorders>
            <w:shd w:val="clear" w:color="000000" w:fill="F2F2F2"/>
            <w:noWrap/>
            <w:vAlign w:val="center"/>
            <w:hideMark/>
          </w:tcPr>
          <w:p w14:paraId="23B4EB01"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w:t>
            </w:r>
          </w:p>
        </w:tc>
        <w:tc>
          <w:tcPr>
            <w:tcW w:w="1148" w:type="dxa"/>
            <w:tcBorders>
              <w:top w:val="nil"/>
              <w:left w:val="nil"/>
              <w:bottom w:val="single" w:sz="4" w:space="0" w:color="BFBFBF"/>
              <w:right w:val="single" w:sz="4" w:space="0" w:color="auto"/>
            </w:tcBorders>
            <w:shd w:val="clear" w:color="000000" w:fill="F2F2F2"/>
            <w:noWrap/>
            <w:vAlign w:val="center"/>
            <w:hideMark/>
          </w:tcPr>
          <w:p w14:paraId="6EA857DB"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w:t>
            </w:r>
          </w:p>
        </w:tc>
      </w:tr>
      <w:tr w:rsidR="002B3B23" w:rsidRPr="002B3B23" w14:paraId="06F36A7B" w14:textId="77777777" w:rsidTr="008B19CE">
        <w:trPr>
          <w:trHeight w:val="402"/>
        </w:trPr>
        <w:tc>
          <w:tcPr>
            <w:tcW w:w="2477" w:type="dxa"/>
            <w:gridSpan w:val="2"/>
            <w:tcBorders>
              <w:top w:val="single" w:sz="4" w:space="0" w:color="BFBFBF"/>
              <w:left w:val="single" w:sz="4" w:space="0" w:color="auto"/>
              <w:bottom w:val="single" w:sz="4" w:space="0" w:color="BFBFBF"/>
              <w:right w:val="single" w:sz="4" w:space="0" w:color="000000"/>
            </w:tcBorders>
            <w:noWrap/>
            <w:vAlign w:val="center"/>
            <w:hideMark/>
          </w:tcPr>
          <w:p w14:paraId="5B28276A"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Row house</w:t>
            </w:r>
          </w:p>
        </w:tc>
        <w:tc>
          <w:tcPr>
            <w:tcW w:w="1147" w:type="dxa"/>
            <w:tcBorders>
              <w:top w:val="nil"/>
              <w:left w:val="nil"/>
              <w:bottom w:val="single" w:sz="4" w:space="0" w:color="BFBFBF"/>
              <w:right w:val="single" w:sz="4" w:space="0" w:color="auto"/>
            </w:tcBorders>
            <w:noWrap/>
            <w:vAlign w:val="center"/>
            <w:hideMark/>
          </w:tcPr>
          <w:p w14:paraId="2E7D03BF"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575</w:t>
            </w:r>
          </w:p>
        </w:tc>
        <w:tc>
          <w:tcPr>
            <w:tcW w:w="1147" w:type="dxa"/>
            <w:tcBorders>
              <w:top w:val="nil"/>
              <w:left w:val="nil"/>
              <w:bottom w:val="single" w:sz="4" w:space="0" w:color="BFBFBF"/>
              <w:right w:val="single" w:sz="4" w:space="0" w:color="BFBFBF"/>
            </w:tcBorders>
            <w:noWrap/>
            <w:vAlign w:val="center"/>
            <w:hideMark/>
          </w:tcPr>
          <w:p w14:paraId="0D0581FE"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13%</w:t>
            </w:r>
          </w:p>
        </w:tc>
        <w:tc>
          <w:tcPr>
            <w:tcW w:w="1147" w:type="dxa"/>
            <w:tcBorders>
              <w:top w:val="nil"/>
              <w:left w:val="nil"/>
              <w:bottom w:val="single" w:sz="4" w:space="0" w:color="BFBFBF"/>
              <w:right w:val="single" w:sz="4" w:space="0" w:color="auto"/>
            </w:tcBorders>
            <w:noWrap/>
            <w:vAlign w:val="center"/>
            <w:hideMark/>
          </w:tcPr>
          <w:p w14:paraId="2758AB51"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87%</w:t>
            </w:r>
          </w:p>
        </w:tc>
        <w:tc>
          <w:tcPr>
            <w:tcW w:w="1147" w:type="dxa"/>
            <w:tcBorders>
              <w:top w:val="nil"/>
              <w:left w:val="nil"/>
              <w:bottom w:val="single" w:sz="4" w:space="0" w:color="BFBFBF"/>
              <w:right w:val="single" w:sz="4" w:space="0" w:color="BFBFBF"/>
            </w:tcBorders>
            <w:noWrap/>
            <w:vAlign w:val="center"/>
            <w:hideMark/>
          </w:tcPr>
          <w:p w14:paraId="0FB10531"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w:t>
            </w:r>
          </w:p>
        </w:tc>
        <w:tc>
          <w:tcPr>
            <w:tcW w:w="1147" w:type="dxa"/>
            <w:tcBorders>
              <w:top w:val="nil"/>
              <w:left w:val="nil"/>
              <w:bottom w:val="single" w:sz="4" w:space="0" w:color="BFBFBF"/>
              <w:right w:val="single" w:sz="4" w:space="0" w:color="BFBFBF"/>
            </w:tcBorders>
            <w:noWrap/>
            <w:vAlign w:val="center"/>
            <w:hideMark/>
          </w:tcPr>
          <w:p w14:paraId="1520D636"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w:t>
            </w:r>
          </w:p>
        </w:tc>
        <w:tc>
          <w:tcPr>
            <w:tcW w:w="1148" w:type="dxa"/>
            <w:tcBorders>
              <w:top w:val="nil"/>
              <w:left w:val="nil"/>
              <w:bottom w:val="single" w:sz="4" w:space="0" w:color="BFBFBF"/>
              <w:right w:val="single" w:sz="4" w:space="0" w:color="auto"/>
            </w:tcBorders>
            <w:noWrap/>
            <w:vAlign w:val="center"/>
            <w:hideMark/>
          </w:tcPr>
          <w:p w14:paraId="27C68BF1"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4%</w:t>
            </w:r>
          </w:p>
        </w:tc>
      </w:tr>
      <w:tr w:rsidR="002B3B23" w:rsidRPr="002B3B23" w14:paraId="5F9337A0" w14:textId="77777777" w:rsidTr="008B19CE">
        <w:trPr>
          <w:trHeight w:val="402"/>
        </w:trPr>
        <w:tc>
          <w:tcPr>
            <w:tcW w:w="2477"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348A090"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Apartment / flat in duplex</w:t>
            </w:r>
          </w:p>
        </w:tc>
        <w:tc>
          <w:tcPr>
            <w:tcW w:w="1147" w:type="dxa"/>
            <w:tcBorders>
              <w:top w:val="nil"/>
              <w:left w:val="nil"/>
              <w:bottom w:val="single" w:sz="4" w:space="0" w:color="BFBFBF"/>
              <w:right w:val="single" w:sz="4" w:space="0" w:color="auto"/>
            </w:tcBorders>
            <w:shd w:val="clear" w:color="000000" w:fill="F2F2F2"/>
            <w:noWrap/>
            <w:vAlign w:val="center"/>
            <w:hideMark/>
          </w:tcPr>
          <w:p w14:paraId="544490C6"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540</w:t>
            </w:r>
          </w:p>
        </w:tc>
        <w:tc>
          <w:tcPr>
            <w:tcW w:w="1147" w:type="dxa"/>
            <w:tcBorders>
              <w:top w:val="nil"/>
              <w:left w:val="nil"/>
              <w:bottom w:val="single" w:sz="4" w:space="0" w:color="BFBFBF"/>
              <w:right w:val="single" w:sz="4" w:space="0" w:color="BFBFBF"/>
            </w:tcBorders>
            <w:shd w:val="clear" w:color="000000" w:fill="F2F2F2"/>
            <w:noWrap/>
            <w:vAlign w:val="center"/>
            <w:hideMark/>
          </w:tcPr>
          <w:p w14:paraId="6572DB50"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32%</w:t>
            </w:r>
          </w:p>
        </w:tc>
        <w:tc>
          <w:tcPr>
            <w:tcW w:w="1147" w:type="dxa"/>
            <w:tcBorders>
              <w:top w:val="nil"/>
              <w:left w:val="nil"/>
              <w:bottom w:val="single" w:sz="4" w:space="0" w:color="BFBFBF"/>
              <w:right w:val="single" w:sz="4" w:space="0" w:color="auto"/>
            </w:tcBorders>
            <w:shd w:val="clear" w:color="000000" w:fill="F2F2F2"/>
            <w:noWrap/>
            <w:vAlign w:val="center"/>
            <w:hideMark/>
          </w:tcPr>
          <w:p w14:paraId="02546EAC"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68%</w:t>
            </w:r>
          </w:p>
        </w:tc>
        <w:tc>
          <w:tcPr>
            <w:tcW w:w="1147" w:type="dxa"/>
            <w:tcBorders>
              <w:top w:val="nil"/>
              <w:left w:val="nil"/>
              <w:bottom w:val="single" w:sz="4" w:space="0" w:color="BFBFBF"/>
              <w:right w:val="single" w:sz="4" w:space="0" w:color="BFBFBF"/>
            </w:tcBorders>
            <w:shd w:val="clear" w:color="000000" w:fill="F2F2F2"/>
            <w:noWrap/>
            <w:vAlign w:val="center"/>
            <w:hideMark/>
          </w:tcPr>
          <w:p w14:paraId="7C267175"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w:t>
            </w:r>
          </w:p>
        </w:tc>
        <w:tc>
          <w:tcPr>
            <w:tcW w:w="1147" w:type="dxa"/>
            <w:tcBorders>
              <w:top w:val="nil"/>
              <w:left w:val="nil"/>
              <w:bottom w:val="single" w:sz="4" w:space="0" w:color="BFBFBF"/>
              <w:right w:val="single" w:sz="4" w:space="0" w:color="BFBFBF"/>
            </w:tcBorders>
            <w:shd w:val="clear" w:color="000000" w:fill="F2F2F2"/>
            <w:noWrap/>
            <w:vAlign w:val="center"/>
            <w:hideMark/>
          </w:tcPr>
          <w:p w14:paraId="69DB7F74"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2%</w:t>
            </w:r>
          </w:p>
        </w:tc>
        <w:tc>
          <w:tcPr>
            <w:tcW w:w="1148" w:type="dxa"/>
            <w:tcBorders>
              <w:top w:val="nil"/>
              <w:left w:val="nil"/>
              <w:bottom w:val="single" w:sz="4" w:space="0" w:color="BFBFBF"/>
              <w:right w:val="single" w:sz="4" w:space="0" w:color="auto"/>
            </w:tcBorders>
            <w:shd w:val="clear" w:color="000000" w:fill="F2F2F2"/>
            <w:noWrap/>
            <w:vAlign w:val="center"/>
            <w:hideMark/>
          </w:tcPr>
          <w:p w14:paraId="24B56FEA"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2%</w:t>
            </w:r>
          </w:p>
        </w:tc>
      </w:tr>
      <w:tr w:rsidR="002B3B23" w:rsidRPr="002B3B23" w14:paraId="272640AE" w14:textId="77777777" w:rsidTr="008B19CE">
        <w:trPr>
          <w:trHeight w:val="402"/>
        </w:trPr>
        <w:tc>
          <w:tcPr>
            <w:tcW w:w="2477" w:type="dxa"/>
            <w:gridSpan w:val="2"/>
            <w:tcBorders>
              <w:top w:val="single" w:sz="4" w:space="0" w:color="BFBFBF"/>
              <w:left w:val="single" w:sz="4" w:space="0" w:color="auto"/>
              <w:bottom w:val="single" w:sz="4" w:space="0" w:color="BFBFBF"/>
              <w:right w:val="single" w:sz="4" w:space="0" w:color="000000"/>
            </w:tcBorders>
            <w:noWrap/>
            <w:vAlign w:val="center"/>
            <w:hideMark/>
          </w:tcPr>
          <w:p w14:paraId="2DC9EA3D"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Apartment (&lt;5 storeys)</w:t>
            </w:r>
          </w:p>
        </w:tc>
        <w:tc>
          <w:tcPr>
            <w:tcW w:w="1147" w:type="dxa"/>
            <w:tcBorders>
              <w:top w:val="nil"/>
              <w:left w:val="nil"/>
              <w:bottom w:val="single" w:sz="4" w:space="0" w:color="BFBFBF"/>
              <w:right w:val="single" w:sz="4" w:space="0" w:color="auto"/>
            </w:tcBorders>
            <w:noWrap/>
            <w:vAlign w:val="center"/>
            <w:hideMark/>
          </w:tcPr>
          <w:p w14:paraId="362BFC54"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6,700</w:t>
            </w:r>
          </w:p>
        </w:tc>
        <w:tc>
          <w:tcPr>
            <w:tcW w:w="1147" w:type="dxa"/>
            <w:tcBorders>
              <w:top w:val="nil"/>
              <w:left w:val="nil"/>
              <w:bottom w:val="single" w:sz="4" w:space="0" w:color="BFBFBF"/>
              <w:right w:val="single" w:sz="4" w:space="0" w:color="BFBFBF"/>
            </w:tcBorders>
            <w:noWrap/>
            <w:vAlign w:val="center"/>
            <w:hideMark/>
          </w:tcPr>
          <w:p w14:paraId="507BF802"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5%</w:t>
            </w:r>
          </w:p>
        </w:tc>
        <w:tc>
          <w:tcPr>
            <w:tcW w:w="1147" w:type="dxa"/>
            <w:tcBorders>
              <w:top w:val="nil"/>
              <w:left w:val="nil"/>
              <w:bottom w:val="single" w:sz="4" w:space="0" w:color="BFBFBF"/>
              <w:right w:val="single" w:sz="4" w:space="0" w:color="auto"/>
            </w:tcBorders>
            <w:noWrap/>
            <w:vAlign w:val="center"/>
            <w:hideMark/>
          </w:tcPr>
          <w:p w14:paraId="3EE6483B"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95%</w:t>
            </w:r>
          </w:p>
        </w:tc>
        <w:tc>
          <w:tcPr>
            <w:tcW w:w="1147" w:type="dxa"/>
            <w:tcBorders>
              <w:top w:val="nil"/>
              <w:left w:val="nil"/>
              <w:bottom w:val="single" w:sz="4" w:space="0" w:color="BFBFBF"/>
              <w:right w:val="single" w:sz="4" w:space="0" w:color="BFBFBF"/>
            </w:tcBorders>
            <w:noWrap/>
            <w:vAlign w:val="center"/>
            <w:hideMark/>
          </w:tcPr>
          <w:p w14:paraId="236DE1AB"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39%</w:t>
            </w:r>
          </w:p>
        </w:tc>
        <w:tc>
          <w:tcPr>
            <w:tcW w:w="1147" w:type="dxa"/>
            <w:tcBorders>
              <w:top w:val="nil"/>
              <w:left w:val="nil"/>
              <w:bottom w:val="single" w:sz="4" w:space="0" w:color="BFBFBF"/>
              <w:right w:val="single" w:sz="4" w:space="0" w:color="BFBFBF"/>
            </w:tcBorders>
            <w:noWrap/>
            <w:vAlign w:val="center"/>
            <w:hideMark/>
          </w:tcPr>
          <w:p w14:paraId="4977159E"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21%</w:t>
            </w:r>
          </w:p>
        </w:tc>
        <w:tc>
          <w:tcPr>
            <w:tcW w:w="1148" w:type="dxa"/>
            <w:tcBorders>
              <w:top w:val="nil"/>
              <w:left w:val="nil"/>
              <w:bottom w:val="single" w:sz="4" w:space="0" w:color="BFBFBF"/>
              <w:right w:val="single" w:sz="4" w:space="0" w:color="auto"/>
            </w:tcBorders>
            <w:noWrap/>
            <w:vAlign w:val="center"/>
            <w:hideMark/>
          </w:tcPr>
          <w:p w14:paraId="78852696"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16%</w:t>
            </w:r>
          </w:p>
        </w:tc>
      </w:tr>
      <w:tr w:rsidR="002B3B23" w:rsidRPr="002B3B23" w14:paraId="02E50633" w14:textId="77777777" w:rsidTr="008B19CE">
        <w:trPr>
          <w:trHeight w:val="402"/>
        </w:trPr>
        <w:tc>
          <w:tcPr>
            <w:tcW w:w="2477" w:type="dxa"/>
            <w:gridSpan w:val="2"/>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018C142E"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Apartment (5+ storeys)</w:t>
            </w:r>
          </w:p>
        </w:tc>
        <w:tc>
          <w:tcPr>
            <w:tcW w:w="1147" w:type="dxa"/>
            <w:tcBorders>
              <w:top w:val="nil"/>
              <w:left w:val="nil"/>
              <w:bottom w:val="single" w:sz="4" w:space="0" w:color="BFBFBF"/>
              <w:right w:val="single" w:sz="4" w:space="0" w:color="auto"/>
            </w:tcBorders>
            <w:shd w:val="clear" w:color="000000" w:fill="F2F2F2"/>
            <w:noWrap/>
            <w:vAlign w:val="center"/>
            <w:hideMark/>
          </w:tcPr>
          <w:p w14:paraId="75EEC854"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50</w:t>
            </w:r>
          </w:p>
        </w:tc>
        <w:tc>
          <w:tcPr>
            <w:tcW w:w="1147" w:type="dxa"/>
            <w:tcBorders>
              <w:top w:val="nil"/>
              <w:left w:val="nil"/>
              <w:bottom w:val="single" w:sz="4" w:space="0" w:color="BFBFBF"/>
              <w:right w:val="single" w:sz="4" w:space="0" w:color="BFBFBF"/>
            </w:tcBorders>
            <w:shd w:val="clear" w:color="000000" w:fill="F2F2F2"/>
            <w:noWrap/>
            <w:vAlign w:val="center"/>
            <w:hideMark/>
          </w:tcPr>
          <w:p w14:paraId="64883161"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0%</w:t>
            </w:r>
          </w:p>
        </w:tc>
        <w:tc>
          <w:tcPr>
            <w:tcW w:w="1147" w:type="dxa"/>
            <w:tcBorders>
              <w:top w:val="nil"/>
              <w:left w:val="nil"/>
              <w:bottom w:val="single" w:sz="4" w:space="0" w:color="BFBFBF"/>
              <w:right w:val="single" w:sz="4" w:space="0" w:color="auto"/>
            </w:tcBorders>
            <w:shd w:val="clear" w:color="000000" w:fill="F2F2F2"/>
            <w:noWrap/>
            <w:vAlign w:val="center"/>
            <w:hideMark/>
          </w:tcPr>
          <w:p w14:paraId="57DB4D26"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100%</w:t>
            </w:r>
          </w:p>
        </w:tc>
        <w:tc>
          <w:tcPr>
            <w:tcW w:w="1147" w:type="dxa"/>
            <w:tcBorders>
              <w:top w:val="nil"/>
              <w:left w:val="nil"/>
              <w:bottom w:val="single" w:sz="4" w:space="0" w:color="BFBFBF"/>
              <w:right w:val="single" w:sz="4" w:space="0" w:color="BFBFBF"/>
            </w:tcBorders>
            <w:shd w:val="clear" w:color="000000" w:fill="F2F2F2"/>
            <w:noWrap/>
            <w:vAlign w:val="center"/>
            <w:hideMark/>
          </w:tcPr>
          <w:p w14:paraId="132B8EC3"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0%</w:t>
            </w:r>
          </w:p>
        </w:tc>
        <w:tc>
          <w:tcPr>
            <w:tcW w:w="1147" w:type="dxa"/>
            <w:tcBorders>
              <w:top w:val="nil"/>
              <w:left w:val="nil"/>
              <w:bottom w:val="single" w:sz="4" w:space="0" w:color="BFBFBF"/>
              <w:right w:val="single" w:sz="4" w:space="0" w:color="BFBFBF"/>
            </w:tcBorders>
            <w:shd w:val="clear" w:color="000000" w:fill="F2F2F2"/>
            <w:noWrap/>
            <w:vAlign w:val="center"/>
            <w:hideMark/>
          </w:tcPr>
          <w:p w14:paraId="09108E28"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0%</w:t>
            </w:r>
          </w:p>
        </w:tc>
        <w:tc>
          <w:tcPr>
            <w:tcW w:w="1148" w:type="dxa"/>
            <w:tcBorders>
              <w:top w:val="nil"/>
              <w:left w:val="nil"/>
              <w:bottom w:val="single" w:sz="4" w:space="0" w:color="BFBFBF"/>
              <w:right w:val="single" w:sz="4" w:space="0" w:color="auto"/>
            </w:tcBorders>
            <w:shd w:val="clear" w:color="000000" w:fill="F2F2F2"/>
            <w:noWrap/>
            <w:vAlign w:val="center"/>
            <w:hideMark/>
          </w:tcPr>
          <w:p w14:paraId="5B2A5AAA"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0%</w:t>
            </w:r>
          </w:p>
        </w:tc>
      </w:tr>
      <w:tr w:rsidR="002B3B23" w:rsidRPr="002B3B23" w14:paraId="0B86CC4F" w14:textId="77777777" w:rsidTr="008B19CE">
        <w:trPr>
          <w:trHeight w:val="402"/>
        </w:trPr>
        <w:tc>
          <w:tcPr>
            <w:tcW w:w="2477" w:type="dxa"/>
            <w:gridSpan w:val="2"/>
            <w:tcBorders>
              <w:top w:val="single" w:sz="4" w:space="0" w:color="BFBFBF"/>
              <w:left w:val="single" w:sz="4" w:space="0" w:color="auto"/>
              <w:bottom w:val="single" w:sz="4" w:space="0" w:color="BFBFBF"/>
              <w:right w:val="single" w:sz="4" w:space="0" w:color="000000"/>
            </w:tcBorders>
            <w:noWrap/>
            <w:vAlign w:val="center"/>
            <w:hideMark/>
          </w:tcPr>
          <w:p w14:paraId="272B8F39"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Movable</w:t>
            </w:r>
          </w:p>
        </w:tc>
        <w:tc>
          <w:tcPr>
            <w:tcW w:w="1147" w:type="dxa"/>
            <w:tcBorders>
              <w:top w:val="nil"/>
              <w:left w:val="nil"/>
              <w:bottom w:val="single" w:sz="4" w:space="0" w:color="BFBFBF"/>
              <w:right w:val="single" w:sz="4" w:space="0" w:color="auto"/>
            </w:tcBorders>
            <w:noWrap/>
            <w:vAlign w:val="center"/>
            <w:hideMark/>
          </w:tcPr>
          <w:p w14:paraId="4D223621"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260</w:t>
            </w:r>
          </w:p>
        </w:tc>
        <w:tc>
          <w:tcPr>
            <w:tcW w:w="1147" w:type="dxa"/>
            <w:tcBorders>
              <w:top w:val="nil"/>
              <w:left w:val="nil"/>
              <w:bottom w:val="single" w:sz="4" w:space="0" w:color="BFBFBF"/>
              <w:right w:val="single" w:sz="4" w:space="0" w:color="BFBFBF"/>
            </w:tcBorders>
            <w:noWrap/>
            <w:vAlign w:val="center"/>
            <w:hideMark/>
          </w:tcPr>
          <w:p w14:paraId="34837837"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88%</w:t>
            </w:r>
          </w:p>
        </w:tc>
        <w:tc>
          <w:tcPr>
            <w:tcW w:w="1147" w:type="dxa"/>
            <w:tcBorders>
              <w:top w:val="nil"/>
              <w:left w:val="nil"/>
              <w:bottom w:val="single" w:sz="4" w:space="0" w:color="BFBFBF"/>
              <w:right w:val="single" w:sz="4" w:space="0" w:color="auto"/>
            </w:tcBorders>
            <w:noWrap/>
            <w:vAlign w:val="center"/>
            <w:hideMark/>
          </w:tcPr>
          <w:p w14:paraId="32A7A2DC"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12%</w:t>
            </w:r>
          </w:p>
        </w:tc>
        <w:tc>
          <w:tcPr>
            <w:tcW w:w="1147" w:type="dxa"/>
            <w:tcBorders>
              <w:top w:val="nil"/>
              <w:left w:val="nil"/>
              <w:bottom w:val="single" w:sz="4" w:space="0" w:color="BFBFBF"/>
              <w:right w:val="single" w:sz="4" w:space="0" w:color="BFBFBF"/>
            </w:tcBorders>
            <w:noWrap/>
            <w:vAlign w:val="center"/>
            <w:hideMark/>
          </w:tcPr>
          <w:p w14:paraId="641F9355"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2%</w:t>
            </w:r>
          </w:p>
        </w:tc>
        <w:tc>
          <w:tcPr>
            <w:tcW w:w="1147" w:type="dxa"/>
            <w:tcBorders>
              <w:top w:val="nil"/>
              <w:left w:val="nil"/>
              <w:bottom w:val="single" w:sz="4" w:space="0" w:color="BFBFBF"/>
              <w:right w:val="single" w:sz="4" w:space="0" w:color="BFBFBF"/>
            </w:tcBorders>
            <w:noWrap/>
            <w:vAlign w:val="center"/>
            <w:hideMark/>
          </w:tcPr>
          <w:p w14:paraId="2A6413AC"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w:t>
            </w:r>
          </w:p>
        </w:tc>
        <w:tc>
          <w:tcPr>
            <w:tcW w:w="1148" w:type="dxa"/>
            <w:tcBorders>
              <w:top w:val="nil"/>
              <w:left w:val="nil"/>
              <w:bottom w:val="single" w:sz="4" w:space="0" w:color="BFBFBF"/>
              <w:right w:val="single" w:sz="4" w:space="0" w:color="auto"/>
            </w:tcBorders>
            <w:noWrap/>
            <w:vAlign w:val="center"/>
            <w:hideMark/>
          </w:tcPr>
          <w:p w14:paraId="5C53879F"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4%</w:t>
            </w:r>
          </w:p>
        </w:tc>
      </w:tr>
      <w:tr w:rsidR="002B3B23" w:rsidRPr="002B3B23" w14:paraId="3480E21B" w14:textId="77777777" w:rsidTr="008B19CE">
        <w:trPr>
          <w:trHeight w:val="402"/>
        </w:trPr>
        <w:tc>
          <w:tcPr>
            <w:tcW w:w="2477" w:type="dxa"/>
            <w:gridSpan w:val="2"/>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4D58BB9B" w14:textId="77777777" w:rsidR="002B3B23" w:rsidRPr="002B3B23" w:rsidRDefault="002B3B23" w:rsidP="008B19CE">
            <w:pPr>
              <w:rPr>
                <w:rFonts w:eastAsia="Times New Roman"/>
                <w:color w:val="0D0D0D"/>
                <w:sz w:val="18"/>
                <w:szCs w:val="18"/>
              </w:rPr>
            </w:pPr>
            <w:r w:rsidRPr="002B3B23">
              <w:rPr>
                <w:rFonts w:eastAsia="Times New Roman"/>
                <w:color w:val="0D0D0D"/>
                <w:sz w:val="18"/>
                <w:szCs w:val="18"/>
              </w:rPr>
              <w:t>Other dwellings</w:t>
            </w:r>
          </w:p>
        </w:tc>
        <w:tc>
          <w:tcPr>
            <w:tcW w:w="1147" w:type="dxa"/>
            <w:tcBorders>
              <w:top w:val="nil"/>
              <w:left w:val="nil"/>
              <w:bottom w:val="single" w:sz="4" w:space="0" w:color="auto"/>
              <w:right w:val="single" w:sz="4" w:space="0" w:color="auto"/>
            </w:tcBorders>
            <w:shd w:val="clear" w:color="000000" w:fill="F2F2F2"/>
            <w:noWrap/>
            <w:vAlign w:val="center"/>
            <w:hideMark/>
          </w:tcPr>
          <w:p w14:paraId="6021F908"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25</w:t>
            </w:r>
          </w:p>
        </w:tc>
        <w:tc>
          <w:tcPr>
            <w:tcW w:w="1147" w:type="dxa"/>
            <w:tcBorders>
              <w:top w:val="nil"/>
              <w:left w:val="nil"/>
              <w:bottom w:val="single" w:sz="4" w:space="0" w:color="auto"/>
              <w:right w:val="single" w:sz="4" w:space="0" w:color="BFBFBF"/>
            </w:tcBorders>
            <w:shd w:val="clear" w:color="000000" w:fill="F2F2F2"/>
            <w:noWrap/>
            <w:vAlign w:val="center"/>
            <w:hideMark/>
          </w:tcPr>
          <w:p w14:paraId="125B8BF0"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67%</w:t>
            </w:r>
          </w:p>
        </w:tc>
        <w:tc>
          <w:tcPr>
            <w:tcW w:w="1147" w:type="dxa"/>
            <w:tcBorders>
              <w:top w:val="nil"/>
              <w:left w:val="nil"/>
              <w:bottom w:val="single" w:sz="4" w:space="0" w:color="auto"/>
              <w:right w:val="single" w:sz="4" w:space="0" w:color="auto"/>
            </w:tcBorders>
            <w:shd w:val="clear" w:color="000000" w:fill="F2F2F2"/>
            <w:noWrap/>
            <w:vAlign w:val="center"/>
            <w:hideMark/>
          </w:tcPr>
          <w:p w14:paraId="5D143C78"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33%</w:t>
            </w:r>
          </w:p>
        </w:tc>
        <w:tc>
          <w:tcPr>
            <w:tcW w:w="1147" w:type="dxa"/>
            <w:tcBorders>
              <w:top w:val="nil"/>
              <w:left w:val="nil"/>
              <w:bottom w:val="single" w:sz="4" w:space="0" w:color="auto"/>
              <w:right w:val="single" w:sz="4" w:space="0" w:color="BFBFBF"/>
            </w:tcBorders>
            <w:shd w:val="clear" w:color="000000" w:fill="F2F2F2"/>
            <w:noWrap/>
            <w:vAlign w:val="center"/>
            <w:hideMark/>
          </w:tcPr>
          <w:p w14:paraId="6C60AFF7"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0%</w:t>
            </w:r>
          </w:p>
        </w:tc>
        <w:tc>
          <w:tcPr>
            <w:tcW w:w="1147" w:type="dxa"/>
            <w:tcBorders>
              <w:top w:val="nil"/>
              <w:left w:val="nil"/>
              <w:bottom w:val="single" w:sz="4" w:space="0" w:color="auto"/>
              <w:right w:val="single" w:sz="4" w:space="0" w:color="BFBFBF"/>
            </w:tcBorders>
            <w:shd w:val="clear" w:color="000000" w:fill="F2F2F2"/>
            <w:noWrap/>
            <w:vAlign w:val="center"/>
            <w:hideMark/>
          </w:tcPr>
          <w:p w14:paraId="544B97E8"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0%</w:t>
            </w:r>
          </w:p>
        </w:tc>
        <w:tc>
          <w:tcPr>
            <w:tcW w:w="1148" w:type="dxa"/>
            <w:tcBorders>
              <w:top w:val="nil"/>
              <w:left w:val="nil"/>
              <w:bottom w:val="single" w:sz="4" w:space="0" w:color="auto"/>
              <w:right w:val="single" w:sz="4" w:space="0" w:color="auto"/>
            </w:tcBorders>
            <w:shd w:val="clear" w:color="000000" w:fill="F2F2F2"/>
            <w:noWrap/>
            <w:vAlign w:val="center"/>
            <w:hideMark/>
          </w:tcPr>
          <w:p w14:paraId="730F7ED0" w14:textId="77777777" w:rsidR="002B3B23" w:rsidRPr="00C42568" w:rsidRDefault="002B3B23" w:rsidP="008B19CE">
            <w:pPr>
              <w:jc w:val="right"/>
              <w:rPr>
                <w:rFonts w:eastAsia="Times New Roman"/>
                <w:color w:val="C00000"/>
                <w:sz w:val="18"/>
                <w:szCs w:val="18"/>
              </w:rPr>
            </w:pPr>
            <w:r w:rsidRPr="00C42568">
              <w:rPr>
                <w:rFonts w:eastAsia="Times New Roman"/>
                <w:color w:val="C00000"/>
                <w:sz w:val="18"/>
                <w:szCs w:val="18"/>
              </w:rPr>
              <w:t>0%</w:t>
            </w:r>
          </w:p>
        </w:tc>
      </w:tr>
    </w:tbl>
    <w:p w14:paraId="789F5531" w14:textId="0DC13282" w:rsidR="002B3B23" w:rsidRDefault="002324E3" w:rsidP="0023120F">
      <w:pPr>
        <w:pStyle w:val="Source"/>
      </w:pPr>
      <w:r>
        <w:t xml:space="preserve">Source: </w:t>
      </w:r>
      <w:r w:rsidR="0023120F">
        <w:t xml:space="preserve">Statistics Canada Table </w:t>
      </w:r>
      <w:r w:rsidR="0023120F" w:rsidRPr="0023120F">
        <w:t>98</w:t>
      </w:r>
      <w:r w:rsidR="0023120F">
        <w:t>-</w:t>
      </w:r>
      <w:r w:rsidR="0023120F" w:rsidRPr="0023120F">
        <w:t>10</w:t>
      </w:r>
      <w:r w:rsidR="0023120F">
        <w:t>-</w:t>
      </w:r>
      <w:r w:rsidR="0023120F" w:rsidRPr="0023120F">
        <w:t>0232</w:t>
      </w:r>
    </w:p>
    <w:p w14:paraId="1FA7CD48" w14:textId="77777777" w:rsidR="0043538E" w:rsidRDefault="0043538E" w:rsidP="007F4DC2"/>
    <w:p w14:paraId="6BB0A9DD" w14:textId="77777777" w:rsidR="00F72A2B" w:rsidRDefault="00F72A2B" w:rsidP="00F72A2B">
      <w:pPr>
        <w:jc w:val="both"/>
      </w:pPr>
      <w:r>
        <w:t xml:space="preserve">A stock heavily concentrated in single-detached homes, particularly relative to regional and provincial shares, indicates a community that has historically produced ownership-oriented, family-sized housing but may be structurally limited in its ability to serve households seeking smaller, more affordable, or rental options without new investment in multi-unit forms. A lower share of apartment and multi-unit dwellings than comparable communities </w:t>
      </w:r>
      <w:proofErr w:type="gramStart"/>
      <w:r>
        <w:t>signals</w:t>
      </w:r>
      <w:proofErr w:type="gramEnd"/>
      <w:r>
        <w:t xml:space="preserve"> potential gaps in rental supply, as apartments are the structural type most likely to be renter-occupied and most accessible at lower price points.</w:t>
      </w:r>
    </w:p>
    <w:p w14:paraId="41A888B8" w14:textId="77777777" w:rsidR="00F72A2B" w:rsidRDefault="00F72A2B" w:rsidP="00F72A2B">
      <w:pPr>
        <w:jc w:val="both"/>
      </w:pPr>
    </w:p>
    <w:p w14:paraId="7371630A" w14:textId="7C8F7FEF" w:rsidR="00F72A2B" w:rsidRDefault="00F72A2B" w:rsidP="00F72A2B">
      <w:pPr>
        <w:jc w:val="both"/>
      </w:pPr>
      <w:r>
        <w:t>Where movable dwellings represent a notable share of the stock, they often serve as the de facto affordable housing supply for lower-income households</w:t>
      </w:r>
      <w:r w:rsidR="002B72C1">
        <w:t>, often in a rural context</w:t>
      </w:r>
      <w:r>
        <w:t>. Their tenure insecurity and land-lease conditions represent a distinct housing vulnerability.</w:t>
      </w:r>
    </w:p>
    <w:p w14:paraId="2B289F31" w14:textId="77777777" w:rsidR="00F72A2B" w:rsidRDefault="00F72A2B" w:rsidP="00F72A2B">
      <w:pPr>
        <w:jc w:val="both"/>
      </w:pPr>
    </w:p>
    <w:p w14:paraId="73C1D89F" w14:textId="47273E26" w:rsidR="0018449D" w:rsidRDefault="00F72A2B" w:rsidP="00F72A2B">
      <w:pPr>
        <w:jc w:val="both"/>
      </w:pPr>
      <w:r>
        <w:lastRenderedPageBreak/>
        <w:t>High renter</w:t>
      </w:r>
      <w:r w:rsidR="00AD0C83">
        <w:t xml:space="preserve"> shares</w:t>
      </w:r>
      <w:r>
        <w:t xml:space="preserve"> within structural types </w:t>
      </w:r>
      <w:r w:rsidR="00806B95">
        <w:t>often</w:t>
      </w:r>
      <w:r>
        <w:t xml:space="preserve"> associated with ownership </w:t>
      </w:r>
      <w:r w:rsidR="00806B95">
        <w:t>may</w:t>
      </w:r>
      <w:r>
        <w:t xml:space="preserve"> indicate </w:t>
      </w:r>
      <w:r w:rsidR="00806B95">
        <w:t xml:space="preserve">that </w:t>
      </w:r>
      <w:r>
        <w:t>affordability constraints are preventing households from transitioning into homeownership</w:t>
      </w:r>
      <w:r w:rsidR="00806B95">
        <w:t>,</w:t>
      </w:r>
      <w:r>
        <w:t xml:space="preserve"> even in more accessible unit forms. </w:t>
      </w:r>
    </w:p>
    <w:p w14:paraId="0F4512D5" w14:textId="77777777" w:rsidR="00636581" w:rsidRDefault="00636581" w:rsidP="00F72A2B">
      <w:pPr>
        <w:jc w:val="both"/>
      </w:pPr>
    </w:p>
    <w:p w14:paraId="6C5A92B3" w14:textId="77777777" w:rsidR="004F2C51" w:rsidRDefault="004F2C51" w:rsidP="004F2C51">
      <w:pPr>
        <w:pStyle w:val="Heading2"/>
      </w:pPr>
      <w:bookmarkStart w:id="42" w:name="_Toc223686643"/>
      <w:bookmarkStart w:id="43" w:name="_Toc237355941"/>
      <w:r>
        <w:t>CONSTRUCTION ACTIVITY</w:t>
      </w:r>
      <w:bookmarkEnd w:id="42"/>
      <w:bookmarkEnd w:id="43"/>
    </w:p>
    <w:p w14:paraId="3EFA06DF" w14:textId="4F86469F" w:rsidR="004F2C51" w:rsidRDefault="00AF7F64" w:rsidP="006E4A48">
      <w:pPr>
        <w:jc w:val="both"/>
      </w:pPr>
      <w:r w:rsidRPr="00AF7F64">
        <w:rPr>
          <w:rStyle w:val="Figure-textChar"/>
        </w:rPr>
        <w:fldChar w:fldCharType="begin"/>
      </w:r>
      <w:r w:rsidRPr="00AF7F64">
        <w:rPr>
          <w:rStyle w:val="Figure-textChar"/>
        </w:rPr>
        <w:instrText xml:space="preserve"> REF _Ref226035643 \h </w:instrText>
      </w:r>
      <w:r>
        <w:rPr>
          <w:rStyle w:val="Figure-textChar"/>
        </w:rPr>
        <w:instrText xml:space="preserve"> \* MERGEFORMAT </w:instrText>
      </w:r>
      <w:r w:rsidRPr="00AF7F64">
        <w:rPr>
          <w:rStyle w:val="Figure-textChar"/>
        </w:rPr>
      </w:r>
      <w:r w:rsidRPr="00AF7F64">
        <w:rPr>
          <w:rStyle w:val="Figure-textChar"/>
        </w:rPr>
        <w:fldChar w:fldCharType="separate"/>
      </w:r>
      <w:r w:rsidR="00CA6116" w:rsidRPr="00CA6116">
        <w:rPr>
          <w:rStyle w:val="Figure-textChar"/>
        </w:rPr>
        <w:t>Table 6.2</w:t>
      </w:r>
      <w:r w:rsidRPr="00AF7F64">
        <w:rPr>
          <w:rStyle w:val="Figure-textChar"/>
        </w:rPr>
        <w:fldChar w:fldCharType="end"/>
      </w:r>
      <w:r w:rsidR="006E4A48" w:rsidRPr="006E4A48">
        <w:t xml:space="preserve"> </w:t>
      </w:r>
      <w:r w:rsidR="004120C9" w:rsidRPr="004120C9">
        <w:t>shows the distribution of the housing stock by decade of construction, providing a historical profile of how the community's supply has accumulated over time and revealing periods of considerable expansion or relative inactivity.</w:t>
      </w:r>
    </w:p>
    <w:p w14:paraId="3D87F9AF" w14:textId="77777777" w:rsidR="00636581" w:rsidRDefault="00636581" w:rsidP="006E4A48">
      <w:pPr>
        <w:jc w:val="both"/>
      </w:pPr>
    </w:p>
    <w:p w14:paraId="63C86322" w14:textId="14B7ACF5" w:rsidR="00AF7F64" w:rsidRDefault="00AF7F64" w:rsidP="00AF7F64">
      <w:pPr>
        <w:pStyle w:val="Caption"/>
      </w:pPr>
      <w:bookmarkStart w:id="44" w:name="_Ref226035643"/>
      <w:r>
        <w:t xml:space="preserve">Table </w:t>
      </w:r>
      <w:fldSimple w:instr=" STYLEREF 1 \s ">
        <w:r w:rsidR="005E459C">
          <w:rPr>
            <w:noProof/>
          </w:rPr>
          <w:t>6</w:t>
        </w:r>
      </w:fldSimple>
      <w:r w:rsidR="00BD4359">
        <w:t>.</w:t>
      </w:r>
      <w:fldSimple w:instr=" SEQ Table \* ARABIC \s 1 ">
        <w:r w:rsidR="005E459C">
          <w:rPr>
            <w:noProof/>
          </w:rPr>
          <w:t>2</w:t>
        </w:r>
      </w:fldSimple>
      <w:bookmarkEnd w:id="44"/>
      <w:r>
        <w:t>: Total and share of age of construction for dwellings occupied by usual residents, 2021</w:t>
      </w:r>
    </w:p>
    <w:tbl>
      <w:tblPr>
        <w:tblW w:w="9355" w:type="dxa"/>
        <w:tblLayout w:type="fixed"/>
        <w:tblLook w:val="04A0" w:firstRow="1" w:lastRow="0" w:firstColumn="1" w:lastColumn="0" w:noHBand="0" w:noVBand="1"/>
      </w:tblPr>
      <w:tblGrid>
        <w:gridCol w:w="1075"/>
        <w:gridCol w:w="1080"/>
        <w:gridCol w:w="900"/>
        <w:gridCol w:w="900"/>
        <w:gridCol w:w="900"/>
        <w:gridCol w:w="900"/>
        <w:gridCol w:w="900"/>
        <w:gridCol w:w="900"/>
        <w:gridCol w:w="900"/>
        <w:gridCol w:w="900"/>
      </w:tblGrid>
      <w:tr w:rsidR="004512CF" w:rsidRPr="004512CF" w14:paraId="5257BDD7" w14:textId="77777777" w:rsidTr="003C59F9">
        <w:trPr>
          <w:trHeight w:val="539"/>
        </w:trPr>
        <w:tc>
          <w:tcPr>
            <w:tcW w:w="107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3E67BA3C" w14:textId="5D455C8F" w:rsidR="00304241" w:rsidRPr="004512CF" w:rsidRDefault="00F9650D" w:rsidP="00304241">
            <w:pPr>
              <w:rPr>
                <w:rFonts w:eastAsia="Times New Roman"/>
                <w:color w:val="FFFFFF" w:themeColor="background1"/>
                <w:sz w:val="18"/>
                <w:szCs w:val="18"/>
              </w:rPr>
            </w:pPr>
            <w:r w:rsidRPr="009A1B61">
              <w:rPr>
                <w:rFonts w:eastAsia="Times New Roman"/>
                <w:color w:val="FFFFFF" w:themeColor="background1"/>
                <w:sz w:val="18"/>
                <w:szCs w:val="18"/>
              </w:rPr>
              <w:t>Item</w:t>
            </w:r>
          </w:p>
        </w:tc>
        <w:tc>
          <w:tcPr>
            <w:tcW w:w="1080" w:type="dxa"/>
            <w:tcBorders>
              <w:top w:val="single" w:sz="4" w:space="0" w:color="auto"/>
              <w:left w:val="nil"/>
              <w:bottom w:val="single" w:sz="4" w:space="0" w:color="auto"/>
              <w:right w:val="single" w:sz="4" w:space="0" w:color="auto"/>
            </w:tcBorders>
            <w:shd w:val="clear" w:color="auto" w:fill="42618C" w:themeFill="accent3"/>
            <w:vAlign w:val="center"/>
            <w:hideMark/>
          </w:tcPr>
          <w:p w14:paraId="2C60728E" w14:textId="77777777"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Total</w:t>
            </w:r>
          </w:p>
        </w:tc>
        <w:tc>
          <w:tcPr>
            <w:tcW w:w="900" w:type="dxa"/>
            <w:tcBorders>
              <w:top w:val="single" w:sz="4" w:space="0" w:color="auto"/>
              <w:left w:val="nil"/>
              <w:bottom w:val="single" w:sz="4" w:space="0" w:color="auto"/>
              <w:right w:val="single" w:sz="4" w:space="0" w:color="BFBFBF" w:themeColor="background1" w:themeShade="BF"/>
            </w:tcBorders>
            <w:shd w:val="clear" w:color="auto" w:fill="42618C" w:themeFill="accent3"/>
            <w:vAlign w:val="center"/>
            <w:hideMark/>
          </w:tcPr>
          <w:p w14:paraId="0B177480" w14:textId="77777777"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&lt;1961</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42618C" w:themeFill="accent3"/>
            <w:vAlign w:val="center"/>
            <w:hideMark/>
          </w:tcPr>
          <w:p w14:paraId="5ABA99E7" w14:textId="77777777" w:rsidR="004512CF" w:rsidRPr="009A1B61"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 xml:space="preserve">1961 </w:t>
            </w:r>
          </w:p>
          <w:p w14:paraId="1DDD0DD8" w14:textId="508007DD"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 1980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42618C" w:themeFill="accent3"/>
            <w:vAlign w:val="center"/>
            <w:hideMark/>
          </w:tcPr>
          <w:p w14:paraId="2D91DFC3" w14:textId="77777777" w:rsidR="004512CF" w:rsidRPr="009A1B61"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 xml:space="preserve">1981 </w:t>
            </w:r>
          </w:p>
          <w:p w14:paraId="4468EBEA" w14:textId="105AFC00"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 1990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42618C" w:themeFill="accent3"/>
            <w:vAlign w:val="center"/>
            <w:hideMark/>
          </w:tcPr>
          <w:p w14:paraId="5AD80553" w14:textId="77777777" w:rsidR="004512CF" w:rsidRPr="009A1B61"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 xml:space="preserve">1991 </w:t>
            </w:r>
          </w:p>
          <w:p w14:paraId="082F3EB0" w14:textId="0D824D31"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 2000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42618C" w:themeFill="accent3"/>
            <w:vAlign w:val="center"/>
            <w:hideMark/>
          </w:tcPr>
          <w:p w14:paraId="406B1E17" w14:textId="77777777" w:rsidR="004512CF" w:rsidRPr="009A1B61"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 xml:space="preserve">2001 </w:t>
            </w:r>
          </w:p>
          <w:p w14:paraId="17848EC7" w14:textId="2C5127A8"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 2005</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42618C" w:themeFill="accent3"/>
            <w:vAlign w:val="center"/>
            <w:hideMark/>
          </w:tcPr>
          <w:p w14:paraId="659424D4" w14:textId="77777777" w:rsidR="004512CF" w:rsidRPr="009A1B61"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 xml:space="preserve">2006 </w:t>
            </w:r>
          </w:p>
          <w:p w14:paraId="53661B8B" w14:textId="686E2BD3"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 2010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42618C" w:themeFill="accent3"/>
            <w:vAlign w:val="center"/>
            <w:hideMark/>
          </w:tcPr>
          <w:p w14:paraId="166AA558" w14:textId="77777777" w:rsidR="004512CF" w:rsidRPr="009A1B61"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 xml:space="preserve">2011 </w:t>
            </w:r>
          </w:p>
          <w:p w14:paraId="0F3B86A1" w14:textId="7F55B76C"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 2015</w:t>
            </w:r>
          </w:p>
        </w:tc>
        <w:tc>
          <w:tcPr>
            <w:tcW w:w="900" w:type="dxa"/>
            <w:tcBorders>
              <w:top w:val="single" w:sz="4" w:space="0" w:color="auto"/>
              <w:left w:val="single" w:sz="4" w:space="0" w:color="BFBFBF" w:themeColor="background1" w:themeShade="BF"/>
              <w:bottom w:val="single" w:sz="4" w:space="0" w:color="auto"/>
              <w:right w:val="single" w:sz="4" w:space="0" w:color="auto"/>
            </w:tcBorders>
            <w:shd w:val="clear" w:color="auto" w:fill="42618C" w:themeFill="accent3"/>
            <w:vAlign w:val="center"/>
            <w:hideMark/>
          </w:tcPr>
          <w:p w14:paraId="3E47CE1E" w14:textId="77777777" w:rsidR="004512CF" w:rsidRPr="009A1B61"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 xml:space="preserve">2016 </w:t>
            </w:r>
          </w:p>
          <w:p w14:paraId="79A88DE0" w14:textId="1455E53B" w:rsidR="004512CF" w:rsidRPr="004512CF" w:rsidRDefault="004512CF" w:rsidP="004512CF">
            <w:pPr>
              <w:jc w:val="right"/>
              <w:rPr>
                <w:rFonts w:eastAsia="Times New Roman"/>
                <w:color w:val="FFFFFF" w:themeColor="background1"/>
                <w:sz w:val="18"/>
                <w:szCs w:val="18"/>
              </w:rPr>
            </w:pPr>
            <w:r w:rsidRPr="004512CF">
              <w:rPr>
                <w:rFonts w:eastAsia="Times New Roman"/>
                <w:color w:val="FFFFFF" w:themeColor="background1"/>
                <w:sz w:val="18"/>
                <w:szCs w:val="18"/>
              </w:rPr>
              <w:t>to 2021</w:t>
            </w:r>
          </w:p>
        </w:tc>
      </w:tr>
      <w:tr w:rsidR="00ED36E7" w:rsidRPr="004512CF" w14:paraId="3C83AFD0" w14:textId="77777777" w:rsidTr="00D064A6">
        <w:trPr>
          <w:trHeight w:val="470"/>
        </w:trPr>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B1AB780" w14:textId="2C4340D8" w:rsidR="00ED36E7" w:rsidRPr="004512CF" w:rsidRDefault="00ED36E7" w:rsidP="00ED36E7">
            <w:pPr>
              <w:rPr>
                <w:color w:val="000000"/>
                <w:sz w:val="18"/>
                <w:szCs w:val="18"/>
              </w:rPr>
            </w:pPr>
            <w:r>
              <w:rPr>
                <w:color w:val="000000"/>
                <w:sz w:val="18"/>
                <w:szCs w:val="18"/>
              </w:rPr>
              <w:t>Local units</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FE6D8A" w14:textId="7E803F8F" w:rsidR="00ED36E7" w:rsidRPr="00C42568" w:rsidRDefault="00ED36E7" w:rsidP="00ED36E7">
            <w:pPr>
              <w:jc w:val="right"/>
              <w:rPr>
                <w:rFonts w:eastAsia="Times New Roman"/>
                <w:color w:val="C00000"/>
                <w:sz w:val="18"/>
                <w:szCs w:val="18"/>
              </w:rPr>
            </w:pPr>
            <w:r w:rsidRPr="00C42568">
              <w:rPr>
                <w:color w:val="C00000"/>
                <w:sz w:val="18"/>
                <w:szCs w:val="18"/>
              </w:rPr>
              <w:t>17,185</w:t>
            </w:r>
          </w:p>
        </w:tc>
        <w:tc>
          <w:tcPr>
            <w:tcW w:w="900" w:type="dxa"/>
            <w:tcBorders>
              <w:top w:val="single" w:sz="4" w:space="0" w:color="auto"/>
              <w:left w:val="nil"/>
              <w:bottom w:val="single" w:sz="4" w:space="0" w:color="auto"/>
              <w:right w:val="single" w:sz="4" w:space="0" w:color="BFBFBF" w:themeColor="background1" w:themeShade="BF"/>
            </w:tcBorders>
            <w:shd w:val="clear" w:color="auto" w:fill="F2F2F2" w:themeFill="background1" w:themeFillShade="F2"/>
            <w:noWrap/>
            <w:vAlign w:val="center"/>
            <w:hideMark/>
          </w:tcPr>
          <w:p w14:paraId="2DBCF7EA" w14:textId="153CB592" w:rsidR="00ED36E7" w:rsidRPr="00C42568" w:rsidRDefault="00ED36E7" w:rsidP="00ED36E7">
            <w:pPr>
              <w:jc w:val="right"/>
              <w:rPr>
                <w:rFonts w:eastAsia="Times New Roman"/>
                <w:color w:val="C00000"/>
                <w:sz w:val="18"/>
                <w:szCs w:val="18"/>
              </w:rPr>
            </w:pPr>
            <w:r w:rsidRPr="00C42568">
              <w:rPr>
                <w:color w:val="C00000"/>
                <w:sz w:val="18"/>
                <w:szCs w:val="18"/>
              </w:rPr>
              <w:t>3,580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noWrap/>
            <w:vAlign w:val="center"/>
            <w:hideMark/>
          </w:tcPr>
          <w:p w14:paraId="457F8900" w14:textId="22ED8F60" w:rsidR="00ED36E7" w:rsidRPr="00C42568" w:rsidRDefault="00ED36E7" w:rsidP="00ED36E7">
            <w:pPr>
              <w:jc w:val="right"/>
              <w:rPr>
                <w:rFonts w:eastAsia="Times New Roman"/>
                <w:color w:val="C00000"/>
                <w:sz w:val="18"/>
                <w:szCs w:val="18"/>
              </w:rPr>
            </w:pPr>
            <w:r w:rsidRPr="00C42568">
              <w:rPr>
                <w:color w:val="C00000"/>
                <w:sz w:val="18"/>
                <w:szCs w:val="18"/>
              </w:rPr>
              <w:t>5,030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noWrap/>
            <w:vAlign w:val="center"/>
            <w:hideMark/>
          </w:tcPr>
          <w:p w14:paraId="48B7994B" w14:textId="7CFF48D1" w:rsidR="00ED36E7" w:rsidRPr="00C42568" w:rsidRDefault="00ED36E7" w:rsidP="00ED36E7">
            <w:pPr>
              <w:jc w:val="right"/>
              <w:rPr>
                <w:rFonts w:eastAsia="Times New Roman"/>
                <w:color w:val="C00000"/>
                <w:sz w:val="18"/>
                <w:szCs w:val="18"/>
              </w:rPr>
            </w:pPr>
            <w:r w:rsidRPr="00C42568">
              <w:rPr>
                <w:color w:val="C00000"/>
                <w:sz w:val="18"/>
                <w:szCs w:val="18"/>
              </w:rPr>
              <w:t>2,300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noWrap/>
            <w:vAlign w:val="center"/>
            <w:hideMark/>
          </w:tcPr>
          <w:p w14:paraId="4680B959" w14:textId="60E6CD37" w:rsidR="00ED36E7" w:rsidRPr="00C42568" w:rsidRDefault="00ED36E7" w:rsidP="00ED36E7">
            <w:pPr>
              <w:jc w:val="right"/>
              <w:rPr>
                <w:rFonts w:eastAsia="Times New Roman"/>
                <w:color w:val="C00000"/>
                <w:sz w:val="18"/>
                <w:szCs w:val="18"/>
              </w:rPr>
            </w:pPr>
            <w:r w:rsidRPr="00C42568">
              <w:rPr>
                <w:color w:val="C00000"/>
                <w:sz w:val="18"/>
                <w:szCs w:val="18"/>
              </w:rPr>
              <w:t>1,905</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noWrap/>
            <w:vAlign w:val="center"/>
            <w:hideMark/>
          </w:tcPr>
          <w:p w14:paraId="535362C6" w14:textId="05618554" w:rsidR="00ED36E7" w:rsidRPr="00C42568" w:rsidRDefault="00ED36E7" w:rsidP="00ED36E7">
            <w:pPr>
              <w:jc w:val="right"/>
              <w:rPr>
                <w:rFonts w:eastAsia="Times New Roman"/>
                <w:color w:val="C00000"/>
                <w:sz w:val="18"/>
                <w:szCs w:val="18"/>
              </w:rPr>
            </w:pPr>
            <w:r w:rsidRPr="00C42568">
              <w:rPr>
                <w:color w:val="C00000"/>
                <w:sz w:val="18"/>
                <w:szCs w:val="18"/>
              </w:rPr>
              <w:t>1,010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noWrap/>
            <w:vAlign w:val="center"/>
            <w:hideMark/>
          </w:tcPr>
          <w:p w14:paraId="41011ECB" w14:textId="2984A23B" w:rsidR="00ED36E7" w:rsidRPr="00C42568" w:rsidRDefault="00ED36E7" w:rsidP="00ED36E7">
            <w:pPr>
              <w:jc w:val="right"/>
              <w:rPr>
                <w:rFonts w:eastAsia="Times New Roman"/>
                <w:color w:val="C00000"/>
                <w:sz w:val="18"/>
                <w:szCs w:val="18"/>
              </w:rPr>
            </w:pPr>
            <w:r w:rsidRPr="00C42568">
              <w:rPr>
                <w:color w:val="C00000"/>
                <w:sz w:val="18"/>
                <w:szCs w:val="18"/>
              </w:rPr>
              <w:t>1,130</w:t>
            </w:r>
          </w:p>
        </w:tc>
        <w:tc>
          <w:tcPr>
            <w:tcW w:w="90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2F2F2" w:themeFill="background1" w:themeFillShade="F2"/>
            <w:noWrap/>
            <w:vAlign w:val="center"/>
            <w:hideMark/>
          </w:tcPr>
          <w:p w14:paraId="63073BEB" w14:textId="08CB9E58" w:rsidR="00ED36E7" w:rsidRPr="00C42568" w:rsidRDefault="00ED36E7" w:rsidP="00ED36E7">
            <w:pPr>
              <w:jc w:val="right"/>
              <w:rPr>
                <w:rFonts w:eastAsia="Times New Roman"/>
                <w:color w:val="C00000"/>
                <w:sz w:val="18"/>
                <w:szCs w:val="18"/>
              </w:rPr>
            </w:pPr>
            <w:r w:rsidRPr="00C42568">
              <w:rPr>
                <w:color w:val="C00000"/>
                <w:sz w:val="18"/>
                <w:szCs w:val="18"/>
              </w:rPr>
              <w:t>1,160</w:t>
            </w:r>
          </w:p>
        </w:tc>
        <w:tc>
          <w:tcPr>
            <w:tcW w:w="900" w:type="dxa"/>
            <w:tcBorders>
              <w:top w:val="single" w:sz="4" w:space="0" w:color="auto"/>
              <w:left w:val="single" w:sz="4" w:space="0" w:color="BFBFBF" w:themeColor="background1" w:themeShade="BF"/>
              <w:bottom w:val="single" w:sz="4" w:space="0" w:color="auto"/>
              <w:right w:val="single" w:sz="4" w:space="0" w:color="auto"/>
            </w:tcBorders>
            <w:shd w:val="clear" w:color="auto" w:fill="F2F2F2" w:themeFill="background1" w:themeFillShade="F2"/>
            <w:noWrap/>
            <w:vAlign w:val="center"/>
            <w:hideMark/>
          </w:tcPr>
          <w:p w14:paraId="27928EF9" w14:textId="690FC855" w:rsidR="00ED36E7" w:rsidRPr="00C42568" w:rsidRDefault="00ED36E7" w:rsidP="00ED36E7">
            <w:pPr>
              <w:jc w:val="right"/>
              <w:rPr>
                <w:rFonts w:eastAsia="Times New Roman"/>
                <w:color w:val="C00000"/>
                <w:sz w:val="18"/>
                <w:szCs w:val="18"/>
              </w:rPr>
            </w:pPr>
            <w:r w:rsidRPr="00C42568">
              <w:rPr>
                <w:color w:val="C00000"/>
                <w:sz w:val="18"/>
                <w:szCs w:val="18"/>
              </w:rPr>
              <w:t>1,070</w:t>
            </w:r>
          </w:p>
        </w:tc>
      </w:tr>
      <w:tr w:rsidR="00ED36E7" w:rsidRPr="004512CF" w14:paraId="7ED6780D" w14:textId="77777777" w:rsidTr="00D064A6">
        <w:trPr>
          <w:trHeight w:val="470"/>
        </w:trPr>
        <w:tc>
          <w:tcPr>
            <w:tcW w:w="1075" w:type="dxa"/>
            <w:tcBorders>
              <w:top w:val="single" w:sz="4" w:space="0" w:color="auto"/>
              <w:left w:val="single" w:sz="4" w:space="0" w:color="auto"/>
              <w:bottom w:val="single" w:sz="4" w:space="0" w:color="BFBFBF" w:themeColor="background1" w:themeShade="BF"/>
              <w:right w:val="single" w:sz="4" w:space="0" w:color="auto"/>
            </w:tcBorders>
            <w:noWrap/>
            <w:vAlign w:val="center"/>
            <w:hideMark/>
          </w:tcPr>
          <w:p w14:paraId="22FC91BC" w14:textId="20C8D0B6" w:rsidR="00ED36E7" w:rsidRPr="004512CF" w:rsidRDefault="00ED36E7" w:rsidP="00ED36E7">
            <w:pPr>
              <w:rPr>
                <w:rFonts w:eastAsia="Times New Roman"/>
                <w:color w:val="000000"/>
                <w:sz w:val="18"/>
                <w:szCs w:val="18"/>
              </w:rPr>
            </w:pPr>
            <w:r>
              <w:rPr>
                <w:color w:val="000000"/>
                <w:sz w:val="18"/>
                <w:szCs w:val="18"/>
              </w:rPr>
              <w:t>Local share</w:t>
            </w:r>
          </w:p>
        </w:tc>
        <w:tc>
          <w:tcPr>
            <w:tcW w:w="1080" w:type="dxa"/>
            <w:tcBorders>
              <w:top w:val="single" w:sz="4" w:space="0" w:color="auto"/>
              <w:left w:val="nil"/>
              <w:bottom w:val="single" w:sz="4" w:space="0" w:color="BFBFBF" w:themeColor="background1" w:themeShade="BF"/>
              <w:right w:val="single" w:sz="4" w:space="0" w:color="auto"/>
            </w:tcBorders>
            <w:shd w:val="clear" w:color="auto" w:fill="BFBFBF" w:themeFill="background1" w:themeFillShade="BF"/>
            <w:noWrap/>
            <w:vAlign w:val="center"/>
            <w:hideMark/>
          </w:tcPr>
          <w:p w14:paraId="4E6FA499" w14:textId="52FB8878" w:rsidR="00ED36E7" w:rsidRPr="004512CF" w:rsidRDefault="00ED36E7" w:rsidP="00ED36E7">
            <w:pPr>
              <w:jc w:val="right"/>
              <w:rPr>
                <w:rFonts w:eastAsia="Times New Roman"/>
                <w:color w:val="000000"/>
                <w:sz w:val="18"/>
                <w:szCs w:val="18"/>
              </w:rPr>
            </w:pPr>
            <w:r>
              <w:rPr>
                <w:color w:val="000000"/>
                <w:sz w:val="18"/>
                <w:szCs w:val="18"/>
              </w:rPr>
              <w:t> </w:t>
            </w:r>
          </w:p>
        </w:tc>
        <w:tc>
          <w:tcPr>
            <w:tcW w:w="900" w:type="dxa"/>
            <w:tcBorders>
              <w:top w:val="single" w:sz="4" w:space="0" w:color="auto"/>
              <w:left w:val="nil"/>
              <w:bottom w:val="single" w:sz="4" w:space="0" w:color="BFBFBF" w:themeColor="background1" w:themeShade="BF"/>
              <w:right w:val="single" w:sz="4" w:space="0" w:color="BFBFBF" w:themeColor="background1" w:themeShade="BF"/>
            </w:tcBorders>
            <w:noWrap/>
            <w:vAlign w:val="center"/>
            <w:hideMark/>
          </w:tcPr>
          <w:p w14:paraId="2C0A707A" w14:textId="5C3098DB" w:rsidR="00ED36E7" w:rsidRPr="00C42568" w:rsidRDefault="00ED36E7" w:rsidP="00ED36E7">
            <w:pPr>
              <w:jc w:val="right"/>
              <w:rPr>
                <w:rFonts w:eastAsia="Times New Roman"/>
                <w:color w:val="C00000"/>
                <w:sz w:val="18"/>
                <w:szCs w:val="18"/>
              </w:rPr>
            </w:pPr>
            <w:r w:rsidRPr="00C42568">
              <w:rPr>
                <w:color w:val="C00000"/>
                <w:sz w:val="18"/>
                <w:szCs w:val="18"/>
              </w:rPr>
              <w:t>21%</w:t>
            </w:r>
          </w:p>
        </w:tc>
        <w:tc>
          <w:tcPr>
            <w:tcW w:w="9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789CB91" w14:textId="6F9F2D41" w:rsidR="00ED36E7" w:rsidRPr="00C42568" w:rsidRDefault="00ED36E7" w:rsidP="00ED36E7">
            <w:pPr>
              <w:jc w:val="right"/>
              <w:rPr>
                <w:rFonts w:eastAsia="Times New Roman"/>
                <w:color w:val="C00000"/>
                <w:sz w:val="18"/>
                <w:szCs w:val="18"/>
              </w:rPr>
            </w:pPr>
            <w:r w:rsidRPr="00C42568">
              <w:rPr>
                <w:color w:val="C00000"/>
                <w:sz w:val="18"/>
                <w:szCs w:val="18"/>
              </w:rPr>
              <w:t>29%</w:t>
            </w:r>
          </w:p>
        </w:tc>
        <w:tc>
          <w:tcPr>
            <w:tcW w:w="9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C534BF2" w14:textId="0BEFB5DA" w:rsidR="00ED36E7" w:rsidRPr="00C42568" w:rsidRDefault="00ED36E7" w:rsidP="00ED36E7">
            <w:pPr>
              <w:jc w:val="right"/>
              <w:rPr>
                <w:rFonts w:eastAsia="Times New Roman"/>
                <w:color w:val="C00000"/>
                <w:sz w:val="18"/>
                <w:szCs w:val="18"/>
              </w:rPr>
            </w:pPr>
            <w:r w:rsidRPr="00C42568">
              <w:rPr>
                <w:color w:val="C00000"/>
                <w:sz w:val="18"/>
                <w:szCs w:val="18"/>
              </w:rPr>
              <w:t>13%</w:t>
            </w:r>
          </w:p>
        </w:tc>
        <w:tc>
          <w:tcPr>
            <w:tcW w:w="9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2956DB0" w14:textId="19017FF2" w:rsidR="00ED36E7" w:rsidRPr="00C42568" w:rsidRDefault="00ED36E7" w:rsidP="00ED36E7">
            <w:pPr>
              <w:jc w:val="right"/>
              <w:rPr>
                <w:rFonts w:eastAsia="Times New Roman"/>
                <w:color w:val="C00000"/>
                <w:sz w:val="18"/>
                <w:szCs w:val="18"/>
              </w:rPr>
            </w:pPr>
            <w:r w:rsidRPr="00C42568">
              <w:rPr>
                <w:color w:val="C00000"/>
                <w:sz w:val="18"/>
                <w:szCs w:val="18"/>
              </w:rPr>
              <w:t>11%</w:t>
            </w:r>
          </w:p>
        </w:tc>
        <w:tc>
          <w:tcPr>
            <w:tcW w:w="9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99DCCA2" w14:textId="3E48A275" w:rsidR="00ED36E7" w:rsidRPr="00C42568" w:rsidRDefault="00ED36E7" w:rsidP="00ED36E7">
            <w:pPr>
              <w:jc w:val="right"/>
              <w:rPr>
                <w:rFonts w:eastAsia="Times New Roman"/>
                <w:color w:val="C00000"/>
                <w:sz w:val="18"/>
                <w:szCs w:val="18"/>
              </w:rPr>
            </w:pPr>
            <w:r w:rsidRPr="00C42568">
              <w:rPr>
                <w:color w:val="C00000"/>
                <w:sz w:val="18"/>
                <w:szCs w:val="18"/>
              </w:rPr>
              <w:t>6%</w:t>
            </w:r>
          </w:p>
        </w:tc>
        <w:tc>
          <w:tcPr>
            <w:tcW w:w="9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5C03892" w14:textId="5C7BEBB3" w:rsidR="00ED36E7" w:rsidRPr="00C42568" w:rsidRDefault="00ED36E7" w:rsidP="00ED36E7">
            <w:pPr>
              <w:jc w:val="right"/>
              <w:rPr>
                <w:rFonts w:eastAsia="Times New Roman"/>
                <w:color w:val="C00000"/>
                <w:sz w:val="18"/>
                <w:szCs w:val="18"/>
              </w:rPr>
            </w:pPr>
            <w:r w:rsidRPr="00C42568">
              <w:rPr>
                <w:color w:val="C00000"/>
                <w:sz w:val="18"/>
                <w:szCs w:val="18"/>
              </w:rPr>
              <w:t>7%</w:t>
            </w:r>
          </w:p>
        </w:tc>
        <w:tc>
          <w:tcPr>
            <w:tcW w:w="9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A470B15" w14:textId="4D14DC5C" w:rsidR="00ED36E7" w:rsidRPr="00C42568" w:rsidRDefault="00ED36E7" w:rsidP="00ED36E7">
            <w:pPr>
              <w:jc w:val="right"/>
              <w:rPr>
                <w:rFonts w:eastAsia="Times New Roman"/>
                <w:color w:val="C00000"/>
                <w:sz w:val="18"/>
                <w:szCs w:val="18"/>
              </w:rPr>
            </w:pPr>
            <w:r w:rsidRPr="00C42568">
              <w:rPr>
                <w:color w:val="C00000"/>
                <w:sz w:val="18"/>
                <w:szCs w:val="18"/>
              </w:rPr>
              <w:t>7%</w:t>
            </w:r>
          </w:p>
        </w:tc>
        <w:tc>
          <w:tcPr>
            <w:tcW w:w="900" w:type="dxa"/>
            <w:tcBorders>
              <w:top w:val="single" w:sz="4" w:space="0" w:color="auto"/>
              <w:left w:val="single" w:sz="4" w:space="0" w:color="BFBFBF" w:themeColor="background1" w:themeShade="BF"/>
              <w:bottom w:val="single" w:sz="4" w:space="0" w:color="BFBFBF" w:themeColor="background1" w:themeShade="BF"/>
              <w:right w:val="single" w:sz="4" w:space="0" w:color="auto"/>
            </w:tcBorders>
            <w:noWrap/>
            <w:vAlign w:val="center"/>
            <w:hideMark/>
          </w:tcPr>
          <w:p w14:paraId="128120DD" w14:textId="793B5E11" w:rsidR="00ED36E7" w:rsidRPr="00C42568" w:rsidRDefault="00ED36E7" w:rsidP="00ED36E7">
            <w:pPr>
              <w:jc w:val="right"/>
              <w:rPr>
                <w:rFonts w:eastAsia="Times New Roman"/>
                <w:color w:val="C00000"/>
                <w:sz w:val="18"/>
                <w:szCs w:val="18"/>
              </w:rPr>
            </w:pPr>
            <w:r w:rsidRPr="00C42568">
              <w:rPr>
                <w:color w:val="C00000"/>
                <w:sz w:val="18"/>
                <w:szCs w:val="18"/>
              </w:rPr>
              <w:t>6%</w:t>
            </w:r>
          </w:p>
        </w:tc>
      </w:tr>
      <w:tr w:rsidR="00ED36E7" w:rsidRPr="004512CF" w14:paraId="63CFD535" w14:textId="77777777" w:rsidTr="00D064A6">
        <w:trPr>
          <w:trHeight w:val="470"/>
        </w:trPr>
        <w:tc>
          <w:tcPr>
            <w:tcW w:w="10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2F2F2" w:themeFill="background1" w:themeFillShade="F2"/>
            <w:noWrap/>
            <w:vAlign w:val="center"/>
            <w:hideMark/>
          </w:tcPr>
          <w:p w14:paraId="04C88CA7" w14:textId="64106A78" w:rsidR="00ED36E7" w:rsidRPr="004512CF" w:rsidRDefault="00ED36E7" w:rsidP="00ED36E7">
            <w:pPr>
              <w:rPr>
                <w:rFonts w:eastAsia="Times New Roman"/>
                <w:color w:val="000000"/>
                <w:sz w:val="18"/>
                <w:szCs w:val="18"/>
              </w:rPr>
            </w:pPr>
            <w:r>
              <w:rPr>
                <w:color w:val="000000"/>
                <w:sz w:val="18"/>
                <w:szCs w:val="18"/>
              </w:rPr>
              <w:t>Regional share</w:t>
            </w:r>
          </w:p>
        </w:tc>
        <w:tc>
          <w:tcPr>
            <w:tcW w:w="108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BFBFBF" w:themeFill="background1" w:themeFillShade="BF"/>
            <w:noWrap/>
            <w:vAlign w:val="center"/>
            <w:hideMark/>
          </w:tcPr>
          <w:p w14:paraId="1CC894F3" w14:textId="64D16ECF" w:rsidR="00ED36E7" w:rsidRPr="004512CF" w:rsidRDefault="00ED36E7" w:rsidP="00ED36E7">
            <w:pPr>
              <w:jc w:val="right"/>
              <w:rPr>
                <w:rFonts w:eastAsia="Times New Roman"/>
                <w:color w:val="000000"/>
                <w:sz w:val="18"/>
                <w:szCs w:val="18"/>
              </w:rPr>
            </w:pPr>
            <w:r>
              <w:rPr>
                <w:color w:val="000000"/>
                <w:sz w:val="18"/>
                <w:szCs w:val="18"/>
              </w:rPr>
              <w:t> </w:t>
            </w:r>
          </w:p>
        </w:tc>
        <w:tc>
          <w:tcPr>
            <w:tcW w:w="900"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5606DD2E" w14:textId="586133E9" w:rsidR="00ED36E7" w:rsidRPr="00C42568" w:rsidRDefault="00ED36E7" w:rsidP="00ED36E7">
            <w:pPr>
              <w:jc w:val="right"/>
              <w:rPr>
                <w:rFonts w:eastAsia="Times New Roman"/>
                <w:color w:val="C00000"/>
                <w:sz w:val="18"/>
                <w:szCs w:val="18"/>
              </w:rPr>
            </w:pPr>
            <w:r w:rsidRPr="00C42568">
              <w:rPr>
                <w:color w:val="C00000"/>
                <w:sz w:val="18"/>
                <w:szCs w:val="18"/>
              </w:rPr>
              <w:t>19%</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606022AC" w14:textId="4AD0D472" w:rsidR="00ED36E7" w:rsidRPr="00C42568" w:rsidRDefault="00ED36E7" w:rsidP="00ED36E7">
            <w:pPr>
              <w:jc w:val="right"/>
              <w:rPr>
                <w:rFonts w:eastAsia="Times New Roman"/>
                <w:color w:val="C00000"/>
                <w:sz w:val="18"/>
                <w:szCs w:val="18"/>
              </w:rPr>
            </w:pPr>
            <w:r w:rsidRPr="00C42568">
              <w:rPr>
                <w:color w:val="C00000"/>
                <w:sz w:val="18"/>
                <w:szCs w:val="18"/>
              </w:rPr>
              <w:t>25%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631F0F14" w14:textId="7D43F246" w:rsidR="00ED36E7" w:rsidRPr="00C42568" w:rsidRDefault="00ED36E7" w:rsidP="00ED36E7">
            <w:pPr>
              <w:jc w:val="right"/>
              <w:rPr>
                <w:rFonts w:eastAsia="Times New Roman"/>
                <w:color w:val="C00000"/>
                <w:sz w:val="18"/>
                <w:szCs w:val="18"/>
              </w:rPr>
            </w:pPr>
            <w:r w:rsidRPr="00C42568">
              <w:rPr>
                <w:color w:val="C00000"/>
                <w:sz w:val="18"/>
                <w:szCs w:val="18"/>
              </w:rPr>
              <w:t>13%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39925000" w14:textId="7F477A27" w:rsidR="00ED36E7" w:rsidRPr="00C42568" w:rsidRDefault="00ED36E7" w:rsidP="00ED36E7">
            <w:pPr>
              <w:jc w:val="right"/>
              <w:rPr>
                <w:rFonts w:eastAsia="Times New Roman"/>
                <w:color w:val="C00000"/>
                <w:sz w:val="18"/>
                <w:szCs w:val="18"/>
              </w:rPr>
            </w:pPr>
            <w:r w:rsidRPr="00C42568">
              <w:rPr>
                <w:color w:val="C00000"/>
                <w:sz w:val="18"/>
                <w:szCs w:val="18"/>
              </w:rPr>
              <w:t>13%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3D13F2C2" w14:textId="75FAFE6D" w:rsidR="00ED36E7" w:rsidRPr="00C42568" w:rsidRDefault="00ED36E7" w:rsidP="00ED36E7">
            <w:pPr>
              <w:jc w:val="right"/>
              <w:rPr>
                <w:rFonts w:eastAsia="Times New Roman"/>
                <w:color w:val="C00000"/>
                <w:sz w:val="18"/>
                <w:szCs w:val="18"/>
              </w:rPr>
            </w:pPr>
            <w:r w:rsidRPr="00C42568">
              <w:rPr>
                <w:color w:val="C00000"/>
                <w:sz w:val="18"/>
                <w:szCs w:val="18"/>
              </w:rPr>
              <w:t>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4154BF63" w14:textId="4164D515" w:rsidR="00ED36E7" w:rsidRPr="00C42568" w:rsidRDefault="00ED36E7" w:rsidP="00ED36E7">
            <w:pPr>
              <w:jc w:val="right"/>
              <w:rPr>
                <w:rFonts w:eastAsia="Times New Roman"/>
                <w:color w:val="C00000"/>
                <w:sz w:val="18"/>
                <w:szCs w:val="18"/>
              </w:rPr>
            </w:pPr>
            <w:r w:rsidRPr="00C42568">
              <w:rPr>
                <w:color w:val="C00000"/>
                <w:sz w:val="18"/>
                <w:szCs w:val="18"/>
              </w:rPr>
              <w:t>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6B3F1AAB" w14:textId="02AADEFD" w:rsidR="00ED36E7" w:rsidRPr="00C42568" w:rsidRDefault="00ED36E7" w:rsidP="00ED36E7">
            <w:pPr>
              <w:jc w:val="right"/>
              <w:rPr>
                <w:rFonts w:eastAsia="Times New Roman"/>
                <w:color w:val="C00000"/>
                <w:sz w:val="18"/>
                <w:szCs w:val="18"/>
              </w:rPr>
            </w:pPr>
            <w:r w:rsidRPr="00C42568">
              <w:rPr>
                <w:color w:val="C00000"/>
                <w:sz w:val="18"/>
                <w:szCs w:val="18"/>
              </w:rPr>
              <w:t>7%</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noWrap/>
            <w:vAlign w:val="center"/>
            <w:hideMark/>
          </w:tcPr>
          <w:p w14:paraId="6EEF0CED" w14:textId="5E28F22A" w:rsidR="00ED36E7" w:rsidRPr="00C42568" w:rsidRDefault="00ED36E7" w:rsidP="00ED36E7">
            <w:pPr>
              <w:jc w:val="right"/>
              <w:rPr>
                <w:rFonts w:eastAsia="Times New Roman"/>
                <w:color w:val="C00000"/>
                <w:sz w:val="18"/>
                <w:szCs w:val="18"/>
              </w:rPr>
            </w:pPr>
            <w:r w:rsidRPr="00C42568">
              <w:rPr>
                <w:color w:val="C00000"/>
                <w:sz w:val="18"/>
                <w:szCs w:val="18"/>
              </w:rPr>
              <w:t>9%</w:t>
            </w:r>
          </w:p>
        </w:tc>
      </w:tr>
      <w:tr w:rsidR="00ED36E7" w:rsidRPr="004512CF" w14:paraId="76CC7B87" w14:textId="77777777" w:rsidTr="00D064A6">
        <w:trPr>
          <w:trHeight w:val="470"/>
        </w:trPr>
        <w:tc>
          <w:tcPr>
            <w:tcW w:w="1075" w:type="dxa"/>
            <w:tcBorders>
              <w:top w:val="single" w:sz="4" w:space="0" w:color="BFBFBF" w:themeColor="background1" w:themeShade="BF"/>
              <w:left w:val="single" w:sz="4" w:space="0" w:color="auto"/>
              <w:bottom w:val="single" w:sz="4" w:space="0" w:color="auto"/>
              <w:right w:val="single" w:sz="4" w:space="0" w:color="auto"/>
            </w:tcBorders>
            <w:noWrap/>
            <w:vAlign w:val="center"/>
            <w:hideMark/>
          </w:tcPr>
          <w:p w14:paraId="37334EDC" w14:textId="03F90E38" w:rsidR="00ED36E7" w:rsidRPr="004512CF" w:rsidRDefault="00ED36E7" w:rsidP="00ED36E7">
            <w:pPr>
              <w:rPr>
                <w:rFonts w:eastAsia="Times New Roman"/>
                <w:color w:val="000000"/>
                <w:sz w:val="18"/>
                <w:szCs w:val="18"/>
              </w:rPr>
            </w:pPr>
            <w:r>
              <w:rPr>
                <w:color w:val="000000"/>
                <w:sz w:val="18"/>
                <w:szCs w:val="18"/>
              </w:rPr>
              <w:t>Provincial share</w:t>
            </w:r>
          </w:p>
        </w:tc>
        <w:tc>
          <w:tcPr>
            <w:tcW w:w="1080" w:type="dxa"/>
            <w:tcBorders>
              <w:top w:val="single" w:sz="4" w:space="0" w:color="BFBFBF" w:themeColor="background1" w:themeShade="BF"/>
              <w:left w:val="nil"/>
              <w:bottom w:val="single" w:sz="4" w:space="0" w:color="auto"/>
              <w:right w:val="single" w:sz="4" w:space="0" w:color="auto"/>
            </w:tcBorders>
            <w:shd w:val="clear" w:color="auto" w:fill="BFBFBF" w:themeFill="background1" w:themeFillShade="BF"/>
            <w:noWrap/>
            <w:vAlign w:val="center"/>
            <w:hideMark/>
          </w:tcPr>
          <w:p w14:paraId="46652A62" w14:textId="04A31B3E" w:rsidR="00ED36E7" w:rsidRPr="004512CF" w:rsidRDefault="00ED36E7" w:rsidP="00ED36E7">
            <w:pPr>
              <w:jc w:val="right"/>
              <w:rPr>
                <w:rFonts w:eastAsia="Times New Roman"/>
                <w:color w:val="000000"/>
                <w:sz w:val="18"/>
                <w:szCs w:val="18"/>
              </w:rPr>
            </w:pPr>
            <w:r>
              <w:rPr>
                <w:color w:val="000000"/>
                <w:sz w:val="18"/>
                <w:szCs w:val="18"/>
              </w:rPr>
              <w:t> </w:t>
            </w:r>
          </w:p>
        </w:tc>
        <w:tc>
          <w:tcPr>
            <w:tcW w:w="900" w:type="dxa"/>
            <w:tcBorders>
              <w:top w:val="single" w:sz="4" w:space="0" w:color="BFBFBF" w:themeColor="background1" w:themeShade="BF"/>
              <w:left w:val="nil"/>
              <w:bottom w:val="single" w:sz="4" w:space="0" w:color="auto"/>
              <w:right w:val="single" w:sz="4" w:space="0" w:color="BFBFBF" w:themeColor="background1" w:themeShade="BF"/>
            </w:tcBorders>
            <w:noWrap/>
            <w:vAlign w:val="center"/>
            <w:hideMark/>
          </w:tcPr>
          <w:p w14:paraId="3217D0FD" w14:textId="683EFBDF" w:rsidR="00ED36E7" w:rsidRPr="00C42568" w:rsidRDefault="00ED36E7" w:rsidP="00ED36E7">
            <w:pPr>
              <w:jc w:val="right"/>
              <w:rPr>
                <w:rFonts w:eastAsia="Times New Roman"/>
                <w:color w:val="C00000"/>
                <w:sz w:val="18"/>
                <w:szCs w:val="18"/>
              </w:rPr>
            </w:pPr>
            <w:r w:rsidRPr="00C42568">
              <w:rPr>
                <w:color w:val="C00000"/>
                <w:sz w:val="18"/>
                <w:szCs w:val="18"/>
              </w:rPr>
              <w:t>23%</w:t>
            </w:r>
          </w:p>
        </w:tc>
        <w:tc>
          <w:tcPr>
            <w:tcW w:w="90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56B93627" w14:textId="786BA004" w:rsidR="00ED36E7" w:rsidRPr="00C42568" w:rsidRDefault="00ED36E7" w:rsidP="00ED36E7">
            <w:pPr>
              <w:jc w:val="right"/>
              <w:rPr>
                <w:rFonts w:eastAsia="Times New Roman"/>
                <w:color w:val="C00000"/>
                <w:sz w:val="18"/>
                <w:szCs w:val="18"/>
              </w:rPr>
            </w:pPr>
            <w:r w:rsidRPr="00C42568">
              <w:rPr>
                <w:color w:val="C00000"/>
                <w:sz w:val="18"/>
                <w:szCs w:val="18"/>
              </w:rPr>
              <w:t>25%</w:t>
            </w:r>
          </w:p>
        </w:tc>
        <w:tc>
          <w:tcPr>
            <w:tcW w:w="90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1A5F5182" w14:textId="53CC669B" w:rsidR="00ED36E7" w:rsidRPr="00C42568" w:rsidRDefault="00ED36E7" w:rsidP="00ED36E7">
            <w:pPr>
              <w:jc w:val="right"/>
              <w:rPr>
                <w:rFonts w:eastAsia="Times New Roman"/>
                <w:color w:val="C00000"/>
                <w:sz w:val="18"/>
                <w:szCs w:val="18"/>
              </w:rPr>
            </w:pPr>
            <w:r w:rsidRPr="00C42568">
              <w:rPr>
                <w:color w:val="C00000"/>
                <w:sz w:val="18"/>
                <w:szCs w:val="18"/>
              </w:rPr>
              <w:t>13%</w:t>
            </w:r>
          </w:p>
        </w:tc>
        <w:tc>
          <w:tcPr>
            <w:tcW w:w="90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55C6ABD0" w14:textId="1E858244" w:rsidR="00ED36E7" w:rsidRPr="00C42568" w:rsidRDefault="00ED36E7" w:rsidP="00ED36E7">
            <w:pPr>
              <w:jc w:val="right"/>
              <w:rPr>
                <w:rFonts w:eastAsia="Times New Roman"/>
                <w:color w:val="C00000"/>
                <w:sz w:val="18"/>
                <w:szCs w:val="18"/>
              </w:rPr>
            </w:pPr>
            <w:r w:rsidRPr="00C42568">
              <w:rPr>
                <w:color w:val="C00000"/>
                <w:sz w:val="18"/>
                <w:szCs w:val="18"/>
              </w:rPr>
              <w:t>13%</w:t>
            </w:r>
          </w:p>
        </w:tc>
        <w:tc>
          <w:tcPr>
            <w:tcW w:w="90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41BA1E42" w14:textId="5DD2FED7" w:rsidR="00ED36E7" w:rsidRPr="00C42568" w:rsidRDefault="00ED36E7" w:rsidP="00ED36E7">
            <w:pPr>
              <w:jc w:val="right"/>
              <w:rPr>
                <w:rFonts w:eastAsia="Times New Roman"/>
                <w:color w:val="C00000"/>
                <w:sz w:val="18"/>
                <w:szCs w:val="18"/>
              </w:rPr>
            </w:pPr>
            <w:r w:rsidRPr="00C42568">
              <w:rPr>
                <w:color w:val="C00000"/>
                <w:sz w:val="18"/>
                <w:szCs w:val="18"/>
              </w:rPr>
              <w:t>6%</w:t>
            </w:r>
          </w:p>
        </w:tc>
        <w:tc>
          <w:tcPr>
            <w:tcW w:w="90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1C279FB2" w14:textId="1D70E5A7" w:rsidR="00ED36E7" w:rsidRPr="00C42568" w:rsidRDefault="00ED36E7" w:rsidP="00ED36E7">
            <w:pPr>
              <w:jc w:val="right"/>
              <w:rPr>
                <w:rFonts w:eastAsia="Times New Roman"/>
                <w:color w:val="C00000"/>
                <w:sz w:val="18"/>
                <w:szCs w:val="18"/>
              </w:rPr>
            </w:pPr>
            <w:r w:rsidRPr="00C42568">
              <w:rPr>
                <w:color w:val="C00000"/>
                <w:sz w:val="18"/>
                <w:szCs w:val="18"/>
              </w:rPr>
              <w:t>7%</w:t>
            </w:r>
          </w:p>
        </w:tc>
        <w:tc>
          <w:tcPr>
            <w:tcW w:w="900"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center"/>
            <w:hideMark/>
          </w:tcPr>
          <w:p w14:paraId="372641B6" w14:textId="63E6C9CE" w:rsidR="00ED36E7" w:rsidRPr="00C42568" w:rsidRDefault="00ED36E7" w:rsidP="00ED36E7">
            <w:pPr>
              <w:jc w:val="right"/>
              <w:rPr>
                <w:rFonts w:eastAsia="Times New Roman"/>
                <w:color w:val="C00000"/>
                <w:sz w:val="18"/>
                <w:szCs w:val="18"/>
              </w:rPr>
            </w:pPr>
            <w:r w:rsidRPr="00C42568">
              <w:rPr>
                <w:color w:val="C00000"/>
                <w:sz w:val="18"/>
                <w:szCs w:val="18"/>
              </w:rPr>
              <w:t>6%</w:t>
            </w:r>
          </w:p>
        </w:tc>
        <w:tc>
          <w:tcPr>
            <w:tcW w:w="900" w:type="dxa"/>
            <w:tcBorders>
              <w:top w:val="single" w:sz="4" w:space="0" w:color="BFBFBF" w:themeColor="background1" w:themeShade="BF"/>
              <w:left w:val="single" w:sz="4" w:space="0" w:color="BFBFBF" w:themeColor="background1" w:themeShade="BF"/>
              <w:bottom w:val="single" w:sz="4" w:space="0" w:color="auto"/>
              <w:right w:val="single" w:sz="4" w:space="0" w:color="auto"/>
            </w:tcBorders>
            <w:noWrap/>
            <w:vAlign w:val="center"/>
            <w:hideMark/>
          </w:tcPr>
          <w:p w14:paraId="51B3B8FC" w14:textId="410B465B" w:rsidR="00ED36E7" w:rsidRPr="00C42568" w:rsidRDefault="00ED36E7" w:rsidP="00ED36E7">
            <w:pPr>
              <w:jc w:val="right"/>
              <w:rPr>
                <w:rFonts w:eastAsia="Times New Roman"/>
                <w:color w:val="C00000"/>
                <w:sz w:val="18"/>
                <w:szCs w:val="18"/>
              </w:rPr>
            </w:pPr>
            <w:r w:rsidRPr="00C42568">
              <w:rPr>
                <w:color w:val="C00000"/>
                <w:sz w:val="18"/>
                <w:szCs w:val="18"/>
              </w:rPr>
              <w:t>7%</w:t>
            </w:r>
          </w:p>
        </w:tc>
      </w:tr>
    </w:tbl>
    <w:p w14:paraId="22FA014E" w14:textId="2D3A04A9" w:rsidR="004F2C51" w:rsidRPr="00F92F20" w:rsidRDefault="004F2C51" w:rsidP="004F2C51">
      <w:pPr>
        <w:pStyle w:val="Source"/>
      </w:pPr>
      <w:r w:rsidRPr="00F92F20">
        <w:t>Source: Statistics Canada 2021 Census Profile</w:t>
      </w:r>
    </w:p>
    <w:p w14:paraId="46F70C9E" w14:textId="77777777" w:rsidR="00F92F20" w:rsidRDefault="00F92F20" w:rsidP="00F92F20">
      <w:pPr>
        <w:pStyle w:val="NoSpacing"/>
        <w:jc w:val="both"/>
      </w:pPr>
    </w:p>
    <w:p w14:paraId="7EBADF3A" w14:textId="5C0C7A83" w:rsidR="004120C9" w:rsidRDefault="004120C9" w:rsidP="004120C9">
      <w:pPr>
        <w:pStyle w:val="NoSpacing"/>
        <w:jc w:val="both"/>
      </w:pPr>
      <w:r>
        <w:t xml:space="preserve">A stock </w:t>
      </w:r>
      <w:r w:rsidR="00E25D29">
        <w:t>skewed towards</w:t>
      </w:r>
      <w:r>
        <w:t xml:space="preserve"> older construction periods may face growing habitability, accessibility, and energy efficiency challenges. Units built before modern building codes may </w:t>
      </w:r>
      <w:r w:rsidR="00E25D29">
        <w:t>need</w:t>
      </w:r>
      <w:r>
        <w:t xml:space="preserve"> investment to remain suitable</w:t>
      </w:r>
      <w:r w:rsidR="00B57471">
        <w:t>.</w:t>
      </w:r>
    </w:p>
    <w:p w14:paraId="3675C15E" w14:textId="77777777" w:rsidR="004120C9" w:rsidRDefault="004120C9" w:rsidP="004120C9">
      <w:pPr>
        <w:pStyle w:val="NoSpacing"/>
        <w:jc w:val="both"/>
      </w:pPr>
    </w:p>
    <w:p w14:paraId="565B2499" w14:textId="6B27F01A" w:rsidR="00F92F20" w:rsidRDefault="004120C9" w:rsidP="004120C9">
      <w:pPr>
        <w:pStyle w:val="NoSpacing"/>
        <w:jc w:val="both"/>
      </w:pPr>
      <w:r>
        <w:t>A high share of recently constructed dwellings may signal considerable recent growth, though newer units are not necessarily more affordable and may skew toward higher price points if constructed primarily as market-rate ownership housing</w:t>
      </w:r>
      <w:r w:rsidR="00F92F20" w:rsidRPr="00C55320">
        <w:t xml:space="preserve">. </w:t>
      </w:r>
    </w:p>
    <w:p w14:paraId="0197F7AC" w14:textId="77777777" w:rsidR="00F92F20" w:rsidRDefault="00F92F20" w:rsidP="00F92F20">
      <w:pPr>
        <w:pStyle w:val="NoSpacing"/>
        <w:jc w:val="both"/>
      </w:pPr>
    </w:p>
    <w:p w14:paraId="3E053F27" w14:textId="28FE2A97" w:rsidR="00F92F20" w:rsidRPr="00C55320" w:rsidRDefault="00AD1041" w:rsidP="00F92F20">
      <w:pPr>
        <w:pStyle w:val="NoSpacing"/>
        <w:jc w:val="both"/>
      </w:pPr>
      <w:r w:rsidRPr="00AD1041">
        <w:rPr>
          <w:rStyle w:val="Figure-textChar"/>
        </w:rPr>
        <w:fldChar w:fldCharType="begin"/>
      </w:r>
      <w:r w:rsidRPr="00AD1041">
        <w:rPr>
          <w:rStyle w:val="Figure-textChar"/>
        </w:rPr>
        <w:instrText xml:space="preserve"> REF _Ref226036076 \h </w:instrText>
      </w:r>
      <w:r>
        <w:rPr>
          <w:rStyle w:val="Figure-textChar"/>
        </w:rPr>
        <w:instrText xml:space="preserve"> \* MERGEFORMAT </w:instrText>
      </w:r>
      <w:r w:rsidRPr="00AD1041">
        <w:rPr>
          <w:rStyle w:val="Figure-textChar"/>
        </w:rPr>
      </w:r>
      <w:r w:rsidRPr="00AD1041">
        <w:rPr>
          <w:rStyle w:val="Figure-textChar"/>
        </w:rPr>
        <w:fldChar w:fldCharType="separate"/>
      </w:r>
      <w:r w:rsidR="00CA6116" w:rsidRPr="00CA6116">
        <w:rPr>
          <w:rStyle w:val="Figure-textChar"/>
        </w:rPr>
        <w:t>Table 6.3</w:t>
      </w:r>
      <w:r w:rsidRPr="00AD1041">
        <w:rPr>
          <w:rStyle w:val="Figure-textChar"/>
        </w:rPr>
        <w:fldChar w:fldCharType="end"/>
      </w:r>
      <w:r w:rsidR="00F92F20">
        <w:t xml:space="preserve"> </w:t>
      </w:r>
      <w:r w:rsidR="003B3FF1" w:rsidRPr="003B3FF1">
        <w:t>tracks the volume and structural composition of building permits issued in recent years, providing an indicator of local construction activity and the degree to which new supply is aligned with identified housing needs.</w:t>
      </w:r>
    </w:p>
    <w:p w14:paraId="59DD8D4B" w14:textId="77777777" w:rsidR="004F2C51" w:rsidRPr="00F92F20" w:rsidRDefault="004F2C51" w:rsidP="00F92F20">
      <w:pPr>
        <w:pStyle w:val="NoSpacing"/>
        <w:jc w:val="both"/>
      </w:pPr>
    </w:p>
    <w:p w14:paraId="09A2AFE0" w14:textId="0E51FF54" w:rsidR="00D969BD" w:rsidRDefault="00D969BD" w:rsidP="00D969BD">
      <w:pPr>
        <w:pStyle w:val="Caption"/>
      </w:pPr>
      <w:bookmarkStart w:id="45" w:name="_Ref226036076"/>
      <w:r>
        <w:t xml:space="preserve">Table </w:t>
      </w:r>
      <w:fldSimple w:instr=" STYLEREF 1 \s ">
        <w:r w:rsidR="005E459C">
          <w:rPr>
            <w:noProof/>
          </w:rPr>
          <w:t>6</w:t>
        </w:r>
      </w:fldSimple>
      <w:r w:rsidR="00BD4359">
        <w:t>.</w:t>
      </w:r>
      <w:fldSimple w:instr=" SEQ Table \* ARABIC \s 1 ">
        <w:r w:rsidR="005E459C">
          <w:rPr>
            <w:noProof/>
          </w:rPr>
          <w:t>3</w:t>
        </w:r>
      </w:fldSimple>
      <w:bookmarkEnd w:id="45"/>
      <w:r>
        <w:t>:</w:t>
      </w:r>
      <w:r w:rsidR="00657402">
        <w:t xml:space="preserve"> </w:t>
      </w:r>
      <w:r>
        <w:t>Recent historical permits by structure type and percent of total dwellings</w:t>
      </w:r>
    </w:p>
    <w:tbl>
      <w:tblPr>
        <w:tblW w:w="9350" w:type="dxa"/>
        <w:tblLayout w:type="fixed"/>
        <w:tblLook w:val="04A0" w:firstRow="1" w:lastRow="0" w:firstColumn="1" w:lastColumn="0" w:noHBand="0" w:noVBand="1"/>
      </w:tblPr>
      <w:tblGrid>
        <w:gridCol w:w="1975"/>
        <w:gridCol w:w="1229"/>
        <w:gridCol w:w="1229"/>
        <w:gridCol w:w="1229"/>
        <w:gridCol w:w="1229"/>
        <w:gridCol w:w="1229"/>
        <w:gridCol w:w="1230"/>
      </w:tblGrid>
      <w:tr w:rsidR="004D26BD" w:rsidRPr="00DB50AC" w14:paraId="7AB70AF0" w14:textId="77777777" w:rsidTr="003C59F9">
        <w:trPr>
          <w:trHeight w:val="402"/>
        </w:trPr>
        <w:tc>
          <w:tcPr>
            <w:tcW w:w="197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2DA8321E" w14:textId="67BAB926" w:rsidR="004D26BD" w:rsidRPr="00DB50AC" w:rsidRDefault="004D26BD" w:rsidP="004D26BD">
            <w:pPr>
              <w:rPr>
                <w:rFonts w:eastAsia="Times New Roman"/>
                <w:color w:val="FFFFFF"/>
                <w:sz w:val="18"/>
                <w:szCs w:val="18"/>
              </w:rPr>
            </w:pPr>
            <w:r>
              <w:rPr>
                <w:color w:val="FFFFFF"/>
                <w:sz w:val="18"/>
                <w:szCs w:val="18"/>
              </w:rPr>
              <w:t>Structure type</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8977A1F" w14:textId="76B0B4A9" w:rsidR="004D26BD" w:rsidRPr="00DB50AC" w:rsidRDefault="004D26BD" w:rsidP="004D26BD">
            <w:pPr>
              <w:jc w:val="right"/>
              <w:rPr>
                <w:rFonts w:eastAsia="Times New Roman"/>
                <w:color w:val="FFFFFF"/>
                <w:sz w:val="18"/>
                <w:szCs w:val="18"/>
              </w:rPr>
            </w:pPr>
            <w:r>
              <w:rPr>
                <w:color w:val="FFFFFF"/>
                <w:sz w:val="18"/>
                <w:szCs w:val="18"/>
              </w:rPr>
              <w:t>2018</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634CD34" w14:textId="1A64F5EF" w:rsidR="004D26BD" w:rsidRPr="00DB50AC" w:rsidRDefault="004D26BD" w:rsidP="004D26BD">
            <w:pPr>
              <w:jc w:val="right"/>
              <w:rPr>
                <w:rFonts w:eastAsia="Times New Roman"/>
                <w:color w:val="FFFFFF"/>
                <w:sz w:val="18"/>
                <w:szCs w:val="18"/>
              </w:rPr>
            </w:pPr>
            <w:r>
              <w:rPr>
                <w:color w:val="FFFFFF"/>
                <w:sz w:val="18"/>
                <w:szCs w:val="18"/>
              </w:rPr>
              <w:t>2019</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2B12AD8" w14:textId="3F724A3F" w:rsidR="004D26BD" w:rsidRPr="00DB50AC" w:rsidRDefault="004D26BD" w:rsidP="004D26BD">
            <w:pPr>
              <w:jc w:val="right"/>
              <w:rPr>
                <w:rFonts w:eastAsia="Times New Roman"/>
                <w:color w:val="FFFFFF"/>
                <w:sz w:val="18"/>
                <w:szCs w:val="18"/>
              </w:rPr>
            </w:pPr>
            <w:r>
              <w:rPr>
                <w:color w:val="FFFFFF"/>
                <w:sz w:val="18"/>
                <w:szCs w:val="18"/>
              </w:rPr>
              <w:t>2020</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1C569FA" w14:textId="253D540B" w:rsidR="004D26BD" w:rsidRPr="00DB50AC" w:rsidRDefault="004D26BD" w:rsidP="004D26BD">
            <w:pPr>
              <w:jc w:val="right"/>
              <w:rPr>
                <w:rFonts w:eastAsia="Times New Roman"/>
                <w:color w:val="FFFFFF"/>
                <w:sz w:val="18"/>
                <w:szCs w:val="18"/>
              </w:rPr>
            </w:pPr>
            <w:r>
              <w:rPr>
                <w:color w:val="FFFFFF"/>
                <w:sz w:val="18"/>
                <w:szCs w:val="18"/>
              </w:rPr>
              <w:t>2021</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D7F5691" w14:textId="41F26E67" w:rsidR="004D26BD" w:rsidRPr="00DB50AC" w:rsidRDefault="004D26BD" w:rsidP="004D26BD">
            <w:pPr>
              <w:jc w:val="right"/>
              <w:rPr>
                <w:rFonts w:eastAsia="Times New Roman"/>
                <w:color w:val="FFFFFF"/>
                <w:sz w:val="18"/>
                <w:szCs w:val="18"/>
              </w:rPr>
            </w:pPr>
            <w:r>
              <w:rPr>
                <w:color w:val="FFFFFF"/>
                <w:sz w:val="18"/>
                <w:szCs w:val="18"/>
              </w:rPr>
              <w:t>2022</w:t>
            </w:r>
          </w:p>
        </w:tc>
        <w:tc>
          <w:tcPr>
            <w:tcW w:w="123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0928BBBE" w14:textId="7CBE8D44" w:rsidR="004D26BD" w:rsidRPr="00DB50AC" w:rsidRDefault="004D26BD" w:rsidP="004D26BD">
            <w:pPr>
              <w:jc w:val="right"/>
              <w:rPr>
                <w:rFonts w:eastAsia="Times New Roman"/>
                <w:color w:val="FFFFFF"/>
                <w:sz w:val="18"/>
                <w:szCs w:val="18"/>
              </w:rPr>
            </w:pPr>
            <w:r>
              <w:rPr>
                <w:color w:val="FFFFFF"/>
                <w:sz w:val="18"/>
                <w:szCs w:val="18"/>
              </w:rPr>
              <w:t>2023</w:t>
            </w:r>
          </w:p>
        </w:tc>
      </w:tr>
      <w:tr w:rsidR="004D26BD" w:rsidRPr="00DB50AC" w14:paraId="1CC96EC3" w14:textId="77777777" w:rsidTr="00DB50AC">
        <w:trPr>
          <w:trHeight w:val="402"/>
        </w:trPr>
        <w:tc>
          <w:tcPr>
            <w:tcW w:w="1975" w:type="dxa"/>
            <w:tcBorders>
              <w:top w:val="nil"/>
              <w:left w:val="single" w:sz="4" w:space="0" w:color="auto"/>
              <w:bottom w:val="single" w:sz="4" w:space="0" w:color="auto"/>
              <w:right w:val="single" w:sz="4" w:space="0" w:color="auto"/>
            </w:tcBorders>
            <w:shd w:val="clear" w:color="000000" w:fill="F2F2F2"/>
            <w:noWrap/>
            <w:vAlign w:val="center"/>
            <w:hideMark/>
          </w:tcPr>
          <w:p w14:paraId="5B2B8BC0" w14:textId="33C599CF" w:rsidR="004D26BD" w:rsidRPr="00DB50AC" w:rsidRDefault="004D26BD" w:rsidP="004D26BD">
            <w:pPr>
              <w:rPr>
                <w:rFonts w:eastAsia="Times New Roman"/>
                <w:color w:val="000000"/>
                <w:sz w:val="18"/>
                <w:szCs w:val="18"/>
              </w:rPr>
            </w:pPr>
            <w:r>
              <w:rPr>
                <w:color w:val="000000"/>
                <w:sz w:val="18"/>
                <w:szCs w:val="18"/>
              </w:rPr>
              <w:t>Total</w:t>
            </w:r>
          </w:p>
        </w:tc>
        <w:tc>
          <w:tcPr>
            <w:tcW w:w="1229" w:type="dxa"/>
            <w:tcBorders>
              <w:top w:val="nil"/>
              <w:left w:val="nil"/>
              <w:bottom w:val="single" w:sz="4" w:space="0" w:color="auto"/>
              <w:right w:val="single" w:sz="4" w:space="0" w:color="BFBFBF"/>
            </w:tcBorders>
            <w:shd w:val="clear" w:color="000000" w:fill="F2F2F2"/>
            <w:noWrap/>
            <w:vAlign w:val="center"/>
            <w:hideMark/>
          </w:tcPr>
          <w:p w14:paraId="309D3A9D" w14:textId="2AAE66C4" w:rsidR="004D26BD" w:rsidRPr="00E16881" w:rsidRDefault="004D26BD" w:rsidP="004D26BD">
            <w:pPr>
              <w:jc w:val="right"/>
              <w:rPr>
                <w:rFonts w:eastAsia="Times New Roman"/>
                <w:color w:val="C00000"/>
                <w:sz w:val="18"/>
                <w:szCs w:val="18"/>
              </w:rPr>
            </w:pPr>
            <w:r w:rsidRPr="00E16881">
              <w:rPr>
                <w:color w:val="C00000"/>
                <w:sz w:val="18"/>
                <w:szCs w:val="18"/>
              </w:rPr>
              <w:t>331</w:t>
            </w:r>
          </w:p>
        </w:tc>
        <w:tc>
          <w:tcPr>
            <w:tcW w:w="1229" w:type="dxa"/>
            <w:tcBorders>
              <w:top w:val="nil"/>
              <w:left w:val="nil"/>
              <w:bottom w:val="single" w:sz="4" w:space="0" w:color="auto"/>
              <w:right w:val="single" w:sz="4" w:space="0" w:color="BFBFBF"/>
            </w:tcBorders>
            <w:shd w:val="clear" w:color="000000" w:fill="F2F2F2"/>
            <w:noWrap/>
            <w:vAlign w:val="center"/>
            <w:hideMark/>
          </w:tcPr>
          <w:p w14:paraId="1ADE6829" w14:textId="1929046D" w:rsidR="004D26BD" w:rsidRPr="00E16881" w:rsidRDefault="004D26BD" w:rsidP="004D26BD">
            <w:pPr>
              <w:jc w:val="right"/>
              <w:rPr>
                <w:rFonts w:eastAsia="Times New Roman"/>
                <w:color w:val="C00000"/>
                <w:sz w:val="18"/>
                <w:szCs w:val="18"/>
              </w:rPr>
            </w:pPr>
            <w:r w:rsidRPr="00E16881">
              <w:rPr>
                <w:color w:val="C00000"/>
                <w:sz w:val="18"/>
                <w:szCs w:val="18"/>
              </w:rPr>
              <w:t>401</w:t>
            </w:r>
          </w:p>
        </w:tc>
        <w:tc>
          <w:tcPr>
            <w:tcW w:w="1229" w:type="dxa"/>
            <w:tcBorders>
              <w:top w:val="nil"/>
              <w:left w:val="nil"/>
              <w:bottom w:val="single" w:sz="4" w:space="0" w:color="auto"/>
              <w:right w:val="single" w:sz="4" w:space="0" w:color="BFBFBF"/>
            </w:tcBorders>
            <w:shd w:val="clear" w:color="000000" w:fill="F2F2F2"/>
            <w:noWrap/>
            <w:vAlign w:val="center"/>
            <w:hideMark/>
          </w:tcPr>
          <w:p w14:paraId="614EBF8A" w14:textId="494251C3" w:rsidR="004D26BD" w:rsidRPr="00E16881" w:rsidRDefault="004D26BD" w:rsidP="004D26BD">
            <w:pPr>
              <w:jc w:val="right"/>
              <w:rPr>
                <w:rFonts w:eastAsia="Times New Roman"/>
                <w:color w:val="C00000"/>
                <w:sz w:val="18"/>
                <w:szCs w:val="18"/>
              </w:rPr>
            </w:pPr>
            <w:r w:rsidRPr="00E16881">
              <w:rPr>
                <w:color w:val="C00000"/>
                <w:sz w:val="18"/>
                <w:szCs w:val="18"/>
              </w:rPr>
              <w:t>482</w:t>
            </w:r>
          </w:p>
        </w:tc>
        <w:tc>
          <w:tcPr>
            <w:tcW w:w="1229" w:type="dxa"/>
            <w:tcBorders>
              <w:top w:val="nil"/>
              <w:left w:val="nil"/>
              <w:bottom w:val="single" w:sz="4" w:space="0" w:color="auto"/>
              <w:right w:val="single" w:sz="4" w:space="0" w:color="BFBFBF"/>
            </w:tcBorders>
            <w:shd w:val="clear" w:color="000000" w:fill="F2F2F2"/>
            <w:noWrap/>
            <w:vAlign w:val="center"/>
            <w:hideMark/>
          </w:tcPr>
          <w:p w14:paraId="2516F863" w14:textId="24C2E7D0" w:rsidR="004D26BD" w:rsidRPr="00E16881" w:rsidRDefault="004D26BD" w:rsidP="004D26BD">
            <w:pPr>
              <w:jc w:val="right"/>
              <w:rPr>
                <w:rFonts w:eastAsia="Times New Roman"/>
                <w:color w:val="C00000"/>
                <w:sz w:val="18"/>
                <w:szCs w:val="18"/>
              </w:rPr>
            </w:pPr>
            <w:r w:rsidRPr="00E16881">
              <w:rPr>
                <w:color w:val="C00000"/>
                <w:sz w:val="18"/>
                <w:szCs w:val="18"/>
              </w:rPr>
              <w:t>442</w:t>
            </w:r>
          </w:p>
        </w:tc>
        <w:tc>
          <w:tcPr>
            <w:tcW w:w="1229" w:type="dxa"/>
            <w:tcBorders>
              <w:top w:val="nil"/>
              <w:left w:val="nil"/>
              <w:bottom w:val="single" w:sz="4" w:space="0" w:color="auto"/>
              <w:right w:val="single" w:sz="4" w:space="0" w:color="BFBFBF"/>
            </w:tcBorders>
            <w:shd w:val="clear" w:color="000000" w:fill="F2F2F2"/>
            <w:noWrap/>
            <w:vAlign w:val="center"/>
            <w:hideMark/>
          </w:tcPr>
          <w:p w14:paraId="7D43ACFA" w14:textId="19AA5C4A" w:rsidR="004D26BD" w:rsidRPr="00E16881" w:rsidRDefault="004D26BD" w:rsidP="004D26BD">
            <w:pPr>
              <w:jc w:val="right"/>
              <w:rPr>
                <w:rFonts w:eastAsia="Times New Roman"/>
                <w:color w:val="C00000"/>
                <w:sz w:val="18"/>
                <w:szCs w:val="18"/>
              </w:rPr>
            </w:pPr>
            <w:r w:rsidRPr="00E16881">
              <w:rPr>
                <w:color w:val="C00000"/>
                <w:sz w:val="18"/>
                <w:szCs w:val="18"/>
              </w:rPr>
              <w:t>517</w:t>
            </w:r>
          </w:p>
        </w:tc>
        <w:tc>
          <w:tcPr>
            <w:tcW w:w="1230" w:type="dxa"/>
            <w:tcBorders>
              <w:top w:val="nil"/>
              <w:left w:val="nil"/>
              <w:bottom w:val="single" w:sz="4" w:space="0" w:color="auto"/>
              <w:right w:val="single" w:sz="4" w:space="0" w:color="auto"/>
            </w:tcBorders>
            <w:shd w:val="clear" w:color="000000" w:fill="F2F2F2"/>
            <w:noWrap/>
            <w:vAlign w:val="center"/>
            <w:hideMark/>
          </w:tcPr>
          <w:p w14:paraId="284FE9CF" w14:textId="0AA5C1E4" w:rsidR="004D26BD" w:rsidRPr="00E16881" w:rsidRDefault="004D26BD" w:rsidP="004D26BD">
            <w:pPr>
              <w:jc w:val="right"/>
              <w:rPr>
                <w:rFonts w:eastAsia="Times New Roman"/>
                <w:color w:val="C00000"/>
                <w:sz w:val="18"/>
                <w:szCs w:val="18"/>
              </w:rPr>
            </w:pPr>
            <w:r w:rsidRPr="00E16881">
              <w:rPr>
                <w:color w:val="C00000"/>
                <w:sz w:val="18"/>
                <w:szCs w:val="18"/>
              </w:rPr>
              <w:t>320</w:t>
            </w:r>
          </w:p>
        </w:tc>
      </w:tr>
      <w:tr w:rsidR="004D26BD" w:rsidRPr="00DB50AC" w14:paraId="6F009309" w14:textId="77777777" w:rsidTr="00DB50AC">
        <w:trPr>
          <w:trHeight w:val="402"/>
        </w:trPr>
        <w:tc>
          <w:tcPr>
            <w:tcW w:w="1975" w:type="dxa"/>
            <w:tcBorders>
              <w:top w:val="nil"/>
              <w:left w:val="single" w:sz="4" w:space="0" w:color="auto"/>
              <w:bottom w:val="single" w:sz="4" w:space="0" w:color="BFBFBF"/>
              <w:right w:val="single" w:sz="4" w:space="0" w:color="auto"/>
            </w:tcBorders>
            <w:noWrap/>
            <w:vAlign w:val="center"/>
            <w:hideMark/>
          </w:tcPr>
          <w:p w14:paraId="76AAEA08" w14:textId="2C63DD9C" w:rsidR="004D26BD" w:rsidRPr="00DB50AC" w:rsidRDefault="004D26BD" w:rsidP="004D26BD">
            <w:pPr>
              <w:rPr>
                <w:rFonts w:eastAsia="Times New Roman"/>
                <w:color w:val="000000"/>
                <w:sz w:val="18"/>
                <w:szCs w:val="18"/>
              </w:rPr>
            </w:pPr>
            <w:r>
              <w:rPr>
                <w:color w:val="000000"/>
                <w:sz w:val="18"/>
                <w:szCs w:val="18"/>
              </w:rPr>
              <w:t>Apartment</w:t>
            </w:r>
          </w:p>
        </w:tc>
        <w:tc>
          <w:tcPr>
            <w:tcW w:w="1229" w:type="dxa"/>
            <w:tcBorders>
              <w:top w:val="nil"/>
              <w:left w:val="nil"/>
              <w:bottom w:val="single" w:sz="4" w:space="0" w:color="BFBFBF"/>
              <w:right w:val="single" w:sz="4" w:space="0" w:color="BFBFBF"/>
            </w:tcBorders>
            <w:noWrap/>
            <w:vAlign w:val="center"/>
            <w:hideMark/>
          </w:tcPr>
          <w:p w14:paraId="15E121C8" w14:textId="4EBF128A" w:rsidR="004D26BD" w:rsidRPr="00E16881" w:rsidRDefault="004D26BD" w:rsidP="004D26BD">
            <w:pPr>
              <w:jc w:val="right"/>
              <w:rPr>
                <w:rFonts w:eastAsia="Times New Roman"/>
                <w:color w:val="C00000"/>
                <w:sz w:val="18"/>
                <w:szCs w:val="18"/>
              </w:rPr>
            </w:pPr>
            <w:r w:rsidRPr="00E16881">
              <w:rPr>
                <w:color w:val="C00000"/>
                <w:sz w:val="18"/>
                <w:szCs w:val="18"/>
              </w:rPr>
              <w:t>258</w:t>
            </w:r>
          </w:p>
        </w:tc>
        <w:tc>
          <w:tcPr>
            <w:tcW w:w="1229" w:type="dxa"/>
            <w:tcBorders>
              <w:top w:val="nil"/>
              <w:left w:val="nil"/>
              <w:bottom w:val="single" w:sz="4" w:space="0" w:color="BFBFBF"/>
              <w:right w:val="single" w:sz="4" w:space="0" w:color="BFBFBF"/>
            </w:tcBorders>
            <w:noWrap/>
            <w:vAlign w:val="center"/>
            <w:hideMark/>
          </w:tcPr>
          <w:p w14:paraId="78D9A648" w14:textId="41F0182F" w:rsidR="004D26BD" w:rsidRPr="00E16881" w:rsidRDefault="004D26BD" w:rsidP="004D26BD">
            <w:pPr>
              <w:jc w:val="right"/>
              <w:rPr>
                <w:rFonts w:eastAsia="Times New Roman"/>
                <w:color w:val="C00000"/>
                <w:sz w:val="18"/>
                <w:szCs w:val="18"/>
              </w:rPr>
            </w:pPr>
            <w:r w:rsidRPr="00E16881">
              <w:rPr>
                <w:color w:val="C00000"/>
                <w:sz w:val="18"/>
                <w:szCs w:val="18"/>
              </w:rPr>
              <w:t>264</w:t>
            </w:r>
          </w:p>
        </w:tc>
        <w:tc>
          <w:tcPr>
            <w:tcW w:w="1229" w:type="dxa"/>
            <w:tcBorders>
              <w:top w:val="nil"/>
              <w:left w:val="nil"/>
              <w:bottom w:val="single" w:sz="4" w:space="0" w:color="BFBFBF"/>
              <w:right w:val="single" w:sz="4" w:space="0" w:color="BFBFBF"/>
            </w:tcBorders>
            <w:noWrap/>
            <w:vAlign w:val="center"/>
            <w:hideMark/>
          </w:tcPr>
          <w:p w14:paraId="50CD13F0" w14:textId="51A82F45" w:rsidR="004D26BD" w:rsidRPr="00E16881" w:rsidRDefault="004D26BD" w:rsidP="004D26BD">
            <w:pPr>
              <w:jc w:val="right"/>
              <w:rPr>
                <w:rFonts w:eastAsia="Times New Roman"/>
                <w:color w:val="C00000"/>
                <w:sz w:val="18"/>
                <w:szCs w:val="18"/>
              </w:rPr>
            </w:pPr>
            <w:r w:rsidRPr="00E16881">
              <w:rPr>
                <w:color w:val="C00000"/>
                <w:sz w:val="18"/>
                <w:szCs w:val="18"/>
              </w:rPr>
              <w:t>338</w:t>
            </w:r>
          </w:p>
        </w:tc>
        <w:tc>
          <w:tcPr>
            <w:tcW w:w="1229" w:type="dxa"/>
            <w:tcBorders>
              <w:top w:val="nil"/>
              <w:left w:val="nil"/>
              <w:bottom w:val="single" w:sz="4" w:space="0" w:color="BFBFBF"/>
              <w:right w:val="single" w:sz="4" w:space="0" w:color="BFBFBF"/>
            </w:tcBorders>
            <w:noWrap/>
            <w:vAlign w:val="center"/>
            <w:hideMark/>
          </w:tcPr>
          <w:p w14:paraId="6682BAB9" w14:textId="3CD22913" w:rsidR="004D26BD" w:rsidRPr="00E16881" w:rsidRDefault="004D26BD" w:rsidP="004D26BD">
            <w:pPr>
              <w:jc w:val="right"/>
              <w:rPr>
                <w:rFonts w:eastAsia="Times New Roman"/>
                <w:color w:val="C00000"/>
                <w:sz w:val="18"/>
                <w:szCs w:val="18"/>
              </w:rPr>
            </w:pPr>
            <w:r w:rsidRPr="00E16881">
              <w:rPr>
                <w:color w:val="C00000"/>
                <w:sz w:val="18"/>
                <w:szCs w:val="18"/>
              </w:rPr>
              <w:t>198</w:t>
            </w:r>
          </w:p>
        </w:tc>
        <w:tc>
          <w:tcPr>
            <w:tcW w:w="1229" w:type="dxa"/>
            <w:tcBorders>
              <w:top w:val="nil"/>
              <w:left w:val="nil"/>
              <w:bottom w:val="single" w:sz="4" w:space="0" w:color="BFBFBF"/>
              <w:right w:val="single" w:sz="4" w:space="0" w:color="BFBFBF"/>
            </w:tcBorders>
            <w:noWrap/>
            <w:vAlign w:val="center"/>
            <w:hideMark/>
          </w:tcPr>
          <w:p w14:paraId="4042318F" w14:textId="43373537" w:rsidR="004D26BD" w:rsidRPr="00E16881" w:rsidRDefault="004D26BD" w:rsidP="004D26BD">
            <w:pPr>
              <w:jc w:val="right"/>
              <w:rPr>
                <w:rFonts w:eastAsia="Times New Roman"/>
                <w:color w:val="C00000"/>
                <w:sz w:val="18"/>
                <w:szCs w:val="18"/>
              </w:rPr>
            </w:pPr>
            <w:r w:rsidRPr="00E16881">
              <w:rPr>
                <w:color w:val="C00000"/>
                <w:sz w:val="18"/>
                <w:szCs w:val="18"/>
              </w:rPr>
              <w:t>368</w:t>
            </w:r>
          </w:p>
        </w:tc>
        <w:tc>
          <w:tcPr>
            <w:tcW w:w="1230" w:type="dxa"/>
            <w:tcBorders>
              <w:top w:val="nil"/>
              <w:left w:val="nil"/>
              <w:bottom w:val="single" w:sz="4" w:space="0" w:color="BFBFBF"/>
              <w:right w:val="single" w:sz="4" w:space="0" w:color="auto"/>
            </w:tcBorders>
            <w:noWrap/>
            <w:vAlign w:val="center"/>
            <w:hideMark/>
          </w:tcPr>
          <w:p w14:paraId="4674196F" w14:textId="260709FB" w:rsidR="004D26BD" w:rsidRPr="00E16881" w:rsidRDefault="004D26BD" w:rsidP="004D26BD">
            <w:pPr>
              <w:jc w:val="right"/>
              <w:rPr>
                <w:rFonts w:eastAsia="Times New Roman"/>
                <w:color w:val="C00000"/>
                <w:sz w:val="18"/>
                <w:szCs w:val="18"/>
              </w:rPr>
            </w:pPr>
            <w:r w:rsidRPr="00E16881">
              <w:rPr>
                <w:color w:val="C00000"/>
                <w:sz w:val="18"/>
                <w:szCs w:val="18"/>
              </w:rPr>
              <w:t>183</w:t>
            </w:r>
          </w:p>
        </w:tc>
      </w:tr>
      <w:tr w:rsidR="004D26BD" w:rsidRPr="00DB50AC" w14:paraId="21A590D0" w14:textId="77777777" w:rsidTr="00DB50AC">
        <w:trPr>
          <w:trHeight w:val="402"/>
        </w:trPr>
        <w:tc>
          <w:tcPr>
            <w:tcW w:w="1975" w:type="dxa"/>
            <w:tcBorders>
              <w:top w:val="nil"/>
              <w:left w:val="single" w:sz="4" w:space="0" w:color="auto"/>
              <w:bottom w:val="single" w:sz="4" w:space="0" w:color="BFBFBF"/>
              <w:right w:val="single" w:sz="4" w:space="0" w:color="auto"/>
            </w:tcBorders>
            <w:shd w:val="clear" w:color="000000" w:fill="F2F2F2"/>
            <w:noWrap/>
            <w:vAlign w:val="center"/>
            <w:hideMark/>
          </w:tcPr>
          <w:p w14:paraId="0415A6B3" w14:textId="3C329B21" w:rsidR="004D26BD" w:rsidRPr="00DB50AC" w:rsidRDefault="004D26BD" w:rsidP="004D26BD">
            <w:pPr>
              <w:rPr>
                <w:rFonts w:eastAsia="Times New Roman"/>
                <w:color w:val="000000"/>
                <w:sz w:val="18"/>
                <w:szCs w:val="18"/>
              </w:rPr>
            </w:pPr>
            <w:r>
              <w:rPr>
                <w:color w:val="000000"/>
                <w:sz w:val="18"/>
                <w:szCs w:val="18"/>
              </w:rPr>
              <w:t>Duplex</w:t>
            </w:r>
          </w:p>
        </w:tc>
        <w:tc>
          <w:tcPr>
            <w:tcW w:w="1229" w:type="dxa"/>
            <w:tcBorders>
              <w:top w:val="nil"/>
              <w:left w:val="nil"/>
              <w:bottom w:val="single" w:sz="4" w:space="0" w:color="BFBFBF"/>
              <w:right w:val="single" w:sz="4" w:space="0" w:color="BFBFBF"/>
            </w:tcBorders>
            <w:shd w:val="clear" w:color="000000" w:fill="F2F2F2"/>
            <w:noWrap/>
            <w:vAlign w:val="center"/>
            <w:hideMark/>
          </w:tcPr>
          <w:p w14:paraId="4DA8E031" w14:textId="5BD2F2F6" w:rsidR="004D26BD" w:rsidRPr="00E16881" w:rsidRDefault="004D26BD" w:rsidP="004D26BD">
            <w:pPr>
              <w:jc w:val="right"/>
              <w:rPr>
                <w:rFonts w:eastAsia="Times New Roman"/>
                <w:color w:val="C00000"/>
                <w:sz w:val="18"/>
                <w:szCs w:val="18"/>
              </w:rPr>
            </w:pPr>
            <w:r w:rsidRPr="00E16881">
              <w:rPr>
                <w:color w:val="C00000"/>
                <w:sz w:val="18"/>
                <w:szCs w:val="18"/>
              </w:rPr>
              <w:t>18</w:t>
            </w:r>
          </w:p>
        </w:tc>
        <w:tc>
          <w:tcPr>
            <w:tcW w:w="1229" w:type="dxa"/>
            <w:tcBorders>
              <w:top w:val="nil"/>
              <w:left w:val="nil"/>
              <w:bottom w:val="single" w:sz="4" w:space="0" w:color="BFBFBF"/>
              <w:right w:val="single" w:sz="4" w:space="0" w:color="BFBFBF"/>
            </w:tcBorders>
            <w:shd w:val="clear" w:color="000000" w:fill="F2F2F2"/>
            <w:noWrap/>
            <w:vAlign w:val="center"/>
            <w:hideMark/>
          </w:tcPr>
          <w:p w14:paraId="62AD965C" w14:textId="4047C38C" w:rsidR="004D26BD" w:rsidRPr="00E16881" w:rsidRDefault="004D26BD" w:rsidP="004D26BD">
            <w:pPr>
              <w:jc w:val="right"/>
              <w:rPr>
                <w:rFonts w:eastAsia="Times New Roman"/>
                <w:color w:val="C00000"/>
                <w:sz w:val="18"/>
                <w:szCs w:val="18"/>
              </w:rPr>
            </w:pPr>
            <w:r w:rsidRPr="00E16881">
              <w:rPr>
                <w:color w:val="C00000"/>
                <w:sz w:val="18"/>
                <w:szCs w:val="18"/>
              </w:rPr>
              <w:t>38</w:t>
            </w:r>
          </w:p>
        </w:tc>
        <w:tc>
          <w:tcPr>
            <w:tcW w:w="1229" w:type="dxa"/>
            <w:tcBorders>
              <w:top w:val="nil"/>
              <w:left w:val="nil"/>
              <w:bottom w:val="single" w:sz="4" w:space="0" w:color="BFBFBF"/>
              <w:right w:val="single" w:sz="4" w:space="0" w:color="BFBFBF"/>
            </w:tcBorders>
            <w:shd w:val="clear" w:color="000000" w:fill="F2F2F2"/>
            <w:noWrap/>
            <w:vAlign w:val="center"/>
            <w:hideMark/>
          </w:tcPr>
          <w:p w14:paraId="386E2A1A" w14:textId="6C3303F5" w:rsidR="004D26BD" w:rsidRPr="00E16881" w:rsidRDefault="004D26BD" w:rsidP="004D26BD">
            <w:pPr>
              <w:jc w:val="right"/>
              <w:rPr>
                <w:rFonts w:eastAsia="Times New Roman"/>
                <w:color w:val="C00000"/>
                <w:sz w:val="18"/>
                <w:szCs w:val="18"/>
              </w:rPr>
            </w:pPr>
            <w:r w:rsidRPr="00E16881">
              <w:rPr>
                <w:color w:val="C00000"/>
                <w:sz w:val="18"/>
                <w:szCs w:val="18"/>
              </w:rPr>
              <w:t>40</w:t>
            </w:r>
          </w:p>
        </w:tc>
        <w:tc>
          <w:tcPr>
            <w:tcW w:w="1229" w:type="dxa"/>
            <w:tcBorders>
              <w:top w:val="nil"/>
              <w:left w:val="nil"/>
              <w:bottom w:val="single" w:sz="4" w:space="0" w:color="BFBFBF"/>
              <w:right w:val="single" w:sz="4" w:space="0" w:color="BFBFBF"/>
            </w:tcBorders>
            <w:shd w:val="clear" w:color="000000" w:fill="F2F2F2"/>
            <w:noWrap/>
            <w:vAlign w:val="center"/>
            <w:hideMark/>
          </w:tcPr>
          <w:p w14:paraId="755209C0" w14:textId="32FDCDC4" w:rsidR="004D26BD" w:rsidRPr="00E16881" w:rsidRDefault="004D26BD" w:rsidP="004D26BD">
            <w:pPr>
              <w:jc w:val="right"/>
              <w:rPr>
                <w:rFonts w:eastAsia="Times New Roman"/>
                <w:color w:val="C00000"/>
                <w:sz w:val="18"/>
                <w:szCs w:val="18"/>
              </w:rPr>
            </w:pPr>
            <w:r w:rsidRPr="00E16881">
              <w:rPr>
                <w:color w:val="C00000"/>
                <w:sz w:val="18"/>
                <w:szCs w:val="18"/>
              </w:rPr>
              <w:t>88</w:t>
            </w:r>
          </w:p>
        </w:tc>
        <w:tc>
          <w:tcPr>
            <w:tcW w:w="1229" w:type="dxa"/>
            <w:tcBorders>
              <w:top w:val="nil"/>
              <w:left w:val="nil"/>
              <w:bottom w:val="single" w:sz="4" w:space="0" w:color="BFBFBF"/>
              <w:right w:val="single" w:sz="4" w:space="0" w:color="BFBFBF"/>
            </w:tcBorders>
            <w:shd w:val="clear" w:color="000000" w:fill="F2F2F2"/>
            <w:noWrap/>
            <w:vAlign w:val="center"/>
            <w:hideMark/>
          </w:tcPr>
          <w:p w14:paraId="674CF093" w14:textId="1A7A21AC" w:rsidR="004D26BD" w:rsidRPr="00E16881" w:rsidRDefault="004D26BD" w:rsidP="004D26BD">
            <w:pPr>
              <w:jc w:val="right"/>
              <w:rPr>
                <w:rFonts w:eastAsia="Times New Roman"/>
                <w:color w:val="C00000"/>
                <w:sz w:val="18"/>
                <w:szCs w:val="18"/>
              </w:rPr>
            </w:pPr>
            <w:r w:rsidRPr="00E16881">
              <w:rPr>
                <w:color w:val="C00000"/>
                <w:sz w:val="18"/>
                <w:szCs w:val="18"/>
              </w:rPr>
              <w:t>59</w:t>
            </w:r>
          </w:p>
        </w:tc>
        <w:tc>
          <w:tcPr>
            <w:tcW w:w="1230" w:type="dxa"/>
            <w:tcBorders>
              <w:top w:val="nil"/>
              <w:left w:val="nil"/>
              <w:bottom w:val="single" w:sz="4" w:space="0" w:color="BFBFBF"/>
              <w:right w:val="single" w:sz="4" w:space="0" w:color="auto"/>
            </w:tcBorders>
            <w:shd w:val="clear" w:color="000000" w:fill="F2F2F2"/>
            <w:noWrap/>
            <w:vAlign w:val="center"/>
            <w:hideMark/>
          </w:tcPr>
          <w:p w14:paraId="0DB631EA" w14:textId="41514DD1" w:rsidR="004D26BD" w:rsidRPr="00E16881" w:rsidRDefault="004D26BD" w:rsidP="004D26BD">
            <w:pPr>
              <w:jc w:val="right"/>
              <w:rPr>
                <w:rFonts w:eastAsia="Times New Roman"/>
                <w:color w:val="C00000"/>
                <w:sz w:val="18"/>
                <w:szCs w:val="18"/>
              </w:rPr>
            </w:pPr>
            <w:r w:rsidRPr="00E16881">
              <w:rPr>
                <w:color w:val="C00000"/>
                <w:sz w:val="18"/>
                <w:szCs w:val="18"/>
              </w:rPr>
              <w:t>67</w:t>
            </w:r>
          </w:p>
        </w:tc>
      </w:tr>
      <w:tr w:rsidR="004D26BD" w:rsidRPr="00DB50AC" w14:paraId="0D622F61" w14:textId="77777777" w:rsidTr="00DB50AC">
        <w:trPr>
          <w:trHeight w:val="402"/>
        </w:trPr>
        <w:tc>
          <w:tcPr>
            <w:tcW w:w="1975" w:type="dxa"/>
            <w:tcBorders>
              <w:top w:val="nil"/>
              <w:left w:val="single" w:sz="4" w:space="0" w:color="auto"/>
              <w:bottom w:val="single" w:sz="4" w:space="0" w:color="BFBFBF"/>
              <w:right w:val="single" w:sz="4" w:space="0" w:color="auto"/>
            </w:tcBorders>
            <w:noWrap/>
            <w:vAlign w:val="center"/>
            <w:hideMark/>
          </w:tcPr>
          <w:p w14:paraId="67B134E1" w14:textId="4829DD30" w:rsidR="004D26BD" w:rsidRPr="00DB50AC" w:rsidRDefault="004D26BD" w:rsidP="004D26BD">
            <w:pPr>
              <w:rPr>
                <w:rFonts w:eastAsia="Times New Roman"/>
                <w:color w:val="000000"/>
                <w:sz w:val="18"/>
                <w:szCs w:val="18"/>
              </w:rPr>
            </w:pPr>
            <w:r>
              <w:rPr>
                <w:color w:val="000000"/>
                <w:sz w:val="18"/>
                <w:szCs w:val="18"/>
              </w:rPr>
              <w:t>Mobile</w:t>
            </w:r>
          </w:p>
        </w:tc>
        <w:tc>
          <w:tcPr>
            <w:tcW w:w="1229" w:type="dxa"/>
            <w:tcBorders>
              <w:top w:val="nil"/>
              <w:left w:val="nil"/>
              <w:bottom w:val="single" w:sz="4" w:space="0" w:color="BFBFBF"/>
              <w:right w:val="single" w:sz="4" w:space="0" w:color="BFBFBF"/>
            </w:tcBorders>
            <w:noWrap/>
            <w:vAlign w:val="center"/>
            <w:hideMark/>
          </w:tcPr>
          <w:p w14:paraId="14469A38" w14:textId="60172D4E" w:rsidR="004D26BD" w:rsidRPr="00E16881" w:rsidRDefault="004D26BD" w:rsidP="004D26BD">
            <w:pPr>
              <w:jc w:val="right"/>
              <w:rPr>
                <w:rFonts w:eastAsia="Times New Roman"/>
                <w:color w:val="C00000"/>
                <w:sz w:val="18"/>
                <w:szCs w:val="18"/>
              </w:rPr>
            </w:pPr>
            <w:r w:rsidRPr="00E16881">
              <w:rPr>
                <w:color w:val="C00000"/>
                <w:sz w:val="18"/>
                <w:szCs w:val="18"/>
              </w:rPr>
              <w:t>1</w:t>
            </w:r>
          </w:p>
        </w:tc>
        <w:tc>
          <w:tcPr>
            <w:tcW w:w="1229" w:type="dxa"/>
            <w:tcBorders>
              <w:top w:val="nil"/>
              <w:left w:val="nil"/>
              <w:bottom w:val="single" w:sz="4" w:space="0" w:color="BFBFBF"/>
              <w:right w:val="single" w:sz="4" w:space="0" w:color="BFBFBF"/>
            </w:tcBorders>
            <w:noWrap/>
            <w:vAlign w:val="center"/>
            <w:hideMark/>
          </w:tcPr>
          <w:p w14:paraId="73972132" w14:textId="3E03CC0C" w:rsidR="004D26BD" w:rsidRPr="00E16881" w:rsidRDefault="004D26BD" w:rsidP="004D26BD">
            <w:pPr>
              <w:jc w:val="right"/>
              <w:rPr>
                <w:rFonts w:eastAsia="Times New Roman"/>
                <w:color w:val="C00000"/>
                <w:sz w:val="18"/>
                <w:szCs w:val="18"/>
              </w:rPr>
            </w:pPr>
            <w:r w:rsidRPr="00E16881">
              <w:rPr>
                <w:color w:val="C00000"/>
                <w:sz w:val="18"/>
                <w:szCs w:val="18"/>
              </w:rPr>
              <w:t>1</w:t>
            </w:r>
          </w:p>
        </w:tc>
        <w:tc>
          <w:tcPr>
            <w:tcW w:w="1229" w:type="dxa"/>
            <w:tcBorders>
              <w:top w:val="nil"/>
              <w:left w:val="nil"/>
              <w:bottom w:val="single" w:sz="4" w:space="0" w:color="BFBFBF"/>
              <w:right w:val="single" w:sz="4" w:space="0" w:color="BFBFBF"/>
            </w:tcBorders>
            <w:noWrap/>
            <w:vAlign w:val="center"/>
            <w:hideMark/>
          </w:tcPr>
          <w:p w14:paraId="07E1669D" w14:textId="4EAD6FAE" w:rsidR="004D26BD" w:rsidRPr="00E16881" w:rsidRDefault="004D26BD" w:rsidP="004D26BD">
            <w:pPr>
              <w:jc w:val="right"/>
              <w:rPr>
                <w:rFonts w:eastAsia="Times New Roman"/>
                <w:color w:val="C00000"/>
                <w:sz w:val="18"/>
                <w:szCs w:val="18"/>
              </w:rPr>
            </w:pPr>
            <w:r w:rsidRPr="00E16881">
              <w:rPr>
                <w:color w:val="C00000"/>
                <w:sz w:val="18"/>
                <w:szCs w:val="18"/>
              </w:rPr>
              <w:t>0</w:t>
            </w:r>
          </w:p>
        </w:tc>
        <w:tc>
          <w:tcPr>
            <w:tcW w:w="1229" w:type="dxa"/>
            <w:tcBorders>
              <w:top w:val="nil"/>
              <w:left w:val="nil"/>
              <w:bottom w:val="single" w:sz="4" w:space="0" w:color="BFBFBF"/>
              <w:right w:val="single" w:sz="4" w:space="0" w:color="BFBFBF"/>
            </w:tcBorders>
            <w:noWrap/>
            <w:vAlign w:val="center"/>
            <w:hideMark/>
          </w:tcPr>
          <w:p w14:paraId="6D2A5ACA" w14:textId="64B61F68" w:rsidR="004D26BD" w:rsidRPr="00E16881" w:rsidRDefault="004D26BD" w:rsidP="004D26BD">
            <w:pPr>
              <w:jc w:val="right"/>
              <w:rPr>
                <w:rFonts w:eastAsia="Times New Roman"/>
                <w:color w:val="C00000"/>
                <w:sz w:val="18"/>
                <w:szCs w:val="18"/>
              </w:rPr>
            </w:pPr>
            <w:r w:rsidRPr="00E16881">
              <w:rPr>
                <w:color w:val="C00000"/>
                <w:sz w:val="18"/>
                <w:szCs w:val="18"/>
              </w:rPr>
              <w:t>0</w:t>
            </w:r>
          </w:p>
        </w:tc>
        <w:tc>
          <w:tcPr>
            <w:tcW w:w="1229" w:type="dxa"/>
            <w:tcBorders>
              <w:top w:val="nil"/>
              <w:left w:val="nil"/>
              <w:bottom w:val="single" w:sz="4" w:space="0" w:color="BFBFBF"/>
              <w:right w:val="single" w:sz="4" w:space="0" w:color="BFBFBF"/>
            </w:tcBorders>
            <w:noWrap/>
            <w:vAlign w:val="center"/>
            <w:hideMark/>
          </w:tcPr>
          <w:p w14:paraId="0CE9FBB6" w14:textId="575B3DD8" w:rsidR="004D26BD" w:rsidRPr="00E16881" w:rsidRDefault="004D26BD" w:rsidP="004D26BD">
            <w:pPr>
              <w:jc w:val="right"/>
              <w:rPr>
                <w:rFonts w:eastAsia="Times New Roman"/>
                <w:color w:val="C00000"/>
                <w:sz w:val="18"/>
                <w:szCs w:val="18"/>
              </w:rPr>
            </w:pPr>
            <w:r w:rsidRPr="00E16881">
              <w:rPr>
                <w:color w:val="C00000"/>
                <w:sz w:val="18"/>
                <w:szCs w:val="18"/>
              </w:rPr>
              <w:t>0</w:t>
            </w:r>
          </w:p>
        </w:tc>
        <w:tc>
          <w:tcPr>
            <w:tcW w:w="1230" w:type="dxa"/>
            <w:tcBorders>
              <w:top w:val="nil"/>
              <w:left w:val="nil"/>
              <w:bottom w:val="single" w:sz="4" w:space="0" w:color="BFBFBF"/>
              <w:right w:val="single" w:sz="4" w:space="0" w:color="auto"/>
            </w:tcBorders>
            <w:noWrap/>
            <w:vAlign w:val="center"/>
            <w:hideMark/>
          </w:tcPr>
          <w:p w14:paraId="076A2034" w14:textId="28AF8C49" w:rsidR="004D26BD" w:rsidRPr="00E16881" w:rsidRDefault="004D26BD" w:rsidP="004D26BD">
            <w:pPr>
              <w:jc w:val="right"/>
              <w:rPr>
                <w:rFonts w:eastAsia="Times New Roman"/>
                <w:color w:val="C00000"/>
                <w:sz w:val="18"/>
                <w:szCs w:val="18"/>
              </w:rPr>
            </w:pPr>
            <w:r w:rsidRPr="00E16881">
              <w:rPr>
                <w:color w:val="C00000"/>
                <w:sz w:val="18"/>
                <w:szCs w:val="18"/>
              </w:rPr>
              <w:t>6</w:t>
            </w:r>
          </w:p>
        </w:tc>
      </w:tr>
      <w:tr w:rsidR="004D26BD" w:rsidRPr="00DB50AC" w14:paraId="2D6CF1A6" w14:textId="77777777" w:rsidTr="00DB50AC">
        <w:trPr>
          <w:trHeight w:val="402"/>
        </w:trPr>
        <w:tc>
          <w:tcPr>
            <w:tcW w:w="1975" w:type="dxa"/>
            <w:tcBorders>
              <w:top w:val="nil"/>
              <w:left w:val="single" w:sz="4" w:space="0" w:color="auto"/>
              <w:bottom w:val="single" w:sz="4" w:space="0" w:color="BFBFBF"/>
              <w:right w:val="single" w:sz="4" w:space="0" w:color="auto"/>
            </w:tcBorders>
            <w:shd w:val="clear" w:color="000000" w:fill="F2F2F2"/>
            <w:noWrap/>
            <w:vAlign w:val="center"/>
            <w:hideMark/>
          </w:tcPr>
          <w:p w14:paraId="0AC05078" w14:textId="7606A17A" w:rsidR="004D26BD" w:rsidRPr="00DB50AC" w:rsidRDefault="004D26BD" w:rsidP="004D26BD">
            <w:pPr>
              <w:rPr>
                <w:rFonts w:eastAsia="Times New Roman"/>
                <w:color w:val="000000"/>
                <w:sz w:val="18"/>
                <w:szCs w:val="18"/>
              </w:rPr>
            </w:pPr>
            <w:r>
              <w:rPr>
                <w:color w:val="000000"/>
                <w:sz w:val="18"/>
                <w:szCs w:val="18"/>
              </w:rPr>
              <w:t>Row</w:t>
            </w:r>
          </w:p>
        </w:tc>
        <w:tc>
          <w:tcPr>
            <w:tcW w:w="1229" w:type="dxa"/>
            <w:tcBorders>
              <w:top w:val="nil"/>
              <w:left w:val="nil"/>
              <w:bottom w:val="single" w:sz="4" w:space="0" w:color="BFBFBF"/>
              <w:right w:val="single" w:sz="4" w:space="0" w:color="BFBFBF"/>
            </w:tcBorders>
            <w:shd w:val="clear" w:color="000000" w:fill="F2F2F2"/>
            <w:noWrap/>
            <w:vAlign w:val="center"/>
            <w:hideMark/>
          </w:tcPr>
          <w:p w14:paraId="0EDBAFDD" w14:textId="484282CF" w:rsidR="004D26BD" w:rsidRPr="00E16881" w:rsidRDefault="004D26BD" w:rsidP="004D26BD">
            <w:pPr>
              <w:jc w:val="right"/>
              <w:rPr>
                <w:rFonts w:eastAsia="Times New Roman"/>
                <w:color w:val="C00000"/>
                <w:sz w:val="18"/>
                <w:szCs w:val="18"/>
              </w:rPr>
            </w:pPr>
            <w:r w:rsidRPr="00E16881">
              <w:rPr>
                <w:color w:val="C00000"/>
                <w:sz w:val="18"/>
                <w:szCs w:val="18"/>
              </w:rPr>
              <w:t>8</w:t>
            </w:r>
          </w:p>
        </w:tc>
        <w:tc>
          <w:tcPr>
            <w:tcW w:w="1229" w:type="dxa"/>
            <w:tcBorders>
              <w:top w:val="nil"/>
              <w:left w:val="nil"/>
              <w:bottom w:val="single" w:sz="4" w:space="0" w:color="BFBFBF"/>
              <w:right w:val="single" w:sz="4" w:space="0" w:color="BFBFBF"/>
            </w:tcBorders>
            <w:shd w:val="clear" w:color="000000" w:fill="F2F2F2"/>
            <w:noWrap/>
            <w:vAlign w:val="center"/>
            <w:hideMark/>
          </w:tcPr>
          <w:p w14:paraId="1CF66177" w14:textId="4F227F22" w:rsidR="004D26BD" w:rsidRPr="00E16881" w:rsidRDefault="004D26BD" w:rsidP="004D26BD">
            <w:pPr>
              <w:jc w:val="right"/>
              <w:rPr>
                <w:rFonts w:eastAsia="Times New Roman"/>
                <w:color w:val="C00000"/>
                <w:sz w:val="18"/>
                <w:szCs w:val="18"/>
              </w:rPr>
            </w:pPr>
            <w:r w:rsidRPr="00E16881">
              <w:rPr>
                <w:color w:val="C00000"/>
                <w:sz w:val="18"/>
                <w:szCs w:val="18"/>
              </w:rPr>
              <w:t>39</w:t>
            </w:r>
          </w:p>
        </w:tc>
        <w:tc>
          <w:tcPr>
            <w:tcW w:w="1229" w:type="dxa"/>
            <w:tcBorders>
              <w:top w:val="nil"/>
              <w:left w:val="nil"/>
              <w:bottom w:val="single" w:sz="4" w:space="0" w:color="BFBFBF"/>
              <w:right w:val="single" w:sz="4" w:space="0" w:color="BFBFBF"/>
            </w:tcBorders>
            <w:shd w:val="clear" w:color="000000" w:fill="F2F2F2"/>
            <w:noWrap/>
            <w:vAlign w:val="center"/>
            <w:hideMark/>
          </w:tcPr>
          <w:p w14:paraId="3305E434" w14:textId="78E461DC" w:rsidR="004D26BD" w:rsidRPr="00E16881" w:rsidRDefault="004D26BD" w:rsidP="004D26BD">
            <w:pPr>
              <w:jc w:val="right"/>
              <w:rPr>
                <w:rFonts w:eastAsia="Times New Roman"/>
                <w:color w:val="C00000"/>
                <w:sz w:val="18"/>
                <w:szCs w:val="18"/>
              </w:rPr>
            </w:pPr>
            <w:r w:rsidRPr="00E16881">
              <w:rPr>
                <w:color w:val="C00000"/>
                <w:sz w:val="18"/>
                <w:szCs w:val="18"/>
              </w:rPr>
              <w:t>57</w:t>
            </w:r>
          </w:p>
        </w:tc>
        <w:tc>
          <w:tcPr>
            <w:tcW w:w="1229" w:type="dxa"/>
            <w:tcBorders>
              <w:top w:val="nil"/>
              <w:left w:val="nil"/>
              <w:bottom w:val="single" w:sz="4" w:space="0" w:color="BFBFBF"/>
              <w:right w:val="single" w:sz="4" w:space="0" w:color="BFBFBF"/>
            </w:tcBorders>
            <w:shd w:val="clear" w:color="000000" w:fill="F2F2F2"/>
            <w:noWrap/>
            <w:vAlign w:val="center"/>
            <w:hideMark/>
          </w:tcPr>
          <w:p w14:paraId="04106DCB" w14:textId="34FD4D4D" w:rsidR="004D26BD" w:rsidRPr="00E16881" w:rsidRDefault="004D26BD" w:rsidP="004D26BD">
            <w:pPr>
              <w:jc w:val="right"/>
              <w:rPr>
                <w:rFonts w:eastAsia="Times New Roman"/>
                <w:color w:val="C00000"/>
                <w:sz w:val="18"/>
                <w:szCs w:val="18"/>
              </w:rPr>
            </w:pPr>
            <w:r w:rsidRPr="00E16881">
              <w:rPr>
                <w:color w:val="C00000"/>
                <w:sz w:val="18"/>
                <w:szCs w:val="18"/>
              </w:rPr>
              <w:t>62</w:t>
            </w:r>
          </w:p>
        </w:tc>
        <w:tc>
          <w:tcPr>
            <w:tcW w:w="1229" w:type="dxa"/>
            <w:tcBorders>
              <w:top w:val="nil"/>
              <w:left w:val="nil"/>
              <w:bottom w:val="single" w:sz="4" w:space="0" w:color="BFBFBF"/>
              <w:right w:val="single" w:sz="4" w:space="0" w:color="BFBFBF"/>
            </w:tcBorders>
            <w:shd w:val="clear" w:color="000000" w:fill="F2F2F2"/>
            <w:noWrap/>
            <w:vAlign w:val="center"/>
            <w:hideMark/>
          </w:tcPr>
          <w:p w14:paraId="0550C27E" w14:textId="2168E9C1" w:rsidR="004D26BD" w:rsidRPr="00E16881" w:rsidRDefault="004D26BD" w:rsidP="004D26BD">
            <w:pPr>
              <w:jc w:val="right"/>
              <w:rPr>
                <w:rFonts w:eastAsia="Times New Roman"/>
                <w:color w:val="C00000"/>
                <w:sz w:val="18"/>
                <w:szCs w:val="18"/>
              </w:rPr>
            </w:pPr>
            <w:r w:rsidRPr="00E16881">
              <w:rPr>
                <w:color w:val="C00000"/>
                <w:sz w:val="18"/>
                <w:szCs w:val="18"/>
              </w:rPr>
              <w:t>35</w:t>
            </w:r>
          </w:p>
        </w:tc>
        <w:tc>
          <w:tcPr>
            <w:tcW w:w="1230" w:type="dxa"/>
            <w:tcBorders>
              <w:top w:val="nil"/>
              <w:left w:val="nil"/>
              <w:bottom w:val="single" w:sz="4" w:space="0" w:color="BFBFBF"/>
              <w:right w:val="single" w:sz="4" w:space="0" w:color="auto"/>
            </w:tcBorders>
            <w:shd w:val="clear" w:color="000000" w:fill="F2F2F2"/>
            <w:noWrap/>
            <w:vAlign w:val="center"/>
            <w:hideMark/>
          </w:tcPr>
          <w:p w14:paraId="064202AA" w14:textId="2FAD0A98" w:rsidR="004D26BD" w:rsidRPr="00E16881" w:rsidRDefault="004D26BD" w:rsidP="004D26BD">
            <w:pPr>
              <w:jc w:val="right"/>
              <w:rPr>
                <w:rFonts w:eastAsia="Times New Roman"/>
                <w:color w:val="C00000"/>
                <w:sz w:val="18"/>
                <w:szCs w:val="18"/>
              </w:rPr>
            </w:pPr>
            <w:r w:rsidRPr="00E16881">
              <w:rPr>
                <w:color w:val="C00000"/>
                <w:sz w:val="18"/>
                <w:szCs w:val="18"/>
              </w:rPr>
              <w:t>12</w:t>
            </w:r>
          </w:p>
        </w:tc>
      </w:tr>
      <w:tr w:rsidR="004D26BD" w:rsidRPr="00DB50AC" w14:paraId="4EDCBEA1" w14:textId="77777777" w:rsidTr="003C59F9">
        <w:trPr>
          <w:trHeight w:val="402"/>
        </w:trPr>
        <w:tc>
          <w:tcPr>
            <w:tcW w:w="1975" w:type="dxa"/>
            <w:tcBorders>
              <w:top w:val="nil"/>
              <w:left w:val="single" w:sz="4" w:space="0" w:color="auto"/>
              <w:bottom w:val="single" w:sz="4" w:space="0" w:color="auto"/>
              <w:right w:val="single" w:sz="4" w:space="0" w:color="auto"/>
            </w:tcBorders>
            <w:noWrap/>
            <w:vAlign w:val="center"/>
            <w:hideMark/>
          </w:tcPr>
          <w:p w14:paraId="477F487E" w14:textId="64E93658" w:rsidR="004D26BD" w:rsidRPr="00DB50AC" w:rsidRDefault="004D26BD" w:rsidP="004D26BD">
            <w:pPr>
              <w:rPr>
                <w:rFonts w:eastAsia="Times New Roman"/>
                <w:color w:val="000000"/>
                <w:sz w:val="18"/>
                <w:szCs w:val="18"/>
              </w:rPr>
            </w:pPr>
            <w:r>
              <w:rPr>
                <w:color w:val="000000"/>
                <w:sz w:val="18"/>
                <w:szCs w:val="18"/>
              </w:rPr>
              <w:t>Single</w:t>
            </w:r>
          </w:p>
        </w:tc>
        <w:tc>
          <w:tcPr>
            <w:tcW w:w="1229" w:type="dxa"/>
            <w:tcBorders>
              <w:top w:val="nil"/>
              <w:left w:val="nil"/>
              <w:bottom w:val="single" w:sz="4" w:space="0" w:color="auto"/>
              <w:right w:val="single" w:sz="4" w:space="0" w:color="BFBFBF"/>
            </w:tcBorders>
            <w:noWrap/>
            <w:vAlign w:val="center"/>
            <w:hideMark/>
          </w:tcPr>
          <w:p w14:paraId="790CE5C8" w14:textId="0790CC98" w:rsidR="004D26BD" w:rsidRPr="00E16881" w:rsidRDefault="004D26BD" w:rsidP="004D26BD">
            <w:pPr>
              <w:jc w:val="right"/>
              <w:rPr>
                <w:rFonts w:eastAsia="Times New Roman"/>
                <w:color w:val="C00000"/>
                <w:sz w:val="18"/>
                <w:szCs w:val="18"/>
              </w:rPr>
            </w:pPr>
            <w:r w:rsidRPr="00E16881">
              <w:rPr>
                <w:color w:val="C00000"/>
                <w:sz w:val="18"/>
                <w:szCs w:val="18"/>
              </w:rPr>
              <w:t>46</w:t>
            </w:r>
          </w:p>
        </w:tc>
        <w:tc>
          <w:tcPr>
            <w:tcW w:w="1229" w:type="dxa"/>
            <w:tcBorders>
              <w:top w:val="nil"/>
              <w:left w:val="nil"/>
              <w:bottom w:val="single" w:sz="4" w:space="0" w:color="auto"/>
              <w:right w:val="single" w:sz="4" w:space="0" w:color="BFBFBF"/>
            </w:tcBorders>
            <w:noWrap/>
            <w:vAlign w:val="center"/>
            <w:hideMark/>
          </w:tcPr>
          <w:p w14:paraId="7ED82BF4" w14:textId="44E64E2F" w:rsidR="004D26BD" w:rsidRPr="00E16881" w:rsidRDefault="004D26BD" w:rsidP="004D26BD">
            <w:pPr>
              <w:jc w:val="right"/>
              <w:rPr>
                <w:rFonts w:eastAsia="Times New Roman"/>
                <w:color w:val="C00000"/>
                <w:sz w:val="18"/>
                <w:szCs w:val="18"/>
              </w:rPr>
            </w:pPr>
            <w:r w:rsidRPr="00E16881">
              <w:rPr>
                <w:color w:val="C00000"/>
                <w:sz w:val="18"/>
                <w:szCs w:val="18"/>
              </w:rPr>
              <w:t>59</w:t>
            </w:r>
          </w:p>
        </w:tc>
        <w:tc>
          <w:tcPr>
            <w:tcW w:w="1229" w:type="dxa"/>
            <w:tcBorders>
              <w:top w:val="nil"/>
              <w:left w:val="nil"/>
              <w:bottom w:val="single" w:sz="4" w:space="0" w:color="auto"/>
              <w:right w:val="single" w:sz="4" w:space="0" w:color="BFBFBF"/>
            </w:tcBorders>
            <w:noWrap/>
            <w:vAlign w:val="center"/>
            <w:hideMark/>
          </w:tcPr>
          <w:p w14:paraId="461B2B0C" w14:textId="36970119" w:rsidR="004D26BD" w:rsidRPr="00E16881" w:rsidRDefault="004D26BD" w:rsidP="004D26BD">
            <w:pPr>
              <w:jc w:val="right"/>
              <w:rPr>
                <w:rFonts w:eastAsia="Times New Roman"/>
                <w:color w:val="C00000"/>
                <w:sz w:val="18"/>
                <w:szCs w:val="18"/>
              </w:rPr>
            </w:pPr>
            <w:r w:rsidRPr="00E16881">
              <w:rPr>
                <w:color w:val="C00000"/>
                <w:sz w:val="18"/>
                <w:szCs w:val="18"/>
              </w:rPr>
              <w:t>47</w:t>
            </w:r>
          </w:p>
        </w:tc>
        <w:tc>
          <w:tcPr>
            <w:tcW w:w="1229" w:type="dxa"/>
            <w:tcBorders>
              <w:top w:val="nil"/>
              <w:left w:val="nil"/>
              <w:bottom w:val="single" w:sz="4" w:space="0" w:color="auto"/>
              <w:right w:val="single" w:sz="4" w:space="0" w:color="BFBFBF"/>
            </w:tcBorders>
            <w:noWrap/>
            <w:vAlign w:val="center"/>
            <w:hideMark/>
          </w:tcPr>
          <w:p w14:paraId="1B4F4B7F" w14:textId="7A0F1EB4" w:rsidR="004D26BD" w:rsidRPr="00E16881" w:rsidRDefault="004D26BD" w:rsidP="004D26BD">
            <w:pPr>
              <w:jc w:val="right"/>
              <w:rPr>
                <w:rFonts w:eastAsia="Times New Roman"/>
                <w:color w:val="C00000"/>
                <w:sz w:val="18"/>
                <w:szCs w:val="18"/>
              </w:rPr>
            </w:pPr>
            <w:r w:rsidRPr="00E16881">
              <w:rPr>
                <w:color w:val="C00000"/>
                <w:sz w:val="18"/>
                <w:szCs w:val="18"/>
              </w:rPr>
              <w:t>94</w:t>
            </w:r>
          </w:p>
        </w:tc>
        <w:tc>
          <w:tcPr>
            <w:tcW w:w="1229" w:type="dxa"/>
            <w:tcBorders>
              <w:top w:val="nil"/>
              <w:left w:val="nil"/>
              <w:bottom w:val="single" w:sz="4" w:space="0" w:color="auto"/>
              <w:right w:val="single" w:sz="4" w:space="0" w:color="BFBFBF"/>
            </w:tcBorders>
            <w:noWrap/>
            <w:vAlign w:val="center"/>
            <w:hideMark/>
          </w:tcPr>
          <w:p w14:paraId="4C0FFC56" w14:textId="457340B2" w:rsidR="004D26BD" w:rsidRPr="00E16881" w:rsidRDefault="004D26BD" w:rsidP="004D26BD">
            <w:pPr>
              <w:jc w:val="right"/>
              <w:rPr>
                <w:rFonts w:eastAsia="Times New Roman"/>
                <w:color w:val="C00000"/>
                <w:sz w:val="18"/>
                <w:szCs w:val="18"/>
              </w:rPr>
            </w:pPr>
            <w:r w:rsidRPr="00E16881">
              <w:rPr>
                <w:color w:val="C00000"/>
                <w:sz w:val="18"/>
                <w:szCs w:val="18"/>
              </w:rPr>
              <w:t>55</w:t>
            </w:r>
          </w:p>
        </w:tc>
        <w:tc>
          <w:tcPr>
            <w:tcW w:w="1230" w:type="dxa"/>
            <w:tcBorders>
              <w:top w:val="nil"/>
              <w:left w:val="nil"/>
              <w:bottom w:val="single" w:sz="4" w:space="0" w:color="auto"/>
              <w:right w:val="single" w:sz="4" w:space="0" w:color="auto"/>
            </w:tcBorders>
            <w:noWrap/>
            <w:vAlign w:val="center"/>
            <w:hideMark/>
          </w:tcPr>
          <w:p w14:paraId="1C5047BC" w14:textId="3242C9E0" w:rsidR="004D26BD" w:rsidRPr="00E16881" w:rsidRDefault="004D26BD" w:rsidP="004D26BD">
            <w:pPr>
              <w:jc w:val="right"/>
              <w:rPr>
                <w:rFonts w:eastAsia="Times New Roman"/>
                <w:color w:val="C00000"/>
                <w:sz w:val="18"/>
                <w:szCs w:val="18"/>
              </w:rPr>
            </w:pPr>
            <w:r w:rsidRPr="00E16881">
              <w:rPr>
                <w:color w:val="C00000"/>
                <w:sz w:val="18"/>
                <w:szCs w:val="18"/>
              </w:rPr>
              <w:t>52</w:t>
            </w:r>
          </w:p>
        </w:tc>
      </w:tr>
      <w:tr w:rsidR="0078270F" w:rsidRPr="00DB50AC" w14:paraId="362F8544" w14:textId="77777777" w:rsidTr="003C59F9">
        <w:trPr>
          <w:trHeight w:val="402"/>
        </w:trPr>
        <w:tc>
          <w:tcPr>
            <w:tcW w:w="197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89FD56" w14:textId="42923ABE" w:rsidR="0078270F" w:rsidRPr="00DB50AC" w:rsidRDefault="0078270F" w:rsidP="0078270F">
            <w:pPr>
              <w:rPr>
                <w:rFonts w:eastAsia="Times New Roman"/>
                <w:color w:val="000000"/>
                <w:sz w:val="18"/>
                <w:szCs w:val="18"/>
              </w:rPr>
            </w:pPr>
            <w:r>
              <w:rPr>
                <w:color w:val="000000"/>
                <w:sz w:val="18"/>
                <w:szCs w:val="18"/>
              </w:rPr>
              <w:t>% of total dwellings</w:t>
            </w:r>
          </w:p>
        </w:tc>
        <w:tc>
          <w:tcPr>
            <w:tcW w:w="1229" w:type="dxa"/>
            <w:tcBorders>
              <w:top w:val="single" w:sz="4" w:space="0" w:color="auto"/>
              <w:left w:val="nil"/>
              <w:bottom w:val="single" w:sz="4" w:space="0" w:color="auto"/>
              <w:right w:val="single" w:sz="4" w:space="0" w:color="BFBFBF"/>
            </w:tcBorders>
            <w:shd w:val="clear" w:color="000000" w:fill="F2F2F2"/>
            <w:noWrap/>
            <w:vAlign w:val="center"/>
            <w:hideMark/>
          </w:tcPr>
          <w:p w14:paraId="19C86D5D" w14:textId="1D1D8B84" w:rsidR="0078270F" w:rsidRPr="00E16881" w:rsidRDefault="0078270F" w:rsidP="0078270F">
            <w:pPr>
              <w:jc w:val="right"/>
              <w:rPr>
                <w:rFonts w:eastAsia="Times New Roman"/>
                <w:color w:val="C00000"/>
                <w:sz w:val="18"/>
                <w:szCs w:val="18"/>
              </w:rPr>
            </w:pPr>
            <w:r w:rsidRPr="00E16881">
              <w:rPr>
                <w:color w:val="C00000"/>
                <w:sz w:val="18"/>
                <w:szCs w:val="18"/>
              </w:rPr>
              <w:t>1.8%</w:t>
            </w:r>
          </w:p>
        </w:tc>
        <w:tc>
          <w:tcPr>
            <w:tcW w:w="1229" w:type="dxa"/>
            <w:tcBorders>
              <w:top w:val="single" w:sz="4" w:space="0" w:color="auto"/>
              <w:left w:val="nil"/>
              <w:bottom w:val="single" w:sz="4" w:space="0" w:color="auto"/>
              <w:right w:val="single" w:sz="4" w:space="0" w:color="BFBFBF"/>
            </w:tcBorders>
            <w:shd w:val="clear" w:color="000000" w:fill="F2F2F2"/>
            <w:noWrap/>
            <w:vAlign w:val="center"/>
            <w:hideMark/>
          </w:tcPr>
          <w:p w14:paraId="39184734" w14:textId="2CF0F21D" w:rsidR="0078270F" w:rsidRPr="00E16881" w:rsidRDefault="0078270F" w:rsidP="0078270F">
            <w:pPr>
              <w:jc w:val="right"/>
              <w:rPr>
                <w:rFonts w:eastAsia="Times New Roman"/>
                <w:color w:val="C00000"/>
                <w:sz w:val="18"/>
                <w:szCs w:val="18"/>
              </w:rPr>
            </w:pPr>
            <w:r w:rsidRPr="00E16881">
              <w:rPr>
                <w:color w:val="C00000"/>
                <w:sz w:val="18"/>
                <w:szCs w:val="18"/>
              </w:rPr>
              <w:t>2.2%</w:t>
            </w:r>
          </w:p>
        </w:tc>
        <w:tc>
          <w:tcPr>
            <w:tcW w:w="1229" w:type="dxa"/>
            <w:tcBorders>
              <w:top w:val="single" w:sz="4" w:space="0" w:color="auto"/>
              <w:left w:val="nil"/>
              <w:bottom w:val="single" w:sz="4" w:space="0" w:color="auto"/>
              <w:right w:val="single" w:sz="4" w:space="0" w:color="BFBFBF"/>
            </w:tcBorders>
            <w:shd w:val="clear" w:color="000000" w:fill="F2F2F2"/>
            <w:noWrap/>
            <w:vAlign w:val="center"/>
            <w:hideMark/>
          </w:tcPr>
          <w:p w14:paraId="73705521" w14:textId="32E15720" w:rsidR="0078270F" w:rsidRPr="00E16881" w:rsidRDefault="0078270F" w:rsidP="0078270F">
            <w:pPr>
              <w:jc w:val="right"/>
              <w:rPr>
                <w:rFonts w:eastAsia="Times New Roman"/>
                <w:color w:val="C00000"/>
                <w:sz w:val="18"/>
                <w:szCs w:val="18"/>
              </w:rPr>
            </w:pPr>
            <w:r w:rsidRPr="00E16881">
              <w:rPr>
                <w:color w:val="C00000"/>
                <w:sz w:val="18"/>
                <w:szCs w:val="18"/>
              </w:rPr>
              <w:t>2.6%</w:t>
            </w:r>
          </w:p>
        </w:tc>
        <w:tc>
          <w:tcPr>
            <w:tcW w:w="1229" w:type="dxa"/>
            <w:tcBorders>
              <w:top w:val="single" w:sz="4" w:space="0" w:color="auto"/>
              <w:left w:val="nil"/>
              <w:bottom w:val="single" w:sz="4" w:space="0" w:color="auto"/>
              <w:right w:val="single" w:sz="4" w:space="0" w:color="BFBFBF"/>
            </w:tcBorders>
            <w:shd w:val="clear" w:color="000000" w:fill="F2F2F2"/>
            <w:noWrap/>
            <w:vAlign w:val="center"/>
            <w:hideMark/>
          </w:tcPr>
          <w:p w14:paraId="377EB884" w14:textId="444593E8" w:rsidR="0078270F" w:rsidRPr="00E16881" w:rsidRDefault="0078270F" w:rsidP="0078270F">
            <w:pPr>
              <w:jc w:val="right"/>
              <w:rPr>
                <w:rFonts w:eastAsia="Times New Roman"/>
                <w:color w:val="C00000"/>
                <w:sz w:val="18"/>
                <w:szCs w:val="18"/>
              </w:rPr>
            </w:pPr>
            <w:r w:rsidRPr="00E16881">
              <w:rPr>
                <w:color w:val="C00000"/>
                <w:sz w:val="18"/>
                <w:szCs w:val="18"/>
              </w:rPr>
              <w:t>2.4%</w:t>
            </w:r>
          </w:p>
        </w:tc>
        <w:tc>
          <w:tcPr>
            <w:tcW w:w="1229" w:type="dxa"/>
            <w:tcBorders>
              <w:top w:val="single" w:sz="4" w:space="0" w:color="auto"/>
              <w:left w:val="nil"/>
              <w:bottom w:val="single" w:sz="4" w:space="0" w:color="auto"/>
              <w:right w:val="single" w:sz="4" w:space="0" w:color="BFBFBF"/>
            </w:tcBorders>
            <w:shd w:val="clear" w:color="000000" w:fill="F2F2F2"/>
            <w:noWrap/>
            <w:vAlign w:val="center"/>
            <w:hideMark/>
          </w:tcPr>
          <w:p w14:paraId="13797E97" w14:textId="341B6F5D" w:rsidR="0078270F" w:rsidRPr="00E16881" w:rsidRDefault="0078270F" w:rsidP="0078270F">
            <w:pPr>
              <w:jc w:val="right"/>
              <w:rPr>
                <w:rFonts w:eastAsia="Times New Roman"/>
                <w:color w:val="C00000"/>
                <w:sz w:val="18"/>
                <w:szCs w:val="18"/>
              </w:rPr>
            </w:pPr>
            <w:r w:rsidRPr="00E16881">
              <w:rPr>
                <w:color w:val="C00000"/>
                <w:sz w:val="18"/>
                <w:szCs w:val="18"/>
              </w:rPr>
              <w:t>2.8%</w:t>
            </w:r>
          </w:p>
        </w:tc>
        <w:tc>
          <w:tcPr>
            <w:tcW w:w="1230" w:type="dxa"/>
            <w:tcBorders>
              <w:top w:val="single" w:sz="4" w:space="0" w:color="auto"/>
              <w:left w:val="nil"/>
              <w:bottom w:val="single" w:sz="4" w:space="0" w:color="auto"/>
              <w:right w:val="single" w:sz="4" w:space="0" w:color="auto"/>
            </w:tcBorders>
            <w:shd w:val="clear" w:color="000000" w:fill="F2F2F2"/>
            <w:noWrap/>
            <w:vAlign w:val="center"/>
            <w:hideMark/>
          </w:tcPr>
          <w:p w14:paraId="36FA2A24" w14:textId="66C613BB" w:rsidR="0078270F" w:rsidRPr="00E16881" w:rsidRDefault="0078270F" w:rsidP="0078270F">
            <w:pPr>
              <w:jc w:val="right"/>
              <w:rPr>
                <w:rFonts w:eastAsia="Times New Roman"/>
                <w:color w:val="C00000"/>
                <w:sz w:val="18"/>
                <w:szCs w:val="18"/>
              </w:rPr>
            </w:pPr>
            <w:r w:rsidRPr="00E16881">
              <w:rPr>
                <w:color w:val="C00000"/>
                <w:sz w:val="18"/>
                <w:szCs w:val="18"/>
              </w:rPr>
              <w:t>1.7%</w:t>
            </w:r>
          </w:p>
        </w:tc>
      </w:tr>
    </w:tbl>
    <w:p w14:paraId="60DB89AA" w14:textId="77777777" w:rsidR="004F2C51" w:rsidRDefault="004F2C51" w:rsidP="004F2C51">
      <w:pPr>
        <w:pStyle w:val="Source"/>
      </w:pPr>
      <w:r>
        <w:t xml:space="preserve">Source: derived from Statistics Canada Table </w:t>
      </w:r>
      <w:r w:rsidRPr="00E05CEA">
        <w:t>46</w:t>
      </w:r>
      <w:r>
        <w:t>-</w:t>
      </w:r>
      <w:r w:rsidRPr="00E05CEA">
        <w:t>10</w:t>
      </w:r>
      <w:r>
        <w:t>-</w:t>
      </w:r>
      <w:r w:rsidRPr="00E05CEA">
        <w:t>0087</w:t>
      </w:r>
    </w:p>
    <w:p w14:paraId="18B9114B" w14:textId="77777777" w:rsidR="004F2C51" w:rsidRDefault="004F2C51" w:rsidP="001B13F9">
      <w:pPr>
        <w:jc w:val="both"/>
      </w:pPr>
    </w:p>
    <w:p w14:paraId="59D3675E" w14:textId="28EC9FBE" w:rsidR="001B13F9" w:rsidRDefault="001B13F9" w:rsidP="001B13F9">
      <w:pPr>
        <w:jc w:val="both"/>
      </w:pPr>
      <w:r>
        <w:t>The breakdown of permits by structural type reveals whether recent construction has favoured ownership-oriented single-detached housing or whether the multi-unit segment, more likely to produce rental and entry-level ownership options, has represented a growing or declining share of overall activity.</w:t>
      </w:r>
    </w:p>
    <w:p w14:paraId="25253DE2" w14:textId="77777777" w:rsidR="001B13F9" w:rsidRDefault="001B13F9" w:rsidP="001B13F9">
      <w:pPr>
        <w:jc w:val="both"/>
      </w:pPr>
    </w:p>
    <w:p w14:paraId="3D57C4F6" w14:textId="4C698B57" w:rsidR="00371D87" w:rsidRDefault="001B13F9" w:rsidP="001B13F9">
      <w:pPr>
        <w:jc w:val="both"/>
      </w:pPr>
      <w:r>
        <w:t xml:space="preserve">Year-over-year volatility in permit volumes may reflect the influence of a small number of large developments rather than a stable, broad-based construction pipeline; interpreting trend lines requires distinguishing structural patterns from one-time projects. A persistent absence of apartment or multi-unit permits in a community with identified rental supply gaps </w:t>
      </w:r>
      <w:r w:rsidR="000C1339">
        <w:t>could</w:t>
      </w:r>
      <w:r>
        <w:t xml:space="preserve"> signal market difficulty responding to need.</w:t>
      </w:r>
    </w:p>
    <w:p w14:paraId="469B459D" w14:textId="77777777" w:rsidR="001B13F9" w:rsidRDefault="001B13F9" w:rsidP="001B13F9"/>
    <w:p w14:paraId="02BF5A65" w14:textId="19844BE6" w:rsidR="0043538E" w:rsidRDefault="00072A93">
      <w:pPr>
        <w:pStyle w:val="Heading2"/>
      </w:pPr>
      <w:bookmarkStart w:id="46" w:name="_Toc223686644"/>
      <w:bookmarkStart w:id="47" w:name="_Toc237355942"/>
      <w:r>
        <w:t>RENTAL MARKET</w:t>
      </w:r>
      <w:bookmarkEnd w:id="46"/>
      <w:bookmarkEnd w:id="47"/>
    </w:p>
    <w:p w14:paraId="0B4CE67C" w14:textId="4A788320" w:rsidR="00E45BF6" w:rsidRDefault="00CC67AC" w:rsidP="00CC67AC">
      <w:pPr>
        <w:jc w:val="both"/>
      </w:pPr>
      <w:r w:rsidRPr="00CC67AC">
        <w:t xml:space="preserve">The rental market is often where housing vulnerability is most acute and most quickly transmitted to households. Renters are disproportionately represented in core housing need across Canada, and rental market conditions </w:t>
      </w:r>
      <w:r w:rsidR="0029376C">
        <w:t>(</w:t>
      </w:r>
      <w:r w:rsidRPr="00CC67AC">
        <w:t>particularly</w:t>
      </w:r>
      <w:r w:rsidR="0029376C">
        <w:t>,</w:t>
      </w:r>
      <w:r w:rsidRPr="00CC67AC">
        <w:t xml:space="preserve"> low vacancy rates and rent escalation</w:t>
      </w:r>
      <w:r w:rsidR="0029376C">
        <w:t>)</w:t>
      </w:r>
      <w:r w:rsidRPr="00CC67AC">
        <w:t xml:space="preserve"> are among the most direct drivers of housing precarity. A vacancy rate below 3% is widely recognized as indicative of a market under stress, and sustained rent growth that outpaces income growth creates an escalating affordability deficit.</w:t>
      </w:r>
    </w:p>
    <w:p w14:paraId="382B6D76" w14:textId="77777777" w:rsidR="00CC67AC" w:rsidRDefault="00CC67AC" w:rsidP="00E45BF6"/>
    <w:p w14:paraId="002F3738" w14:textId="4EE6E786" w:rsidR="00986A13" w:rsidRPr="009865C9" w:rsidRDefault="00986A13" w:rsidP="00966186">
      <w:pPr>
        <w:pStyle w:val="Heading3"/>
      </w:pPr>
      <w:r w:rsidRPr="009865C9">
        <w:t>Market Type</w:t>
      </w:r>
    </w:p>
    <w:p w14:paraId="4F0E1B8F" w14:textId="4E39F823" w:rsidR="00E45BF6" w:rsidRDefault="003F7DFF" w:rsidP="003F7DFF">
      <w:pPr>
        <w:jc w:val="both"/>
      </w:pPr>
      <w:r w:rsidRPr="009865C9">
        <w:rPr>
          <w:rStyle w:val="Figure-textChar"/>
        </w:rPr>
        <w:fldChar w:fldCharType="begin"/>
      </w:r>
      <w:r w:rsidRPr="009865C9">
        <w:rPr>
          <w:rStyle w:val="Figure-textChar"/>
        </w:rPr>
        <w:instrText xml:space="preserve"> REF _Ref223425977 \h  \* MERGEFORMAT </w:instrText>
      </w:r>
      <w:r w:rsidRPr="009865C9">
        <w:rPr>
          <w:rStyle w:val="Figure-textChar"/>
        </w:rPr>
      </w:r>
      <w:r w:rsidRPr="009865C9">
        <w:rPr>
          <w:rStyle w:val="Figure-textChar"/>
        </w:rPr>
        <w:fldChar w:fldCharType="separate"/>
      </w:r>
      <w:r w:rsidR="00CA6116" w:rsidRPr="00CA6116">
        <w:rPr>
          <w:rStyle w:val="Figure-textChar"/>
        </w:rPr>
        <w:t>Table 6.4</w:t>
      </w:r>
      <w:r w:rsidRPr="009865C9">
        <w:rPr>
          <w:rStyle w:val="Figure-textChar"/>
        </w:rPr>
        <w:fldChar w:fldCharType="end"/>
      </w:r>
      <w:r w:rsidR="00660C23" w:rsidRPr="00660C23">
        <w:t xml:space="preserve"> </w:t>
      </w:r>
      <w:r w:rsidR="00C57374" w:rsidRPr="00C57374">
        <w:t>breaks down the primary and secondary rental markets by dwelling size, comparing the local distribution of rental unit types against the provincial profile. Provincial data is particularly important when local primary market data is unavailable, as broader results can be used to illustrate potential changes.</w:t>
      </w:r>
    </w:p>
    <w:p w14:paraId="51EFD12A" w14:textId="77777777" w:rsidR="00660C23" w:rsidRDefault="00660C23" w:rsidP="00161E89"/>
    <w:p w14:paraId="6AA5FECF" w14:textId="1696ED1A" w:rsidR="00CF4F0C" w:rsidRDefault="00CF4F0C" w:rsidP="00CF4F0C">
      <w:pPr>
        <w:pStyle w:val="Caption"/>
      </w:pPr>
      <w:bookmarkStart w:id="48" w:name="_Ref223425977"/>
      <w:r>
        <w:t xml:space="preserve">Table </w:t>
      </w:r>
      <w:fldSimple w:instr=" STYLEREF 1 \s ">
        <w:r w:rsidR="005E459C">
          <w:rPr>
            <w:noProof/>
          </w:rPr>
          <w:t>6</w:t>
        </w:r>
      </w:fldSimple>
      <w:r w:rsidR="00BD4359">
        <w:t>.</w:t>
      </w:r>
      <w:fldSimple w:instr=" SEQ Table \* ARABIC \s 1 ">
        <w:r w:rsidR="005E459C">
          <w:rPr>
            <w:noProof/>
          </w:rPr>
          <w:t>4</w:t>
        </w:r>
      </w:fldSimple>
      <w:bookmarkEnd w:id="48"/>
      <w:r>
        <w:t>: Primary and secondary rental markets by dwelling size share and geography, 2021</w:t>
      </w:r>
    </w:p>
    <w:tbl>
      <w:tblPr>
        <w:tblW w:w="9360" w:type="dxa"/>
        <w:tblLayout w:type="fixed"/>
        <w:tblLook w:val="04A0" w:firstRow="1" w:lastRow="0" w:firstColumn="1" w:lastColumn="0" w:noHBand="0" w:noVBand="1"/>
      </w:tblPr>
      <w:tblGrid>
        <w:gridCol w:w="3420"/>
        <w:gridCol w:w="1485"/>
        <w:gridCol w:w="1485"/>
        <w:gridCol w:w="1485"/>
        <w:gridCol w:w="1485"/>
      </w:tblGrid>
      <w:tr w:rsidR="00B83366" w:rsidRPr="00B83366" w14:paraId="51AF2180" w14:textId="77777777" w:rsidTr="003C59F9">
        <w:trPr>
          <w:trHeight w:val="402"/>
          <w:tblHeader/>
        </w:trPr>
        <w:tc>
          <w:tcPr>
            <w:tcW w:w="3420" w:type="dxa"/>
            <w:tcBorders>
              <w:top w:val="nil"/>
              <w:left w:val="nil"/>
              <w:bottom w:val="nil"/>
              <w:right w:val="nil"/>
            </w:tcBorders>
            <w:noWrap/>
            <w:vAlign w:val="center"/>
            <w:hideMark/>
          </w:tcPr>
          <w:p w14:paraId="36A3DA95" w14:textId="77777777" w:rsidR="00B83366" w:rsidRPr="00B83366" w:rsidRDefault="00B83366" w:rsidP="00B83366">
            <w:pPr>
              <w:rPr>
                <w:rFonts w:ascii="Times New Roman" w:eastAsia="Times New Roman" w:hAnsi="Times New Roman" w:cs="Times New Roman"/>
                <w:sz w:val="24"/>
                <w:szCs w:val="24"/>
              </w:rPr>
            </w:pPr>
          </w:p>
        </w:tc>
        <w:tc>
          <w:tcPr>
            <w:tcW w:w="2970"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470560B8" w14:textId="77777777" w:rsidR="00B83366" w:rsidRPr="00B83366" w:rsidRDefault="00B83366" w:rsidP="00B83366">
            <w:pPr>
              <w:jc w:val="center"/>
              <w:rPr>
                <w:rFonts w:eastAsia="Times New Roman"/>
                <w:color w:val="FFFFFF"/>
                <w:sz w:val="18"/>
                <w:szCs w:val="18"/>
              </w:rPr>
            </w:pPr>
            <w:r w:rsidRPr="00B83366">
              <w:rPr>
                <w:rFonts w:eastAsia="Times New Roman"/>
                <w:color w:val="FFFFFF"/>
                <w:sz w:val="18"/>
                <w:szCs w:val="18"/>
              </w:rPr>
              <w:t>Local</w:t>
            </w:r>
          </w:p>
        </w:tc>
        <w:tc>
          <w:tcPr>
            <w:tcW w:w="2970" w:type="dxa"/>
            <w:gridSpan w:val="2"/>
            <w:tcBorders>
              <w:top w:val="single" w:sz="4" w:space="0" w:color="auto"/>
              <w:left w:val="nil"/>
              <w:bottom w:val="single" w:sz="4" w:space="0" w:color="auto"/>
              <w:right w:val="single" w:sz="4" w:space="0" w:color="000000"/>
            </w:tcBorders>
            <w:shd w:val="clear" w:color="auto" w:fill="080314" w:themeFill="accent4"/>
            <w:noWrap/>
            <w:vAlign w:val="center"/>
            <w:hideMark/>
          </w:tcPr>
          <w:p w14:paraId="345C3D79" w14:textId="77777777" w:rsidR="00B83366" w:rsidRPr="00B83366" w:rsidRDefault="00B83366" w:rsidP="00B83366">
            <w:pPr>
              <w:jc w:val="center"/>
              <w:rPr>
                <w:rFonts w:eastAsia="Times New Roman"/>
                <w:color w:val="FFFFFF"/>
                <w:sz w:val="18"/>
                <w:szCs w:val="18"/>
              </w:rPr>
            </w:pPr>
            <w:r w:rsidRPr="00B83366">
              <w:rPr>
                <w:rFonts w:eastAsia="Times New Roman"/>
                <w:color w:val="FFFFFF"/>
                <w:sz w:val="18"/>
                <w:szCs w:val="18"/>
              </w:rPr>
              <w:t>Province</w:t>
            </w:r>
          </w:p>
        </w:tc>
      </w:tr>
      <w:tr w:rsidR="00B83366" w:rsidRPr="00B83366" w14:paraId="7A3E595E" w14:textId="77777777" w:rsidTr="003C59F9">
        <w:trPr>
          <w:trHeight w:val="494"/>
          <w:tblHeader/>
        </w:trPr>
        <w:tc>
          <w:tcPr>
            <w:tcW w:w="342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46A4FD79" w14:textId="77777777" w:rsidR="00B83366" w:rsidRPr="00B83366" w:rsidRDefault="00B83366" w:rsidP="00B83366">
            <w:pPr>
              <w:rPr>
                <w:rFonts w:eastAsia="Times New Roman"/>
                <w:color w:val="FFFFFF"/>
                <w:sz w:val="18"/>
                <w:szCs w:val="18"/>
              </w:rPr>
            </w:pPr>
            <w:r w:rsidRPr="00B83366">
              <w:rPr>
                <w:rFonts w:eastAsia="Times New Roman"/>
                <w:color w:val="FFFFFF"/>
                <w:sz w:val="18"/>
                <w:szCs w:val="18"/>
              </w:rPr>
              <w:t>Dwelling size</w:t>
            </w:r>
          </w:p>
        </w:tc>
        <w:tc>
          <w:tcPr>
            <w:tcW w:w="1485" w:type="dxa"/>
            <w:tcBorders>
              <w:top w:val="nil"/>
              <w:left w:val="nil"/>
              <w:bottom w:val="single" w:sz="4" w:space="0" w:color="auto"/>
              <w:right w:val="single" w:sz="4" w:space="0" w:color="BFBFBF"/>
            </w:tcBorders>
            <w:shd w:val="clear" w:color="auto" w:fill="CFD9E3" w:themeFill="accent1"/>
            <w:noWrap/>
            <w:vAlign w:val="center"/>
            <w:hideMark/>
          </w:tcPr>
          <w:p w14:paraId="429CD9DB" w14:textId="77777777" w:rsidR="00B83366" w:rsidRPr="00B83366" w:rsidRDefault="00B83366" w:rsidP="00B83366">
            <w:pPr>
              <w:jc w:val="right"/>
              <w:rPr>
                <w:rFonts w:eastAsia="Times New Roman"/>
                <w:color w:val="000000"/>
                <w:sz w:val="18"/>
                <w:szCs w:val="18"/>
              </w:rPr>
            </w:pPr>
            <w:r w:rsidRPr="00B83366">
              <w:rPr>
                <w:rFonts w:eastAsia="Times New Roman"/>
                <w:color w:val="000000"/>
                <w:sz w:val="18"/>
                <w:szCs w:val="18"/>
              </w:rPr>
              <w:t>Primary market</w:t>
            </w:r>
          </w:p>
        </w:tc>
        <w:tc>
          <w:tcPr>
            <w:tcW w:w="1485" w:type="dxa"/>
            <w:tcBorders>
              <w:top w:val="nil"/>
              <w:left w:val="nil"/>
              <w:bottom w:val="single" w:sz="4" w:space="0" w:color="auto"/>
              <w:right w:val="single" w:sz="4" w:space="0" w:color="auto"/>
            </w:tcBorders>
            <w:shd w:val="clear" w:color="auto" w:fill="CFD9E3" w:themeFill="accent1"/>
            <w:noWrap/>
            <w:vAlign w:val="center"/>
            <w:hideMark/>
          </w:tcPr>
          <w:p w14:paraId="165E8AAA" w14:textId="77777777" w:rsidR="00B83366" w:rsidRPr="00B83366" w:rsidRDefault="00B83366" w:rsidP="00B83366">
            <w:pPr>
              <w:jc w:val="right"/>
              <w:rPr>
                <w:rFonts w:eastAsia="Times New Roman"/>
                <w:color w:val="000000"/>
                <w:sz w:val="18"/>
                <w:szCs w:val="18"/>
              </w:rPr>
            </w:pPr>
            <w:r w:rsidRPr="00B83366">
              <w:rPr>
                <w:rFonts w:eastAsia="Times New Roman"/>
                <w:color w:val="000000"/>
                <w:sz w:val="18"/>
                <w:szCs w:val="18"/>
              </w:rPr>
              <w:t>Secondary market</w:t>
            </w:r>
          </w:p>
        </w:tc>
        <w:tc>
          <w:tcPr>
            <w:tcW w:w="1485" w:type="dxa"/>
            <w:tcBorders>
              <w:top w:val="nil"/>
              <w:left w:val="nil"/>
              <w:bottom w:val="single" w:sz="4" w:space="0" w:color="auto"/>
              <w:right w:val="single" w:sz="4" w:space="0" w:color="BFBFBF"/>
            </w:tcBorders>
            <w:shd w:val="clear" w:color="auto" w:fill="DED3F8" w:themeFill="accent4" w:themeFillTint="1A"/>
            <w:noWrap/>
            <w:vAlign w:val="center"/>
            <w:hideMark/>
          </w:tcPr>
          <w:p w14:paraId="43FA6902" w14:textId="77777777" w:rsidR="00B83366" w:rsidRPr="00B83366" w:rsidRDefault="00B83366" w:rsidP="00B83366">
            <w:pPr>
              <w:jc w:val="right"/>
              <w:rPr>
                <w:rFonts w:eastAsia="Times New Roman"/>
                <w:color w:val="000000"/>
                <w:sz w:val="18"/>
                <w:szCs w:val="18"/>
              </w:rPr>
            </w:pPr>
            <w:r w:rsidRPr="00B83366">
              <w:rPr>
                <w:rFonts w:eastAsia="Times New Roman"/>
                <w:color w:val="000000"/>
                <w:sz w:val="18"/>
                <w:szCs w:val="18"/>
              </w:rPr>
              <w:t>Primary market</w:t>
            </w:r>
          </w:p>
        </w:tc>
        <w:tc>
          <w:tcPr>
            <w:tcW w:w="1485" w:type="dxa"/>
            <w:tcBorders>
              <w:top w:val="nil"/>
              <w:left w:val="nil"/>
              <w:bottom w:val="single" w:sz="4" w:space="0" w:color="auto"/>
              <w:right w:val="single" w:sz="4" w:space="0" w:color="auto"/>
            </w:tcBorders>
            <w:shd w:val="clear" w:color="auto" w:fill="DED3F8" w:themeFill="accent4" w:themeFillTint="1A"/>
            <w:noWrap/>
            <w:vAlign w:val="center"/>
            <w:hideMark/>
          </w:tcPr>
          <w:p w14:paraId="789B55FA" w14:textId="77777777" w:rsidR="00B83366" w:rsidRPr="00B83366" w:rsidRDefault="00B83366" w:rsidP="00B83366">
            <w:pPr>
              <w:jc w:val="right"/>
              <w:rPr>
                <w:rFonts w:eastAsia="Times New Roman"/>
                <w:color w:val="000000"/>
                <w:sz w:val="18"/>
                <w:szCs w:val="18"/>
              </w:rPr>
            </w:pPr>
            <w:r w:rsidRPr="00B83366">
              <w:rPr>
                <w:rFonts w:eastAsia="Times New Roman"/>
                <w:color w:val="000000"/>
                <w:sz w:val="18"/>
                <w:szCs w:val="18"/>
              </w:rPr>
              <w:t>Secondary market</w:t>
            </w:r>
          </w:p>
        </w:tc>
      </w:tr>
      <w:tr w:rsidR="002A3C4A" w:rsidRPr="00B83366" w14:paraId="3D0BFDD5" w14:textId="77777777" w:rsidTr="00B83366">
        <w:trPr>
          <w:trHeight w:val="402"/>
        </w:trPr>
        <w:tc>
          <w:tcPr>
            <w:tcW w:w="3420" w:type="dxa"/>
            <w:tcBorders>
              <w:top w:val="nil"/>
              <w:left w:val="single" w:sz="4" w:space="0" w:color="auto"/>
              <w:bottom w:val="single" w:sz="4" w:space="0" w:color="auto"/>
              <w:right w:val="single" w:sz="4" w:space="0" w:color="auto"/>
            </w:tcBorders>
            <w:shd w:val="clear" w:color="000000" w:fill="F2F2F2"/>
            <w:noWrap/>
            <w:vAlign w:val="center"/>
            <w:hideMark/>
          </w:tcPr>
          <w:p w14:paraId="44F76D99" w14:textId="22BE9FDE" w:rsidR="002A3C4A" w:rsidRPr="00B83366" w:rsidRDefault="002A3C4A" w:rsidP="002A3C4A">
            <w:pPr>
              <w:rPr>
                <w:rFonts w:eastAsia="Times New Roman"/>
                <w:color w:val="000000"/>
                <w:sz w:val="18"/>
                <w:szCs w:val="18"/>
              </w:rPr>
            </w:pPr>
            <w:r>
              <w:rPr>
                <w:color w:val="000000"/>
                <w:sz w:val="18"/>
                <w:szCs w:val="18"/>
              </w:rPr>
              <w:t>Total primary market rental units</w:t>
            </w:r>
          </w:p>
        </w:tc>
        <w:tc>
          <w:tcPr>
            <w:tcW w:w="1485" w:type="dxa"/>
            <w:tcBorders>
              <w:top w:val="nil"/>
              <w:left w:val="nil"/>
              <w:bottom w:val="single" w:sz="4" w:space="0" w:color="auto"/>
              <w:right w:val="single" w:sz="4" w:space="0" w:color="BFBFBF"/>
            </w:tcBorders>
            <w:shd w:val="clear" w:color="000000" w:fill="F2F2F2"/>
            <w:noWrap/>
            <w:vAlign w:val="center"/>
            <w:hideMark/>
          </w:tcPr>
          <w:p w14:paraId="6334698F" w14:textId="7226C658" w:rsidR="002A3C4A" w:rsidRPr="00E16881" w:rsidRDefault="002A3C4A" w:rsidP="002A3C4A">
            <w:pPr>
              <w:jc w:val="right"/>
              <w:rPr>
                <w:rFonts w:eastAsia="Times New Roman"/>
                <w:color w:val="C00000"/>
                <w:sz w:val="18"/>
                <w:szCs w:val="18"/>
              </w:rPr>
            </w:pPr>
            <w:r w:rsidRPr="00E16881">
              <w:rPr>
                <w:color w:val="C00000"/>
                <w:sz w:val="18"/>
                <w:szCs w:val="18"/>
              </w:rPr>
              <w:t>5,385</w:t>
            </w:r>
          </w:p>
        </w:tc>
        <w:tc>
          <w:tcPr>
            <w:tcW w:w="1485" w:type="dxa"/>
            <w:tcBorders>
              <w:top w:val="nil"/>
              <w:left w:val="nil"/>
              <w:bottom w:val="single" w:sz="4" w:space="0" w:color="auto"/>
              <w:right w:val="single" w:sz="4" w:space="0" w:color="auto"/>
            </w:tcBorders>
            <w:shd w:val="clear" w:color="000000" w:fill="F2F2F2"/>
            <w:noWrap/>
            <w:vAlign w:val="center"/>
            <w:hideMark/>
          </w:tcPr>
          <w:p w14:paraId="6CC29120" w14:textId="519B4CA0" w:rsidR="002A3C4A" w:rsidRPr="00E16881" w:rsidRDefault="002A3C4A" w:rsidP="002A3C4A">
            <w:pPr>
              <w:jc w:val="right"/>
              <w:rPr>
                <w:rFonts w:eastAsia="Times New Roman"/>
                <w:color w:val="C00000"/>
                <w:sz w:val="18"/>
                <w:szCs w:val="18"/>
              </w:rPr>
            </w:pPr>
            <w:r w:rsidRPr="00E16881">
              <w:rPr>
                <w:color w:val="C00000"/>
                <w:sz w:val="18"/>
                <w:szCs w:val="18"/>
              </w:rPr>
              <w:t>3,920</w:t>
            </w:r>
          </w:p>
        </w:tc>
        <w:tc>
          <w:tcPr>
            <w:tcW w:w="1485" w:type="dxa"/>
            <w:tcBorders>
              <w:top w:val="nil"/>
              <w:left w:val="nil"/>
              <w:bottom w:val="single" w:sz="4" w:space="0" w:color="auto"/>
              <w:right w:val="single" w:sz="4" w:space="0" w:color="BFBFBF"/>
            </w:tcBorders>
            <w:shd w:val="clear" w:color="000000" w:fill="F2F2F2"/>
            <w:noWrap/>
            <w:vAlign w:val="center"/>
            <w:hideMark/>
          </w:tcPr>
          <w:p w14:paraId="7F467454" w14:textId="60562137" w:rsidR="002A3C4A" w:rsidRPr="00E16881" w:rsidRDefault="002A3C4A" w:rsidP="002A3C4A">
            <w:pPr>
              <w:jc w:val="right"/>
              <w:rPr>
                <w:rFonts w:eastAsia="Times New Roman"/>
                <w:color w:val="C00000"/>
                <w:sz w:val="18"/>
                <w:szCs w:val="18"/>
              </w:rPr>
            </w:pPr>
            <w:r w:rsidRPr="00E16881">
              <w:rPr>
                <w:color w:val="C00000"/>
                <w:sz w:val="18"/>
                <w:szCs w:val="18"/>
              </w:rPr>
              <w:t>8,350</w:t>
            </w:r>
          </w:p>
        </w:tc>
        <w:tc>
          <w:tcPr>
            <w:tcW w:w="1485" w:type="dxa"/>
            <w:tcBorders>
              <w:top w:val="nil"/>
              <w:left w:val="nil"/>
              <w:bottom w:val="single" w:sz="4" w:space="0" w:color="auto"/>
              <w:right w:val="single" w:sz="4" w:space="0" w:color="auto"/>
            </w:tcBorders>
            <w:shd w:val="clear" w:color="000000" w:fill="F2F2F2"/>
            <w:noWrap/>
            <w:vAlign w:val="center"/>
            <w:hideMark/>
          </w:tcPr>
          <w:p w14:paraId="4CE9B686" w14:textId="6EC350DC" w:rsidR="002A3C4A" w:rsidRPr="00E16881" w:rsidRDefault="002A3C4A" w:rsidP="002A3C4A">
            <w:pPr>
              <w:jc w:val="right"/>
              <w:rPr>
                <w:rFonts w:eastAsia="Times New Roman"/>
                <w:color w:val="C00000"/>
                <w:sz w:val="18"/>
                <w:szCs w:val="18"/>
              </w:rPr>
            </w:pPr>
            <w:r w:rsidRPr="00E16881">
              <w:rPr>
                <w:color w:val="C00000"/>
                <w:sz w:val="18"/>
                <w:szCs w:val="18"/>
              </w:rPr>
              <w:t>11,640</w:t>
            </w:r>
          </w:p>
        </w:tc>
      </w:tr>
      <w:tr w:rsidR="002A3C4A" w:rsidRPr="00B83366" w14:paraId="2D6512D5" w14:textId="77777777" w:rsidTr="00B83366">
        <w:trPr>
          <w:trHeight w:val="402"/>
        </w:trPr>
        <w:tc>
          <w:tcPr>
            <w:tcW w:w="3420" w:type="dxa"/>
            <w:tcBorders>
              <w:top w:val="nil"/>
              <w:left w:val="single" w:sz="4" w:space="0" w:color="auto"/>
              <w:bottom w:val="single" w:sz="4" w:space="0" w:color="BFBFBF"/>
              <w:right w:val="single" w:sz="4" w:space="0" w:color="auto"/>
            </w:tcBorders>
            <w:noWrap/>
            <w:vAlign w:val="center"/>
            <w:hideMark/>
          </w:tcPr>
          <w:p w14:paraId="1015B557" w14:textId="25F3317A" w:rsidR="002A3C4A" w:rsidRPr="00B83366" w:rsidRDefault="002A3C4A" w:rsidP="002A3C4A">
            <w:pPr>
              <w:rPr>
                <w:rFonts w:eastAsia="Times New Roman"/>
                <w:color w:val="000000"/>
                <w:sz w:val="18"/>
                <w:szCs w:val="18"/>
              </w:rPr>
            </w:pPr>
            <w:r>
              <w:rPr>
                <w:color w:val="000000"/>
                <w:sz w:val="18"/>
                <w:szCs w:val="18"/>
              </w:rPr>
              <w:t>Studio units</w:t>
            </w:r>
          </w:p>
        </w:tc>
        <w:tc>
          <w:tcPr>
            <w:tcW w:w="1485" w:type="dxa"/>
            <w:tcBorders>
              <w:top w:val="nil"/>
              <w:left w:val="nil"/>
              <w:bottom w:val="single" w:sz="4" w:space="0" w:color="BFBFBF"/>
              <w:right w:val="single" w:sz="4" w:space="0" w:color="BFBFBF"/>
            </w:tcBorders>
            <w:noWrap/>
            <w:vAlign w:val="center"/>
            <w:hideMark/>
          </w:tcPr>
          <w:p w14:paraId="2BDA7FBB" w14:textId="76C41525" w:rsidR="002A3C4A" w:rsidRPr="00E16881" w:rsidRDefault="002A3C4A" w:rsidP="002A3C4A">
            <w:pPr>
              <w:jc w:val="right"/>
              <w:rPr>
                <w:rFonts w:eastAsia="Times New Roman"/>
                <w:color w:val="C00000"/>
                <w:sz w:val="18"/>
                <w:szCs w:val="18"/>
              </w:rPr>
            </w:pPr>
            <w:r w:rsidRPr="00E16881">
              <w:rPr>
                <w:color w:val="C00000"/>
                <w:sz w:val="18"/>
                <w:szCs w:val="18"/>
              </w:rPr>
              <w:t>3%</w:t>
            </w:r>
          </w:p>
        </w:tc>
        <w:tc>
          <w:tcPr>
            <w:tcW w:w="1485" w:type="dxa"/>
            <w:tcBorders>
              <w:top w:val="nil"/>
              <w:left w:val="nil"/>
              <w:bottom w:val="single" w:sz="4" w:space="0" w:color="BFBFBF"/>
              <w:right w:val="single" w:sz="4" w:space="0" w:color="auto"/>
            </w:tcBorders>
            <w:noWrap/>
            <w:vAlign w:val="center"/>
            <w:hideMark/>
          </w:tcPr>
          <w:p w14:paraId="7862FA74" w14:textId="61133B03" w:rsidR="002A3C4A" w:rsidRPr="00E16881" w:rsidRDefault="002A3C4A" w:rsidP="002A3C4A">
            <w:pPr>
              <w:jc w:val="right"/>
              <w:rPr>
                <w:rFonts w:eastAsia="Times New Roman"/>
                <w:color w:val="C00000"/>
                <w:sz w:val="18"/>
                <w:szCs w:val="18"/>
              </w:rPr>
            </w:pPr>
            <w:r w:rsidRPr="00E16881">
              <w:rPr>
                <w:color w:val="C00000"/>
                <w:sz w:val="18"/>
                <w:szCs w:val="18"/>
              </w:rPr>
              <w:t>0%</w:t>
            </w:r>
          </w:p>
        </w:tc>
        <w:tc>
          <w:tcPr>
            <w:tcW w:w="1485" w:type="dxa"/>
            <w:tcBorders>
              <w:top w:val="nil"/>
              <w:left w:val="nil"/>
              <w:bottom w:val="single" w:sz="4" w:space="0" w:color="BFBFBF"/>
              <w:right w:val="single" w:sz="4" w:space="0" w:color="BFBFBF"/>
            </w:tcBorders>
            <w:noWrap/>
            <w:vAlign w:val="center"/>
            <w:hideMark/>
          </w:tcPr>
          <w:p w14:paraId="082F25F6" w14:textId="5BA72095" w:rsidR="002A3C4A" w:rsidRPr="00E16881" w:rsidRDefault="002A3C4A" w:rsidP="002A3C4A">
            <w:pPr>
              <w:jc w:val="right"/>
              <w:rPr>
                <w:rFonts w:eastAsia="Times New Roman"/>
                <w:color w:val="C00000"/>
                <w:sz w:val="18"/>
                <w:szCs w:val="18"/>
              </w:rPr>
            </w:pPr>
            <w:r w:rsidRPr="00E16881">
              <w:rPr>
                <w:color w:val="C00000"/>
                <w:sz w:val="18"/>
                <w:szCs w:val="18"/>
              </w:rPr>
              <w:t>2%</w:t>
            </w:r>
          </w:p>
        </w:tc>
        <w:tc>
          <w:tcPr>
            <w:tcW w:w="1485" w:type="dxa"/>
            <w:tcBorders>
              <w:top w:val="nil"/>
              <w:left w:val="nil"/>
              <w:bottom w:val="single" w:sz="4" w:space="0" w:color="BFBFBF"/>
              <w:right w:val="single" w:sz="4" w:space="0" w:color="auto"/>
            </w:tcBorders>
            <w:noWrap/>
            <w:vAlign w:val="center"/>
            <w:hideMark/>
          </w:tcPr>
          <w:p w14:paraId="13CFFE8D" w14:textId="6C36E9F5" w:rsidR="002A3C4A" w:rsidRPr="00E16881" w:rsidRDefault="002A3C4A" w:rsidP="002A3C4A">
            <w:pPr>
              <w:jc w:val="right"/>
              <w:rPr>
                <w:rFonts w:eastAsia="Times New Roman"/>
                <w:color w:val="C00000"/>
                <w:sz w:val="18"/>
                <w:szCs w:val="18"/>
              </w:rPr>
            </w:pPr>
            <w:r w:rsidRPr="00E16881">
              <w:rPr>
                <w:color w:val="C00000"/>
                <w:sz w:val="18"/>
                <w:szCs w:val="18"/>
              </w:rPr>
              <w:t>0%</w:t>
            </w:r>
          </w:p>
        </w:tc>
      </w:tr>
      <w:tr w:rsidR="002A3C4A" w:rsidRPr="00B83366" w14:paraId="47E04382" w14:textId="77777777" w:rsidTr="00B83366">
        <w:trPr>
          <w:trHeight w:val="402"/>
        </w:trPr>
        <w:tc>
          <w:tcPr>
            <w:tcW w:w="3420" w:type="dxa"/>
            <w:tcBorders>
              <w:top w:val="nil"/>
              <w:left w:val="single" w:sz="4" w:space="0" w:color="auto"/>
              <w:bottom w:val="single" w:sz="4" w:space="0" w:color="BFBFBF"/>
              <w:right w:val="single" w:sz="4" w:space="0" w:color="auto"/>
            </w:tcBorders>
            <w:shd w:val="clear" w:color="000000" w:fill="F2F2F2"/>
            <w:noWrap/>
            <w:vAlign w:val="center"/>
            <w:hideMark/>
          </w:tcPr>
          <w:p w14:paraId="19904448" w14:textId="322BB490" w:rsidR="002A3C4A" w:rsidRPr="00B83366" w:rsidRDefault="002A3C4A" w:rsidP="002A3C4A">
            <w:pPr>
              <w:rPr>
                <w:rFonts w:eastAsia="Times New Roman"/>
                <w:color w:val="000000"/>
                <w:sz w:val="18"/>
                <w:szCs w:val="18"/>
              </w:rPr>
            </w:pPr>
            <w:r>
              <w:rPr>
                <w:color w:val="000000"/>
                <w:sz w:val="18"/>
                <w:szCs w:val="18"/>
              </w:rPr>
              <w:t>1 bedroom units</w:t>
            </w:r>
          </w:p>
        </w:tc>
        <w:tc>
          <w:tcPr>
            <w:tcW w:w="1485" w:type="dxa"/>
            <w:tcBorders>
              <w:top w:val="nil"/>
              <w:left w:val="nil"/>
              <w:bottom w:val="single" w:sz="4" w:space="0" w:color="BFBFBF"/>
              <w:right w:val="single" w:sz="4" w:space="0" w:color="BFBFBF"/>
            </w:tcBorders>
            <w:shd w:val="clear" w:color="000000" w:fill="F2F2F2"/>
            <w:noWrap/>
            <w:vAlign w:val="center"/>
            <w:hideMark/>
          </w:tcPr>
          <w:p w14:paraId="4E983BE6" w14:textId="02CA45A2" w:rsidR="002A3C4A" w:rsidRPr="00E16881" w:rsidRDefault="002A3C4A" w:rsidP="002A3C4A">
            <w:pPr>
              <w:jc w:val="right"/>
              <w:rPr>
                <w:rFonts w:eastAsia="Times New Roman"/>
                <w:color w:val="C00000"/>
                <w:sz w:val="18"/>
                <w:szCs w:val="18"/>
              </w:rPr>
            </w:pPr>
            <w:r w:rsidRPr="00E16881">
              <w:rPr>
                <w:color w:val="C00000"/>
                <w:sz w:val="18"/>
                <w:szCs w:val="18"/>
              </w:rPr>
              <w:t>25%</w:t>
            </w:r>
          </w:p>
        </w:tc>
        <w:tc>
          <w:tcPr>
            <w:tcW w:w="1485" w:type="dxa"/>
            <w:tcBorders>
              <w:top w:val="nil"/>
              <w:left w:val="nil"/>
              <w:bottom w:val="single" w:sz="4" w:space="0" w:color="BFBFBF"/>
              <w:right w:val="single" w:sz="4" w:space="0" w:color="auto"/>
            </w:tcBorders>
            <w:shd w:val="clear" w:color="000000" w:fill="F2F2F2"/>
            <w:noWrap/>
            <w:vAlign w:val="center"/>
            <w:hideMark/>
          </w:tcPr>
          <w:p w14:paraId="413EB3CE" w14:textId="7762304C" w:rsidR="002A3C4A" w:rsidRPr="00E16881" w:rsidRDefault="002A3C4A" w:rsidP="002A3C4A">
            <w:pPr>
              <w:jc w:val="right"/>
              <w:rPr>
                <w:rFonts w:eastAsia="Times New Roman"/>
                <w:color w:val="C00000"/>
                <w:sz w:val="18"/>
                <w:szCs w:val="18"/>
              </w:rPr>
            </w:pPr>
            <w:r w:rsidRPr="00E16881">
              <w:rPr>
                <w:color w:val="C00000"/>
                <w:sz w:val="18"/>
                <w:szCs w:val="18"/>
              </w:rPr>
              <w:t>35%</w:t>
            </w:r>
          </w:p>
        </w:tc>
        <w:tc>
          <w:tcPr>
            <w:tcW w:w="1485" w:type="dxa"/>
            <w:tcBorders>
              <w:top w:val="nil"/>
              <w:left w:val="nil"/>
              <w:bottom w:val="single" w:sz="4" w:space="0" w:color="BFBFBF"/>
              <w:right w:val="single" w:sz="4" w:space="0" w:color="BFBFBF"/>
            </w:tcBorders>
            <w:shd w:val="clear" w:color="000000" w:fill="F2F2F2"/>
            <w:noWrap/>
            <w:vAlign w:val="center"/>
            <w:hideMark/>
          </w:tcPr>
          <w:p w14:paraId="1D84CA18" w14:textId="18CF0081" w:rsidR="002A3C4A" w:rsidRPr="00E16881" w:rsidRDefault="002A3C4A" w:rsidP="002A3C4A">
            <w:pPr>
              <w:jc w:val="right"/>
              <w:rPr>
                <w:rFonts w:eastAsia="Times New Roman"/>
                <w:color w:val="C00000"/>
                <w:sz w:val="18"/>
                <w:szCs w:val="18"/>
              </w:rPr>
            </w:pPr>
            <w:r w:rsidRPr="00E16881">
              <w:rPr>
                <w:color w:val="C00000"/>
                <w:sz w:val="18"/>
                <w:szCs w:val="18"/>
              </w:rPr>
              <w:t>20%</w:t>
            </w:r>
          </w:p>
        </w:tc>
        <w:tc>
          <w:tcPr>
            <w:tcW w:w="1485" w:type="dxa"/>
            <w:tcBorders>
              <w:top w:val="nil"/>
              <w:left w:val="nil"/>
              <w:bottom w:val="single" w:sz="4" w:space="0" w:color="BFBFBF"/>
              <w:right w:val="single" w:sz="4" w:space="0" w:color="auto"/>
            </w:tcBorders>
            <w:shd w:val="clear" w:color="000000" w:fill="F2F2F2"/>
            <w:noWrap/>
            <w:vAlign w:val="center"/>
            <w:hideMark/>
          </w:tcPr>
          <w:p w14:paraId="0A49AF8C" w14:textId="07D4FC5B" w:rsidR="002A3C4A" w:rsidRPr="00E16881" w:rsidRDefault="002A3C4A" w:rsidP="002A3C4A">
            <w:pPr>
              <w:jc w:val="right"/>
              <w:rPr>
                <w:rFonts w:eastAsia="Times New Roman"/>
                <w:color w:val="C00000"/>
                <w:sz w:val="18"/>
                <w:szCs w:val="18"/>
              </w:rPr>
            </w:pPr>
            <w:r w:rsidRPr="00E16881">
              <w:rPr>
                <w:color w:val="C00000"/>
                <w:sz w:val="18"/>
                <w:szCs w:val="18"/>
              </w:rPr>
              <w:t>28%</w:t>
            </w:r>
          </w:p>
        </w:tc>
      </w:tr>
      <w:tr w:rsidR="002A3C4A" w:rsidRPr="00B83366" w14:paraId="38EC5765" w14:textId="77777777" w:rsidTr="00B83366">
        <w:trPr>
          <w:trHeight w:val="402"/>
        </w:trPr>
        <w:tc>
          <w:tcPr>
            <w:tcW w:w="3420" w:type="dxa"/>
            <w:tcBorders>
              <w:top w:val="nil"/>
              <w:left w:val="single" w:sz="4" w:space="0" w:color="auto"/>
              <w:bottom w:val="single" w:sz="4" w:space="0" w:color="BFBFBF"/>
              <w:right w:val="single" w:sz="4" w:space="0" w:color="auto"/>
            </w:tcBorders>
            <w:noWrap/>
            <w:vAlign w:val="center"/>
            <w:hideMark/>
          </w:tcPr>
          <w:p w14:paraId="018AAE2B" w14:textId="42BFAA55" w:rsidR="002A3C4A" w:rsidRPr="00B83366" w:rsidRDefault="002A3C4A" w:rsidP="002A3C4A">
            <w:pPr>
              <w:rPr>
                <w:rFonts w:eastAsia="Times New Roman"/>
                <w:color w:val="000000"/>
                <w:sz w:val="18"/>
                <w:szCs w:val="18"/>
              </w:rPr>
            </w:pPr>
            <w:r>
              <w:rPr>
                <w:color w:val="000000"/>
                <w:sz w:val="18"/>
                <w:szCs w:val="18"/>
              </w:rPr>
              <w:t>2 bedroom units</w:t>
            </w:r>
          </w:p>
        </w:tc>
        <w:tc>
          <w:tcPr>
            <w:tcW w:w="1485" w:type="dxa"/>
            <w:tcBorders>
              <w:top w:val="nil"/>
              <w:left w:val="nil"/>
              <w:bottom w:val="single" w:sz="4" w:space="0" w:color="BFBFBF"/>
              <w:right w:val="single" w:sz="4" w:space="0" w:color="BFBFBF"/>
            </w:tcBorders>
            <w:noWrap/>
            <w:vAlign w:val="center"/>
            <w:hideMark/>
          </w:tcPr>
          <w:p w14:paraId="4048563A" w14:textId="7EB93C62" w:rsidR="002A3C4A" w:rsidRPr="00E16881" w:rsidRDefault="002A3C4A" w:rsidP="002A3C4A">
            <w:pPr>
              <w:jc w:val="right"/>
              <w:rPr>
                <w:rFonts w:eastAsia="Times New Roman"/>
                <w:color w:val="C00000"/>
                <w:sz w:val="18"/>
                <w:szCs w:val="18"/>
              </w:rPr>
            </w:pPr>
            <w:r w:rsidRPr="00E16881">
              <w:rPr>
                <w:color w:val="C00000"/>
                <w:sz w:val="18"/>
                <w:szCs w:val="18"/>
              </w:rPr>
              <w:t>64%</w:t>
            </w:r>
          </w:p>
        </w:tc>
        <w:tc>
          <w:tcPr>
            <w:tcW w:w="1485" w:type="dxa"/>
            <w:tcBorders>
              <w:top w:val="nil"/>
              <w:left w:val="nil"/>
              <w:bottom w:val="single" w:sz="4" w:space="0" w:color="BFBFBF"/>
              <w:right w:val="single" w:sz="4" w:space="0" w:color="auto"/>
            </w:tcBorders>
            <w:noWrap/>
            <w:vAlign w:val="center"/>
            <w:hideMark/>
          </w:tcPr>
          <w:p w14:paraId="3220C82A" w14:textId="1441078D" w:rsidR="002A3C4A" w:rsidRPr="00E16881" w:rsidRDefault="002A3C4A" w:rsidP="002A3C4A">
            <w:pPr>
              <w:jc w:val="right"/>
              <w:rPr>
                <w:rFonts w:eastAsia="Times New Roman"/>
                <w:color w:val="C00000"/>
                <w:sz w:val="18"/>
                <w:szCs w:val="18"/>
              </w:rPr>
            </w:pPr>
            <w:r w:rsidRPr="00E16881">
              <w:rPr>
                <w:color w:val="C00000"/>
                <w:sz w:val="18"/>
                <w:szCs w:val="18"/>
              </w:rPr>
              <w:t>26%</w:t>
            </w:r>
          </w:p>
        </w:tc>
        <w:tc>
          <w:tcPr>
            <w:tcW w:w="1485" w:type="dxa"/>
            <w:tcBorders>
              <w:top w:val="nil"/>
              <w:left w:val="nil"/>
              <w:bottom w:val="single" w:sz="4" w:space="0" w:color="BFBFBF"/>
              <w:right w:val="single" w:sz="4" w:space="0" w:color="BFBFBF"/>
            </w:tcBorders>
            <w:noWrap/>
            <w:vAlign w:val="center"/>
            <w:hideMark/>
          </w:tcPr>
          <w:p w14:paraId="2EABB113" w14:textId="1D964E0A" w:rsidR="002A3C4A" w:rsidRPr="00E16881" w:rsidRDefault="002A3C4A" w:rsidP="002A3C4A">
            <w:pPr>
              <w:jc w:val="right"/>
              <w:rPr>
                <w:rFonts w:eastAsia="Times New Roman"/>
                <w:color w:val="C00000"/>
                <w:sz w:val="18"/>
                <w:szCs w:val="18"/>
              </w:rPr>
            </w:pPr>
            <w:r w:rsidRPr="00E16881">
              <w:rPr>
                <w:color w:val="C00000"/>
                <w:sz w:val="18"/>
                <w:szCs w:val="18"/>
              </w:rPr>
              <w:t>67%</w:t>
            </w:r>
          </w:p>
        </w:tc>
        <w:tc>
          <w:tcPr>
            <w:tcW w:w="1485" w:type="dxa"/>
            <w:tcBorders>
              <w:top w:val="nil"/>
              <w:left w:val="nil"/>
              <w:bottom w:val="single" w:sz="4" w:space="0" w:color="BFBFBF"/>
              <w:right w:val="single" w:sz="4" w:space="0" w:color="auto"/>
            </w:tcBorders>
            <w:noWrap/>
            <w:vAlign w:val="center"/>
            <w:hideMark/>
          </w:tcPr>
          <w:p w14:paraId="0BB4FA20" w14:textId="70D79828" w:rsidR="002A3C4A" w:rsidRPr="00E16881" w:rsidRDefault="002A3C4A" w:rsidP="002A3C4A">
            <w:pPr>
              <w:jc w:val="right"/>
              <w:rPr>
                <w:rFonts w:eastAsia="Times New Roman"/>
                <w:color w:val="C00000"/>
                <w:sz w:val="18"/>
                <w:szCs w:val="18"/>
              </w:rPr>
            </w:pPr>
            <w:r w:rsidRPr="00E16881">
              <w:rPr>
                <w:color w:val="C00000"/>
                <w:sz w:val="18"/>
                <w:szCs w:val="18"/>
              </w:rPr>
              <w:t>34%</w:t>
            </w:r>
          </w:p>
        </w:tc>
      </w:tr>
      <w:tr w:rsidR="002A3C4A" w:rsidRPr="00B83366" w14:paraId="7A1D20E8" w14:textId="77777777" w:rsidTr="00B83366">
        <w:trPr>
          <w:trHeight w:val="402"/>
        </w:trPr>
        <w:tc>
          <w:tcPr>
            <w:tcW w:w="3420" w:type="dxa"/>
            <w:tcBorders>
              <w:top w:val="nil"/>
              <w:left w:val="single" w:sz="4" w:space="0" w:color="auto"/>
              <w:bottom w:val="single" w:sz="4" w:space="0" w:color="auto"/>
              <w:right w:val="single" w:sz="4" w:space="0" w:color="auto"/>
            </w:tcBorders>
            <w:shd w:val="clear" w:color="000000" w:fill="F2F2F2"/>
            <w:noWrap/>
            <w:vAlign w:val="center"/>
            <w:hideMark/>
          </w:tcPr>
          <w:p w14:paraId="5DE19941" w14:textId="70023373" w:rsidR="002A3C4A" w:rsidRPr="00B83366" w:rsidRDefault="002A3C4A" w:rsidP="002A3C4A">
            <w:pPr>
              <w:rPr>
                <w:rFonts w:eastAsia="Times New Roman"/>
                <w:color w:val="000000"/>
                <w:sz w:val="18"/>
                <w:szCs w:val="18"/>
              </w:rPr>
            </w:pPr>
            <w:r>
              <w:rPr>
                <w:color w:val="000000"/>
                <w:sz w:val="18"/>
                <w:szCs w:val="18"/>
              </w:rPr>
              <w:t>3+ bedroom units</w:t>
            </w:r>
          </w:p>
        </w:tc>
        <w:tc>
          <w:tcPr>
            <w:tcW w:w="1485" w:type="dxa"/>
            <w:tcBorders>
              <w:top w:val="nil"/>
              <w:left w:val="nil"/>
              <w:bottom w:val="single" w:sz="4" w:space="0" w:color="auto"/>
              <w:right w:val="single" w:sz="4" w:space="0" w:color="BFBFBF"/>
            </w:tcBorders>
            <w:shd w:val="clear" w:color="000000" w:fill="F2F2F2"/>
            <w:noWrap/>
            <w:vAlign w:val="center"/>
            <w:hideMark/>
          </w:tcPr>
          <w:p w14:paraId="32C12B1B" w14:textId="1133FECB" w:rsidR="002A3C4A" w:rsidRPr="00E16881" w:rsidRDefault="002A3C4A" w:rsidP="002A3C4A">
            <w:pPr>
              <w:jc w:val="right"/>
              <w:rPr>
                <w:rFonts w:eastAsia="Times New Roman"/>
                <w:color w:val="C00000"/>
                <w:sz w:val="18"/>
                <w:szCs w:val="18"/>
              </w:rPr>
            </w:pPr>
            <w:r w:rsidRPr="00E16881">
              <w:rPr>
                <w:color w:val="C00000"/>
                <w:sz w:val="18"/>
                <w:szCs w:val="18"/>
              </w:rPr>
              <w:t>8%</w:t>
            </w:r>
          </w:p>
        </w:tc>
        <w:tc>
          <w:tcPr>
            <w:tcW w:w="1485" w:type="dxa"/>
            <w:tcBorders>
              <w:top w:val="nil"/>
              <w:left w:val="nil"/>
              <w:bottom w:val="single" w:sz="4" w:space="0" w:color="auto"/>
              <w:right w:val="single" w:sz="4" w:space="0" w:color="auto"/>
            </w:tcBorders>
            <w:shd w:val="clear" w:color="000000" w:fill="F2F2F2"/>
            <w:noWrap/>
            <w:vAlign w:val="center"/>
            <w:hideMark/>
          </w:tcPr>
          <w:p w14:paraId="379F7224" w14:textId="45EBB64D" w:rsidR="002A3C4A" w:rsidRPr="00E16881" w:rsidRDefault="002A3C4A" w:rsidP="002A3C4A">
            <w:pPr>
              <w:jc w:val="right"/>
              <w:rPr>
                <w:rFonts w:eastAsia="Times New Roman"/>
                <w:color w:val="C00000"/>
                <w:sz w:val="18"/>
                <w:szCs w:val="18"/>
              </w:rPr>
            </w:pPr>
            <w:r w:rsidRPr="00E16881">
              <w:rPr>
                <w:color w:val="C00000"/>
                <w:sz w:val="18"/>
                <w:szCs w:val="18"/>
              </w:rPr>
              <w:t>40%</w:t>
            </w:r>
          </w:p>
        </w:tc>
        <w:tc>
          <w:tcPr>
            <w:tcW w:w="1485" w:type="dxa"/>
            <w:tcBorders>
              <w:top w:val="nil"/>
              <w:left w:val="nil"/>
              <w:bottom w:val="single" w:sz="4" w:space="0" w:color="auto"/>
              <w:right w:val="single" w:sz="4" w:space="0" w:color="BFBFBF"/>
            </w:tcBorders>
            <w:shd w:val="clear" w:color="000000" w:fill="F2F2F2"/>
            <w:noWrap/>
            <w:vAlign w:val="center"/>
            <w:hideMark/>
          </w:tcPr>
          <w:p w14:paraId="7AEAA5EB" w14:textId="49771FB9" w:rsidR="002A3C4A" w:rsidRPr="00E16881" w:rsidRDefault="002A3C4A" w:rsidP="002A3C4A">
            <w:pPr>
              <w:jc w:val="right"/>
              <w:rPr>
                <w:rFonts w:eastAsia="Times New Roman"/>
                <w:color w:val="C00000"/>
                <w:sz w:val="18"/>
                <w:szCs w:val="18"/>
              </w:rPr>
            </w:pPr>
            <w:r w:rsidRPr="00E16881">
              <w:rPr>
                <w:color w:val="C00000"/>
                <w:sz w:val="18"/>
                <w:szCs w:val="18"/>
              </w:rPr>
              <w:t>10%</w:t>
            </w:r>
          </w:p>
        </w:tc>
        <w:tc>
          <w:tcPr>
            <w:tcW w:w="1485" w:type="dxa"/>
            <w:tcBorders>
              <w:top w:val="nil"/>
              <w:left w:val="nil"/>
              <w:bottom w:val="single" w:sz="4" w:space="0" w:color="auto"/>
              <w:right w:val="single" w:sz="4" w:space="0" w:color="auto"/>
            </w:tcBorders>
            <w:shd w:val="clear" w:color="000000" w:fill="F2F2F2"/>
            <w:noWrap/>
            <w:vAlign w:val="center"/>
            <w:hideMark/>
          </w:tcPr>
          <w:p w14:paraId="16EC1638" w14:textId="3FDA5E1A" w:rsidR="002A3C4A" w:rsidRPr="00E16881" w:rsidRDefault="002A3C4A" w:rsidP="002A3C4A">
            <w:pPr>
              <w:jc w:val="right"/>
              <w:rPr>
                <w:rFonts w:eastAsia="Times New Roman"/>
                <w:color w:val="C00000"/>
                <w:sz w:val="18"/>
                <w:szCs w:val="18"/>
              </w:rPr>
            </w:pPr>
            <w:r w:rsidRPr="00E16881">
              <w:rPr>
                <w:color w:val="C00000"/>
                <w:sz w:val="18"/>
                <w:szCs w:val="18"/>
              </w:rPr>
              <w:t>38%</w:t>
            </w:r>
          </w:p>
        </w:tc>
      </w:tr>
    </w:tbl>
    <w:p w14:paraId="4A45E08F" w14:textId="394CA2F7" w:rsidR="00607517" w:rsidRDefault="00CF4F0C" w:rsidP="00004569">
      <w:pPr>
        <w:pStyle w:val="Source"/>
      </w:pPr>
      <w:r>
        <w:t xml:space="preserve">Source: derived from CMHC Rental Market Survey and </w:t>
      </w:r>
      <w:r w:rsidR="00004569">
        <w:t xml:space="preserve">Statistics Canada Table </w:t>
      </w:r>
      <w:r w:rsidR="00004569" w:rsidRPr="00004569">
        <w:t>98</w:t>
      </w:r>
      <w:r w:rsidR="00004569">
        <w:t>-</w:t>
      </w:r>
      <w:r w:rsidR="00004569" w:rsidRPr="00004569">
        <w:t>10</w:t>
      </w:r>
      <w:r w:rsidR="00004569">
        <w:t>-</w:t>
      </w:r>
      <w:r w:rsidR="00004569" w:rsidRPr="00004569">
        <w:t>0240</w:t>
      </w:r>
    </w:p>
    <w:p w14:paraId="137CEC88" w14:textId="77777777" w:rsidR="00607517" w:rsidRDefault="00607517" w:rsidP="00161E89"/>
    <w:p w14:paraId="784483E6" w14:textId="56FAF408" w:rsidR="00C57374" w:rsidRDefault="00C57374" w:rsidP="00C57374">
      <w:pPr>
        <w:jc w:val="both"/>
      </w:pPr>
      <w:r>
        <w:t xml:space="preserve">The split between the primary market (purpose-built rentals) and secondary market (e.g., single-family homes, basement suites, accessory units) is important for interpreting supply stability. Secondary market units are generally more vulnerable to withdrawal, as owners can remove them from the rental pool by selling, converting to personal use, or converting to short-term rental </w:t>
      </w:r>
      <w:r w:rsidR="00657BE4">
        <w:t>(</w:t>
      </w:r>
      <w:r>
        <w:t>where permitted</w:t>
      </w:r>
      <w:r w:rsidR="00657BE4">
        <w:t>)</w:t>
      </w:r>
      <w:r>
        <w:t>, meaning communities that rely heavily on the secondary market could face a more precarious rental supply base.</w:t>
      </w:r>
    </w:p>
    <w:p w14:paraId="32D5A94A" w14:textId="77777777" w:rsidR="00C57374" w:rsidRDefault="00C57374" w:rsidP="00C57374">
      <w:pPr>
        <w:jc w:val="both"/>
      </w:pPr>
    </w:p>
    <w:p w14:paraId="1DF50E66" w14:textId="0C4B45FC" w:rsidR="00660C23" w:rsidRDefault="00C57374" w:rsidP="00C57374">
      <w:pPr>
        <w:jc w:val="both"/>
      </w:pPr>
      <w:r>
        <w:lastRenderedPageBreak/>
        <w:t xml:space="preserve">Where the broader market skews heavily toward larger units (three-plus bedrooms) relative to the primary market, smaller-household renters such as singles, couples, and young adults may be underserved. Conversely, an over-representation of studios and one-bedroom units relative to provincial norms may indicate a stock that does not adequately accommodate families with children, who require two- and three-bedroom rental options that are often difficult to access affordably in </w:t>
      </w:r>
      <w:r w:rsidR="008B2CBD">
        <w:t xml:space="preserve">many </w:t>
      </w:r>
      <w:r>
        <w:t>Canadian markets.</w:t>
      </w:r>
      <w:r w:rsidR="00660C23" w:rsidRPr="00660C23">
        <w:t xml:space="preserve"> </w:t>
      </w:r>
    </w:p>
    <w:p w14:paraId="7F467381" w14:textId="77777777" w:rsidR="00660C23" w:rsidRDefault="00660C23" w:rsidP="00660C23"/>
    <w:p w14:paraId="74038C93" w14:textId="34B23355" w:rsidR="00D16EC6" w:rsidRDefault="00C757B6" w:rsidP="00966186">
      <w:pPr>
        <w:pStyle w:val="Heading3"/>
      </w:pPr>
      <w:r w:rsidRPr="009865C9">
        <w:t>Rents</w:t>
      </w:r>
      <w:r w:rsidR="00EF198D" w:rsidRPr="009865C9">
        <w:t xml:space="preserve"> and Vacancy</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1907A7" w:rsidRPr="00500457" w14:paraId="3FCB28DA" w14:textId="77777777" w:rsidTr="009A4107">
        <w:trPr>
          <w:trHeight w:val="360"/>
        </w:trPr>
        <w:tc>
          <w:tcPr>
            <w:tcW w:w="1345" w:type="dxa"/>
            <w:shd w:val="clear" w:color="auto" w:fill="5F2ADF" w:themeFill="accent4" w:themeFillTint="80"/>
            <w:vAlign w:val="center"/>
          </w:tcPr>
          <w:p w14:paraId="7EF892D4" w14:textId="44258ACA" w:rsidR="001907A7"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2125BCDD" w14:textId="77777777" w:rsidR="001907A7" w:rsidRPr="003A2EA5" w:rsidRDefault="001907A7"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1907A7" w:rsidRPr="00500457" w14:paraId="583C867E" w14:textId="77777777" w:rsidTr="009A4107">
        <w:trPr>
          <w:trHeight w:val="1007"/>
        </w:trPr>
        <w:tc>
          <w:tcPr>
            <w:tcW w:w="1345" w:type="dxa"/>
            <w:shd w:val="clear" w:color="auto" w:fill="DED3F8" w:themeFill="accent4" w:themeFillTint="1A"/>
            <w:vAlign w:val="center"/>
          </w:tcPr>
          <w:p w14:paraId="6FEB005E" w14:textId="4800248A" w:rsidR="001907A7" w:rsidRPr="00500457" w:rsidRDefault="001907A7" w:rsidP="009A4107">
            <w:pPr>
              <w:rPr>
                <w:sz w:val="20"/>
                <w:szCs w:val="20"/>
              </w:rPr>
            </w:pPr>
            <w:r>
              <w:rPr>
                <w:sz w:val="20"/>
                <w:szCs w:val="20"/>
              </w:rPr>
              <w:t>5.4</w:t>
            </w:r>
          </w:p>
        </w:tc>
        <w:tc>
          <w:tcPr>
            <w:tcW w:w="8005" w:type="dxa"/>
            <w:shd w:val="clear" w:color="auto" w:fill="DED3F8" w:themeFill="accent4" w:themeFillTint="1A"/>
            <w:vAlign w:val="center"/>
          </w:tcPr>
          <w:p w14:paraId="257A19CD" w14:textId="074DB8EC" w:rsidR="001907A7" w:rsidRPr="00500457" w:rsidRDefault="001907A7" w:rsidP="009A4107">
            <w:pPr>
              <w:rPr>
                <w:sz w:val="20"/>
                <w:szCs w:val="20"/>
              </w:rPr>
            </w:pPr>
            <w:r w:rsidRPr="001907A7">
              <w:rPr>
                <w:sz w:val="20"/>
                <w:szCs w:val="20"/>
              </w:rPr>
              <w:t>How have average rents changed over time in your community, or territory and its communities? What factors (economic, social, national, local, etc.) have influenced these changes?</w:t>
            </w:r>
          </w:p>
        </w:tc>
      </w:tr>
      <w:tr w:rsidR="001907A7" w:rsidRPr="00500457" w14:paraId="7471C759" w14:textId="77777777" w:rsidTr="009A4107">
        <w:trPr>
          <w:trHeight w:val="728"/>
        </w:trPr>
        <w:tc>
          <w:tcPr>
            <w:tcW w:w="1345" w:type="dxa"/>
            <w:shd w:val="clear" w:color="auto" w:fill="DED3F8" w:themeFill="accent4" w:themeFillTint="1A"/>
            <w:vAlign w:val="center"/>
          </w:tcPr>
          <w:p w14:paraId="25007262" w14:textId="3905179D" w:rsidR="001907A7" w:rsidRDefault="001907A7" w:rsidP="009A4107">
            <w:pPr>
              <w:rPr>
                <w:sz w:val="20"/>
                <w:szCs w:val="20"/>
              </w:rPr>
            </w:pPr>
            <w:r>
              <w:rPr>
                <w:sz w:val="20"/>
                <w:szCs w:val="20"/>
              </w:rPr>
              <w:t>5.5</w:t>
            </w:r>
          </w:p>
        </w:tc>
        <w:tc>
          <w:tcPr>
            <w:tcW w:w="8005" w:type="dxa"/>
            <w:shd w:val="clear" w:color="auto" w:fill="DED3F8" w:themeFill="accent4" w:themeFillTint="1A"/>
            <w:vAlign w:val="center"/>
          </w:tcPr>
          <w:p w14:paraId="1D30CE94" w14:textId="1874C66E" w:rsidR="001907A7" w:rsidRPr="001E2B74" w:rsidRDefault="001907A7" w:rsidP="009A4107">
            <w:pPr>
              <w:rPr>
                <w:sz w:val="20"/>
                <w:szCs w:val="20"/>
              </w:rPr>
            </w:pPr>
            <w:r w:rsidRPr="001907A7">
              <w:rPr>
                <w:sz w:val="20"/>
                <w:szCs w:val="20"/>
              </w:rPr>
              <w:t>How have vacancy rates changed over time? What factors have influenced this change?</w:t>
            </w:r>
          </w:p>
        </w:tc>
      </w:tr>
    </w:tbl>
    <w:p w14:paraId="515C1073" w14:textId="77777777" w:rsidR="00641E5D" w:rsidRPr="009865C9" w:rsidRDefault="00641E5D" w:rsidP="00AE3D51"/>
    <w:p w14:paraId="6CEE3B32" w14:textId="17BB5CCF" w:rsidR="00F95C6A" w:rsidRDefault="00C02F63" w:rsidP="008E322F">
      <w:pPr>
        <w:jc w:val="both"/>
      </w:pPr>
      <w:r w:rsidRPr="009865C9">
        <w:rPr>
          <w:rStyle w:val="Figure-textChar"/>
        </w:rPr>
        <w:fldChar w:fldCharType="begin"/>
      </w:r>
      <w:r w:rsidRPr="009865C9">
        <w:rPr>
          <w:rStyle w:val="Figure-textChar"/>
        </w:rPr>
        <w:instrText xml:space="preserve"> REF _Ref223426066 \h  \* MERGEFORMAT </w:instrText>
      </w:r>
      <w:r w:rsidRPr="009865C9">
        <w:rPr>
          <w:rStyle w:val="Figure-textChar"/>
        </w:rPr>
      </w:r>
      <w:r w:rsidRPr="009865C9">
        <w:rPr>
          <w:rStyle w:val="Figure-textChar"/>
        </w:rPr>
        <w:fldChar w:fldCharType="separate"/>
      </w:r>
      <w:r w:rsidR="00CA6116" w:rsidRPr="00CA6116">
        <w:rPr>
          <w:rStyle w:val="Figure-textChar"/>
        </w:rPr>
        <w:t>Table 6.5</w:t>
      </w:r>
      <w:r w:rsidRPr="009865C9">
        <w:rPr>
          <w:rStyle w:val="Figure-textChar"/>
        </w:rPr>
        <w:fldChar w:fldCharType="end"/>
      </w:r>
      <w:r w:rsidRPr="009865C9">
        <w:t xml:space="preserve"> </w:t>
      </w:r>
      <w:r w:rsidR="004E553E" w:rsidRPr="004E553E">
        <w:t xml:space="preserve">presents the five-year change in average rents alongside the most recent vacancy rate for each dwelling size, enabling a concurrent assessment of affordability pressure and market tightness at the unit-size level. Provincial data is made available as reference </w:t>
      </w:r>
      <w:r w:rsidR="004E553E">
        <w:t>in case</w:t>
      </w:r>
      <w:r w:rsidR="004E553E" w:rsidRPr="004E553E">
        <w:t xml:space="preserve"> local data is unavailable.</w:t>
      </w:r>
      <w:r w:rsidR="000823A2">
        <w:t xml:space="preserve"> </w:t>
      </w:r>
      <w:r w:rsidR="00F95C6A">
        <w:t xml:space="preserve">The table also includes the change in province-wide salaries and wages to illustrate how rent prices </w:t>
      </w:r>
      <w:r w:rsidR="005A6B6E">
        <w:t>have changed relative to the incomes required to afford them.</w:t>
      </w:r>
    </w:p>
    <w:p w14:paraId="6D617BCC" w14:textId="77777777" w:rsidR="00161E89" w:rsidRDefault="00161E89" w:rsidP="00161E89"/>
    <w:p w14:paraId="43F5FE39" w14:textId="0358FCF9" w:rsidR="000F6F5A" w:rsidRDefault="000F6F5A" w:rsidP="000F6F5A">
      <w:pPr>
        <w:pStyle w:val="Caption"/>
      </w:pPr>
      <w:bookmarkStart w:id="49" w:name="_Ref223426066"/>
      <w:r>
        <w:t xml:space="preserve">Table </w:t>
      </w:r>
      <w:fldSimple w:instr=" STYLEREF 1 \s ">
        <w:r w:rsidR="005E459C">
          <w:rPr>
            <w:noProof/>
          </w:rPr>
          <w:t>6</w:t>
        </w:r>
      </w:fldSimple>
      <w:r w:rsidR="00BD4359">
        <w:t>.</w:t>
      </w:r>
      <w:fldSimple w:instr=" SEQ Table \* ARABIC \s 1 ">
        <w:r w:rsidR="005E459C">
          <w:rPr>
            <w:noProof/>
          </w:rPr>
          <w:t>5</w:t>
        </w:r>
      </w:fldSimple>
      <w:bookmarkEnd w:id="49"/>
      <w:r>
        <w:t xml:space="preserve">: Change in average rents </w:t>
      </w:r>
      <w:r w:rsidR="00A300D6">
        <w:t xml:space="preserve">versus change in provincial </w:t>
      </w:r>
      <w:r w:rsidR="002F1354">
        <w:t xml:space="preserve">salaries </w:t>
      </w:r>
      <w:r>
        <w:t xml:space="preserve">and </w:t>
      </w:r>
      <w:r w:rsidR="002F1354">
        <w:t>wages</w:t>
      </w:r>
      <w:r w:rsidR="00230877">
        <w:t xml:space="preserve"> (2020 to 2025)</w:t>
      </w:r>
      <w:r w:rsidR="002F1354">
        <w:t xml:space="preserve">, </w:t>
      </w:r>
      <w:r>
        <w:t xml:space="preserve">and </w:t>
      </w:r>
      <w:r w:rsidR="00A300D6">
        <w:t>2025</w:t>
      </w:r>
      <w:r>
        <w:t xml:space="preserve"> vacancy rate</w:t>
      </w:r>
      <w:r w:rsidR="002F1354">
        <w:t>,</w:t>
      </w:r>
      <w:r>
        <w:t xml:space="preserve"> by dwelling size and geography</w:t>
      </w:r>
    </w:p>
    <w:tbl>
      <w:tblPr>
        <w:tblW w:w="9355" w:type="dxa"/>
        <w:tblLayout w:type="fixed"/>
        <w:tblLook w:val="04A0" w:firstRow="1" w:lastRow="0" w:firstColumn="1" w:lastColumn="0" w:noHBand="0" w:noVBand="1"/>
      </w:tblPr>
      <w:tblGrid>
        <w:gridCol w:w="2970"/>
        <w:gridCol w:w="1596"/>
        <w:gridCol w:w="1596"/>
        <w:gridCol w:w="1596"/>
        <w:gridCol w:w="1597"/>
      </w:tblGrid>
      <w:tr w:rsidR="00FE04B8" w:rsidRPr="00FE04B8" w14:paraId="2F68EC52" w14:textId="77777777" w:rsidTr="003C59F9">
        <w:trPr>
          <w:trHeight w:val="402"/>
        </w:trPr>
        <w:tc>
          <w:tcPr>
            <w:tcW w:w="2970" w:type="dxa"/>
            <w:tcBorders>
              <w:top w:val="nil"/>
              <w:left w:val="nil"/>
              <w:bottom w:val="nil"/>
              <w:right w:val="nil"/>
            </w:tcBorders>
            <w:noWrap/>
            <w:vAlign w:val="center"/>
            <w:hideMark/>
          </w:tcPr>
          <w:p w14:paraId="382216B6" w14:textId="77777777" w:rsidR="00FE04B8" w:rsidRPr="00FE04B8" w:rsidRDefault="00FE04B8" w:rsidP="00FE04B8">
            <w:pPr>
              <w:rPr>
                <w:rFonts w:ascii="Times New Roman" w:eastAsia="Times New Roman" w:hAnsi="Times New Roman" w:cs="Times New Roman"/>
                <w:sz w:val="24"/>
                <w:szCs w:val="24"/>
              </w:rPr>
            </w:pPr>
          </w:p>
        </w:tc>
        <w:tc>
          <w:tcPr>
            <w:tcW w:w="3192"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0ECE0A07" w14:textId="77777777" w:rsidR="00FE04B8" w:rsidRPr="00FE04B8" w:rsidRDefault="00FE04B8" w:rsidP="00FE04B8">
            <w:pPr>
              <w:jc w:val="center"/>
              <w:rPr>
                <w:rFonts w:eastAsia="Times New Roman"/>
                <w:color w:val="FFFFFF"/>
                <w:sz w:val="18"/>
                <w:szCs w:val="18"/>
              </w:rPr>
            </w:pPr>
            <w:r w:rsidRPr="00FE04B8">
              <w:rPr>
                <w:rFonts w:eastAsia="Times New Roman"/>
                <w:color w:val="FFFFFF"/>
                <w:sz w:val="18"/>
                <w:szCs w:val="18"/>
              </w:rPr>
              <w:t>Local</w:t>
            </w:r>
          </w:p>
        </w:tc>
        <w:tc>
          <w:tcPr>
            <w:tcW w:w="3193" w:type="dxa"/>
            <w:gridSpan w:val="2"/>
            <w:tcBorders>
              <w:top w:val="single" w:sz="4" w:space="0" w:color="auto"/>
              <w:left w:val="nil"/>
              <w:bottom w:val="single" w:sz="4" w:space="0" w:color="auto"/>
              <w:right w:val="single" w:sz="4" w:space="0" w:color="000000"/>
            </w:tcBorders>
            <w:shd w:val="clear" w:color="auto" w:fill="080314" w:themeFill="accent4"/>
            <w:noWrap/>
            <w:vAlign w:val="center"/>
            <w:hideMark/>
          </w:tcPr>
          <w:p w14:paraId="11637414" w14:textId="77777777" w:rsidR="00FE04B8" w:rsidRPr="00FE04B8" w:rsidRDefault="00FE04B8" w:rsidP="00FE04B8">
            <w:pPr>
              <w:jc w:val="center"/>
              <w:rPr>
                <w:rFonts w:eastAsia="Times New Roman"/>
                <w:color w:val="FFFFFF"/>
                <w:sz w:val="18"/>
                <w:szCs w:val="18"/>
              </w:rPr>
            </w:pPr>
            <w:r w:rsidRPr="00FE04B8">
              <w:rPr>
                <w:rFonts w:eastAsia="Times New Roman"/>
                <w:color w:val="FFFFFF"/>
                <w:sz w:val="18"/>
                <w:szCs w:val="18"/>
              </w:rPr>
              <w:t>Province</w:t>
            </w:r>
          </w:p>
        </w:tc>
      </w:tr>
      <w:tr w:rsidR="00FE04B8" w:rsidRPr="00FE04B8" w14:paraId="6B988D6E" w14:textId="77777777" w:rsidTr="003C59F9">
        <w:trPr>
          <w:trHeight w:val="503"/>
        </w:trPr>
        <w:tc>
          <w:tcPr>
            <w:tcW w:w="297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673EE373" w14:textId="77777777" w:rsidR="00FE04B8" w:rsidRPr="00FE04B8" w:rsidRDefault="00FE04B8" w:rsidP="00FE04B8">
            <w:pPr>
              <w:rPr>
                <w:rFonts w:eastAsia="Times New Roman"/>
                <w:color w:val="FFFFFF"/>
                <w:sz w:val="18"/>
                <w:szCs w:val="18"/>
              </w:rPr>
            </w:pPr>
            <w:r w:rsidRPr="00FE04B8">
              <w:rPr>
                <w:rFonts w:eastAsia="Times New Roman"/>
                <w:color w:val="FFFFFF"/>
                <w:sz w:val="18"/>
                <w:szCs w:val="18"/>
              </w:rPr>
              <w:t>Dwelling size</w:t>
            </w:r>
          </w:p>
        </w:tc>
        <w:tc>
          <w:tcPr>
            <w:tcW w:w="1596" w:type="dxa"/>
            <w:tcBorders>
              <w:top w:val="nil"/>
              <w:left w:val="nil"/>
              <w:bottom w:val="single" w:sz="4" w:space="0" w:color="auto"/>
              <w:right w:val="single" w:sz="4" w:space="0" w:color="BFBFBF"/>
            </w:tcBorders>
            <w:shd w:val="clear" w:color="auto" w:fill="CFD9E3" w:themeFill="accent1"/>
            <w:noWrap/>
            <w:vAlign w:val="center"/>
            <w:hideMark/>
          </w:tcPr>
          <w:p w14:paraId="72A88E90" w14:textId="77777777" w:rsidR="00FE04B8" w:rsidRPr="00FE04B8" w:rsidRDefault="00FE04B8" w:rsidP="00FE04B8">
            <w:pPr>
              <w:jc w:val="right"/>
              <w:rPr>
                <w:rFonts w:eastAsia="Times New Roman"/>
                <w:color w:val="000000"/>
                <w:sz w:val="18"/>
                <w:szCs w:val="18"/>
              </w:rPr>
            </w:pPr>
            <w:r w:rsidRPr="00FE04B8">
              <w:rPr>
                <w:rFonts w:eastAsia="Times New Roman"/>
                <w:color w:val="000000"/>
                <w:sz w:val="18"/>
                <w:szCs w:val="18"/>
              </w:rPr>
              <w:t>5-year average rent change</w:t>
            </w:r>
          </w:p>
        </w:tc>
        <w:tc>
          <w:tcPr>
            <w:tcW w:w="1596" w:type="dxa"/>
            <w:tcBorders>
              <w:top w:val="nil"/>
              <w:left w:val="nil"/>
              <w:bottom w:val="single" w:sz="4" w:space="0" w:color="auto"/>
              <w:right w:val="single" w:sz="4" w:space="0" w:color="auto"/>
            </w:tcBorders>
            <w:shd w:val="clear" w:color="auto" w:fill="CFD9E3" w:themeFill="accent1"/>
            <w:noWrap/>
            <w:vAlign w:val="center"/>
            <w:hideMark/>
          </w:tcPr>
          <w:p w14:paraId="477217B5" w14:textId="77777777" w:rsidR="00FE04B8" w:rsidRPr="00FE04B8" w:rsidRDefault="00FE04B8" w:rsidP="00FE04B8">
            <w:pPr>
              <w:jc w:val="right"/>
              <w:rPr>
                <w:rFonts w:eastAsia="Times New Roman"/>
                <w:color w:val="000000"/>
                <w:sz w:val="18"/>
                <w:szCs w:val="18"/>
              </w:rPr>
            </w:pPr>
            <w:r w:rsidRPr="00FE04B8">
              <w:rPr>
                <w:rFonts w:eastAsia="Times New Roman"/>
                <w:color w:val="000000"/>
                <w:sz w:val="18"/>
                <w:szCs w:val="18"/>
              </w:rPr>
              <w:t>Most recent vacancy</w:t>
            </w:r>
          </w:p>
        </w:tc>
        <w:tc>
          <w:tcPr>
            <w:tcW w:w="1596" w:type="dxa"/>
            <w:tcBorders>
              <w:top w:val="nil"/>
              <w:left w:val="nil"/>
              <w:bottom w:val="single" w:sz="4" w:space="0" w:color="auto"/>
              <w:right w:val="single" w:sz="4" w:space="0" w:color="BFBFBF"/>
            </w:tcBorders>
            <w:shd w:val="clear" w:color="auto" w:fill="DED3F8" w:themeFill="accent4" w:themeFillTint="1A"/>
            <w:noWrap/>
            <w:vAlign w:val="center"/>
            <w:hideMark/>
          </w:tcPr>
          <w:p w14:paraId="7F045C15" w14:textId="77777777" w:rsidR="00FE04B8" w:rsidRPr="00FE04B8" w:rsidRDefault="00FE04B8" w:rsidP="00FE04B8">
            <w:pPr>
              <w:jc w:val="right"/>
              <w:rPr>
                <w:rFonts w:eastAsia="Times New Roman"/>
                <w:color w:val="000000"/>
                <w:sz w:val="18"/>
                <w:szCs w:val="18"/>
              </w:rPr>
            </w:pPr>
            <w:r w:rsidRPr="00FE04B8">
              <w:rPr>
                <w:rFonts w:eastAsia="Times New Roman"/>
                <w:color w:val="000000"/>
                <w:sz w:val="18"/>
                <w:szCs w:val="18"/>
              </w:rPr>
              <w:t>5-year average rent change</w:t>
            </w:r>
          </w:p>
        </w:tc>
        <w:tc>
          <w:tcPr>
            <w:tcW w:w="1597" w:type="dxa"/>
            <w:tcBorders>
              <w:top w:val="nil"/>
              <w:left w:val="nil"/>
              <w:bottom w:val="single" w:sz="4" w:space="0" w:color="auto"/>
              <w:right w:val="single" w:sz="4" w:space="0" w:color="auto"/>
            </w:tcBorders>
            <w:shd w:val="clear" w:color="auto" w:fill="DED3F8" w:themeFill="accent4" w:themeFillTint="1A"/>
            <w:noWrap/>
            <w:vAlign w:val="center"/>
            <w:hideMark/>
          </w:tcPr>
          <w:p w14:paraId="654D8FF5" w14:textId="77777777" w:rsidR="00FE04B8" w:rsidRPr="00FE04B8" w:rsidRDefault="00FE04B8" w:rsidP="00FE04B8">
            <w:pPr>
              <w:jc w:val="right"/>
              <w:rPr>
                <w:rFonts w:eastAsia="Times New Roman"/>
                <w:color w:val="000000"/>
                <w:sz w:val="18"/>
                <w:szCs w:val="18"/>
              </w:rPr>
            </w:pPr>
            <w:r w:rsidRPr="00FE04B8">
              <w:rPr>
                <w:rFonts w:eastAsia="Times New Roman"/>
                <w:color w:val="000000"/>
                <w:sz w:val="18"/>
                <w:szCs w:val="18"/>
              </w:rPr>
              <w:t>Most recent vacancy</w:t>
            </w:r>
          </w:p>
        </w:tc>
      </w:tr>
      <w:tr w:rsidR="00AD256D" w:rsidRPr="00FE04B8" w14:paraId="4FB12AD9" w14:textId="77777777" w:rsidTr="00EC0D24">
        <w:trPr>
          <w:trHeight w:val="402"/>
        </w:trPr>
        <w:tc>
          <w:tcPr>
            <w:tcW w:w="2970" w:type="dxa"/>
            <w:tcBorders>
              <w:top w:val="nil"/>
              <w:left w:val="single" w:sz="4" w:space="0" w:color="auto"/>
              <w:bottom w:val="single" w:sz="4" w:space="0" w:color="auto"/>
              <w:right w:val="single" w:sz="4" w:space="0" w:color="auto"/>
            </w:tcBorders>
            <w:shd w:val="clear" w:color="000000" w:fill="F2F2F2"/>
            <w:noWrap/>
            <w:vAlign w:val="center"/>
            <w:hideMark/>
          </w:tcPr>
          <w:p w14:paraId="5676B696" w14:textId="152FCEF3" w:rsidR="00AD256D" w:rsidRPr="00FE04B8" w:rsidRDefault="00AD256D" w:rsidP="00AD256D">
            <w:pPr>
              <w:rPr>
                <w:rFonts w:eastAsia="Times New Roman"/>
                <w:color w:val="000000"/>
                <w:sz w:val="18"/>
                <w:szCs w:val="18"/>
              </w:rPr>
            </w:pPr>
            <w:r>
              <w:rPr>
                <w:color w:val="000000"/>
                <w:sz w:val="18"/>
                <w:szCs w:val="18"/>
              </w:rPr>
              <w:t>Total primary market rental units</w:t>
            </w:r>
          </w:p>
        </w:tc>
        <w:tc>
          <w:tcPr>
            <w:tcW w:w="1596" w:type="dxa"/>
            <w:tcBorders>
              <w:top w:val="nil"/>
              <w:left w:val="nil"/>
              <w:bottom w:val="single" w:sz="4" w:space="0" w:color="auto"/>
              <w:right w:val="single" w:sz="4" w:space="0" w:color="BFBFBF"/>
            </w:tcBorders>
            <w:shd w:val="clear" w:color="000000" w:fill="F2F2F2"/>
            <w:noWrap/>
            <w:vAlign w:val="center"/>
            <w:hideMark/>
          </w:tcPr>
          <w:p w14:paraId="23477BA0" w14:textId="698E7B03" w:rsidR="00AD256D" w:rsidRPr="00E16881" w:rsidRDefault="00AD256D" w:rsidP="00AD256D">
            <w:pPr>
              <w:jc w:val="right"/>
              <w:rPr>
                <w:rFonts w:eastAsia="Times New Roman"/>
                <w:color w:val="C00000"/>
                <w:sz w:val="18"/>
                <w:szCs w:val="18"/>
              </w:rPr>
            </w:pPr>
            <w:r w:rsidRPr="00E16881">
              <w:rPr>
                <w:color w:val="C00000"/>
                <w:sz w:val="18"/>
                <w:szCs w:val="18"/>
              </w:rPr>
              <w:t>+36%</w:t>
            </w:r>
          </w:p>
        </w:tc>
        <w:tc>
          <w:tcPr>
            <w:tcW w:w="1596" w:type="dxa"/>
            <w:tcBorders>
              <w:top w:val="nil"/>
              <w:left w:val="nil"/>
              <w:bottom w:val="single" w:sz="4" w:space="0" w:color="auto"/>
              <w:right w:val="single" w:sz="4" w:space="0" w:color="auto"/>
            </w:tcBorders>
            <w:shd w:val="clear" w:color="000000" w:fill="F2F2F2"/>
            <w:noWrap/>
            <w:vAlign w:val="center"/>
            <w:hideMark/>
          </w:tcPr>
          <w:p w14:paraId="085E6885" w14:textId="40A6F7DD" w:rsidR="00AD256D" w:rsidRPr="00E16881" w:rsidRDefault="00AD256D" w:rsidP="00AD256D">
            <w:pPr>
              <w:jc w:val="right"/>
              <w:rPr>
                <w:rFonts w:eastAsia="Times New Roman"/>
                <w:color w:val="C00000"/>
                <w:sz w:val="18"/>
                <w:szCs w:val="18"/>
              </w:rPr>
            </w:pPr>
            <w:r w:rsidRPr="00E16881">
              <w:rPr>
                <w:color w:val="C00000"/>
                <w:sz w:val="18"/>
                <w:szCs w:val="18"/>
              </w:rPr>
              <w:t>1.5%</w:t>
            </w:r>
          </w:p>
        </w:tc>
        <w:tc>
          <w:tcPr>
            <w:tcW w:w="1596" w:type="dxa"/>
            <w:tcBorders>
              <w:top w:val="nil"/>
              <w:left w:val="nil"/>
              <w:bottom w:val="single" w:sz="4" w:space="0" w:color="auto"/>
              <w:right w:val="single" w:sz="4" w:space="0" w:color="BFBFBF"/>
            </w:tcBorders>
            <w:shd w:val="clear" w:color="000000" w:fill="F2F2F2"/>
            <w:noWrap/>
            <w:vAlign w:val="center"/>
            <w:hideMark/>
          </w:tcPr>
          <w:p w14:paraId="28DC5D0E" w14:textId="1DEDC577" w:rsidR="00AD256D" w:rsidRPr="00E16881" w:rsidRDefault="00AD256D" w:rsidP="00AD256D">
            <w:pPr>
              <w:jc w:val="right"/>
              <w:rPr>
                <w:rFonts w:eastAsia="Times New Roman"/>
                <w:color w:val="C00000"/>
                <w:sz w:val="18"/>
                <w:szCs w:val="18"/>
              </w:rPr>
            </w:pPr>
            <w:r w:rsidRPr="00E16881">
              <w:rPr>
                <w:color w:val="C00000"/>
                <w:sz w:val="18"/>
                <w:szCs w:val="18"/>
              </w:rPr>
              <w:t>+34%</w:t>
            </w:r>
          </w:p>
        </w:tc>
        <w:tc>
          <w:tcPr>
            <w:tcW w:w="1597" w:type="dxa"/>
            <w:tcBorders>
              <w:top w:val="nil"/>
              <w:left w:val="nil"/>
              <w:bottom w:val="single" w:sz="4" w:space="0" w:color="auto"/>
              <w:right w:val="single" w:sz="4" w:space="0" w:color="auto"/>
            </w:tcBorders>
            <w:shd w:val="clear" w:color="000000" w:fill="F2F2F2"/>
            <w:noWrap/>
            <w:vAlign w:val="center"/>
            <w:hideMark/>
          </w:tcPr>
          <w:p w14:paraId="28EAB868" w14:textId="024DE968" w:rsidR="00AD256D" w:rsidRPr="00E16881" w:rsidRDefault="00AD256D" w:rsidP="00AD256D">
            <w:pPr>
              <w:jc w:val="right"/>
              <w:rPr>
                <w:rFonts w:eastAsia="Times New Roman"/>
                <w:color w:val="C00000"/>
                <w:sz w:val="18"/>
                <w:szCs w:val="18"/>
              </w:rPr>
            </w:pPr>
            <w:r w:rsidRPr="00E16881">
              <w:rPr>
                <w:color w:val="C00000"/>
                <w:sz w:val="18"/>
                <w:szCs w:val="18"/>
              </w:rPr>
              <w:t>2.0%</w:t>
            </w:r>
          </w:p>
        </w:tc>
      </w:tr>
      <w:tr w:rsidR="00AD256D" w:rsidRPr="00FE04B8" w14:paraId="48D1DB55" w14:textId="77777777" w:rsidTr="00EC0D24">
        <w:trPr>
          <w:trHeight w:val="402"/>
        </w:trPr>
        <w:tc>
          <w:tcPr>
            <w:tcW w:w="2970" w:type="dxa"/>
            <w:tcBorders>
              <w:top w:val="nil"/>
              <w:left w:val="single" w:sz="4" w:space="0" w:color="auto"/>
              <w:bottom w:val="single" w:sz="4" w:space="0" w:color="BFBFBF"/>
              <w:right w:val="single" w:sz="4" w:space="0" w:color="auto"/>
            </w:tcBorders>
            <w:noWrap/>
            <w:vAlign w:val="center"/>
            <w:hideMark/>
          </w:tcPr>
          <w:p w14:paraId="5AC5A218" w14:textId="4F47EF79" w:rsidR="00AD256D" w:rsidRPr="00FE04B8" w:rsidRDefault="00AD256D" w:rsidP="00AD256D">
            <w:pPr>
              <w:rPr>
                <w:rFonts w:eastAsia="Times New Roman"/>
                <w:color w:val="000000"/>
                <w:sz w:val="18"/>
                <w:szCs w:val="18"/>
              </w:rPr>
            </w:pPr>
            <w:r>
              <w:rPr>
                <w:color w:val="000000"/>
                <w:sz w:val="18"/>
                <w:szCs w:val="18"/>
              </w:rPr>
              <w:t>Studio units</w:t>
            </w:r>
          </w:p>
        </w:tc>
        <w:tc>
          <w:tcPr>
            <w:tcW w:w="1596" w:type="dxa"/>
            <w:tcBorders>
              <w:top w:val="nil"/>
              <w:left w:val="nil"/>
              <w:bottom w:val="single" w:sz="4" w:space="0" w:color="BFBFBF"/>
              <w:right w:val="single" w:sz="4" w:space="0" w:color="BFBFBF"/>
            </w:tcBorders>
            <w:noWrap/>
            <w:vAlign w:val="center"/>
            <w:hideMark/>
          </w:tcPr>
          <w:p w14:paraId="6AE855B2" w14:textId="3C95F504" w:rsidR="00AD256D" w:rsidRPr="00E16881" w:rsidRDefault="00AD256D" w:rsidP="00AD256D">
            <w:pPr>
              <w:jc w:val="right"/>
              <w:rPr>
                <w:rFonts w:eastAsia="Times New Roman"/>
                <w:color w:val="C00000"/>
                <w:sz w:val="18"/>
                <w:szCs w:val="18"/>
              </w:rPr>
            </w:pPr>
            <w:r w:rsidRPr="00E16881">
              <w:rPr>
                <w:color w:val="C00000"/>
                <w:sz w:val="18"/>
                <w:szCs w:val="18"/>
              </w:rPr>
              <w:t>+58%</w:t>
            </w:r>
          </w:p>
        </w:tc>
        <w:tc>
          <w:tcPr>
            <w:tcW w:w="1596" w:type="dxa"/>
            <w:tcBorders>
              <w:top w:val="nil"/>
              <w:left w:val="nil"/>
              <w:bottom w:val="single" w:sz="4" w:space="0" w:color="BFBFBF"/>
              <w:right w:val="single" w:sz="4" w:space="0" w:color="auto"/>
            </w:tcBorders>
            <w:noWrap/>
            <w:vAlign w:val="center"/>
            <w:hideMark/>
          </w:tcPr>
          <w:p w14:paraId="6E2C8BD7" w14:textId="7E1BD067" w:rsidR="00AD256D" w:rsidRPr="00E16881" w:rsidRDefault="00AD256D" w:rsidP="00AD256D">
            <w:pPr>
              <w:jc w:val="right"/>
              <w:rPr>
                <w:rFonts w:eastAsia="Times New Roman"/>
                <w:color w:val="C00000"/>
                <w:sz w:val="18"/>
                <w:szCs w:val="18"/>
              </w:rPr>
            </w:pPr>
            <w:r w:rsidRPr="00E16881">
              <w:rPr>
                <w:color w:val="C00000"/>
                <w:sz w:val="18"/>
                <w:szCs w:val="18"/>
              </w:rPr>
              <w:t>0.0%</w:t>
            </w:r>
          </w:p>
        </w:tc>
        <w:tc>
          <w:tcPr>
            <w:tcW w:w="1596" w:type="dxa"/>
            <w:tcBorders>
              <w:top w:val="nil"/>
              <w:left w:val="nil"/>
              <w:bottom w:val="single" w:sz="4" w:space="0" w:color="BFBFBF"/>
              <w:right w:val="single" w:sz="4" w:space="0" w:color="BFBFBF"/>
            </w:tcBorders>
            <w:noWrap/>
            <w:vAlign w:val="center"/>
            <w:hideMark/>
          </w:tcPr>
          <w:p w14:paraId="3DFDB2D0" w14:textId="665CAAE8" w:rsidR="00AD256D" w:rsidRPr="00E16881" w:rsidRDefault="00AD256D" w:rsidP="00AD256D">
            <w:pPr>
              <w:jc w:val="right"/>
              <w:rPr>
                <w:rFonts w:eastAsia="Times New Roman"/>
                <w:color w:val="C00000"/>
                <w:sz w:val="18"/>
                <w:szCs w:val="18"/>
              </w:rPr>
            </w:pPr>
            <w:r w:rsidRPr="00E16881">
              <w:rPr>
                <w:color w:val="C00000"/>
                <w:sz w:val="18"/>
                <w:szCs w:val="18"/>
              </w:rPr>
              <w:t>+48%</w:t>
            </w:r>
          </w:p>
        </w:tc>
        <w:tc>
          <w:tcPr>
            <w:tcW w:w="1597" w:type="dxa"/>
            <w:tcBorders>
              <w:top w:val="nil"/>
              <w:left w:val="nil"/>
              <w:bottom w:val="single" w:sz="4" w:space="0" w:color="BFBFBF"/>
              <w:right w:val="single" w:sz="4" w:space="0" w:color="auto"/>
            </w:tcBorders>
            <w:noWrap/>
            <w:vAlign w:val="center"/>
            <w:hideMark/>
          </w:tcPr>
          <w:p w14:paraId="48C1AB35" w14:textId="2F5C85A9" w:rsidR="00AD256D" w:rsidRPr="00E16881" w:rsidRDefault="00AD256D" w:rsidP="00AD256D">
            <w:pPr>
              <w:jc w:val="right"/>
              <w:rPr>
                <w:rFonts w:eastAsia="Times New Roman"/>
                <w:color w:val="C00000"/>
                <w:sz w:val="18"/>
                <w:szCs w:val="18"/>
              </w:rPr>
            </w:pPr>
            <w:r w:rsidRPr="00E16881">
              <w:rPr>
                <w:color w:val="C00000"/>
                <w:sz w:val="18"/>
                <w:szCs w:val="18"/>
              </w:rPr>
              <w:t>0.0%</w:t>
            </w:r>
          </w:p>
        </w:tc>
      </w:tr>
      <w:tr w:rsidR="00AD256D" w:rsidRPr="00FE04B8" w14:paraId="5E06863C" w14:textId="77777777" w:rsidTr="00EC0D24">
        <w:trPr>
          <w:trHeight w:val="402"/>
        </w:trPr>
        <w:tc>
          <w:tcPr>
            <w:tcW w:w="2970" w:type="dxa"/>
            <w:tcBorders>
              <w:top w:val="nil"/>
              <w:left w:val="single" w:sz="4" w:space="0" w:color="auto"/>
              <w:bottom w:val="single" w:sz="4" w:space="0" w:color="BFBFBF"/>
              <w:right w:val="single" w:sz="4" w:space="0" w:color="auto"/>
            </w:tcBorders>
            <w:shd w:val="clear" w:color="000000" w:fill="F2F2F2"/>
            <w:noWrap/>
            <w:vAlign w:val="center"/>
            <w:hideMark/>
          </w:tcPr>
          <w:p w14:paraId="35D825DE" w14:textId="5BD0B175" w:rsidR="00AD256D" w:rsidRPr="00FE04B8" w:rsidRDefault="00AD256D" w:rsidP="00AD256D">
            <w:pPr>
              <w:rPr>
                <w:rFonts w:eastAsia="Times New Roman"/>
                <w:color w:val="000000"/>
                <w:sz w:val="18"/>
                <w:szCs w:val="18"/>
              </w:rPr>
            </w:pPr>
            <w:r>
              <w:rPr>
                <w:color w:val="000000"/>
                <w:sz w:val="18"/>
                <w:szCs w:val="18"/>
              </w:rPr>
              <w:t>1 bedroom units</w:t>
            </w:r>
          </w:p>
        </w:tc>
        <w:tc>
          <w:tcPr>
            <w:tcW w:w="1596" w:type="dxa"/>
            <w:tcBorders>
              <w:top w:val="nil"/>
              <w:left w:val="nil"/>
              <w:bottom w:val="single" w:sz="4" w:space="0" w:color="BFBFBF"/>
              <w:right w:val="single" w:sz="4" w:space="0" w:color="BFBFBF"/>
            </w:tcBorders>
            <w:shd w:val="clear" w:color="000000" w:fill="F2F2F2"/>
            <w:noWrap/>
            <w:vAlign w:val="center"/>
            <w:hideMark/>
          </w:tcPr>
          <w:p w14:paraId="40319542" w14:textId="3400490F" w:rsidR="00AD256D" w:rsidRPr="00E16881" w:rsidRDefault="00AD256D" w:rsidP="00AD256D">
            <w:pPr>
              <w:jc w:val="right"/>
              <w:rPr>
                <w:rFonts w:eastAsia="Times New Roman"/>
                <w:color w:val="C00000"/>
                <w:sz w:val="18"/>
                <w:szCs w:val="18"/>
              </w:rPr>
            </w:pPr>
            <w:r w:rsidRPr="00E16881">
              <w:rPr>
                <w:color w:val="C00000"/>
                <w:sz w:val="18"/>
                <w:szCs w:val="18"/>
              </w:rPr>
              <w:t>+30%</w:t>
            </w:r>
          </w:p>
        </w:tc>
        <w:tc>
          <w:tcPr>
            <w:tcW w:w="1596" w:type="dxa"/>
            <w:tcBorders>
              <w:top w:val="nil"/>
              <w:left w:val="nil"/>
              <w:bottom w:val="single" w:sz="4" w:space="0" w:color="BFBFBF"/>
              <w:right w:val="single" w:sz="4" w:space="0" w:color="auto"/>
            </w:tcBorders>
            <w:shd w:val="clear" w:color="000000" w:fill="F2F2F2"/>
            <w:noWrap/>
            <w:vAlign w:val="center"/>
            <w:hideMark/>
          </w:tcPr>
          <w:p w14:paraId="4937D620" w14:textId="2D31DC86" w:rsidR="00AD256D" w:rsidRPr="00E16881" w:rsidRDefault="00AD256D" w:rsidP="00AD256D">
            <w:pPr>
              <w:jc w:val="right"/>
              <w:rPr>
                <w:rFonts w:eastAsia="Times New Roman"/>
                <w:color w:val="C00000"/>
                <w:sz w:val="18"/>
                <w:szCs w:val="18"/>
              </w:rPr>
            </w:pPr>
            <w:r w:rsidRPr="00E16881">
              <w:rPr>
                <w:color w:val="C00000"/>
                <w:sz w:val="18"/>
                <w:szCs w:val="18"/>
              </w:rPr>
              <w:t>0.6%</w:t>
            </w:r>
          </w:p>
        </w:tc>
        <w:tc>
          <w:tcPr>
            <w:tcW w:w="1596" w:type="dxa"/>
            <w:tcBorders>
              <w:top w:val="nil"/>
              <w:left w:val="nil"/>
              <w:bottom w:val="single" w:sz="4" w:space="0" w:color="BFBFBF"/>
              <w:right w:val="single" w:sz="4" w:space="0" w:color="BFBFBF"/>
            </w:tcBorders>
            <w:shd w:val="clear" w:color="000000" w:fill="F2F2F2"/>
            <w:noWrap/>
            <w:vAlign w:val="center"/>
            <w:hideMark/>
          </w:tcPr>
          <w:p w14:paraId="7E1E5899" w14:textId="46A14D26" w:rsidR="00AD256D" w:rsidRPr="00E16881" w:rsidRDefault="00AD256D" w:rsidP="00AD256D">
            <w:pPr>
              <w:jc w:val="right"/>
              <w:rPr>
                <w:rFonts w:eastAsia="Times New Roman"/>
                <w:color w:val="C00000"/>
                <w:sz w:val="18"/>
                <w:szCs w:val="18"/>
              </w:rPr>
            </w:pPr>
            <w:r w:rsidRPr="00E16881">
              <w:rPr>
                <w:color w:val="C00000"/>
                <w:sz w:val="18"/>
                <w:szCs w:val="18"/>
              </w:rPr>
              <w:t>+30%</w:t>
            </w:r>
          </w:p>
        </w:tc>
        <w:tc>
          <w:tcPr>
            <w:tcW w:w="1597" w:type="dxa"/>
            <w:tcBorders>
              <w:top w:val="nil"/>
              <w:left w:val="nil"/>
              <w:bottom w:val="single" w:sz="4" w:space="0" w:color="BFBFBF"/>
              <w:right w:val="single" w:sz="4" w:space="0" w:color="auto"/>
            </w:tcBorders>
            <w:shd w:val="clear" w:color="000000" w:fill="F2F2F2"/>
            <w:noWrap/>
            <w:vAlign w:val="center"/>
            <w:hideMark/>
          </w:tcPr>
          <w:p w14:paraId="6D39D0A7" w14:textId="2C679D9E" w:rsidR="00AD256D" w:rsidRPr="00E16881" w:rsidRDefault="00AD256D" w:rsidP="00AD256D">
            <w:pPr>
              <w:jc w:val="right"/>
              <w:rPr>
                <w:rFonts w:eastAsia="Times New Roman"/>
                <w:color w:val="C00000"/>
                <w:sz w:val="18"/>
                <w:szCs w:val="18"/>
              </w:rPr>
            </w:pPr>
            <w:r w:rsidRPr="00E16881">
              <w:rPr>
                <w:color w:val="C00000"/>
                <w:sz w:val="18"/>
                <w:szCs w:val="18"/>
              </w:rPr>
              <w:t>1.1%</w:t>
            </w:r>
          </w:p>
        </w:tc>
      </w:tr>
      <w:tr w:rsidR="00AD256D" w:rsidRPr="00FE04B8" w14:paraId="574F94A4" w14:textId="77777777" w:rsidTr="00EC0D24">
        <w:trPr>
          <w:trHeight w:val="402"/>
        </w:trPr>
        <w:tc>
          <w:tcPr>
            <w:tcW w:w="2970" w:type="dxa"/>
            <w:tcBorders>
              <w:top w:val="nil"/>
              <w:left w:val="single" w:sz="4" w:space="0" w:color="auto"/>
              <w:bottom w:val="single" w:sz="4" w:space="0" w:color="BFBFBF"/>
              <w:right w:val="single" w:sz="4" w:space="0" w:color="auto"/>
            </w:tcBorders>
            <w:noWrap/>
            <w:vAlign w:val="center"/>
            <w:hideMark/>
          </w:tcPr>
          <w:p w14:paraId="3B589778" w14:textId="62240BC7" w:rsidR="00AD256D" w:rsidRPr="00FE04B8" w:rsidRDefault="00AD256D" w:rsidP="00AD256D">
            <w:pPr>
              <w:rPr>
                <w:rFonts w:eastAsia="Times New Roman"/>
                <w:color w:val="000000"/>
                <w:sz w:val="18"/>
                <w:szCs w:val="18"/>
              </w:rPr>
            </w:pPr>
            <w:r>
              <w:rPr>
                <w:color w:val="000000"/>
                <w:sz w:val="18"/>
                <w:szCs w:val="18"/>
              </w:rPr>
              <w:t>2 bedroom units</w:t>
            </w:r>
          </w:p>
        </w:tc>
        <w:tc>
          <w:tcPr>
            <w:tcW w:w="1596" w:type="dxa"/>
            <w:tcBorders>
              <w:top w:val="nil"/>
              <w:left w:val="nil"/>
              <w:bottom w:val="single" w:sz="4" w:space="0" w:color="BFBFBF"/>
              <w:right w:val="single" w:sz="4" w:space="0" w:color="BFBFBF"/>
            </w:tcBorders>
            <w:noWrap/>
            <w:vAlign w:val="center"/>
            <w:hideMark/>
          </w:tcPr>
          <w:p w14:paraId="50B7B11B" w14:textId="33DE4B77" w:rsidR="00AD256D" w:rsidRPr="00E16881" w:rsidRDefault="00AD256D" w:rsidP="00AD256D">
            <w:pPr>
              <w:jc w:val="right"/>
              <w:rPr>
                <w:rFonts w:eastAsia="Times New Roman"/>
                <w:color w:val="C00000"/>
                <w:sz w:val="18"/>
                <w:szCs w:val="18"/>
              </w:rPr>
            </w:pPr>
            <w:r w:rsidRPr="00E16881">
              <w:rPr>
                <w:color w:val="C00000"/>
                <w:sz w:val="18"/>
                <w:szCs w:val="18"/>
              </w:rPr>
              <w:t>+37%</w:t>
            </w:r>
          </w:p>
        </w:tc>
        <w:tc>
          <w:tcPr>
            <w:tcW w:w="1596" w:type="dxa"/>
            <w:tcBorders>
              <w:top w:val="nil"/>
              <w:left w:val="nil"/>
              <w:bottom w:val="single" w:sz="4" w:space="0" w:color="BFBFBF"/>
              <w:right w:val="single" w:sz="4" w:space="0" w:color="auto"/>
            </w:tcBorders>
            <w:noWrap/>
            <w:vAlign w:val="center"/>
            <w:hideMark/>
          </w:tcPr>
          <w:p w14:paraId="321242D5" w14:textId="4E4243C8" w:rsidR="00AD256D" w:rsidRPr="00E16881" w:rsidRDefault="00AD256D" w:rsidP="00AD256D">
            <w:pPr>
              <w:jc w:val="right"/>
              <w:rPr>
                <w:rFonts w:eastAsia="Times New Roman"/>
                <w:color w:val="C00000"/>
                <w:sz w:val="18"/>
                <w:szCs w:val="18"/>
              </w:rPr>
            </w:pPr>
            <w:r w:rsidRPr="00E16881">
              <w:rPr>
                <w:color w:val="C00000"/>
                <w:sz w:val="18"/>
                <w:szCs w:val="18"/>
              </w:rPr>
              <w:t>1.8%</w:t>
            </w:r>
          </w:p>
        </w:tc>
        <w:tc>
          <w:tcPr>
            <w:tcW w:w="1596" w:type="dxa"/>
            <w:tcBorders>
              <w:top w:val="nil"/>
              <w:left w:val="nil"/>
              <w:bottom w:val="single" w:sz="4" w:space="0" w:color="BFBFBF"/>
              <w:right w:val="single" w:sz="4" w:space="0" w:color="BFBFBF"/>
            </w:tcBorders>
            <w:noWrap/>
            <w:vAlign w:val="center"/>
            <w:hideMark/>
          </w:tcPr>
          <w:p w14:paraId="019AC00C" w14:textId="2EFBC2F3" w:rsidR="00AD256D" w:rsidRPr="00E16881" w:rsidRDefault="00AD256D" w:rsidP="00AD256D">
            <w:pPr>
              <w:jc w:val="right"/>
              <w:rPr>
                <w:rFonts w:eastAsia="Times New Roman"/>
                <w:color w:val="C00000"/>
                <w:sz w:val="18"/>
                <w:szCs w:val="18"/>
              </w:rPr>
            </w:pPr>
            <w:r w:rsidRPr="00E16881">
              <w:rPr>
                <w:color w:val="C00000"/>
                <w:sz w:val="18"/>
                <w:szCs w:val="18"/>
              </w:rPr>
              <w:t>+35%</w:t>
            </w:r>
          </w:p>
        </w:tc>
        <w:tc>
          <w:tcPr>
            <w:tcW w:w="1597" w:type="dxa"/>
            <w:tcBorders>
              <w:top w:val="nil"/>
              <w:left w:val="nil"/>
              <w:bottom w:val="single" w:sz="4" w:space="0" w:color="BFBFBF"/>
              <w:right w:val="single" w:sz="4" w:space="0" w:color="auto"/>
            </w:tcBorders>
            <w:noWrap/>
            <w:vAlign w:val="center"/>
            <w:hideMark/>
          </w:tcPr>
          <w:p w14:paraId="28C63798" w14:textId="48A73C98" w:rsidR="00AD256D" w:rsidRPr="00E16881" w:rsidRDefault="00AD256D" w:rsidP="00AD256D">
            <w:pPr>
              <w:jc w:val="right"/>
              <w:rPr>
                <w:rFonts w:eastAsia="Times New Roman"/>
                <w:color w:val="C00000"/>
                <w:sz w:val="18"/>
                <w:szCs w:val="18"/>
              </w:rPr>
            </w:pPr>
            <w:r w:rsidRPr="00E16881">
              <w:rPr>
                <w:color w:val="C00000"/>
                <w:sz w:val="18"/>
                <w:szCs w:val="18"/>
              </w:rPr>
              <w:t>2.5%</w:t>
            </w:r>
          </w:p>
        </w:tc>
      </w:tr>
      <w:tr w:rsidR="00AD256D" w:rsidRPr="00FE04B8" w14:paraId="3CCBB03E" w14:textId="77777777" w:rsidTr="00EC0D24">
        <w:trPr>
          <w:trHeight w:val="402"/>
        </w:trPr>
        <w:tc>
          <w:tcPr>
            <w:tcW w:w="2970" w:type="dxa"/>
            <w:tcBorders>
              <w:top w:val="nil"/>
              <w:left w:val="single" w:sz="4" w:space="0" w:color="auto"/>
              <w:bottom w:val="single" w:sz="4" w:space="0" w:color="auto"/>
              <w:right w:val="single" w:sz="4" w:space="0" w:color="auto"/>
            </w:tcBorders>
            <w:shd w:val="clear" w:color="000000" w:fill="F2F2F2"/>
            <w:noWrap/>
            <w:vAlign w:val="center"/>
            <w:hideMark/>
          </w:tcPr>
          <w:p w14:paraId="2306356E" w14:textId="05084694" w:rsidR="00AD256D" w:rsidRPr="00FE04B8" w:rsidRDefault="00AD256D" w:rsidP="00AD256D">
            <w:pPr>
              <w:rPr>
                <w:rFonts w:eastAsia="Times New Roman"/>
                <w:color w:val="000000"/>
                <w:sz w:val="18"/>
                <w:szCs w:val="18"/>
              </w:rPr>
            </w:pPr>
            <w:r>
              <w:rPr>
                <w:color w:val="000000"/>
                <w:sz w:val="18"/>
                <w:szCs w:val="18"/>
              </w:rPr>
              <w:t>3+ bedroom units</w:t>
            </w:r>
          </w:p>
        </w:tc>
        <w:tc>
          <w:tcPr>
            <w:tcW w:w="1596" w:type="dxa"/>
            <w:tcBorders>
              <w:top w:val="nil"/>
              <w:left w:val="nil"/>
              <w:bottom w:val="single" w:sz="4" w:space="0" w:color="auto"/>
              <w:right w:val="single" w:sz="4" w:space="0" w:color="BFBFBF"/>
            </w:tcBorders>
            <w:shd w:val="clear" w:color="000000" w:fill="F2F2F2"/>
            <w:noWrap/>
            <w:vAlign w:val="center"/>
            <w:hideMark/>
          </w:tcPr>
          <w:p w14:paraId="403C70A9" w14:textId="6B272848" w:rsidR="00AD256D" w:rsidRPr="00E16881" w:rsidRDefault="00AD256D" w:rsidP="00AD256D">
            <w:pPr>
              <w:jc w:val="right"/>
              <w:rPr>
                <w:rFonts w:eastAsia="Times New Roman"/>
                <w:color w:val="C00000"/>
                <w:sz w:val="18"/>
                <w:szCs w:val="18"/>
              </w:rPr>
            </w:pPr>
            <w:r w:rsidRPr="00E16881">
              <w:rPr>
                <w:color w:val="C00000"/>
                <w:sz w:val="18"/>
                <w:szCs w:val="18"/>
              </w:rPr>
              <w:t>+33%</w:t>
            </w:r>
          </w:p>
        </w:tc>
        <w:tc>
          <w:tcPr>
            <w:tcW w:w="1596" w:type="dxa"/>
            <w:tcBorders>
              <w:top w:val="nil"/>
              <w:left w:val="nil"/>
              <w:bottom w:val="single" w:sz="4" w:space="0" w:color="auto"/>
              <w:right w:val="single" w:sz="4" w:space="0" w:color="auto"/>
            </w:tcBorders>
            <w:shd w:val="clear" w:color="000000" w:fill="F2F2F2"/>
            <w:noWrap/>
            <w:vAlign w:val="center"/>
            <w:hideMark/>
          </w:tcPr>
          <w:p w14:paraId="69BAE9F8" w14:textId="5C04708C" w:rsidR="00AD256D" w:rsidRPr="00E16881" w:rsidRDefault="00AD256D" w:rsidP="00AD256D">
            <w:pPr>
              <w:jc w:val="right"/>
              <w:rPr>
                <w:rFonts w:eastAsia="Times New Roman"/>
                <w:color w:val="C00000"/>
                <w:sz w:val="18"/>
                <w:szCs w:val="18"/>
              </w:rPr>
            </w:pPr>
            <w:r w:rsidRPr="00E16881">
              <w:rPr>
                <w:color w:val="C00000"/>
                <w:sz w:val="18"/>
                <w:szCs w:val="18"/>
              </w:rPr>
              <w:t>0.0%</w:t>
            </w:r>
          </w:p>
        </w:tc>
        <w:tc>
          <w:tcPr>
            <w:tcW w:w="1596" w:type="dxa"/>
            <w:tcBorders>
              <w:top w:val="nil"/>
              <w:left w:val="nil"/>
              <w:bottom w:val="single" w:sz="4" w:space="0" w:color="auto"/>
              <w:right w:val="single" w:sz="4" w:space="0" w:color="BFBFBF"/>
            </w:tcBorders>
            <w:shd w:val="clear" w:color="000000" w:fill="F2F2F2"/>
            <w:noWrap/>
            <w:vAlign w:val="center"/>
            <w:hideMark/>
          </w:tcPr>
          <w:p w14:paraId="42AEC27C" w14:textId="15AA8F72" w:rsidR="00AD256D" w:rsidRPr="00E16881" w:rsidRDefault="00AD256D" w:rsidP="00AD256D">
            <w:pPr>
              <w:jc w:val="right"/>
              <w:rPr>
                <w:rFonts w:eastAsia="Times New Roman"/>
                <w:color w:val="C00000"/>
                <w:sz w:val="18"/>
                <w:szCs w:val="18"/>
              </w:rPr>
            </w:pPr>
            <w:r w:rsidRPr="00E16881">
              <w:rPr>
                <w:color w:val="C00000"/>
                <w:sz w:val="18"/>
                <w:szCs w:val="18"/>
              </w:rPr>
              <w:t>+18%</w:t>
            </w:r>
          </w:p>
        </w:tc>
        <w:tc>
          <w:tcPr>
            <w:tcW w:w="1597" w:type="dxa"/>
            <w:tcBorders>
              <w:top w:val="nil"/>
              <w:left w:val="nil"/>
              <w:bottom w:val="single" w:sz="4" w:space="0" w:color="auto"/>
              <w:right w:val="single" w:sz="4" w:space="0" w:color="auto"/>
            </w:tcBorders>
            <w:shd w:val="clear" w:color="000000" w:fill="F2F2F2"/>
            <w:noWrap/>
            <w:vAlign w:val="center"/>
            <w:hideMark/>
          </w:tcPr>
          <w:p w14:paraId="4567DE65" w14:textId="04529BC8" w:rsidR="00AD256D" w:rsidRPr="00E16881" w:rsidRDefault="00AD256D" w:rsidP="00AD256D">
            <w:pPr>
              <w:jc w:val="right"/>
              <w:rPr>
                <w:rFonts w:eastAsia="Times New Roman"/>
                <w:color w:val="C00000"/>
                <w:sz w:val="18"/>
                <w:szCs w:val="18"/>
              </w:rPr>
            </w:pPr>
            <w:r w:rsidRPr="00E16881">
              <w:rPr>
                <w:color w:val="C00000"/>
                <w:sz w:val="18"/>
                <w:szCs w:val="18"/>
              </w:rPr>
              <w:t>0.6%</w:t>
            </w:r>
          </w:p>
        </w:tc>
      </w:tr>
      <w:tr w:rsidR="00AD256D" w:rsidRPr="00FE04B8" w14:paraId="5C41C3CB" w14:textId="77777777" w:rsidTr="00EC0D24">
        <w:trPr>
          <w:trHeight w:val="402"/>
        </w:trPr>
        <w:tc>
          <w:tcPr>
            <w:tcW w:w="2970" w:type="dxa"/>
            <w:tcBorders>
              <w:top w:val="nil"/>
              <w:left w:val="nil"/>
              <w:bottom w:val="nil"/>
              <w:right w:val="nil"/>
            </w:tcBorders>
            <w:noWrap/>
            <w:vAlign w:val="bottom"/>
            <w:hideMark/>
          </w:tcPr>
          <w:p w14:paraId="6D351569" w14:textId="77777777" w:rsidR="00AD256D" w:rsidRPr="00FE04B8" w:rsidRDefault="00AD256D" w:rsidP="00AD256D">
            <w:pPr>
              <w:jc w:val="right"/>
              <w:rPr>
                <w:rFonts w:eastAsia="Times New Roman"/>
                <w:color w:val="000000"/>
                <w:sz w:val="18"/>
                <w:szCs w:val="18"/>
              </w:rPr>
            </w:pPr>
          </w:p>
        </w:tc>
        <w:tc>
          <w:tcPr>
            <w:tcW w:w="1596" w:type="dxa"/>
            <w:tcBorders>
              <w:top w:val="nil"/>
              <w:left w:val="nil"/>
              <w:bottom w:val="nil"/>
              <w:right w:val="nil"/>
            </w:tcBorders>
            <w:noWrap/>
            <w:vAlign w:val="bottom"/>
            <w:hideMark/>
          </w:tcPr>
          <w:p w14:paraId="288343A6" w14:textId="77777777" w:rsidR="00AD256D" w:rsidRPr="00FE04B8" w:rsidRDefault="00AD256D" w:rsidP="00AD256D">
            <w:pPr>
              <w:rPr>
                <w:rFonts w:ascii="Times New Roman" w:eastAsia="Times New Roman" w:hAnsi="Times New Roman" w:cs="Times New Roman"/>
                <w:sz w:val="20"/>
                <w:szCs w:val="20"/>
              </w:rPr>
            </w:pPr>
          </w:p>
        </w:tc>
        <w:tc>
          <w:tcPr>
            <w:tcW w:w="1596" w:type="dxa"/>
            <w:tcBorders>
              <w:top w:val="nil"/>
              <w:left w:val="nil"/>
              <w:bottom w:val="nil"/>
              <w:right w:val="nil"/>
            </w:tcBorders>
            <w:noWrap/>
            <w:vAlign w:val="bottom"/>
            <w:hideMark/>
          </w:tcPr>
          <w:p w14:paraId="4EC6FD5D" w14:textId="77777777" w:rsidR="00AD256D" w:rsidRPr="00FE04B8" w:rsidRDefault="00AD256D" w:rsidP="00AD256D">
            <w:pPr>
              <w:rPr>
                <w:rFonts w:ascii="Times New Roman" w:eastAsia="Times New Roman" w:hAnsi="Times New Roman" w:cs="Times New Roman"/>
                <w:sz w:val="20"/>
                <w:szCs w:val="20"/>
              </w:rPr>
            </w:pPr>
          </w:p>
        </w:tc>
        <w:tc>
          <w:tcPr>
            <w:tcW w:w="1596" w:type="dxa"/>
            <w:tcBorders>
              <w:top w:val="nil"/>
              <w:left w:val="nil"/>
              <w:bottom w:val="nil"/>
              <w:right w:val="nil"/>
            </w:tcBorders>
            <w:noWrap/>
            <w:vAlign w:val="bottom"/>
            <w:hideMark/>
          </w:tcPr>
          <w:p w14:paraId="42F2AC41" w14:textId="77777777" w:rsidR="00AD256D" w:rsidRPr="00FE04B8" w:rsidRDefault="00AD256D" w:rsidP="00AD256D">
            <w:pPr>
              <w:rPr>
                <w:rFonts w:ascii="Times New Roman" w:eastAsia="Times New Roman" w:hAnsi="Times New Roman" w:cs="Times New Roman"/>
                <w:sz w:val="20"/>
                <w:szCs w:val="20"/>
              </w:rPr>
            </w:pPr>
          </w:p>
        </w:tc>
        <w:tc>
          <w:tcPr>
            <w:tcW w:w="1597" w:type="dxa"/>
            <w:tcBorders>
              <w:top w:val="nil"/>
              <w:left w:val="nil"/>
              <w:bottom w:val="nil"/>
              <w:right w:val="nil"/>
            </w:tcBorders>
            <w:noWrap/>
            <w:vAlign w:val="bottom"/>
            <w:hideMark/>
          </w:tcPr>
          <w:p w14:paraId="72C720C9" w14:textId="77777777" w:rsidR="00AD256D" w:rsidRPr="00FE04B8" w:rsidRDefault="00AD256D" w:rsidP="00AD256D">
            <w:pPr>
              <w:rPr>
                <w:rFonts w:ascii="Times New Roman" w:eastAsia="Times New Roman" w:hAnsi="Times New Roman" w:cs="Times New Roman"/>
                <w:sz w:val="20"/>
                <w:szCs w:val="20"/>
              </w:rPr>
            </w:pPr>
          </w:p>
        </w:tc>
      </w:tr>
      <w:tr w:rsidR="00AD256D" w:rsidRPr="00FE04B8" w14:paraId="322BCE3C" w14:textId="77777777" w:rsidTr="003C59F9">
        <w:trPr>
          <w:trHeight w:val="485"/>
        </w:trPr>
        <w:tc>
          <w:tcPr>
            <w:tcW w:w="297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6201177D" w14:textId="5767A1DF" w:rsidR="00AD256D" w:rsidRPr="00FE04B8" w:rsidRDefault="00AD256D" w:rsidP="00AD256D">
            <w:pPr>
              <w:rPr>
                <w:rFonts w:eastAsia="Times New Roman"/>
                <w:color w:val="FFFFFF"/>
                <w:sz w:val="18"/>
                <w:szCs w:val="18"/>
              </w:rPr>
            </w:pPr>
            <w:r>
              <w:rPr>
                <w:color w:val="FFFFFF"/>
                <w:sz w:val="18"/>
                <w:szCs w:val="18"/>
              </w:rPr>
              <w:t>Income type</w:t>
            </w:r>
          </w:p>
        </w:tc>
        <w:tc>
          <w:tcPr>
            <w:tcW w:w="1596" w:type="dxa"/>
            <w:tcBorders>
              <w:top w:val="single" w:sz="4" w:space="0" w:color="auto"/>
              <w:left w:val="nil"/>
              <w:bottom w:val="single" w:sz="4" w:space="0" w:color="auto"/>
              <w:right w:val="single" w:sz="4" w:space="0" w:color="auto"/>
            </w:tcBorders>
            <w:shd w:val="clear" w:color="auto" w:fill="006B5F" w:themeFill="accent2"/>
            <w:noWrap/>
            <w:vAlign w:val="center"/>
            <w:hideMark/>
          </w:tcPr>
          <w:p w14:paraId="5EEF00F5" w14:textId="1EAFA76F" w:rsidR="00AD256D" w:rsidRPr="00FE04B8" w:rsidRDefault="00AD256D" w:rsidP="00AD256D">
            <w:pPr>
              <w:jc w:val="right"/>
              <w:rPr>
                <w:rFonts w:eastAsia="Times New Roman"/>
                <w:color w:val="FFFFFF"/>
                <w:sz w:val="18"/>
                <w:szCs w:val="18"/>
              </w:rPr>
            </w:pPr>
            <w:r>
              <w:rPr>
                <w:color w:val="FFFFFF"/>
                <w:sz w:val="18"/>
                <w:szCs w:val="18"/>
              </w:rPr>
              <w:t>5-year average change</w:t>
            </w:r>
          </w:p>
        </w:tc>
        <w:tc>
          <w:tcPr>
            <w:tcW w:w="1596" w:type="dxa"/>
            <w:tcBorders>
              <w:top w:val="nil"/>
              <w:left w:val="nil"/>
              <w:bottom w:val="nil"/>
              <w:right w:val="nil"/>
            </w:tcBorders>
            <w:noWrap/>
            <w:vAlign w:val="bottom"/>
            <w:hideMark/>
          </w:tcPr>
          <w:p w14:paraId="12049C16" w14:textId="77777777" w:rsidR="00AD256D" w:rsidRPr="00FE04B8" w:rsidRDefault="00AD256D" w:rsidP="00AD256D">
            <w:pPr>
              <w:jc w:val="right"/>
              <w:rPr>
                <w:rFonts w:eastAsia="Times New Roman"/>
                <w:color w:val="FFFFFF"/>
                <w:sz w:val="18"/>
                <w:szCs w:val="18"/>
              </w:rPr>
            </w:pPr>
          </w:p>
        </w:tc>
        <w:tc>
          <w:tcPr>
            <w:tcW w:w="1596" w:type="dxa"/>
            <w:tcBorders>
              <w:top w:val="nil"/>
              <w:left w:val="nil"/>
              <w:bottom w:val="nil"/>
              <w:right w:val="nil"/>
            </w:tcBorders>
            <w:noWrap/>
            <w:vAlign w:val="bottom"/>
            <w:hideMark/>
          </w:tcPr>
          <w:p w14:paraId="55E4ACBE" w14:textId="77777777" w:rsidR="00AD256D" w:rsidRPr="00FE04B8" w:rsidRDefault="00AD256D" w:rsidP="00AD256D">
            <w:pPr>
              <w:rPr>
                <w:rFonts w:ascii="Times New Roman" w:eastAsia="Times New Roman" w:hAnsi="Times New Roman" w:cs="Times New Roman"/>
                <w:sz w:val="20"/>
                <w:szCs w:val="20"/>
              </w:rPr>
            </w:pPr>
          </w:p>
        </w:tc>
        <w:tc>
          <w:tcPr>
            <w:tcW w:w="1597" w:type="dxa"/>
            <w:tcBorders>
              <w:top w:val="nil"/>
              <w:left w:val="nil"/>
              <w:bottom w:val="nil"/>
              <w:right w:val="nil"/>
            </w:tcBorders>
            <w:noWrap/>
            <w:vAlign w:val="bottom"/>
            <w:hideMark/>
          </w:tcPr>
          <w:p w14:paraId="40C3CA11" w14:textId="77777777" w:rsidR="00AD256D" w:rsidRPr="00FE04B8" w:rsidRDefault="00AD256D" w:rsidP="00AD256D">
            <w:pPr>
              <w:rPr>
                <w:rFonts w:ascii="Times New Roman" w:eastAsia="Times New Roman" w:hAnsi="Times New Roman" w:cs="Times New Roman"/>
                <w:sz w:val="20"/>
                <w:szCs w:val="20"/>
              </w:rPr>
            </w:pPr>
          </w:p>
        </w:tc>
      </w:tr>
      <w:tr w:rsidR="00AD256D" w:rsidRPr="00FE04B8" w14:paraId="266B1D75" w14:textId="77777777" w:rsidTr="00EC0D24">
        <w:trPr>
          <w:trHeight w:val="402"/>
        </w:trPr>
        <w:tc>
          <w:tcPr>
            <w:tcW w:w="2970" w:type="dxa"/>
            <w:tcBorders>
              <w:top w:val="single" w:sz="4" w:space="0" w:color="BFBFBF"/>
              <w:left w:val="single" w:sz="4" w:space="0" w:color="auto"/>
              <w:bottom w:val="single" w:sz="4" w:space="0" w:color="BFBFBF"/>
              <w:right w:val="nil"/>
            </w:tcBorders>
            <w:noWrap/>
            <w:vAlign w:val="center"/>
            <w:hideMark/>
          </w:tcPr>
          <w:p w14:paraId="5593A864" w14:textId="2F3083F0" w:rsidR="00AD256D" w:rsidRPr="00FE04B8" w:rsidRDefault="00AD256D" w:rsidP="00AD256D">
            <w:pPr>
              <w:rPr>
                <w:rFonts w:eastAsia="Times New Roman"/>
                <w:color w:val="000000"/>
                <w:sz w:val="18"/>
                <w:szCs w:val="18"/>
              </w:rPr>
            </w:pPr>
            <w:r>
              <w:rPr>
                <w:color w:val="000000"/>
                <w:sz w:val="18"/>
                <w:szCs w:val="18"/>
              </w:rPr>
              <w:t>Province-wide salaries</w:t>
            </w:r>
          </w:p>
        </w:tc>
        <w:tc>
          <w:tcPr>
            <w:tcW w:w="1596" w:type="dxa"/>
            <w:tcBorders>
              <w:top w:val="single" w:sz="4" w:space="0" w:color="BFBFBF"/>
              <w:left w:val="single" w:sz="4" w:space="0" w:color="auto"/>
              <w:bottom w:val="single" w:sz="4" w:space="0" w:color="BFBFBF"/>
              <w:right w:val="single" w:sz="4" w:space="0" w:color="auto"/>
            </w:tcBorders>
            <w:noWrap/>
            <w:vAlign w:val="center"/>
            <w:hideMark/>
          </w:tcPr>
          <w:p w14:paraId="1CAFE0F1" w14:textId="54A67156" w:rsidR="00AD256D" w:rsidRPr="00E16881" w:rsidRDefault="00AD256D" w:rsidP="00AD256D">
            <w:pPr>
              <w:jc w:val="right"/>
              <w:rPr>
                <w:rFonts w:eastAsia="Times New Roman"/>
                <w:color w:val="C00000"/>
                <w:sz w:val="18"/>
                <w:szCs w:val="18"/>
              </w:rPr>
            </w:pPr>
            <w:r w:rsidRPr="00E16881">
              <w:rPr>
                <w:color w:val="C00000"/>
                <w:sz w:val="18"/>
                <w:szCs w:val="18"/>
              </w:rPr>
              <w:t>+22%</w:t>
            </w:r>
          </w:p>
        </w:tc>
        <w:tc>
          <w:tcPr>
            <w:tcW w:w="1596" w:type="dxa"/>
            <w:tcBorders>
              <w:top w:val="nil"/>
              <w:left w:val="nil"/>
              <w:bottom w:val="nil"/>
              <w:right w:val="nil"/>
            </w:tcBorders>
            <w:noWrap/>
            <w:vAlign w:val="bottom"/>
            <w:hideMark/>
          </w:tcPr>
          <w:p w14:paraId="22554483" w14:textId="77777777" w:rsidR="00AD256D" w:rsidRPr="00FE04B8" w:rsidRDefault="00AD256D" w:rsidP="00AD256D">
            <w:pPr>
              <w:jc w:val="right"/>
              <w:rPr>
                <w:rFonts w:eastAsia="Times New Roman"/>
                <w:color w:val="000000"/>
                <w:sz w:val="18"/>
                <w:szCs w:val="18"/>
              </w:rPr>
            </w:pPr>
          </w:p>
        </w:tc>
        <w:tc>
          <w:tcPr>
            <w:tcW w:w="1596" w:type="dxa"/>
            <w:tcBorders>
              <w:top w:val="nil"/>
              <w:left w:val="nil"/>
              <w:bottom w:val="nil"/>
              <w:right w:val="nil"/>
            </w:tcBorders>
            <w:noWrap/>
            <w:vAlign w:val="bottom"/>
            <w:hideMark/>
          </w:tcPr>
          <w:p w14:paraId="3C320997" w14:textId="77777777" w:rsidR="00AD256D" w:rsidRPr="00FE04B8" w:rsidRDefault="00AD256D" w:rsidP="00AD256D">
            <w:pPr>
              <w:rPr>
                <w:rFonts w:ascii="Times New Roman" w:eastAsia="Times New Roman" w:hAnsi="Times New Roman" w:cs="Times New Roman"/>
                <w:sz w:val="20"/>
                <w:szCs w:val="20"/>
              </w:rPr>
            </w:pPr>
          </w:p>
        </w:tc>
        <w:tc>
          <w:tcPr>
            <w:tcW w:w="1597" w:type="dxa"/>
            <w:tcBorders>
              <w:top w:val="nil"/>
              <w:left w:val="nil"/>
              <w:bottom w:val="nil"/>
              <w:right w:val="nil"/>
            </w:tcBorders>
            <w:noWrap/>
            <w:vAlign w:val="bottom"/>
            <w:hideMark/>
          </w:tcPr>
          <w:p w14:paraId="66A6C1F1" w14:textId="77777777" w:rsidR="00AD256D" w:rsidRPr="00FE04B8" w:rsidRDefault="00AD256D" w:rsidP="00AD256D">
            <w:pPr>
              <w:rPr>
                <w:rFonts w:ascii="Times New Roman" w:eastAsia="Times New Roman" w:hAnsi="Times New Roman" w:cs="Times New Roman"/>
                <w:sz w:val="20"/>
                <w:szCs w:val="20"/>
              </w:rPr>
            </w:pPr>
          </w:p>
        </w:tc>
      </w:tr>
      <w:tr w:rsidR="00AD256D" w:rsidRPr="00FE04B8" w14:paraId="6834B91B" w14:textId="77777777" w:rsidTr="00EC0D24">
        <w:trPr>
          <w:trHeight w:val="402"/>
        </w:trPr>
        <w:tc>
          <w:tcPr>
            <w:tcW w:w="2970" w:type="dxa"/>
            <w:tcBorders>
              <w:top w:val="nil"/>
              <w:left w:val="single" w:sz="4" w:space="0" w:color="auto"/>
              <w:bottom w:val="single" w:sz="4" w:space="0" w:color="auto"/>
              <w:right w:val="nil"/>
            </w:tcBorders>
            <w:shd w:val="clear" w:color="000000" w:fill="F2F2F2"/>
            <w:noWrap/>
            <w:vAlign w:val="center"/>
            <w:hideMark/>
          </w:tcPr>
          <w:p w14:paraId="7655E259" w14:textId="6DE0CA4C" w:rsidR="00AD256D" w:rsidRPr="00FE04B8" w:rsidRDefault="00AD256D" w:rsidP="00AD256D">
            <w:pPr>
              <w:rPr>
                <w:rFonts w:eastAsia="Times New Roman"/>
                <w:color w:val="000000"/>
                <w:sz w:val="18"/>
                <w:szCs w:val="18"/>
              </w:rPr>
            </w:pPr>
            <w:r>
              <w:rPr>
                <w:color w:val="000000"/>
                <w:sz w:val="18"/>
                <w:szCs w:val="18"/>
              </w:rPr>
              <w:t>Province-wide wages</w:t>
            </w:r>
          </w:p>
        </w:tc>
        <w:tc>
          <w:tcPr>
            <w:tcW w:w="1596" w:type="dxa"/>
            <w:tcBorders>
              <w:top w:val="nil"/>
              <w:left w:val="single" w:sz="4" w:space="0" w:color="auto"/>
              <w:bottom w:val="single" w:sz="4" w:space="0" w:color="auto"/>
              <w:right w:val="single" w:sz="4" w:space="0" w:color="auto"/>
            </w:tcBorders>
            <w:shd w:val="clear" w:color="000000" w:fill="F2F2F2"/>
            <w:noWrap/>
            <w:vAlign w:val="center"/>
            <w:hideMark/>
          </w:tcPr>
          <w:p w14:paraId="57D97029" w14:textId="7FA2ED9A" w:rsidR="00AD256D" w:rsidRPr="00E16881" w:rsidRDefault="00AD256D" w:rsidP="00AD256D">
            <w:pPr>
              <w:jc w:val="right"/>
              <w:rPr>
                <w:rFonts w:eastAsia="Times New Roman"/>
                <w:color w:val="C00000"/>
                <w:sz w:val="18"/>
                <w:szCs w:val="18"/>
              </w:rPr>
            </w:pPr>
            <w:r w:rsidRPr="00E16881">
              <w:rPr>
                <w:color w:val="C00000"/>
                <w:sz w:val="18"/>
                <w:szCs w:val="18"/>
              </w:rPr>
              <w:t>+26%</w:t>
            </w:r>
          </w:p>
        </w:tc>
        <w:tc>
          <w:tcPr>
            <w:tcW w:w="1596" w:type="dxa"/>
            <w:tcBorders>
              <w:top w:val="nil"/>
              <w:left w:val="nil"/>
              <w:bottom w:val="nil"/>
              <w:right w:val="nil"/>
            </w:tcBorders>
            <w:noWrap/>
            <w:vAlign w:val="bottom"/>
            <w:hideMark/>
          </w:tcPr>
          <w:p w14:paraId="4BB0AA3D" w14:textId="77777777" w:rsidR="00AD256D" w:rsidRPr="00FE04B8" w:rsidRDefault="00AD256D" w:rsidP="00AD256D">
            <w:pPr>
              <w:jc w:val="right"/>
              <w:rPr>
                <w:rFonts w:eastAsia="Times New Roman"/>
                <w:color w:val="000000"/>
                <w:sz w:val="18"/>
                <w:szCs w:val="18"/>
              </w:rPr>
            </w:pPr>
          </w:p>
        </w:tc>
        <w:tc>
          <w:tcPr>
            <w:tcW w:w="1596" w:type="dxa"/>
            <w:tcBorders>
              <w:top w:val="nil"/>
              <w:left w:val="nil"/>
              <w:bottom w:val="nil"/>
              <w:right w:val="nil"/>
            </w:tcBorders>
            <w:noWrap/>
            <w:vAlign w:val="bottom"/>
            <w:hideMark/>
          </w:tcPr>
          <w:p w14:paraId="537FBBBA" w14:textId="77777777" w:rsidR="00AD256D" w:rsidRPr="00FE04B8" w:rsidRDefault="00AD256D" w:rsidP="00AD256D">
            <w:pPr>
              <w:rPr>
                <w:rFonts w:ascii="Times New Roman" w:eastAsia="Times New Roman" w:hAnsi="Times New Roman" w:cs="Times New Roman"/>
                <w:sz w:val="20"/>
                <w:szCs w:val="20"/>
              </w:rPr>
            </w:pPr>
          </w:p>
        </w:tc>
        <w:tc>
          <w:tcPr>
            <w:tcW w:w="1597" w:type="dxa"/>
            <w:tcBorders>
              <w:top w:val="nil"/>
              <w:left w:val="nil"/>
              <w:bottom w:val="nil"/>
              <w:right w:val="nil"/>
            </w:tcBorders>
            <w:noWrap/>
            <w:vAlign w:val="bottom"/>
            <w:hideMark/>
          </w:tcPr>
          <w:p w14:paraId="6651B90B" w14:textId="77777777" w:rsidR="00AD256D" w:rsidRPr="00FE04B8" w:rsidRDefault="00AD256D" w:rsidP="00AD256D">
            <w:pPr>
              <w:rPr>
                <w:rFonts w:ascii="Times New Roman" w:eastAsia="Times New Roman" w:hAnsi="Times New Roman" w:cs="Times New Roman"/>
                <w:sz w:val="20"/>
                <w:szCs w:val="20"/>
              </w:rPr>
            </w:pPr>
          </w:p>
        </w:tc>
      </w:tr>
    </w:tbl>
    <w:p w14:paraId="18DFE730" w14:textId="3F7D5BE1" w:rsidR="00213878" w:rsidRPr="00354CBD" w:rsidRDefault="000F6F5A" w:rsidP="004B707E">
      <w:pPr>
        <w:pStyle w:val="Source"/>
      </w:pPr>
      <w:r w:rsidRPr="00354CBD">
        <w:t xml:space="preserve">Source: </w:t>
      </w:r>
      <w:r w:rsidR="004B707E" w:rsidRPr="00354CBD">
        <w:t>CMHC Rental Market Survey</w:t>
      </w:r>
      <w:r w:rsidR="00EC0D24">
        <w:t xml:space="preserve"> and Statistics Canada Table </w:t>
      </w:r>
      <w:r w:rsidR="00EC0D24" w:rsidRPr="00EC0D24">
        <w:t>14-10-0204</w:t>
      </w:r>
    </w:p>
    <w:p w14:paraId="7A7CCF71" w14:textId="77777777" w:rsidR="001279EE" w:rsidRDefault="001279EE" w:rsidP="001279EE"/>
    <w:p w14:paraId="5D330482" w14:textId="28D53397" w:rsidR="00F447B2" w:rsidRDefault="00F447B2" w:rsidP="00F447B2">
      <w:pPr>
        <w:jc w:val="both"/>
      </w:pPr>
      <w:r>
        <w:t xml:space="preserve">A vacancy rate below 3% is widely recognized as indicative of a rental market under stress. At this threshold, renters have limited choice, landlords have little incentive to maintain or improve units, and households facing eviction or a search for new accommodation are exposed to </w:t>
      </w:r>
      <w:r>
        <w:lastRenderedPageBreak/>
        <w:t xml:space="preserve">considerable risk. Vacancy rates at or near zero for specific unit sizes signal an inaccessible market </w:t>
      </w:r>
      <w:r w:rsidR="005422B4">
        <w:t xml:space="preserve">for </w:t>
      </w:r>
      <w:r>
        <w:t>that category, with consequences concentrated among the households most dependent on that size type.</w:t>
      </w:r>
    </w:p>
    <w:p w14:paraId="4D10CAC3" w14:textId="77777777" w:rsidR="00F447B2" w:rsidRDefault="00F447B2" w:rsidP="00F447B2">
      <w:pPr>
        <w:jc w:val="both"/>
      </w:pPr>
    </w:p>
    <w:p w14:paraId="474F1FC7" w14:textId="3C05346D" w:rsidR="003A10DB" w:rsidRDefault="00F447B2" w:rsidP="00F447B2">
      <w:pPr>
        <w:jc w:val="both"/>
      </w:pPr>
      <w:r w:rsidRPr="00BE17AB">
        <w:t>Rent increases that substantially outpace general inflation or provincial wage growth represent a compounding affordability problem: each year of above-income rent growth widens the gap between what existing renters pay and what new renters must pay, and erodes</w:t>
      </w:r>
      <w:r>
        <w:t xml:space="preserve"> the purchasing power of lower-income households seeking to enter or remain in the rental market. Where both rent growth and low vacancy are concentrated in the same unit sizes</w:t>
      </w:r>
      <w:r w:rsidR="004300C3">
        <w:t xml:space="preserve"> (</w:t>
      </w:r>
      <w:r>
        <w:t>particularly</w:t>
      </w:r>
      <w:r w:rsidR="004300C3">
        <w:t>,</w:t>
      </w:r>
      <w:r>
        <w:t xml:space="preserve"> one- and two-bedroom units</w:t>
      </w:r>
      <w:r w:rsidR="004300C3">
        <w:t>)</w:t>
      </w:r>
      <w:r w:rsidR="007E6EDE">
        <w:t>,</w:t>
      </w:r>
      <w:r>
        <w:t xml:space="preserve"> the combined pressure signals the segment of the market under greatest stress.</w:t>
      </w:r>
    </w:p>
    <w:p w14:paraId="7ADBC6F5" w14:textId="77777777" w:rsidR="00F447B2" w:rsidRPr="001279EE" w:rsidRDefault="00F447B2" w:rsidP="00F447B2"/>
    <w:p w14:paraId="3BC9D021" w14:textId="46D4E214" w:rsidR="00986A13" w:rsidRPr="00972110" w:rsidRDefault="00986A13" w:rsidP="00966186">
      <w:pPr>
        <w:pStyle w:val="Heading3"/>
      </w:pPr>
      <w:r w:rsidRPr="00972110">
        <w:t>Short-term Rentals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00000"/>
        <w:tblLook w:val="04A0" w:firstRow="1" w:lastRow="0" w:firstColumn="1" w:lastColumn="0" w:noHBand="0" w:noVBand="1"/>
      </w:tblPr>
      <w:tblGrid>
        <w:gridCol w:w="9350"/>
      </w:tblGrid>
      <w:tr w:rsidR="00F344AE" w14:paraId="3F51800D" w14:textId="77777777" w:rsidTr="006E6F3B">
        <w:trPr>
          <w:trHeight w:val="1178"/>
        </w:trPr>
        <w:tc>
          <w:tcPr>
            <w:tcW w:w="9350" w:type="dxa"/>
            <w:shd w:val="clear" w:color="auto" w:fill="C00000"/>
            <w:vAlign w:val="center"/>
          </w:tcPr>
          <w:p w14:paraId="0C94B0DB" w14:textId="026F3984" w:rsidR="00F344AE" w:rsidRDefault="00F344AE" w:rsidP="009A4107">
            <w:pPr>
              <w:jc w:val="center"/>
            </w:pPr>
            <w:r>
              <w:t xml:space="preserve">Short-term rental data is only available for Prince Edward Island as the pilot geography. </w:t>
            </w:r>
            <w:r w:rsidR="006C5B75">
              <w:t>This section</w:t>
            </w:r>
            <w:r>
              <w:t xml:space="preserve"> should be completed by the user, as a national dataset is not available for broad production. Users can update or amend this section </w:t>
            </w:r>
            <w:r w:rsidR="00674AE7">
              <w:t>as</w:t>
            </w:r>
            <w:r>
              <w:t xml:space="preserve"> appropriate for the content available.</w:t>
            </w:r>
          </w:p>
        </w:tc>
      </w:tr>
    </w:tbl>
    <w:p w14:paraId="34AA38EE" w14:textId="77777777" w:rsidR="00F344AE" w:rsidRDefault="00F344AE" w:rsidP="00F344AE">
      <w:pPr>
        <w:jc w:val="both"/>
      </w:pPr>
    </w:p>
    <w:p w14:paraId="45596962" w14:textId="48A5F775" w:rsidR="001D11EC" w:rsidRDefault="001D11EC" w:rsidP="001D11EC">
      <w:pPr>
        <w:jc w:val="both"/>
      </w:pPr>
      <w:r>
        <w:t xml:space="preserve">This section examines the extent and character of the short-term rental market in the community. Short-term rentals have emerged as an increasingly influential </w:t>
      </w:r>
      <w:r w:rsidR="001A5781">
        <w:t xml:space="preserve">alternative </w:t>
      </w:r>
      <w:r>
        <w:t>form of housing across Canada, from resort towns to urban centres.</w:t>
      </w:r>
    </w:p>
    <w:p w14:paraId="2311E117" w14:textId="77777777" w:rsidR="001D11EC" w:rsidRDefault="001D11EC" w:rsidP="001D11EC">
      <w:pPr>
        <w:jc w:val="both"/>
      </w:pPr>
    </w:p>
    <w:p w14:paraId="1DC0F5F9" w14:textId="122CB99C" w:rsidR="00E45BF6" w:rsidRDefault="001D11EC" w:rsidP="001D11EC">
      <w:pPr>
        <w:jc w:val="both"/>
      </w:pPr>
      <w:r>
        <w:t>In communities heavily dependent on tourism, the dynamic between long- and short-term rentals is particularly pronounced, creating competition between residents' housing needs and short-term economic gain for property owners. Quantifying the scale of short-term rental activity is increasingly recognized as an important component of a housing needs assessment, especially in jurisdictions considering short-term rental licensing or restriction policies.</w:t>
      </w:r>
    </w:p>
    <w:p w14:paraId="662760AD" w14:textId="77777777" w:rsidR="001D11EC" w:rsidRDefault="001D11EC" w:rsidP="001D11EC"/>
    <w:p w14:paraId="7EE0CF68" w14:textId="5778D05D" w:rsidR="00726435" w:rsidRDefault="004C3E21" w:rsidP="000E5765">
      <w:pPr>
        <w:jc w:val="both"/>
      </w:pPr>
      <w:r w:rsidRPr="000E5765">
        <w:rPr>
          <w:rStyle w:val="Figure-textChar"/>
        </w:rPr>
        <w:fldChar w:fldCharType="begin"/>
      </w:r>
      <w:r w:rsidRPr="000E5765">
        <w:rPr>
          <w:rStyle w:val="Figure-textChar"/>
        </w:rPr>
        <w:instrText xml:space="preserve"> REF _Ref223542193 \h </w:instrText>
      </w:r>
      <w:r w:rsidR="000E5765">
        <w:rPr>
          <w:rStyle w:val="Figure-textChar"/>
        </w:rPr>
        <w:instrText xml:space="preserve"> \* MERGEFORMAT </w:instrText>
      </w:r>
      <w:r w:rsidRPr="000E5765">
        <w:rPr>
          <w:rStyle w:val="Figure-textChar"/>
        </w:rPr>
      </w:r>
      <w:r w:rsidRPr="000E5765">
        <w:rPr>
          <w:rStyle w:val="Figure-textChar"/>
        </w:rPr>
        <w:fldChar w:fldCharType="separate"/>
      </w:r>
      <w:r w:rsidR="00CA6116" w:rsidRPr="00CA6116">
        <w:rPr>
          <w:rStyle w:val="Figure-textChar"/>
        </w:rPr>
        <w:t>Table 6.6</w:t>
      </w:r>
      <w:r w:rsidRPr="000E5765">
        <w:rPr>
          <w:rStyle w:val="Figure-textChar"/>
        </w:rPr>
        <w:fldChar w:fldCharType="end"/>
      </w:r>
      <w:r>
        <w:t xml:space="preserve"> </w:t>
      </w:r>
      <w:r w:rsidR="001D11EC" w:rsidRPr="001D11EC">
        <w:t>quantifies the current scale of short-term rental activity in the community alongside the estimated number of potential long-term dwellings that could re-enter the long-term rental market under different regulatory or market conditions, situating the local short-term rental market within its regional and provincial context.</w:t>
      </w:r>
    </w:p>
    <w:p w14:paraId="752B9985" w14:textId="77777777" w:rsidR="001E2BF9" w:rsidRDefault="001E2BF9" w:rsidP="003B3585"/>
    <w:p w14:paraId="2D9467ED" w14:textId="4CE3F965" w:rsidR="00EE16A3" w:rsidRDefault="00EE16A3" w:rsidP="00EE16A3">
      <w:pPr>
        <w:pStyle w:val="Caption"/>
      </w:pPr>
      <w:bookmarkStart w:id="50" w:name="_Ref223542193"/>
      <w:r>
        <w:t xml:space="preserve">Table </w:t>
      </w:r>
      <w:fldSimple w:instr=" STYLEREF 1 \s ">
        <w:r w:rsidR="005E459C">
          <w:rPr>
            <w:noProof/>
          </w:rPr>
          <w:t>6</w:t>
        </w:r>
      </w:fldSimple>
      <w:r w:rsidR="00BD4359">
        <w:t>.</w:t>
      </w:r>
      <w:fldSimple w:instr=" SEQ Table \* ARABIC \s 1 ">
        <w:r w:rsidR="005E459C">
          <w:rPr>
            <w:noProof/>
          </w:rPr>
          <w:t>6</w:t>
        </w:r>
      </w:fldSimple>
      <w:bookmarkEnd w:id="50"/>
      <w:r>
        <w:t>: Short-term rental (STR) and potential long-term dwellings (PLTDs) by geography</w:t>
      </w:r>
    </w:p>
    <w:tbl>
      <w:tblPr>
        <w:tblW w:w="9355" w:type="dxa"/>
        <w:tblLayout w:type="fixed"/>
        <w:tblLook w:val="04A0" w:firstRow="1" w:lastRow="0" w:firstColumn="1" w:lastColumn="0" w:noHBand="0" w:noVBand="1"/>
      </w:tblPr>
      <w:tblGrid>
        <w:gridCol w:w="2494"/>
        <w:gridCol w:w="1143"/>
        <w:gridCol w:w="1144"/>
        <w:gridCol w:w="1143"/>
        <w:gridCol w:w="1144"/>
        <w:gridCol w:w="1143"/>
        <w:gridCol w:w="1144"/>
      </w:tblGrid>
      <w:tr w:rsidR="001D5203" w:rsidRPr="001D5203" w14:paraId="3C38D349" w14:textId="77777777" w:rsidTr="003C59F9">
        <w:trPr>
          <w:trHeight w:val="402"/>
        </w:trPr>
        <w:tc>
          <w:tcPr>
            <w:tcW w:w="2494" w:type="dxa"/>
            <w:tcBorders>
              <w:top w:val="nil"/>
              <w:left w:val="nil"/>
              <w:bottom w:val="nil"/>
              <w:right w:val="nil"/>
            </w:tcBorders>
            <w:noWrap/>
            <w:vAlign w:val="bottom"/>
            <w:hideMark/>
          </w:tcPr>
          <w:p w14:paraId="4D4212BA" w14:textId="77777777" w:rsidR="001D5203" w:rsidRPr="001D5203" w:rsidRDefault="001D5203" w:rsidP="001D5203">
            <w:pPr>
              <w:rPr>
                <w:rFonts w:ascii="Times New Roman" w:eastAsia="Times New Roman" w:hAnsi="Times New Roman" w:cs="Times New Roman"/>
                <w:sz w:val="24"/>
                <w:szCs w:val="24"/>
              </w:rPr>
            </w:pPr>
          </w:p>
        </w:tc>
        <w:tc>
          <w:tcPr>
            <w:tcW w:w="2287"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7AD53D0A" w14:textId="77777777" w:rsidR="001D5203" w:rsidRPr="001D5203" w:rsidRDefault="001D5203" w:rsidP="001D5203">
            <w:pPr>
              <w:jc w:val="center"/>
              <w:rPr>
                <w:rFonts w:eastAsia="Times New Roman"/>
                <w:color w:val="FFFFFF"/>
                <w:sz w:val="18"/>
                <w:szCs w:val="18"/>
              </w:rPr>
            </w:pPr>
            <w:r w:rsidRPr="001D5203">
              <w:rPr>
                <w:rFonts w:eastAsia="Times New Roman"/>
                <w:color w:val="FFFFFF"/>
                <w:sz w:val="18"/>
                <w:szCs w:val="18"/>
              </w:rPr>
              <w:t>Local</w:t>
            </w:r>
          </w:p>
        </w:tc>
        <w:tc>
          <w:tcPr>
            <w:tcW w:w="2287"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61938FCF" w14:textId="77777777" w:rsidR="001D5203" w:rsidRPr="001D5203" w:rsidRDefault="001D5203" w:rsidP="001D5203">
            <w:pPr>
              <w:jc w:val="center"/>
              <w:rPr>
                <w:rFonts w:eastAsia="Times New Roman"/>
                <w:color w:val="FFFFFF"/>
                <w:sz w:val="18"/>
                <w:szCs w:val="18"/>
              </w:rPr>
            </w:pPr>
            <w:r w:rsidRPr="001D5203">
              <w:rPr>
                <w:rFonts w:eastAsia="Times New Roman"/>
                <w:color w:val="FFFFFF"/>
                <w:sz w:val="18"/>
                <w:szCs w:val="18"/>
              </w:rPr>
              <w:t>Region</w:t>
            </w:r>
          </w:p>
        </w:tc>
        <w:tc>
          <w:tcPr>
            <w:tcW w:w="2287"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7500D6AE" w14:textId="77777777" w:rsidR="001D5203" w:rsidRPr="001D5203" w:rsidRDefault="001D5203" w:rsidP="001D5203">
            <w:pPr>
              <w:jc w:val="center"/>
              <w:rPr>
                <w:rFonts w:eastAsia="Times New Roman"/>
                <w:color w:val="FFFFFF"/>
                <w:sz w:val="18"/>
                <w:szCs w:val="18"/>
              </w:rPr>
            </w:pPr>
            <w:r w:rsidRPr="001D5203">
              <w:rPr>
                <w:rFonts w:eastAsia="Times New Roman"/>
                <w:color w:val="FFFFFF"/>
                <w:sz w:val="18"/>
                <w:szCs w:val="18"/>
              </w:rPr>
              <w:t>Province</w:t>
            </w:r>
          </w:p>
        </w:tc>
      </w:tr>
      <w:tr w:rsidR="001D5203" w:rsidRPr="001D5203" w14:paraId="5430DED9" w14:textId="77777777" w:rsidTr="003C59F9">
        <w:trPr>
          <w:trHeight w:val="402"/>
        </w:trPr>
        <w:tc>
          <w:tcPr>
            <w:tcW w:w="2494"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6B0E7DF2" w14:textId="77777777" w:rsidR="001D5203" w:rsidRPr="001D5203" w:rsidRDefault="001D5203" w:rsidP="001D5203">
            <w:pPr>
              <w:rPr>
                <w:rFonts w:eastAsia="Times New Roman"/>
                <w:color w:val="FFFFFF"/>
                <w:sz w:val="18"/>
                <w:szCs w:val="18"/>
              </w:rPr>
            </w:pPr>
            <w:r w:rsidRPr="001D5203">
              <w:rPr>
                <w:rFonts w:eastAsia="Times New Roman"/>
                <w:color w:val="FFFFFF"/>
                <w:sz w:val="18"/>
                <w:szCs w:val="18"/>
              </w:rPr>
              <w:t>Variables</w:t>
            </w:r>
          </w:p>
        </w:tc>
        <w:tc>
          <w:tcPr>
            <w:tcW w:w="1143" w:type="dxa"/>
            <w:tcBorders>
              <w:top w:val="nil"/>
              <w:left w:val="nil"/>
              <w:bottom w:val="single" w:sz="4" w:space="0" w:color="auto"/>
              <w:right w:val="single" w:sz="4" w:space="0" w:color="BFBFBF"/>
            </w:tcBorders>
            <w:shd w:val="clear" w:color="auto" w:fill="CFD9E3" w:themeFill="accent1"/>
            <w:noWrap/>
            <w:vAlign w:val="center"/>
            <w:hideMark/>
          </w:tcPr>
          <w:p w14:paraId="2602925E" w14:textId="77777777" w:rsidR="001D5203" w:rsidRPr="001D5203" w:rsidRDefault="001D5203" w:rsidP="001D5203">
            <w:pPr>
              <w:jc w:val="right"/>
              <w:rPr>
                <w:rFonts w:eastAsia="Times New Roman"/>
                <w:color w:val="000000"/>
                <w:sz w:val="18"/>
                <w:szCs w:val="18"/>
              </w:rPr>
            </w:pPr>
            <w:r w:rsidRPr="001D5203">
              <w:rPr>
                <w:rFonts w:eastAsia="Times New Roman"/>
                <w:color w:val="000000"/>
                <w:sz w:val="18"/>
                <w:szCs w:val="18"/>
              </w:rPr>
              <w:t>STR</w:t>
            </w:r>
          </w:p>
        </w:tc>
        <w:tc>
          <w:tcPr>
            <w:tcW w:w="1144" w:type="dxa"/>
            <w:tcBorders>
              <w:top w:val="nil"/>
              <w:left w:val="nil"/>
              <w:bottom w:val="single" w:sz="4" w:space="0" w:color="auto"/>
              <w:right w:val="single" w:sz="4" w:space="0" w:color="auto"/>
            </w:tcBorders>
            <w:shd w:val="clear" w:color="auto" w:fill="CFD9E3" w:themeFill="accent1"/>
            <w:noWrap/>
            <w:vAlign w:val="center"/>
            <w:hideMark/>
          </w:tcPr>
          <w:p w14:paraId="4BB5F7E4" w14:textId="77777777" w:rsidR="001D5203" w:rsidRPr="001D5203" w:rsidRDefault="001D5203" w:rsidP="001D5203">
            <w:pPr>
              <w:jc w:val="right"/>
              <w:rPr>
                <w:rFonts w:eastAsia="Times New Roman"/>
                <w:color w:val="000000"/>
                <w:sz w:val="18"/>
                <w:szCs w:val="18"/>
              </w:rPr>
            </w:pPr>
            <w:r w:rsidRPr="001D5203">
              <w:rPr>
                <w:rFonts w:eastAsia="Times New Roman"/>
                <w:color w:val="000000"/>
                <w:sz w:val="18"/>
                <w:szCs w:val="18"/>
              </w:rPr>
              <w:t>PLTD</w:t>
            </w:r>
          </w:p>
        </w:tc>
        <w:tc>
          <w:tcPr>
            <w:tcW w:w="1143" w:type="dxa"/>
            <w:tcBorders>
              <w:top w:val="nil"/>
              <w:left w:val="nil"/>
              <w:bottom w:val="single" w:sz="4" w:space="0" w:color="auto"/>
              <w:right w:val="single" w:sz="4" w:space="0" w:color="BFBFBF"/>
            </w:tcBorders>
            <w:shd w:val="clear" w:color="auto" w:fill="CFD9E3" w:themeFill="accent1"/>
            <w:noWrap/>
            <w:vAlign w:val="center"/>
            <w:hideMark/>
          </w:tcPr>
          <w:p w14:paraId="1EF3B435" w14:textId="77777777" w:rsidR="001D5203" w:rsidRPr="001D5203" w:rsidRDefault="001D5203" w:rsidP="001D5203">
            <w:pPr>
              <w:jc w:val="right"/>
              <w:rPr>
                <w:rFonts w:eastAsia="Times New Roman"/>
                <w:color w:val="000000"/>
                <w:sz w:val="18"/>
                <w:szCs w:val="18"/>
              </w:rPr>
            </w:pPr>
            <w:r w:rsidRPr="001D5203">
              <w:rPr>
                <w:rFonts w:eastAsia="Times New Roman"/>
                <w:color w:val="000000"/>
                <w:sz w:val="18"/>
                <w:szCs w:val="18"/>
              </w:rPr>
              <w:t>STR</w:t>
            </w:r>
          </w:p>
        </w:tc>
        <w:tc>
          <w:tcPr>
            <w:tcW w:w="1144" w:type="dxa"/>
            <w:tcBorders>
              <w:top w:val="nil"/>
              <w:left w:val="nil"/>
              <w:bottom w:val="single" w:sz="4" w:space="0" w:color="auto"/>
              <w:right w:val="single" w:sz="4" w:space="0" w:color="auto"/>
            </w:tcBorders>
            <w:shd w:val="clear" w:color="auto" w:fill="CFD9E3" w:themeFill="accent1"/>
            <w:noWrap/>
            <w:vAlign w:val="center"/>
            <w:hideMark/>
          </w:tcPr>
          <w:p w14:paraId="06550895" w14:textId="77777777" w:rsidR="001D5203" w:rsidRPr="001D5203" w:rsidRDefault="001D5203" w:rsidP="001D5203">
            <w:pPr>
              <w:jc w:val="right"/>
              <w:rPr>
                <w:rFonts w:eastAsia="Times New Roman"/>
                <w:color w:val="000000"/>
                <w:sz w:val="18"/>
                <w:szCs w:val="18"/>
              </w:rPr>
            </w:pPr>
            <w:r w:rsidRPr="001D5203">
              <w:rPr>
                <w:rFonts w:eastAsia="Times New Roman"/>
                <w:color w:val="000000"/>
                <w:sz w:val="18"/>
                <w:szCs w:val="18"/>
              </w:rPr>
              <w:t>PLTD</w:t>
            </w:r>
          </w:p>
        </w:tc>
        <w:tc>
          <w:tcPr>
            <w:tcW w:w="1143" w:type="dxa"/>
            <w:tcBorders>
              <w:top w:val="nil"/>
              <w:left w:val="nil"/>
              <w:bottom w:val="single" w:sz="4" w:space="0" w:color="auto"/>
              <w:right w:val="single" w:sz="4" w:space="0" w:color="BFBFBF"/>
            </w:tcBorders>
            <w:shd w:val="clear" w:color="auto" w:fill="CFD9E3" w:themeFill="accent1"/>
            <w:noWrap/>
            <w:vAlign w:val="center"/>
            <w:hideMark/>
          </w:tcPr>
          <w:p w14:paraId="0736FFDE" w14:textId="77777777" w:rsidR="001D5203" w:rsidRPr="001D5203" w:rsidRDefault="001D5203" w:rsidP="001D5203">
            <w:pPr>
              <w:jc w:val="right"/>
              <w:rPr>
                <w:rFonts w:eastAsia="Times New Roman"/>
                <w:color w:val="000000"/>
                <w:sz w:val="18"/>
                <w:szCs w:val="18"/>
              </w:rPr>
            </w:pPr>
            <w:r w:rsidRPr="001D5203">
              <w:rPr>
                <w:rFonts w:eastAsia="Times New Roman"/>
                <w:color w:val="000000"/>
                <w:sz w:val="18"/>
                <w:szCs w:val="18"/>
              </w:rPr>
              <w:t>STR</w:t>
            </w:r>
          </w:p>
        </w:tc>
        <w:tc>
          <w:tcPr>
            <w:tcW w:w="1144" w:type="dxa"/>
            <w:tcBorders>
              <w:top w:val="nil"/>
              <w:left w:val="nil"/>
              <w:bottom w:val="single" w:sz="4" w:space="0" w:color="auto"/>
              <w:right w:val="single" w:sz="4" w:space="0" w:color="auto"/>
            </w:tcBorders>
            <w:shd w:val="clear" w:color="auto" w:fill="CFD9E3" w:themeFill="accent1"/>
            <w:noWrap/>
            <w:vAlign w:val="center"/>
            <w:hideMark/>
          </w:tcPr>
          <w:p w14:paraId="6402A2EA" w14:textId="77777777" w:rsidR="001D5203" w:rsidRPr="001D5203" w:rsidRDefault="001D5203" w:rsidP="001D5203">
            <w:pPr>
              <w:jc w:val="right"/>
              <w:rPr>
                <w:rFonts w:eastAsia="Times New Roman"/>
                <w:color w:val="000000"/>
                <w:sz w:val="18"/>
                <w:szCs w:val="18"/>
              </w:rPr>
            </w:pPr>
            <w:r w:rsidRPr="001D5203">
              <w:rPr>
                <w:rFonts w:eastAsia="Times New Roman"/>
                <w:color w:val="000000"/>
                <w:sz w:val="18"/>
                <w:szCs w:val="18"/>
              </w:rPr>
              <w:t>PLTD</w:t>
            </w:r>
          </w:p>
        </w:tc>
      </w:tr>
      <w:tr w:rsidR="001D5203" w:rsidRPr="001D5203" w14:paraId="49C2C526" w14:textId="77777777" w:rsidTr="001D5203">
        <w:trPr>
          <w:trHeight w:val="402"/>
        </w:trPr>
        <w:tc>
          <w:tcPr>
            <w:tcW w:w="2494" w:type="dxa"/>
            <w:tcBorders>
              <w:top w:val="nil"/>
              <w:left w:val="single" w:sz="4" w:space="0" w:color="auto"/>
              <w:bottom w:val="single" w:sz="4" w:space="0" w:color="BFBFBF"/>
              <w:right w:val="single" w:sz="4" w:space="0" w:color="auto"/>
            </w:tcBorders>
            <w:shd w:val="clear" w:color="000000" w:fill="F2F2F2"/>
            <w:noWrap/>
            <w:vAlign w:val="center"/>
            <w:hideMark/>
          </w:tcPr>
          <w:p w14:paraId="71E1FDA0" w14:textId="179946C3" w:rsidR="001D5203" w:rsidRPr="001D5203" w:rsidRDefault="001D5203" w:rsidP="001D5203">
            <w:pPr>
              <w:rPr>
                <w:rFonts w:eastAsia="Times New Roman"/>
                <w:color w:val="000000"/>
                <w:sz w:val="18"/>
                <w:szCs w:val="18"/>
              </w:rPr>
            </w:pPr>
            <w:r w:rsidRPr="001D5203">
              <w:rPr>
                <w:rFonts w:eastAsia="Times New Roman"/>
                <w:color w:val="000000"/>
                <w:sz w:val="18"/>
                <w:szCs w:val="18"/>
              </w:rPr>
              <w:t>2025 totals</w:t>
            </w:r>
            <w:r w:rsidR="00174492">
              <w:rPr>
                <w:rFonts w:eastAsia="Times New Roman"/>
                <w:color w:val="000000"/>
                <w:sz w:val="18"/>
                <w:szCs w:val="18"/>
              </w:rPr>
              <w:t>*</w:t>
            </w:r>
          </w:p>
        </w:tc>
        <w:tc>
          <w:tcPr>
            <w:tcW w:w="1143" w:type="dxa"/>
            <w:tcBorders>
              <w:top w:val="nil"/>
              <w:left w:val="nil"/>
              <w:bottom w:val="single" w:sz="4" w:space="0" w:color="BFBFBF"/>
              <w:right w:val="single" w:sz="4" w:space="0" w:color="BFBFBF"/>
            </w:tcBorders>
            <w:shd w:val="clear" w:color="000000" w:fill="F2F2F2"/>
            <w:noWrap/>
            <w:vAlign w:val="center"/>
            <w:hideMark/>
          </w:tcPr>
          <w:p w14:paraId="05CBD851"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560</w:t>
            </w:r>
          </w:p>
        </w:tc>
        <w:tc>
          <w:tcPr>
            <w:tcW w:w="1144" w:type="dxa"/>
            <w:tcBorders>
              <w:top w:val="nil"/>
              <w:left w:val="nil"/>
              <w:bottom w:val="single" w:sz="4" w:space="0" w:color="BFBFBF"/>
              <w:right w:val="single" w:sz="4" w:space="0" w:color="auto"/>
            </w:tcBorders>
            <w:shd w:val="clear" w:color="000000" w:fill="F2F2F2"/>
            <w:noWrap/>
            <w:vAlign w:val="center"/>
            <w:hideMark/>
          </w:tcPr>
          <w:p w14:paraId="78365232"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318</w:t>
            </w:r>
          </w:p>
        </w:tc>
        <w:tc>
          <w:tcPr>
            <w:tcW w:w="1143" w:type="dxa"/>
            <w:tcBorders>
              <w:top w:val="nil"/>
              <w:left w:val="nil"/>
              <w:bottom w:val="single" w:sz="4" w:space="0" w:color="BFBFBF"/>
              <w:right w:val="single" w:sz="4" w:space="0" w:color="BFBFBF"/>
            </w:tcBorders>
            <w:shd w:val="clear" w:color="000000" w:fill="F2F2F2"/>
            <w:noWrap/>
            <w:vAlign w:val="center"/>
            <w:hideMark/>
          </w:tcPr>
          <w:p w14:paraId="56FC3FE6"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2,435</w:t>
            </w:r>
          </w:p>
        </w:tc>
        <w:tc>
          <w:tcPr>
            <w:tcW w:w="1144" w:type="dxa"/>
            <w:tcBorders>
              <w:top w:val="nil"/>
              <w:left w:val="nil"/>
              <w:bottom w:val="single" w:sz="4" w:space="0" w:color="BFBFBF"/>
              <w:right w:val="single" w:sz="4" w:space="0" w:color="auto"/>
            </w:tcBorders>
            <w:shd w:val="clear" w:color="000000" w:fill="F2F2F2"/>
            <w:noWrap/>
            <w:vAlign w:val="center"/>
            <w:hideMark/>
          </w:tcPr>
          <w:p w14:paraId="262C3E96"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939</w:t>
            </w:r>
          </w:p>
        </w:tc>
        <w:tc>
          <w:tcPr>
            <w:tcW w:w="1143" w:type="dxa"/>
            <w:tcBorders>
              <w:top w:val="nil"/>
              <w:left w:val="nil"/>
              <w:bottom w:val="single" w:sz="4" w:space="0" w:color="BFBFBF"/>
              <w:right w:val="single" w:sz="4" w:space="0" w:color="BFBFBF"/>
            </w:tcBorders>
            <w:shd w:val="clear" w:color="000000" w:fill="F2F2F2"/>
            <w:noWrap/>
            <w:vAlign w:val="center"/>
            <w:hideMark/>
          </w:tcPr>
          <w:p w14:paraId="0A69C6C7"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3,770</w:t>
            </w:r>
          </w:p>
        </w:tc>
        <w:tc>
          <w:tcPr>
            <w:tcW w:w="1144" w:type="dxa"/>
            <w:tcBorders>
              <w:top w:val="nil"/>
              <w:left w:val="nil"/>
              <w:bottom w:val="single" w:sz="4" w:space="0" w:color="BFBFBF"/>
              <w:right w:val="single" w:sz="4" w:space="0" w:color="auto"/>
            </w:tcBorders>
            <w:shd w:val="clear" w:color="000000" w:fill="F2F2F2"/>
            <w:noWrap/>
            <w:vAlign w:val="center"/>
            <w:hideMark/>
          </w:tcPr>
          <w:p w14:paraId="16FB824F"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1,409</w:t>
            </w:r>
          </w:p>
        </w:tc>
      </w:tr>
      <w:tr w:rsidR="001D5203" w:rsidRPr="001D5203" w14:paraId="0A6AC81A" w14:textId="77777777" w:rsidTr="001D5203">
        <w:trPr>
          <w:trHeight w:val="402"/>
        </w:trPr>
        <w:tc>
          <w:tcPr>
            <w:tcW w:w="2494" w:type="dxa"/>
            <w:tcBorders>
              <w:top w:val="nil"/>
              <w:left w:val="single" w:sz="4" w:space="0" w:color="auto"/>
              <w:bottom w:val="single" w:sz="4" w:space="0" w:color="BFBFBF"/>
              <w:right w:val="nil"/>
            </w:tcBorders>
            <w:shd w:val="clear" w:color="000000" w:fill="FFFFFF"/>
            <w:noWrap/>
            <w:vAlign w:val="center"/>
            <w:hideMark/>
          </w:tcPr>
          <w:p w14:paraId="50122256" w14:textId="77777777" w:rsidR="001D5203" w:rsidRPr="001D5203" w:rsidRDefault="001D5203" w:rsidP="001D5203">
            <w:pPr>
              <w:rPr>
                <w:rFonts w:eastAsia="Times New Roman"/>
                <w:color w:val="0D0D0D"/>
                <w:sz w:val="18"/>
                <w:szCs w:val="18"/>
              </w:rPr>
            </w:pPr>
            <w:r w:rsidRPr="001D5203">
              <w:rPr>
                <w:rFonts w:eastAsia="Times New Roman"/>
                <w:color w:val="0D0D0D"/>
                <w:sz w:val="18"/>
                <w:szCs w:val="18"/>
              </w:rPr>
              <w:t>Share of total dwellings</w:t>
            </w:r>
          </w:p>
        </w:tc>
        <w:tc>
          <w:tcPr>
            <w:tcW w:w="1143" w:type="dxa"/>
            <w:tcBorders>
              <w:top w:val="nil"/>
              <w:left w:val="single" w:sz="4" w:space="0" w:color="auto"/>
              <w:bottom w:val="single" w:sz="4" w:space="0" w:color="BFBFBF"/>
              <w:right w:val="single" w:sz="4" w:space="0" w:color="BFBFBF"/>
            </w:tcBorders>
            <w:shd w:val="clear" w:color="000000" w:fill="FFFFFF"/>
            <w:noWrap/>
            <w:vAlign w:val="center"/>
            <w:hideMark/>
          </w:tcPr>
          <w:p w14:paraId="62BC2DC8"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3%</w:t>
            </w:r>
          </w:p>
        </w:tc>
        <w:tc>
          <w:tcPr>
            <w:tcW w:w="1144" w:type="dxa"/>
            <w:tcBorders>
              <w:top w:val="nil"/>
              <w:left w:val="nil"/>
              <w:bottom w:val="single" w:sz="4" w:space="0" w:color="BFBFBF"/>
              <w:right w:val="single" w:sz="4" w:space="0" w:color="auto"/>
            </w:tcBorders>
            <w:shd w:val="clear" w:color="000000" w:fill="FFFFFF"/>
            <w:noWrap/>
            <w:vAlign w:val="center"/>
            <w:hideMark/>
          </w:tcPr>
          <w:p w14:paraId="68354B1D"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2%</w:t>
            </w:r>
          </w:p>
        </w:tc>
        <w:tc>
          <w:tcPr>
            <w:tcW w:w="1143" w:type="dxa"/>
            <w:tcBorders>
              <w:top w:val="nil"/>
              <w:left w:val="nil"/>
              <w:bottom w:val="single" w:sz="4" w:space="0" w:color="BFBFBF"/>
              <w:right w:val="single" w:sz="4" w:space="0" w:color="BFBFBF"/>
            </w:tcBorders>
            <w:shd w:val="clear" w:color="000000" w:fill="FFFFFF"/>
            <w:noWrap/>
            <w:vAlign w:val="center"/>
            <w:hideMark/>
          </w:tcPr>
          <w:p w14:paraId="5F8F823B"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6%</w:t>
            </w:r>
          </w:p>
        </w:tc>
        <w:tc>
          <w:tcPr>
            <w:tcW w:w="1144" w:type="dxa"/>
            <w:tcBorders>
              <w:top w:val="nil"/>
              <w:left w:val="nil"/>
              <w:bottom w:val="single" w:sz="4" w:space="0" w:color="BFBFBF"/>
              <w:right w:val="single" w:sz="4" w:space="0" w:color="auto"/>
            </w:tcBorders>
            <w:shd w:val="clear" w:color="000000" w:fill="FFFFFF"/>
            <w:noWrap/>
            <w:vAlign w:val="center"/>
            <w:hideMark/>
          </w:tcPr>
          <w:p w14:paraId="1F840473"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2%</w:t>
            </w:r>
          </w:p>
        </w:tc>
        <w:tc>
          <w:tcPr>
            <w:tcW w:w="1143" w:type="dxa"/>
            <w:tcBorders>
              <w:top w:val="nil"/>
              <w:left w:val="nil"/>
              <w:bottom w:val="single" w:sz="4" w:space="0" w:color="BFBFBF"/>
              <w:right w:val="single" w:sz="4" w:space="0" w:color="BFBFBF"/>
            </w:tcBorders>
            <w:shd w:val="clear" w:color="000000" w:fill="FFFFFF"/>
            <w:noWrap/>
            <w:vAlign w:val="center"/>
            <w:hideMark/>
          </w:tcPr>
          <w:p w14:paraId="26AB82A6"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5%</w:t>
            </w:r>
          </w:p>
        </w:tc>
        <w:tc>
          <w:tcPr>
            <w:tcW w:w="1144" w:type="dxa"/>
            <w:tcBorders>
              <w:top w:val="nil"/>
              <w:left w:val="nil"/>
              <w:bottom w:val="single" w:sz="4" w:space="0" w:color="BFBFBF"/>
              <w:right w:val="single" w:sz="4" w:space="0" w:color="auto"/>
            </w:tcBorders>
            <w:shd w:val="clear" w:color="000000" w:fill="FFFFFF"/>
            <w:noWrap/>
            <w:vAlign w:val="center"/>
            <w:hideMark/>
          </w:tcPr>
          <w:p w14:paraId="1CBFF01A"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2%</w:t>
            </w:r>
          </w:p>
        </w:tc>
      </w:tr>
      <w:tr w:rsidR="001D5203" w:rsidRPr="001D5203" w14:paraId="7A3AD95D" w14:textId="77777777" w:rsidTr="001D5203">
        <w:trPr>
          <w:trHeight w:val="402"/>
        </w:trPr>
        <w:tc>
          <w:tcPr>
            <w:tcW w:w="2494" w:type="dxa"/>
            <w:tcBorders>
              <w:top w:val="nil"/>
              <w:left w:val="single" w:sz="4" w:space="0" w:color="auto"/>
              <w:bottom w:val="single" w:sz="4" w:space="0" w:color="auto"/>
              <w:right w:val="single" w:sz="4" w:space="0" w:color="auto"/>
            </w:tcBorders>
            <w:shd w:val="clear" w:color="000000" w:fill="F2F2F2"/>
            <w:noWrap/>
            <w:vAlign w:val="center"/>
            <w:hideMark/>
          </w:tcPr>
          <w:p w14:paraId="3D8B38D4" w14:textId="6E3C5A50" w:rsidR="001D5203" w:rsidRPr="001D5203" w:rsidRDefault="001D5203" w:rsidP="001D5203">
            <w:pPr>
              <w:rPr>
                <w:rFonts w:eastAsia="Times New Roman"/>
                <w:color w:val="000000"/>
                <w:sz w:val="18"/>
                <w:szCs w:val="18"/>
              </w:rPr>
            </w:pPr>
            <w:r w:rsidRPr="001D5203">
              <w:rPr>
                <w:rFonts w:eastAsia="Times New Roman"/>
                <w:color w:val="000000"/>
                <w:sz w:val="18"/>
                <w:szCs w:val="18"/>
              </w:rPr>
              <w:t>Change since 2019*</w:t>
            </w:r>
            <w:r w:rsidR="00174492">
              <w:rPr>
                <w:rFonts w:eastAsia="Times New Roman"/>
                <w:color w:val="000000"/>
                <w:sz w:val="18"/>
                <w:szCs w:val="18"/>
              </w:rPr>
              <w:t>*</w:t>
            </w:r>
          </w:p>
        </w:tc>
        <w:tc>
          <w:tcPr>
            <w:tcW w:w="1143" w:type="dxa"/>
            <w:tcBorders>
              <w:top w:val="nil"/>
              <w:left w:val="nil"/>
              <w:bottom w:val="single" w:sz="4" w:space="0" w:color="auto"/>
              <w:right w:val="single" w:sz="4" w:space="0" w:color="BFBFBF"/>
            </w:tcBorders>
            <w:shd w:val="clear" w:color="000000" w:fill="F2F2F2"/>
            <w:noWrap/>
            <w:vAlign w:val="center"/>
            <w:hideMark/>
          </w:tcPr>
          <w:p w14:paraId="210FFD60"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-31%</w:t>
            </w:r>
          </w:p>
        </w:tc>
        <w:tc>
          <w:tcPr>
            <w:tcW w:w="1144" w:type="dxa"/>
            <w:tcBorders>
              <w:top w:val="nil"/>
              <w:left w:val="nil"/>
              <w:bottom w:val="single" w:sz="4" w:space="0" w:color="auto"/>
              <w:right w:val="single" w:sz="4" w:space="0" w:color="auto"/>
            </w:tcBorders>
            <w:shd w:val="clear" w:color="000000" w:fill="F2F2F2"/>
            <w:noWrap/>
            <w:vAlign w:val="center"/>
            <w:hideMark/>
          </w:tcPr>
          <w:p w14:paraId="7D7815FA"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-24%</w:t>
            </w:r>
          </w:p>
        </w:tc>
        <w:tc>
          <w:tcPr>
            <w:tcW w:w="1143" w:type="dxa"/>
            <w:tcBorders>
              <w:top w:val="nil"/>
              <w:left w:val="nil"/>
              <w:bottom w:val="single" w:sz="4" w:space="0" w:color="auto"/>
              <w:right w:val="single" w:sz="4" w:space="0" w:color="BFBFBF"/>
            </w:tcBorders>
            <w:shd w:val="clear" w:color="000000" w:fill="F2F2F2"/>
            <w:noWrap/>
            <w:vAlign w:val="center"/>
            <w:hideMark/>
          </w:tcPr>
          <w:p w14:paraId="02F00A51"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-11%</w:t>
            </w:r>
          </w:p>
        </w:tc>
        <w:tc>
          <w:tcPr>
            <w:tcW w:w="1144" w:type="dxa"/>
            <w:tcBorders>
              <w:top w:val="nil"/>
              <w:left w:val="nil"/>
              <w:bottom w:val="single" w:sz="4" w:space="0" w:color="auto"/>
              <w:right w:val="single" w:sz="4" w:space="0" w:color="auto"/>
            </w:tcBorders>
            <w:shd w:val="clear" w:color="000000" w:fill="F2F2F2"/>
            <w:noWrap/>
            <w:vAlign w:val="center"/>
            <w:hideMark/>
          </w:tcPr>
          <w:p w14:paraId="4DC86785"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+7%</w:t>
            </w:r>
          </w:p>
        </w:tc>
        <w:tc>
          <w:tcPr>
            <w:tcW w:w="1143" w:type="dxa"/>
            <w:tcBorders>
              <w:top w:val="nil"/>
              <w:left w:val="nil"/>
              <w:bottom w:val="single" w:sz="4" w:space="0" w:color="auto"/>
              <w:right w:val="single" w:sz="4" w:space="0" w:color="BFBFBF"/>
            </w:tcBorders>
            <w:shd w:val="clear" w:color="000000" w:fill="F2F2F2"/>
            <w:noWrap/>
            <w:vAlign w:val="center"/>
            <w:hideMark/>
          </w:tcPr>
          <w:p w14:paraId="1C382599"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-5%</w:t>
            </w:r>
          </w:p>
        </w:tc>
        <w:tc>
          <w:tcPr>
            <w:tcW w:w="1144" w:type="dxa"/>
            <w:tcBorders>
              <w:top w:val="nil"/>
              <w:left w:val="nil"/>
              <w:bottom w:val="single" w:sz="4" w:space="0" w:color="auto"/>
              <w:right w:val="single" w:sz="4" w:space="0" w:color="auto"/>
            </w:tcBorders>
            <w:shd w:val="clear" w:color="000000" w:fill="F2F2F2"/>
            <w:noWrap/>
            <w:vAlign w:val="center"/>
            <w:hideMark/>
          </w:tcPr>
          <w:p w14:paraId="3107259E" w14:textId="77777777" w:rsidR="001D5203" w:rsidRPr="00E16881" w:rsidRDefault="001D5203" w:rsidP="001D5203">
            <w:pPr>
              <w:jc w:val="right"/>
              <w:rPr>
                <w:rFonts w:eastAsia="Times New Roman"/>
                <w:color w:val="C00000"/>
                <w:sz w:val="18"/>
                <w:szCs w:val="18"/>
              </w:rPr>
            </w:pPr>
            <w:r w:rsidRPr="00E16881">
              <w:rPr>
                <w:rFonts w:eastAsia="Times New Roman"/>
                <w:color w:val="C00000"/>
                <w:sz w:val="18"/>
                <w:szCs w:val="18"/>
              </w:rPr>
              <w:t>+18%</w:t>
            </w:r>
          </w:p>
        </w:tc>
      </w:tr>
    </w:tbl>
    <w:p w14:paraId="60B306EC" w14:textId="21999202" w:rsidR="00174492" w:rsidRDefault="00174492" w:rsidP="002C3C41">
      <w:pPr>
        <w:pStyle w:val="Source"/>
      </w:pPr>
      <w:r>
        <w:t xml:space="preserve">* </w:t>
      </w:r>
      <w:proofErr w:type="gramStart"/>
      <w:r w:rsidR="00BC165A">
        <w:t>totals</w:t>
      </w:r>
      <w:proofErr w:type="gramEnd"/>
      <w:r w:rsidR="00BC165A">
        <w:t xml:space="preserve"> reflect all unique properties over the course of the calendar year, regardless of how long they operated in said year</w:t>
      </w:r>
    </w:p>
    <w:p w14:paraId="58B3020E" w14:textId="6954439F" w:rsidR="00B63185" w:rsidRDefault="00B63185" w:rsidP="00BC165A">
      <w:pPr>
        <w:pStyle w:val="Source"/>
        <w:spacing w:before="0"/>
      </w:pPr>
      <w:r>
        <w:t>*</w:t>
      </w:r>
      <w:r w:rsidR="00174492">
        <w:t>*</w:t>
      </w:r>
      <w:r>
        <w:t xml:space="preserve"> 2019 used instead of 2020 to mark pre-pandemic levels</w:t>
      </w:r>
    </w:p>
    <w:p w14:paraId="0953A1A8" w14:textId="30A0C8E1" w:rsidR="00972D04" w:rsidRDefault="002C3C41" w:rsidP="00BC165A">
      <w:pPr>
        <w:pStyle w:val="Source"/>
        <w:spacing w:before="0"/>
      </w:pPr>
      <w:r>
        <w:t xml:space="preserve">Source: derived from </w:t>
      </w:r>
      <w:proofErr w:type="spellStart"/>
      <w:r>
        <w:t>AirDNA</w:t>
      </w:r>
      <w:proofErr w:type="spellEnd"/>
      <w:r>
        <w:t>© Property Performance Data</w:t>
      </w:r>
      <w:r w:rsidR="00D71B7D">
        <w:t xml:space="preserve"> </w:t>
      </w:r>
      <w:r w:rsidR="00B71252">
        <w:rPr>
          <w:rStyle w:val="FootnoteReference"/>
        </w:rPr>
        <w:footnoteReference w:id="2"/>
      </w:r>
      <w:r w:rsidR="00D009C8">
        <w:t xml:space="preserve"> and adapted Statistics Canada methodology </w:t>
      </w:r>
      <w:r w:rsidR="006712FF">
        <w:rPr>
          <w:rStyle w:val="FootnoteReference"/>
        </w:rPr>
        <w:footnoteReference w:id="3"/>
      </w:r>
    </w:p>
    <w:p w14:paraId="49411806" w14:textId="77777777" w:rsidR="00972D04" w:rsidRDefault="00972D04" w:rsidP="003B3585"/>
    <w:p w14:paraId="26772702" w14:textId="2EB90CD8" w:rsidR="003C49D5" w:rsidRDefault="003C49D5" w:rsidP="003C49D5">
      <w:pPr>
        <w:jc w:val="both"/>
      </w:pPr>
      <w:r>
        <w:t>The absolute number of short-term rental units matters most when read relative to total rental supply</w:t>
      </w:r>
      <w:r w:rsidR="007104EC">
        <w:t>. I</w:t>
      </w:r>
      <w:r>
        <w:t xml:space="preserve">n a large urban centre, several hundred short-term rental units may represent a marginal share of the rental market, while in a smaller community the same number can represent a meaningful withdrawal of units from the long-term pool. Communities where short-term rental counts are large relative to total rental units, and where rental vacancy is </w:t>
      </w:r>
      <w:r w:rsidR="00DF5791">
        <w:t>also</w:t>
      </w:r>
      <w:r>
        <w:t xml:space="preserve"> low, may face a more impactful relationship between short-term rental activity and rental affordability conditions.</w:t>
      </w:r>
    </w:p>
    <w:p w14:paraId="5D5A5D34" w14:textId="77777777" w:rsidR="003C49D5" w:rsidRDefault="003C49D5" w:rsidP="003C49D5">
      <w:pPr>
        <w:jc w:val="both"/>
      </w:pPr>
    </w:p>
    <w:p w14:paraId="44204B1F" w14:textId="2E013C43" w:rsidR="003C49D5" w:rsidRDefault="003C49D5" w:rsidP="003C49D5">
      <w:pPr>
        <w:jc w:val="both"/>
      </w:pPr>
      <w:r>
        <w:t>The potential long-term dwellings figure represents units operated as short-term rentals that could plausibly function as long-term housing. This is not guaranteed; the extent to which potential long-term dwellings would actually convert to long-term use depends on regulatory intervention, platform policy changes, and owner willingness. Nevertheless, it provides a useful upper-bound estimate of the long-term supply that current short-term rental activity may be displacing.</w:t>
      </w:r>
    </w:p>
    <w:p w14:paraId="5B705632" w14:textId="77777777" w:rsidR="003C49D5" w:rsidRDefault="003C49D5" w:rsidP="003C49D5">
      <w:pPr>
        <w:jc w:val="both"/>
      </w:pPr>
    </w:p>
    <w:p w14:paraId="3D732496" w14:textId="037E7F07" w:rsidR="007B7623" w:rsidRDefault="003C49D5" w:rsidP="003C49D5">
      <w:pPr>
        <w:jc w:val="both"/>
      </w:pPr>
      <w:r>
        <w:t>Changes in both short-term rental counts and potential long-term dwelling estimates over time are often more informative than a point-in-time snapshot. A declining short-term rental count alongside a growing potential long-term dwelling estimate, or vice versa, may reflect broader regulatory changes, shifts in tourism demand, or post-pandemic normalization of travel patterns. Where local trends diverge meaningfully from regional or provincial directions, community-specific factors such as the presence of a major tourism asset are likely at work.</w:t>
      </w:r>
    </w:p>
    <w:p w14:paraId="478D6350" w14:textId="77777777" w:rsidR="007F4DC2" w:rsidRPr="00284D4B" w:rsidRDefault="007F4DC2" w:rsidP="007F4DC2"/>
    <w:p w14:paraId="30ADEC5E" w14:textId="63A18C39" w:rsidR="0029138E" w:rsidRDefault="0029138E" w:rsidP="0029138E">
      <w:pPr>
        <w:pStyle w:val="Heading2"/>
      </w:pPr>
      <w:bookmarkStart w:id="51" w:name="_Toc223686645"/>
      <w:bookmarkStart w:id="52" w:name="_Toc237355943"/>
      <w:r w:rsidRPr="00284D4B">
        <w:t>HOMEOWNERSHIP MARKET</w:t>
      </w:r>
      <w:bookmarkEnd w:id="51"/>
      <w:bookmarkEnd w:id="52"/>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00000"/>
        <w:tblLook w:val="04A0" w:firstRow="1" w:lastRow="0" w:firstColumn="1" w:lastColumn="0" w:noHBand="0" w:noVBand="1"/>
      </w:tblPr>
      <w:tblGrid>
        <w:gridCol w:w="9350"/>
      </w:tblGrid>
      <w:tr w:rsidR="00AB0760" w14:paraId="7ED41635" w14:textId="77777777" w:rsidTr="006E6F3B">
        <w:trPr>
          <w:trHeight w:val="1052"/>
        </w:trPr>
        <w:tc>
          <w:tcPr>
            <w:tcW w:w="9350" w:type="dxa"/>
            <w:shd w:val="clear" w:color="auto" w:fill="C00000"/>
            <w:vAlign w:val="center"/>
          </w:tcPr>
          <w:p w14:paraId="4879AC4E" w14:textId="0ABA8F0F" w:rsidR="00AB0760" w:rsidRDefault="00AB0760" w:rsidP="009A4107">
            <w:pPr>
              <w:jc w:val="center"/>
            </w:pPr>
            <w:r>
              <w:t xml:space="preserve">Home sales data </w:t>
            </w:r>
            <w:r w:rsidR="006E6F3B">
              <w:t>is only available for Prince Edward Island as the pilot geography. This section should be completed by the user, as a national dataset is not available for broad production. Users can update or amend this section as appropriate for the content available.</w:t>
            </w:r>
          </w:p>
        </w:tc>
      </w:tr>
    </w:tbl>
    <w:p w14:paraId="2964E258" w14:textId="77777777" w:rsidR="00AB0760" w:rsidRDefault="00AB0760" w:rsidP="00AB0760">
      <w:pPr>
        <w:jc w:val="both"/>
      </w:pPr>
    </w:p>
    <w:p w14:paraId="2ECE6117" w14:textId="3C1EEFE9" w:rsidR="00DE2792" w:rsidRDefault="00C45EFE" w:rsidP="00DE2792">
      <w:pPr>
        <w:jc w:val="both"/>
      </w:pPr>
      <w:r w:rsidRPr="00284D4B">
        <w:rPr>
          <w:rStyle w:val="Figure-textChar"/>
        </w:rPr>
        <w:fldChar w:fldCharType="begin"/>
      </w:r>
      <w:r w:rsidRPr="00284D4B">
        <w:rPr>
          <w:rStyle w:val="Figure-textChar"/>
        </w:rPr>
        <w:instrText xml:space="preserve"> REF _Ref223542446 \h </w:instrText>
      </w:r>
      <w:r w:rsidR="000E5765" w:rsidRPr="00284D4B">
        <w:rPr>
          <w:rStyle w:val="Figure-textChar"/>
        </w:rPr>
        <w:instrText xml:space="preserve"> \* MERGEFORMAT </w:instrText>
      </w:r>
      <w:r w:rsidRPr="00284D4B">
        <w:rPr>
          <w:rStyle w:val="Figure-textChar"/>
        </w:rPr>
      </w:r>
      <w:r w:rsidRPr="00284D4B">
        <w:rPr>
          <w:rStyle w:val="Figure-textChar"/>
        </w:rPr>
        <w:fldChar w:fldCharType="separate"/>
      </w:r>
      <w:r w:rsidR="00CA6116" w:rsidRPr="00CA6116">
        <w:rPr>
          <w:rStyle w:val="Figure-textChar"/>
        </w:rPr>
        <w:t>Table 6.7</w:t>
      </w:r>
      <w:r w:rsidRPr="00284D4B">
        <w:rPr>
          <w:rStyle w:val="Figure-textChar"/>
        </w:rPr>
        <w:fldChar w:fldCharType="end"/>
      </w:r>
      <w:r w:rsidRPr="00284D4B">
        <w:t xml:space="preserve"> </w:t>
      </w:r>
      <w:r w:rsidR="006D7887" w:rsidRPr="006D7887">
        <w:t>presents current average sale prices and five-year price change by dwelling size, comparing local ownership market conditions against regional and provincial benchmarks.</w:t>
      </w:r>
      <w:r w:rsidR="00DE2792">
        <w:t xml:space="preserve"> Like </w:t>
      </w:r>
      <w:r w:rsidR="00D94223">
        <w:t>for</w:t>
      </w:r>
      <w:r w:rsidR="00DE2792">
        <w:t xml:space="preserve"> </w:t>
      </w:r>
      <w:r w:rsidR="00F6363A" w:rsidRPr="00F6363A">
        <w:rPr>
          <w:rStyle w:val="Figure-textChar"/>
        </w:rPr>
        <w:fldChar w:fldCharType="begin"/>
      </w:r>
      <w:r w:rsidR="00F6363A" w:rsidRPr="00F6363A">
        <w:rPr>
          <w:rStyle w:val="Figure-textChar"/>
        </w:rPr>
        <w:instrText xml:space="preserve"> REF _Ref223426066 \h </w:instrText>
      </w:r>
      <w:r w:rsidR="00F6363A">
        <w:rPr>
          <w:rStyle w:val="Figure-textChar"/>
        </w:rPr>
        <w:instrText xml:space="preserve"> \* MERGEFORMAT </w:instrText>
      </w:r>
      <w:r w:rsidR="00F6363A" w:rsidRPr="00F6363A">
        <w:rPr>
          <w:rStyle w:val="Figure-textChar"/>
        </w:rPr>
      </w:r>
      <w:r w:rsidR="00F6363A" w:rsidRPr="00F6363A">
        <w:rPr>
          <w:rStyle w:val="Figure-textChar"/>
        </w:rPr>
        <w:fldChar w:fldCharType="separate"/>
      </w:r>
      <w:r w:rsidR="00CA6116" w:rsidRPr="00CA6116">
        <w:rPr>
          <w:rStyle w:val="Figure-textChar"/>
        </w:rPr>
        <w:t>Table 6.5</w:t>
      </w:r>
      <w:r w:rsidR="00F6363A" w:rsidRPr="00F6363A">
        <w:rPr>
          <w:rStyle w:val="Figure-textChar"/>
        </w:rPr>
        <w:fldChar w:fldCharType="end"/>
      </w:r>
      <w:r w:rsidR="00F6363A">
        <w:t>,</w:t>
      </w:r>
      <w:r w:rsidR="00DE2792">
        <w:t xml:space="preserve"> </w:t>
      </w:r>
      <w:r w:rsidR="00F6363A" w:rsidRPr="00F6363A">
        <w:rPr>
          <w:rStyle w:val="Figure-textChar"/>
        </w:rPr>
        <w:fldChar w:fldCharType="begin"/>
      </w:r>
      <w:r w:rsidR="00F6363A" w:rsidRPr="00F6363A">
        <w:rPr>
          <w:rStyle w:val="Figure-textChar"/>
        </w:rPr>
        <w:instrText xml:space="preserve"> REF _Ref223542446 \h </w:instrText>
      </w:r>
      <w:r w:rsidR="00F6363A">
        <w:rPr>
          <w:rStyle w:val="Figure-textChar"/>
        </w:rPr>
        <w:instrText xml:space="preserve"> \* MERGEFORMAT </w:instrText>
      </w:r>
      <w:r w:rsidR="00F6363A" w:rsidRPr="00F6363A">
        <w:rPr>
          <w:rStyle w:val="Figure-textChar"/>
        </w:rPr>
      </w:r>
      <w:r w:rsidR="00F6363A" w:rsidRPr="00F6363A">
        <w:rPr>
          <w:rStyle w:val="Figure-textChar"/>
        </w:rPr>
        <w:fldChar w:fldCharType="separate"/>
      </w:r>
      <w:r w:rsidR="00CA6116" w:rsidRPr="00CA6116">
        <w:rPr>
          <w:rStyle w:val="Figure-textChar"/>
        </w:rPr>
        <w:t>Table 6.7</w:t>
      </w:r>
      <w:r w:rsidR="00F6363A" w:rsidRPr="00F6363A">
        <w:rPr>
          <w:rStyle w:val="Figure-textChar"/>
        </w:rPr>
        <w:fldChar w:fldCharType="end"/>
      </w:r>
      <w:r w:rsidR="00DE2792">
        <w:t xml:space="preserve"> also includes the change in province-wide salaries and wages to illustrate how home prices have changed relative to the incomes required to afford them.</w:t>
      </w:r>
    </w:p>
    <w:p w14:paraId="251D989B" w14:textId="77777777" w:rsidR="00C45EFE" w:rsidRDefault="00C45EFE" w:rsidP="0029138E"/>
    <w:p w14:paraId="018C1E3B" w14:textId="7A66CE1A" w:rsidR="0029138E" w:rsidRDefault="0029138E" w:rsidP="0029138E">
      <w:pPr>
        <w:pStyle w:val="Caption"/>
      </w:pPr>
      <w:bookmarkStart w:id="53" w:name="_Ref223542446"/>
      <w:r>
        <w:t xml:space="preserve">Table </w:t>
      </w:r>
      <w:fldSimple w:instr=" STYLEREF 1 \s ">
        <w:r w:rsidR="005E459C">
          <w:rPr>
            <w:noProof/>
          </w:rPr>
          <w:t>6</w:t>
        </w:r>
      </w:fldSimple>
      <w:r w:rsidR="00BD4359">
        <w:t>.</w:t>
      </w:r>
      <w:fldSimple w:instr=" SEQ Table \* ARABIC \s 1 ">
        <w:r w:rsidR="005E459C">
          <w:rPr>
            <w:noProof/>
          </w:rPr>
          <w:t>7</w:t>
        </w:r>
      </w:fldSimple>
      <w:bookmarkEnd w:id="53"/>
      <w:r>
        <w:t xml:space="preserve">: Change in average </w:t>
      </w:r>
      <w:r w:rsidR="00136C78">
        <w:t>house prices</w:t>
      </w:r>
      <w:r>
        <w:t xml:space="preserve"> </w:t>
      </w:r>
      <w:r w:rsidR="00230877">
        <w:t xml:space="preserve">versus change in average salaries and wages </w:t>
      </w:r>
      <w:r>
        <w:t>(2020 to 2025) by dwelling size and geography</w:t>
      </w:r>
    </w:p>
    <w:tbl>
      <w:tblPr>
        <w:tblW w:w="9355" w:type="dxa"/>
        <w:tblLayout w:type="fixed"/>
        <w:tblLook w:val="04A0" w:firstRow="1" w:lastRow="0" w:firstColumn="1" w:lastColumn="0" w:noHBand="0" w:noVBand="1"/>
      </w:tblPr>
      <w:tblGrid>
        <w:gridCol w:w="2070"/>
        <w:gridCol w:w="1214"/>
        <w:gridCol w:w="1214"/>
        <w:gridCol w:w="1214"/>
        <w:gridCol w:w="1214"/>
        <w:gridCol w:w="1214"/>
        <w:gridCol w:w="1215"/>
      </w:tblGrid>
      <w:tr w:rsidR="00472AAE" w:rsidRPr="00472AAE" w14:paraId="3E5229E9" w14:textId="77777777" w:rsidTr="003C59F9">
        <w:trPr>
          <w:trHeight w:val="402"/>
        </w:trPr>
        <w:tc>
          <w:tcPr>
            <w:tcW w:w="2070" w:type="dxa"/>
            <w:tcBorders>
              <w:top w:val="nil"/>
              <w:left w:val="nil"/>
              <w:bottom w:val="nil"/>
              <w:right w:val="nil"/>
            </w:tcBorders>
            <w:noWrap/>
            <w:vAlign w:val="center"/>
            <w:hideMark/>
          </w:tcPr>
          <w:p w14:paraId="1E80EC9D" w14:textId="77777777" w:rsidR="00472AAE" w:rsidRPr="00472AAE" w:rsidRDefault="00472AAE" w:rsidP="00472AAE">
            <w:pPr>
              <w:rPr>
                <w:rFonts w:ascii="Times New Roman" w:eastAsia="Times New Roman" w:hAnsi="Times New Roman" w:cs="Times New Roman"/>
                <w:sz w:val="24"/>
                <w:szCs w:val="24"/>
              </w:rPr>
            </w:pPr>
          </w:p>
        </w:tc>
        <w:tc>
          <w:tcPr>
            <w:tcW w:w="2428"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53021049" w14:textId="77777777" w:rsidR="00472AAE" w:rsidRPr="00472AAE" w:rsidRDefault="00472AAE" w:rsidP="00472AAE">
            <w:pPr>
              <w:jc w:val="center"/>
              <w:rPr>
                <w:rFonts w:eastAsia="Times New Roman"/>
                <w:color w:val="FFFFFF"/>
                <w:sz w:val="18"/>
                <w:szCs w:val="18"/>
              </w:rPr>
            </w:pPr>
            <w:r w:rsidRPr="00472AAE">
              <w:rPr>
                <w:rFonts w:eastAsia="Times New Roman"/>
                <w:color w:val="FFFFFF"/>
                <w:sz w:val="18"/>
                <w:szCs w:val="18"/>
              </w:rPr>
              <w:t>Local</w:t>
            </w:r>
          </w:p>
        </w:tc>
        <w:tc>
          <w:tcPr>
            <w:tcW w:w="2428"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1137A4C7" w14:textId="77777777" w:rsidR="00472AAE" w:rsidRPr="00472AAE" w:rsidRDefault="00472AAE" w:rsidP="00472AAE">
            <w:pPr>
              <w:jc w:val="center"/>
              <w:rPr>
                <w:rFonts w:eastAsia="Times New Roman"/>
                <w:color w:val="FFFFFF"/>
                <w:sz w:val="18"/>
                <w:szCs w:val="18"/>
              </w:rPr>
            </w:pPr>
            <w:r w:rsidRPr="00472AAE">
              <w:rPr>
                <w:rFonts w:eastAsia="Times New Roman"/>
                <w:color w:val="FFFFFF"/>
                <w:sz w:val="18"/>
                <w:szCs w:val="18"/>
              </w:rPr>
              <w:t>Region</w:t>
            </w:r>
          </w:p>
        </w:tc>
        <w:tc>
          <w:tcPr>
            <w:tcW w:w="2429"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1EB91B1F" w14:textId="77777777" w:rsidR="00472AAE" w:rsidRPr="00472AAE" w:rsidRDefault="00472AAE" w:rsidP="00472AAE">
            <w:pPr>
              <w:jc w:val="center"/>
              <w:rPr>
                <w:rFonts w:eastAsia="Times New Roman"/>
                <w:color w:val="FFFFFF"/>
                <w:sz w:val="18"/>
                <w:szCs w:val="18"/>
              </w:rPr>
            </w:pPr>
            <w:r w:rsidRPr="00472AAE">
              <w:rPr>
                <w:rFonts w:eastAsia="Times New Roman"/>
                <w:color w:val="FFFFFF"/>
                <w:sz w:val="18"/>
                <w:szCs w:val="18"/>
              </w:rPr>
              <w:t>Province</w:t>
            </w:r>
          </w:p>
        </w:tc>
      </w:tr>
      <w:tr w:rsidR="00BD4309" w:rsidRPr="00472AAE" w14:paraId="7844C83C" w14:textId="77777777" w:rsidTr="006E6F3B">
        <w:trPr>
          <w:trHeight w:val="593"/>
        </w:trPr>
        <w:tc>
          <w:tcPr>
            <w:tcW w:w="207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711EAB94" w14:textId="77777777" w:rsidR="00472AAE" w:rsidRPr="00472AAE" w:rsidRDefault="00472AAE" w:rsidP="00472AAE">
            <w:pPr>
              <w:rPr>
                <w:rFonts w:eastAsia="Times New Roman"/>
                <w:color w:val="FFFFFF"/>
                <w:sz w:val="18"/>
                <w:szCs w:val="18"/>
              </w:rPr>
            </w:pPr>
            <w:r w:rsidRPr="00472AAE">
              <w:rPr>
                <w:rFonts w:eastAsia="Times New Roman"/>
                <w:color w:val="FFFFFF"/>
                <w:sz w:val="18"/>
                <w:szCs w:val="18"/>
              </w:rPr>
              <w:t>Dwelling size</w:t>
            </w:r>
          </w:p>
        </w:tc>
        <w:tc>
          <w:tcPr>
            <w:tcW w:w="1214" w:type="dxa"/>
            <w:tcBorders>
              <w:top w:val="nil"/>
              <w:left w:val="nil"/>
              <w:bottom w:val="single" w:sz="4" w:space="0" w:color="auto"/>
              <w:right w:val="single" w:sz="4" w:space="0" w:color="BFBFBF"/>
            </w:tcBorders>
            <w:shd w:val="clear" w:color="auto" w:fill="CFD9E3" w:themeFill="accent1"/>
            <w:noWrap/>
            <w:vAlign w:val="center"/>
            <w:hideMark/>
          </w:tcPr>
          <w:p w14:paraId="40A94819" w14:textId="77777777" w:rsidR="00472AAE" w:rsidRPr="00472AAE" w:rsidRDefault="00472AAE" w:rsidP="00472AAE">
            <w:pPr>
              <w:jc w:val="right"/>
              <w:rPr>
                <w:rFonts w:eastAsia="Times New Roman"/>
                <w:color w:val="000000"/>
                <w:sz w:val="18"/>
                <w:szCs w:val="18"/>
              </w:rPr>
            </w:pPr>
            <w:r w:rsidRPr="00472AAE">
              <w:rPr>
                <w:rFonts w:eastAsia="Times New Roman"/>
                <w:color w:val="000000"/>
                <w:sz w:val="18"/>
                <w:szCs w:val="18"/>
              </w:rPr>
              <w:t>2025 average</w:t>
            </w:r>
          </w:p>
        </w:tc>
        <w:tc>
          <w:tcPr>
            <w:tcW w:w="1214" w:type="dxa"/>
            <w:tcBorders>
              <w:top w:val="nil"/>
              <w:left w:val="nil"/>
              <w:bottom w:val="single" w:sz="4" w:space="0" w:color="auto"/>
              <w:right w:val="single" w:sz="4" w:space="0" w:color="BFBFBF"/>
            </w:tcBorders>
            <w:shd w:val="clear" w:color="auto" w:fill="CFD9E3" w:themeFill="accent1"/>
            <w:noWrap/>
            <w:vAlign w:val="center"/>
            <w:hideMark/>
          </w:tcPr>
          <w:p w14:paraId="393FC053" w14:textId="77777777" w:rsidR="00472AAE" w:rsidRPr="00472AAE" w:rsidRDefault="00472AAE" w:rsidP="00472AAE">
            <w:pPr>
              <w:jc w:val="right"/>
              <w:rPr>
                <w:rFonts w:eastAsia="Times New Roman"/>
                <w:color w:val="000000"/>
                <w:sz w:val="18"/>
                <w:szCs w:val="18"/>
              </w:rPr>
            </w:pPr>
            <w:r w:rsidRPr="00472AAE">
              <w:rPr>
                <w:rFonts w:eastAsia="Times New Roman"/>
                <w:color w:val="000000"/>
                <w:sz w:val="18"/>
                <w:szCs w:val="18"/>
              </w:rPr>
              <w:t>5-year change</w:t>
            </w:r>
          </w:p>
        </w:tc>
        <w:tc>
          <w:tcPr>
            <w:tcW w:w="1214" w:type="dxa"/>
            <w:tcBorders>
              <w:top w:val="nil"/>
              <w:left w:val="single" w:sz="4" w:space="0" w:color="auto"/>
              <w:bottom w:val="single" w:sz="4" w:space="0" w:color="auto"/>
              <w:right w:val="single" w:sz="4" w:space="0" w:color="BFBFBF"/>
            </w:tcBorders>
            <w:shd w:val="clear" w:color="auto" w:fill="CFD9E3" w:themeFill="accent1"/>
            <w:noWrap/>
            <w:vAlign w:val="center"/>
            <w:hideMark/>
          </w:tcPr>
          <w:p w14:paraId="5DC1F070" w14:textId="77777777" w:rsidR="00472AAE" w:rsidRPr="00472AAE" w:rsidRDefault="00472AAE" w:rsidP="00472AAE">
            <w:pPr>
              <w:jc w:val="right"/>
              <w:rPr>
                <w:rFonts w:eastAsia="Times New Roman"/>
                <w:color w:val="000000"/>
                <w:sz w:val="18"/>
                <w:szCs w:val="18"/>
              </w:rPr>
            </w:pPr>
            <w:r w:rsidRPr="00472AAE">
              <w:rPr>
                <w:rFonts w:eastAsia="Times New Roman"/>
                <w:color w:val="000000"/>
                <w:sz w:val="18"/>
                <w:szCs w:val="18"/>
              </w:rPr>
              <w:t>2025 average</w:t>
            </w:r>
          </w:p>
        </w:tc>
        <w:tc>
          <w:tcPr>
            <w:tcW w:w="1214" w:type="dxa"/>
            <w:tcBorders>
              <w:top w:val="nil"/>
              <w:left w:val="nil"/>
              <w:bottom w:val="single" w:sz="4" w:space="0" w:color="auto"/>
              <w:right w:val="single" w:sz="4" w:space="0" w:color="BFBFBF"/>
            </w:tcBorders>
            <w:shd w:val="clear" w:color="auto" w:fill="CFD9E3" w:themeFill="accent1"/>
            <w:noWrap/>
            <w:vAlign w:val="center"/>
            <w:hideMark/>
          </w:tcPr>
          <w:p w14:paraId="7431F30B" w14:textId="77777777" w:rsidR="00472AAE" w:rsidRPr="00472AAE" w:rsidRDefault="00472AAE" w:rsidP="00472AAE">
            <w:pPr>
              <w:jc w:val="right"/>
              <w:rPr>
                <w:rFonts w:eastAsia="Times New Roman"/>
                <w:color w:val="000000"/>
                <w:sz w:val="18"/>
                <w:szCs w:val="18"/>
              </w:rPr>
            </w:pPr>
            <w:r w:rsidRPr="00472AAE">
              <w:rPr>
                <w:rFonts w:eastAsia="Times New Roman"/>
                <w:color w:val="000000"/>
                <w:sz w:val="18"/>
                <w:szCs w:val="18"/>
              </w:rPr>
              <w:t>5-year change</w:t>
            </w:r>
          </w:p>
        </w:tc>
        <w:tc>
          <w:tcPr>
            <w:tcW w:w="1214" w:type="dxa"/>
            <w:tcBorders>
              <w:top w:val="single" w:sz="4" w:space="0" w:color="auto"/>
              <w:left w:val="single" w:sz="4" w:space="0" w:color="auto"/>
              <w:bottom w:val="single" w:sz="4" w:space="0" w:color="auto"/>
              <w:right w:val="single" w:sz="4" w:space="0" w:color="BFBFBF"/>
            </w:tcBorders>
            <w:shd w:val="clear" w:color="auto" w:fill="CFD9E3" w:themeFill="accent1"/>
            <w:noWrap/>
            <w:vAlign w:val="center"/>
            <w:hideMark/>
          </w:tcPr>
          <w:p w14:paraId="3B45DE97" w14:textId="77777777" w:rsidR="00472AAE" w:rsidRPr="00472AAE" w:rsidRDefault="00472AAE" w:rsidP="00472AAE">
            <w:pPr>
              <w:jc w:val="right"/>
              <w:rPr>
                <w:rFonts w:eastAsia="Times New Roman"/>
                <w:color w:val="000000"/>
                <w:sz w:val="18"/>
                <w:szCs w:val="18"/>
              </w:rPr>
            </w:pPr>
            <w:r w:rsidRPr="00472AAE">
              <w:rPr>
                <w:rFonts w:eastAsia="Times New Roman"/>
                <w:color w:val="000000"/>
                <w:sz w:val="18"/>
                <w:szCs w:val="18"/>
              </w:rPr>
              <w:t>2025 average</w:t>
            </w:r>
          </w:p>
        </w:tc>
        <w:tc>
          <w:tcPr>
            <w:tcW w:w="1215"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0279086C" w14:textId="77777777" w:rsidR="00472AAE" w:rsidRPr="00472AAE" w:rsidRDefault="00472AAE" w:rsidP="00472AAE">
            <w:pPr>
              <w:jc w:val="right"/>
              <w:rPr>
                <w:rFonts w:eastAsia="Times New Roman"/>
                <w:color w:val="000000"/>
                <w:sz w:val="18"/>
                <w:szCs w:val="18"/>
              </w:rPr>
            </w:pPr>
            <w:r w:rsidRPr="00472AAE">
              <w:rPr>
                <w:rFonts w:eastAsia="Times New Roman"/>
                <w:color w:val="000000"/>
                <w:sz w:val="18"/>
                <w:szCs w:val="18"/>
              </w:rPr>
              <w:t>5-year change</w:t>
            </w:r>
          </w:p>
        </w:tc>
      </w:tr>
      <w:tr w:rsidR="00A33B73" w:rsidRPr="00472AAE" w14:paraId="0868E756" w14:textId="77777777" w:rsidTr="00BD4309">
        <w:trPr>
          <w:trHeight w:val="402"/>
        </w:trPr>
        <w:tc>
          <w:tcPr>
            <w:tcW w:w="2070" w:type="dxa"/>
            <w:tcBorders>
              <w:top w:val="nil"/>
              <w:left w:val="single" w:sz="4" w:space="0" w:color="auto"/>
              <w:bottom w:val="single" w:sz="4" w:space="0" w:color="auto"/>
              <w:right w:val="single" w:sz="4" w:space="0" w:color="auto"/>
            </w:tcBorders>
            <w:shd w:val="clear" w:color="000000" w:fill="F2F2F2"/>
            <w:noWrap/>
            <w:vAlign w:val="center"/>
            <w:hideMark/>
          </w:tcPr>
          <w:p w14:paraId="01C29E10" w14:textId="22387BCD" w:rsidR="00A33B73" w:rsidRPr="00472AAE" w:rsidRDefault="00A33B73" w:rsidP="00A33B73">
            <w:pPr>
              <w:rPr>
                <w:rFonts w:eastAsia="Times New Roman"/>
                <w:color w:val="000000"/>
                <w:sz w:val="18"/>
                <w:szCs w:val="18"/>
              </w:rPr>
            </w:pPr>
            <w:r>
              <w:rPr>
                <w:color w:val="000000"/>
                <w:sz w:val="18"/>
                <w:szCs w:val="18"/>
              </w:rPr>
              <w:t>Total dwellings</w:t>
            </w:r>
          </w:p>
        </w:tc>
        <w:tc>
          <w:tcPr>
            <w:tcW w:w="1214" w:type="dxa"/>
            <w:tcBorders>
              <w:top w:val="nil"/>
              <w:left w:val="nil"/>
              <w:bottom w:val="single" w:sz="4" w:space="0" w:color="auto"/>
              <w:right w:val="single" w:sz="4" w:space="0" w:color="BFBFBF"/>
            </w:tcBorders>
            <w:shd w:val="clear" w:color="000000" w:fill="F2F2F2"/>
            <w:noWrap/>
            <w:vAlign w:val="center"/>
            <w:hideMark/>
          </w:tcPr>
          <w:p w14:paraId="22368463" w14:textId="42DE03FE" w:rsidR="00A33B73" w:rsidRPr="00EB7F3E" w:rsidRDefault="00A33B73" w:rsidP="00A33B73">
            <w:pPr>
              <w:jc w:val="right"/>
              <w:rPr>
                <w:rFonts w:eastAsia="Times New Roman"/>
                <w:color w:val="C00000"/>
                <w:sz w:val="18"/>
                <w:szCs w:val="18"/>
              </w:rPr>
            </w:pPr>
            <w:r w:rsidRPr="00EB7F3E">
              <w:rPr>
                <w:color w:val="C00000"/>
                <w:sz w:val="18"/>
                <w:szCs w:val="18"/>
              </w:rPr>
              <w:t>$472,600</w:t>
            </w:r>
          </w:p>
        </w:tc>
        <w:tc>
          <w:tcPr>
            <w:tcW w:w="1214" w:type="dxa"/>
            <w:tcBorders>
              <w:top w:val="nil"/>
              <w:left w:val="nil"/>
              <w:bottom w:val="single" w:sz="4" w:space="0" w:color="auto"/>
              <w:right w:val="single" w:sz="4" w:space="0" w:color="auto"/>
            </w:tcBorders>
            <w:shd w:val="clear" w:color="000000" w:fill="F2F2F2"/>
            <w:noWrap/>
            <w:vAlign w:val="center"/>
            <w:hideMark/>
          </w:tcPr>
          <w:p w14:paraId="208182C4" w14:textId="2F3599D5" w:rsidR="00A33B73" w:rsidRPr="00EB7F3E" w:rsidRDefault="00A33B73" w:rsidP="00A33B73">
            <w:pPr>
              <w:jc w:val="right"/>
              <w:rPr>
                <w:rFonts w:eastAsia="Times New Roman"/>
                <w:color w:val="C00000"/>
                <w:sz w:val="18"/>
                <w:szCs w:val="18"/>
              </w:rPr>
            </w:pPr>
            <w:r w:rsidRPr="00EB7F3E">
              <w:rPr>
                <w:color w:val="C00000"/>
                <w:sz w:val="18"/>
                <w:szCs w:val="18"/>
              </w:rPr>
              <w:t>+42%</w:t>
            </w:r>
          </w:p>
        </w:tc>
        <w:tc>
          <w:tcPr>
            <w:tcW w:w="1214" w:type="dxa"/>
            <w:tcBorders>
              <w:top w:val="nil"/>
              <w:left w:val="nil"/>
              <w:bottom w:val="single" w:sz="4" w:space="0" w:color="auto"/>
              <w:right w:val="single" w:sz="4" w:space="0" w:color="BFBFBF"/>
            </w:tcBorders>
            <w:shd w:val="clear" w:color="000000" w:fill="F2F2F2"/>
            <w:noWrap/>
            <w:vAlign w:val="center"/>
            <w:hideMark/>
          </w:tcPr>
          <w:p w14:paraId="2382578C" w14:textId="6681CBF7" w:rsidR="00A33B73" w:rsidRPr="00EB7F3E" w:rsidRDefault="00A33B73" w:rsidP="00A33B73">
            <w:pPr>
              <w:jc w:val="right"/>
              <w:rPr>
                <w:rFonts w:eastAsia="Times New Roman"/>
                <w:color w:val="C00000"/>
                <w:sz w:val="18"/>
                <w:szCs w:val="18"/>
              </w:rPr>
            </w:pPr>
            <w:r w:rsidRPr="00EB7F3E">
              <w:rPr>
                <w:color w:val="C00000"/>
                <w:sz w:val="18"/>
                <w:szCs w:val="18"/>
              </w:rPr>
              <w:t>$441,800</w:t>
            </w:r>
          </w:p>
        </w:tc>
        <w:tc>
          <w:tcPr>
            <w:tcW w:w="1214" w:type="dxa"/>
            <w:tcBorders>
              <w:top w:val="nil"/>
              <w:left w:val="nil"/>
              <w:bottom w:val="single" w:sz="4" w:space="0" w:color="auto"/>
              <w:right w:val="single" w:sz="4" w:space="0" w:color="auto"/>
            </w:tcBorders>
            <w:shd w:val="clear" w:color="000000" w:fill="F2F2F2"/>
            <w:noWrap/>
            <w:vAlign w:val="center"/>
            <w:hideMark/>
          </w:tcPr>
          <w:p w14:paraId="5A654E21" w14:textId="2BBAA654" w:rsidR="00A33B73" w:rsidRPr="00EB7F3E" w:rsidRDefault="00A33B73" w:rsidP="00A33B73">
            <w:pPr>
              <w:jc w:val="right"/>
              <w:rPr>
                <w:rFonts w:eastAsia="Times New Roman"/>
                <w:color w:val="C00000"/>
                <w:sz w:val="18"/>
                <w:szCs w:val="18"/>
              </w:rPr>
            </w:pPr>
            <w:r w:rsidRPr="00EB7F3E">
              <w:rPr>
                <w:color w:val="C00000"/>
                <w:sz w:val="18"/>
                <w:szCs w:val="18"/>
              </w:rPr>
              <w:t>+34%</w:t>
            </w:r>
          </w:p>
        </w:tc>
        <w:tc>
          <w:tcPr>
            <w:tcW w:w="1214" w:type="dxa"/>
            <w:tcBorders>
              <w:top w:val="nil"/>
              <w:left w:val="nil"/>
              <w:bottom w:val="single" w:sz="4" w:space="0" w:color="auto"/>
              <w:right w:val="single" w:sz="4" w:space="0" w:color="BFBFBF"/>
            </w:tcBorders>
            <w:shd w:val="clear" w:color="000000" w:fill="F2F2F2"/>
            <w:noWrap/>
            <w:vAlign w:val="center"/>
            <w:hideMark/>
          </w:tcPr>
          <w:p w14:paraId="7B7331A2" w14:textId="3132F2DC" w:rsidR="00A33B73" w:rsidRPr="00EB7F3E" w:rsidRDefault="00A33B73" w:rsidP="00A33B73">
            <w:pPr>
              <w:jc w:val="right"/>
              <w:rPr>
                <w:rFonts w:eastAsia="Times New Roman"/>
                <w:color w:val="C00000"/>
                <w:sz w:val="18"/>
                <w:szCs w:val="18"/>
              </w:rPr>
            </w:pPr>
            <w:r w:rsidRPr="00EB7F3E">
              <w:rPr>
                <w:color w:val="C00000"/>
                <w:sz w:val="18"/>
                <w:szCs w:val="18"/>
              </w:rPr>
              <w:t>$404,200</w:t>
            </w:r>
          </w:p>
        </w:tc>
        <w:tc>
          <w:tcPr>
            <w:tcW w:w="1215" w:type="dxa"/>
            <w:tcBorders>
              <w:top w:val="nil"/>
              <w:left w:val="nil"/>
              <w:bottom w:val="single" w:sz="4" w:space="0" w:color="auto"/>
              <w:right w:val="single" w:sz="4" w:space="0" w:color="auto"/>
            </w:tcBorders>
            <w:shd w:val="clear" w:color="000000" w:fill="F2F2F2"/>
            <w:noWrap/>
            <w:vAlign w:val="center"/>
            <w:hideMark/>
          </w:tcPr>
          <w:p w14:paraId="0D441867" w14:textId="11401361" w:rsidR="00A33B73" w:rsidRPr="00EB7F3E" w:rsidRDefault="00A33B73" w:rsidP="00A33B73">
            <w:pPr>
              <w:jc w:val="right"/>
              <w:rPr>
                <w:rFonts w:eastAsia="Times New Roman"/>
                <w:color w:val="C00000"/>
                <w:sz w:val="18"/>
                <w:szCs w:val="18"/>
              </w:rPr>
            </w:pPr>
            <w:r w:rsidRPr="00EB7F3E">
              <w:rPr>
                <w:color w:val="C00000"/>
                <w:sz w:val="18"/>
                <w:szCs w:val="18"/>
              </w:rPr>
              <w:t>+33%</w:t>
            </w:r>
          </w:p>
        </w:tc>
      </w:tr>
      <w:tr w:rsidR="00A33B73" w:rsidRPr="00472AAE" w14:paraId="5187A8E2" w14:textId="77777777" w:rsidTr="00BD4309">
        <w:trPr>
          <w:trHeight w:val="402"/>
        </w:trPr>
        <w:tc>
          <w:tcPr>
            <w:tcW w:w="2070" w:type="dxa"/>
            <w:tcBorders>
              <w:top w:val="nil"/>
              <w:left w:val="single" w:sz="4" w:space="0" w:color="auto"/>
              <w:bottom w:val="single" w:sz="4" w:space="0" w:color="BFBFBF"/>
              <w:right w:val="single" w:sz="4" w:space="0" w:color="auto"/>
            </w:tcBorders>
            <w:noWrap/>
            <w:vAlign w:val="center"/>
            <w:hideMark/>
          </w:tcPr>
          <w:p w14:paraId="3B7F7F65" w14:textId="080295DC" w:rsidR="00A33B73" w:rsidRPr="00472AAE" w:rsidRDefault="00A33B73" w:rsidP="00A33B73">
            <w:pPr>
              <w:rPr>
                <w:rFonts w:eastAsia="Times New Roman"/>
                <w:color w:val="000000"/>
                <w:sz w:val="18"/>
                <w:szCs w:val="18"/>
              </w:rPr>
            </w:pPr>
            <w:r>
              <w:rPr>
                <w:color w:val="000000"/>
                <w:sz w:val="18"/>
                <w:szCs w:val="18"/>
              </w:rPr>
              <w:t>Studio units</w:t>
            </w:r>
          </w:p>
        </w:tc>
        <w:tc>
          <w:tcPr>
            <w:tcW w:w="1214" w:type="dxa"/>
            <w:tcBorders>
              <w:top w:val="nil"/>
              <w:left w:val="nil"/>
              <w:bottom w:val="single" w:sz="4" w:space="0" w:color="BFBFBF"/>
              <w:right w:val="single" w:sz="4" w:space="0" w:color="BFBFBF"/>
            </w:tcBorders>
            <w:noWrap/>
            <w:vAlign w:val="center"/>
            <w:hideMark/>
          </w:tcPr>
          <w:p w14:paraId="25472587" w14:textId="1F11B73F" w:rsidR="00A33B73" w:rsidRPr="00EB7F3E" w:rsidRDefault="00A33B73" w:rsidP="00A33B73">
            <w:pPr>
              <w:jc w:val="right"/>
              <w:rPr>
                <w:rFonts w:eastAsia="Times New Roman"/>
                <w:color w:val="C00000"/>
                <w:sz w:val="18"/>
                <w:szCs w:val="18"/>
              </w:rPr>
            </w:pPr>
            <w:r w:rsidRPr="00EB7F3E">
              <w:rPr>
                <w:color w:val="C00000"/>
                <w:sz w:val="18"/>
                <w:szCs w:val="18"/>
              </w:rPr>
              <w:t>x</w:t>
            </w:r>
          </w:p>
        </w:tc>
        <w:tc>
          <w:tcPr>
            <w:tcW w:w="1214" w:type="dxa"/>
            <w:tcBorders>
              <w:top w:val="nil"/>
              <w:left w:val="nil"/>
              <w:bottom w:val="single" w:sz="4" w:space="0" w:color="BFBFBF"/>
              <w:right w:val="single" w:sz="4" w:space="0" w:color="auto"/>
            </w:tcBorders>
            <w:noWrap/>
            <w:vAlign w:val="center"/>
            <w:hideMark/>
          </w:tcPr>
          <w:p w14:paraId="35776BBC" w14:textId="3FE8A8C8" w:rsidR="00A33B73" w:rsidRPr="00EB7F3E" w:rsidRDefault="00A33B73" w:rsidP="00A33B73">
            <w:pPr>
              <w:jc w:val="right"/>
              <w:rPr>
                <w:rFonts w:eastAsia="Times New Roman"/>
                <w:color w:val="C00000"/>
                <w:sz w:val="18"/>
                <w:szCs w:val="18"/>
              </w:rPr>
            </w:pPr>
            <w:r w:rsidRPr="00EB7F3E">
              <w:rPr>
                <w:color w:val="C00000"/>
                <w:sz w:val="18"/>
                <w:szCs w:val="18"/>
              </w:rPr>
              <w:t>x</w:t>
            </w:r>
          </w:p>
        </w:tc>
        <w:tc>
          <w:tcPr>
            <w:tcW w:w="1214" w:type="dxa"/>
            <w:tcBorders>
              <w:top w:val="nil"/>
              <w:left w:val="nil"/>
              <w:bottom w:val="single" w:sz="4" w:space="0" w:color="BFBFBF"/>
              <w:right w:val="single" w:sz="4" w:space="0" w:color="BFBFBF"/>
            </w:tcBorders>
            <w:noWrap/>
            <w:vAlign w:val="center"/>
            <w:hideMark/>
          </w:tcPr>
          <w:p w14:paraId="416CCDE9" w14:textId="1E8E0BD0" w:rsidR="00A33B73" w:rsidRPr="00EB7F3E" w:rsidRDefault="00A33B73" w:rsidP="00A33B73">
            <w:pPr>
              <w:jc w:val="right"/>
              <w:rPr>
                <w:rFonts w:eastAsia="Times New Roman"/>
                <w:color w:val="C00000"/>
                <w:sz w:val="18"/>
                <w:szCs w:val="18"/>
              </w:rPr>
            </w:pPr>
            <w:r w:rsidRPr="00EB7F3E">
              <w:rPr>
                <w:color w:val="C00000"/>
                <w:sz w:val="18"/>
                <w:szCs w:val="18"/>
              </w:rPr>
              <w:t>x</w:t>
            </w:r>
          </w:p>
        </w:tc>
        <w:tc>
          <w:tcPr>
            <w:tcW w:w="1214" w:type="dxa"/>
            <w:tcBorders>
              <w:top w:val="nil"/>
              <w:left w:val="nil"/>
              <w:bottom w:val="single" w:sz="4" w:space="0" w:color="BFBFBF"/>
              <w:right w:val="single" w:sz="4" w:space="0" w:color="auto"/>
            </w:tcBorders>
            <w:noWrap/>
            <w:vAlign w:val="center"/>
            <w:hideMark/>
          </w:tcPr>
          <w:p w14:paraId="0624297B" w14:textId="0DACB816" w:rsidR="00A33B73" w:rsidRPr="00EB7F3E" w:rsidRDefault="00A33B73" w:rsidP="00A33B73">
            <w:pPr>
              <w:jc w:val="right"/>
              <w:rPr>
                <w:rFonts w:eastAsia="Times New Roman"/>
                <w:color w:val="C00000"/>
                <w:sz w:val="18"/>
                <w:szCs w:val="18"/>
              </w:rPr>
            </w:pPr>
            <w:r w:rsidRPr="00EB7F3E">
              <w:rPr>
                <w:color w:val="C00000"/>
                <w:sz w:val="18"/>
                <w:szCs w:val="18"/>
              </w:rPr>
              <w:t>x</w:t>
            </w:r>
          </w:p>
        </w:tc>
        <w:tc>
          <w:tcPr>
            <w:tcW w:w="1214" w:type="dxa"/>
            <w:tcBorders>
              <w:top w:val="nil"/>
              <w:left w:val="nil"/>
              <w:bottom w:val="single" w:sz="4" w:space="0" w:color="BFBFBF"/>
              <w:right w:val="single" w:sz="4" w:space="0" w:color="BFBFBF"/>
            </w:tcBorders>
            <w:noWrap/>
            <w:vAlign w:val="center"/>
            <w:hideMark/>
          </w:tcPr>
          <w:p w14:paraId="34581240" w14:textId="56208094" w:rsidR="00A33B73" w:rsidRPr="00EB7F3E" w:rsidRDefault="00A33B73" w:rsidP="00A33B73">
            <w:pPr>
              <w:jc w:val="right"/>
              <w:rPr>
                <w:rFonts w:eastAsia="Times New Roman"/>
                <w:color w:val="C00000"/>
                <w:sz w:val="18"/>
                <w:szCs w:val="18"/>
              </w:rPr>
            </w:pPr>
            <w:r w:rsidRPr="00EB7F3E">
              <w:rPr>
                <w:color w:val="C00000"/>
                <w:sz w:val="18"/>
                <w:szCs w:val="18"/>
              </w:rPr>
              <w:t>$106,000</w:t>
            </w:r>
          </w:p>
        </w:tc>
        <w:tc>
          <w:tcPr>
            <w:tcW w:w="1215" w:type="dxa"/>
            <w:tcBorders>
              <w:top w:val="nil"/>
              <w:left w:val="nil"/>
              <w:bottom w:val="single" w:sz="4" w:space="0" w:color="BFBFBF"/>
              <w:right w:val="single" w:sz="4" w:space="0" w:color="auto"/>
            </w:tcBorders>
            <w:noWrap/>
            <w:vAlign w:val="center"/>
            <w:hideMark/>
          </w:tcPr>
          <w:p w14:paraId="31C0EE6D" w14:textId="48FA4AD3" w:rsidR="00A33B73" w:rsidRPr="00EB7F3E" w:rsidRDefault="00A33B73" w:rsidP="00A33B73">
            <w:pPr>
              <w:jc w:val="right"/>
              <w:rPr>
                <w:rFonts w:eastAsia="Times New Roman"/>
                <w:color w:val="C00000"/>
                <w:sz w:val="18"/>
                <w:szCs w:val="18"/>
              </w:rPr>
            </w:pPr>
            <w:r w:rsidRPr="00EB7F3E">
              <w:rPr>
                <w:color w:val="C00000"/>
                <w:sz w:val="18"/>
                <w:szCs w:val="18"/>
              </w:rPr>
              <w:t>x</w:t>
            </w:r>
          </w:p>
        </w:tc>
      </w:tr>
      <w:tr w:rsidR="00A33B73" w:rsidRPr="00472AAE" w14:paraId="29D3494D" w14:textId="77777777" w:rsidTr="00BD4309">
        <w:trPr>
          <w:trHeight w:val="402"/>
        </w:trPr>
        <w:tc>
          <w:tcPr>
            <w:tcW w:w="2070" w:type="dxa"/>
            <w:tcBorders>
              <w:top w:val="nil"/>
              <w:left w:val="single" w:sz="4" w:space="0" w:color="auto"/>
              <w:bottom w:val="single" w:sz="4" w:space="0" w:color="BFBFBF"/>
              <w:right w:val="single" w:sz="4" w:space="0" w:color="auto"/>
            </w:tcBorders>
            <w:shd w:val="clear" w:color="000000" w:fill="F2F2F2"/>
            <w:noWrap/>
            <w:vAlign w:val="center"/>
            <w:hideMark/>
          </w:tcPr>
          <w:p w14:paraId="5C66C569" w14:textId="5E9C6CB0" w:rsidR="00A33B73" w:rsidRPr="00472AAE" w:rsidRDefault="00A33B73" w:rsidP="00A33B73">
            <w:pPr>
              <w:rPr>
                <w:rFonts w:eastAsia="Times New Roman"/>
                <w:color w:val="000000"/>
                <w:sz w:val="18"/>
                <w:szCs w:val="18"/>
              </w:rPr>
            </w:pPr>
            <w:r>
              <w:rPr>
                <w:color w:val="000000"/>
                <w:sz w:val="18"/>
                <w:szCs w:val="18"/>
              </w:rPr>
              <w:t>1 bedroom units</w:t>
            </w:r>
          </w:p>
        </w:tc>
        <w:tc>
          <w:tcPr>
            <w:tcW w:w="1214" w:type="dxa"/>
            <w:tcBorders>
              <w:top w:val="nil"/>
              <w:left w:val="nil"/>
              <w:bottom w:val="single" w:sz="4" w:space="0" w:color="BFBFBF"/>
              <w:right w:val="single" w:sz="4" w:space="0" w:color="BFBFBF"/>
            </w:tcBorders>
            <w:shd w:val="clear" w:color="000000" w:fill="F2F2F2"/>
            <w:noWrap/>
            <w:vAlign w:val="center"/>
            <w:hideMark/>
          </w:tcPr>
          <w:p w14:paraId="6DB028C8" w14:textId="2372E4B5" w:rsidR="00A33B73" w:rsidRPr="00EB7F3E" w:rsidRDefault="00A33B73" w:rsidP="00A33B73">
            <w:pPr>
              <w:jc w:val="right"/>
              <w:rPr>
                <w:rFonts w:eastAsia="Times New Roman"/>
                <w:color w:val="C00000"/>
                <w:sz w:val="18"/>
                <w:szCs w:val="18"/>
              </w:rPr>
            </w:pPr>
            <w:r w:rsidRPr="00EB7F3E">
              <w:rPr>
                <w:color w:val="C00000"/>
                <w:sz w:val="18"/>
                <w:szCs w:val="18"/>
              </w:rPr>
              <w:t>$170,000</w:t>
            </w:r>
          </w:p>
        </w:tc>
        <w:tc>
          <w:tcPr>
            <w:tcW w:w="1214" w:type="dxa"/>
            <w:tcBorders>
              <w:top w:val="nil"/>
              <w:left w:val="nil"/>
              <w:bottom w:val="single" w:sz="4" w:space="0" w:color="BFBFBF"/>
              <w:right w:val="single" w:sz="4" w:space="0" w:color="auto"/>
            </w:tcBorders>
            <w:shd w:val="clear" w:color="000000" w:fill="F2F2F2"/>
            <w:noWrap/>
            <w:vAlign w:val="center"/>
            <w:hideMark/>
          </w:tcPr>
          <w:p w14:paraId="1A19601E" w14:textId="29DAA0E5" w:rsidR="00A33B73" w:rsidRPr="00EB7F3E" w:rsidRDefault="00A33B73" w:rsidP="00A33B73">
            <w:pPr>
              <w:jc w:val="right"/>
              <w:rPr>
                <w:rFonts w:eastAsia="Times New Roman"/>
                <w:color w:val="C00000"/>
                <w:sz w:val="18"/>
                <w:szCs w:val="18"/>
              </w:rPr>
            </w:pPr>
            <w:r w:rsidRPr="00EB7F3E">
              <w:rPr>
                <w:color w:val="C00000"/>
                <w:sz w:val="18"/>
                <w:szCs w:val="18"/>
              </w:rPr>
              <w:t>-21%</w:t>
            </w:r>
          </w:p>
        </w:tc>
        <w:tc>
          <w:tcPr>
            <w:tcW w:w="1214" w:type="dxa"/>
            <w:tcBorders>
              <w:top w:val="nil"/>
              <w:left w:val="nil"/>
              <w:bottom w:val="single" w:sz="4" w:space="0" w:color="BFBFBF"/>
              <w:right w:val="single" w:sz="4" w:space="0" w:color="BFBFBF"/>
            </w:tcBorders>
            <w:shd w:val="clear" w:color="000000" w:fill="F2F2F2"/>
            <w:noWrap/>
            <w:vAlign w:val="center"/>
            <w:hideMark/>
          </w:tcPr>
          <w:p w14:paraId="5A892242" w14:textId="1D2FA80D" w:rsidR="00A33B73" w:rsidRPr="00EB7F3E" w:rsidRDefault="00A33B73" w:rsidP="00A33B73">
            <w:pPr>
              <w:jc w:val="right"/>
              <w:rPr>
                <w:rFonts w:eastAsia="Times New Roman"/>
                <w:color w:val="C00000"/>
                <w:sz w:val="18"/>
                <w:szCs w:val="18"/>
              </w:rPr>
            </w:pPr>
            <w:r w:rsidRPr="00EB7F3E">
              <w:rPr>
                <w:color w:val="C00000"/>
                <w:sz w:val="18"/>
                <w:szCs w:val="18"/>
              </w:rPr>
              <w:t>$243,400</w:t>
            </w:r>
          </w:p>
        </w:tc>
        <w:tc>
          <w:tcPr>
            <w:tcW w:w="1214" w:type="dxa"/>
            <w:tcBorders>
              <w:top w:val="nil"/>
              <w:left w:val="nil"/>
              <w:bottom w:val="single" w:sz="4" w:space="0" w:color="BFBFBF"/>
              <w:right w:val="single" w:sz="4" w:space="0" w:color="auto"/>
            </w:tcBorders>
            <w:shd w:val="clear" w:color="000000" w:fill="F2F2F2"/>
            <w:noWrap/>
            <w:vAlign w:val="center"/>
            <w:hideMark/>
          </w:tcPr>
          <w:p w14:paraId="59F42321" w14:textId="0F1B9994" w:rsidR="00A33B73" w:rsidRPr="00EB7F3E" w:rsidRDefault="00A33B73" w:rsidP="00A33B73">
            <w:pPr>
              <w:jc w:val="right"/>
              <w:rPr>
                <w:rFonts w:eastAsia="Times New Roman"/>
                <w:color w:val="C00000"/>
                <w:sz w:val="18"/>
                <w:szCs w:val="18"/>
              </w:rPr>
            </w:pPr>
            <w:r w:rsidRPr="00EB7F3E">
              <w:rPr>
                <w:color w:val="C00000"/>
                <w:sz w:val="18"/>
                <w:szCs w:val="18"/>
              </w:rPr>
              <w:t>+39%</w:t>
            </w:r>
          </w:p>
        </w:tc>
        <w:tc>
          <w:tcPr>
            <w:tcW w:w="1214" w:type="dxa"/>
            <w:tcBorders>
              <w:top w:val="nil"/>
              <w:left w:val="nil"/>
              <w:bottom w:val="single" w:sz="4" w:space="0" w:color="BFBFBF"/>
              <w:right w:val="single" w:sz="4" w:space="0" w:color="BFBFBF"/>
            </w:tcBorders>
            <w:shd w:val="clear" w:color="000000" w:fill="F2F2F2"/>
            <w:noWrap/>
            <w:vAlign w:val="center"/>
            <w:hideMark/>
          </w:tcPr>
          <w:p w14:paraId="05F48B13" w14:textId="0AC497CC" w:rsidR="00A33B73" w:rsidRPr="00EB7F3E" w:rsidRDefault="00A33B73" w:rsidP="00A33B73">
            <w:pPr>
              <w:jc w:val="right"/>
              <w:rPr>
                <w:rFonts w:eastAsia="Times New Roman"/>
                <w:color w:val="C00000"/>
                <w:sz w:val="18"/>
                <w:szCs w:val="18"/>
              </w:rPr>
            </w:pPr>
            <w:r w:rsidRPr="00EB7F3E">
              <w:rPr>
                <w:color w:val="C00000"/>
                <w:sz w:val="18"/>
                <w:szCs w:val="18"/>
              </w:rPr>
              <w:t>$213,400</w:t>
            </w:r>
          </w:p>
        </w:tc>
        <w:tc>
          <w:tcPr>
            <w:tcW w:w="1215" w:type="dxa"/>
            <w:tcBorders>
              <w:top w:val="nil"/>
              <w:left w:val="nil"/>
              <w:bottom w:val="single" w:sz="4" w:space="0" w:color="BFBFBF"/>
              <w:right w:val="single" w:sz="4" w:space="0" w:color="auto"/>
            </w:tcBorders>
            <w:shd w:val="clear" w:color="000000" w:fill="F2F2F2"/>
            <w:noWrap/>
            <w:vAlign w:val="center"/>
            <w:hideMark/>
          </w:tcPr>
          <w:p w14:paraId="11880277" w14:textId="295050C0" w:rsidR="00A33B73" w:rsidRPr="00EB7F3E" w:rsidRDefault="00A33B73" w:rsidP="00A33B73">
            <w:pPr>
              <w:jc w:val="right"/>
              <w:rPr>
                <w:rFonts w:eastAsia="Times New Roman"/>
                <w:color w:val="C00000"/>
                <w:sz w:val="18"/>
                <w:szCs w:val="18"/>
              </w:rPr>
            </w:pPr>
            <w:r w:rsidRPr="00EB7F3E">
              <w:rPr>
                <w:color w:val="C00000"/>
                <w:sz w:val="18"/>
                <w:szCs w:val="18"/>
              </w:rPr>
              <w:t>+41%</w:t>
            </w:r>
          </w:p>
        </w:tc>
      </w:tr>
      <w:tr w:rsidR="00A33B73" w:rsidRPr="00472AAE" w14:paraId="780C6E76" w14:textId="77777777" w:rsidTr="00BD4309">
        <w:trPr>
          <w:trHeight w:val="402"/>
        </w:trPr>
        <w:tc>
          <w:tcPr>
            <w:tcW w:w="2070" w:type="dxa"/>
            <w:tcBorders>
              <w:top w:val="nil"/>
              <w:left w:val="single" w:sz="4" w:space="0" w:color="auto"/>
              <w:bottom w:val="single" w:sz="4" w:space="0" w:color="BFBFBF"/>
              <w:right w:val="single" w:sz="4" w:space="0" w:color="auto"/>
            </w:tcBorders>
            <w:noWrap/>
            <w:vAlign w:val="center"/>
            <w:hideMark/>
          </w:tcPr>
          <w:p w14:paraId="29AFE00C" w14:textId="0D777985" w:rsidR="00A33B73" w:rsidRPr="00472AAE" w:rsidRDefault="00A33B73" w:rsidP="00A33B73">
            <w:pPr>
              <w:rPr>
                <w:rFonts w:eastAsia="Times New Roman"/>
                <w:color w:val="000000"/>
                <w:sz w:val="18"/>
                <w:szCs w:val="18"/>
              </w:rPr>
            </w:pPr>
            <w:r>
              <w:rPr>
                <w:color w:val="000000"/>
                <w:sz w:val="18"/>
                <w:szCs w:val="18"/>
              </w:rPr>
              <w:t>2 bedroom units</w:t>
            </w:r>
          </w:p>
        </w:tc>
        <w:tc>
          <w:tcPr>
            <w:tcW w:w="1214" w:type="dxa"/>
            <w:tcBorders>
              <w:top w:val="nil"/>
              <w:left w:val="nil"/>
              <w:bottom w:val="single" w:sz="4" w:space="0" w:color="BFBFBF"/>
              <w:right w:val="single" w:sz="4" w:space="0" w:color="BFBFBF"/>
            </w:tcBorders>
            <w:noWrap/>
            <w:vAlign w:val="center"/>
            <w:hideMark/>
          </w:tcPr>
          <w:p w14:paraId="5B32F45D" w14:textId="5D0BB009" w:rsidR="00A33B73" w:rsidRPr="00EB7F3E" w:rsidRDefault="00A33B73" w:rsidP="00A33B73">
            <w:pPr>
              <w:jc w:val="right"/>
              <w:rPr>
                <w:rFonts w:eastAsia="Times New Roman"/>
                <w:color w:val="C00000"/>
                <w:sz w:val="18"/>
                <w:szCs w:val="18"/>
              </w:rPr>
            </w:pPr>
            <w:r w:rsidRPr="00EB7F3E">
              <w:rPr>
                <w:color w:val="C00000"/>
                <w:sz w:val="18"/>
                <w:szCs w:val="18"/>
              </w:rPr>
              <w:t>$311,100</w:t>
            </w:r>
          </w:p>
        </w:tc>
        <w:tc>
          <w:tcPr>
            <w:tcW w:w="1214" w:type="dxa"/>
            <w:tcBorders>
              <w:top w:val="nil"/>
              <w:left w:val="nil"/>
              <w:bottom w:val="single" w:sz="4" w:space="0" w:color="BFBFBF"/>
              <w:right w:val="single" w:sz="4" w:space="0" w:color="auto"/>
            </w:tcBorders>
            <w:noWrap/>
            <w:vAlign w:val="center"/>
            <w:hideMark/>
          </w:tcPr>
          <w:p w14:paraId="4CD582FA" w14:textId="0CFC5769" w:rsidR="00A33B73" w:rsidRPr="00EB7F3E" w:rsidRDefault="00A33B73" w:rsidP="00A33B73">
            <w:pPr>
              <w:jc w:val="right"/>
              <w:rPr>
                <w:rFonts w:eastAsia="Times New Roman"/>
                <w:color w:val="C00000"/>
                <w:sz w:val="18"/>
                <w:szCs w:val="18"/>
              </w:rPr>
            </w:pPr>
            <w:r w:rsidRPr="00EB7F3E">
              <w:rPr>
                <w:color w:val="C00000"/>
                <w:sz w:val="18"/>
                <w:szCs w:val="18"/>
              </w:rPr>
              <w:t>+18%</w:t>
            </w:r>
          </w:p>
        </w:tc>
        <w:tc>
          <w:tcPr>
            <w:tcW w:w="1214" w:type="dxa"/>
            <w:tcBorders>
              <w:top w:val="nil"/>
              <w:left w:val="nil"/>
              <w:bottom w:val="single" w:sz="4" w:space="0" w:color="BFBFBF"/>
              <w:right w:val="single" w:sz="4" w:space="0" w:color="BFBFBF"/>
            </w:tcBorders>
            <w:noWrap/>
            <w:vAlign w:val="center"/>
            <w:hideMark/>
          </w:tcPr>
          <w:p w14:paraId="360E9FF1" w14:textId="177EA2B5" w:rsidR="00A33B73" w:rsidRPr="00EB7F3E" w:rsidRDefault="00A33B73" w:rsidP="00A33B73">
            <w:pPr>
              <w:jc w:val="right"/>
              <w:rPr>
                <w:rFonts w:eastAsia="Times New Roman"/>
                <w:color w:val="C00000"/>
                <w:sz w:val="18"/>
                <w:szCs w:val="18"/>
              </w:rPr>
            </w:pPr>
            <w:r w:rsidRPr="00EB7F3E">
              <w:rPr>
                <w:color w:val="C00000"/>
                <w:sz w:val="18"/>
                <w:szCs w:val="18"/>
              </w:rPr>
              <w:t>$321,100</w:t>
            </w:r>
          </w:p>
        </w:tc>
        <w:tc>
          <w:tcPr>
            <w:tcW w:w="1214" w:type="dxa"/>
            <w:tcBorders>
              <w:top w:val="nil"/>
              <w:left w:val="nil"/>
              <w:bottom w:val="single" w:sz="4" w:space="0" w:color="BFBFBF"/>
              <w:right w:val="single" w:sz="4" w:space="0" w:color="auto"/>
            </w:tcBorders>
            <w:noWrap/>
            <w:vAlign w:val="center"/>
            <w:hideMark/>
          </w:tcPr>
          <w:p w14:paraId="6A1AA256" w14:textId="32A9A24B" w:rsidR="00A33B73" w:rsidRPr="00EB7F3E" w:rsidRDefault="00A33B73" w:rsidP="00A33B73">
            <w:pPr>
              <w:jc w:val="right"/>
              <w:rPr>
                <w:rFonts w:eastAsia="Times New Roman"/>
                <w:color w:val="C00000"/>
                <w:sz w:val="18"/>
                <w:szCs w:val="18"/>
              </w:rPr>
            </w:pPr>
            <w:r w:rsidRPr="00EB7F3E">
              <w:rPr>
                <w:color w:val="C00000"/>
                <w:sz w:val="18"/>
                <w:szCs w:val="18"/>
              </w:rPr>
              <w:t>+38%</w:t>
            </w:r>
          </w:p>
        </w:tc>
        <w:tc>
          <w:tcPr>
            <w:tcW w:w="1214" w:type="dxa"/>
            <w:tcBorders>
              <w:top w:val="nil"/>
              <w:left w:val="nil"/>
              <w:bottom w:val="single" w:sz="4" w:space="0" w:color="BFBFBF"/>
              <w:right w:val="single" w:sz="4" w:space="0" w:color="BFBFBF"/>
            </w:tcBorders>
            <w:noWrap/>
            <w:vAlign w:val="center"/>
            <w:hideMark/>
          </w:tcPr>
          <w:p w14:paraId="1AD2A984" w14:textId="6580C7A2" w:rsidR="00A33B73" w:rsidRPr="00EB7F3E" w:rsidRDefault="00A33B73" w:rsidP="00A33B73">
            <w:pPr>
              <w:jc w:val="right"/>
              <w:rPr>
                <w:rFonts w:eastAsia="Times New Roman"/>
                <w:color w:val="C00000"/>
                <w:sz w:val="18"/>
                <w:szCs w:val="18"/>
              </w:rPr>
            </w:pPr>
            <w:r w:rsidRPr="00EB7F3E">
              <w:rPr>
                <w:color w:val="C00000"/>
                <w:sz w:val="18"/>
                <w:szCs w:val="18"/>
              </w:rPr>
              <w:t>$278,300</w:t>
            </w:r>
          </w:p>
        </w:tc>
        <w:tc>
          <w:tcPr>
            <w:tcW w:w="1215" w:type="dxa"/>
            <w:tcBorders>
              <w:top w:val="nil"/>
              <w:left w:val="nil"/>
              <w:bottom w:val="single" w:sz="4" w:space="0" w:color="BFBFBF"/>
              <w:right w:val="single" w:sz="4" w:space="0" w:color="auto"/>
            </w:tcBorders>
            <w:noWrap/>
            <w:vAlign w:val="center"/>
            <w:hideMark/>
          </w:tcPr>
          <w:p w14:paraId="1EBDF27D" w14:textId="38B5F39C" w:rsidR="00A33B73" w:rsidRPr="00EB7F3E" w:rsidRDefault="00A33B73" w:rsidP="00A33B73">
            <w:pPr>
              <w:jc w:val="right"/>
              <w:rPr>
                <w:rFonts w:eastAsia="Times New Roman"/>
                <w:color w:val="C00000"/>
                <w:sz w:val="18"/>
                <w:szCs w:val="18"/>
              </w:rPr>
            </w:pPr>
            <w:r w:rsidRPr="00EB7F3E">
              <w:rPr>
                <w:color w:val="C00000"/>
                <w:sz w:val="18"/>
                <w:szCs w:val="18"/>
              </w:rPr>
              <w:t>+33%</w:t>
            </w:r>
          </w:p>
        </w:tc>
      </w:tr>
      <w:tr w:rsidR="00A33B73" w:rsidRPr="00472AAE" w14:paraId="1EB1897A" w14:textId="77777777" w:rsidTr="00BD4309">
        <w:trPr>
          <w:trHeight w:val="402"/>
        </w:trPr>
        <w:tc>
          <w:tcPr>
            <w:tcW w:w="2070" w:type="dxa"/>
            <w:tcBorders>
              <w:top w:val="nil"/>
              <w:left w:val="single" w:sz="4" w:space="0" w:color="auto"/>
              <w:bottom w:val="single" w:sz="4" w:space="0" w:color="auto"/>
              <w:right w:val="single" w:sz="4" w:space="0" w:color="auto"/>
            </w:tcBorders>
            <w:shd w:val="clear" w:color="000000" w:fill="F2F2F2"/>
            <w:noWrap/>
            <w:vAlign w:val="center"/>
            <w:hideMark/>
          </w:tcPr>
          <w:p w14:paraId="0FF6A8E5" w14:textId="0147C355" w:rsidR="00A33B73" w:rsidRPr="00472AAE" w:rsidRDefault="00A33B73" w:rsidP="00A33B73">
            <w:pPr>
              <w:rPr>
                <w:rFonts w:eastAsia="Times New Roman"/>
                <w:color w:val="000000"/>
                <w:sz w:val="18"/>
                <w:szCs w:val="18"/>
              </w:rPr>
            </w:pPr>
            <w:r>
              <w:rPr>
                <w:color w:val="000000"/>
                <w:sz w:val="18"/>
                <w:szCs w:val="18"/>
              </w:rPr>
              <w:t>3+ bedroom units</w:t>
            </w:r>
          </w:p>
        </w:tc>
        <w:tc>
          <w:tcPr>
            <w:tcW w:w="1214" w:type="dxa"/>
            <w:tcBorders>
              <w:top w:val="nil"/>
              <w:left w:val="nil"/>
              <w:bottom w:val="single" w:sz="4" w:space="0" w:color="auto"/>
              <w:right w:val="single" w:sz="4" w:space="0" w:color="BFBFBF"/>
            </w:tcBorders>
            <w:shd w:val="clear" w:color="000000" w:fill="F2F2F2"/>
            <w:noWrap/>
            <w:vAlign w:val="center"/>
            <w:hideMark/>
          </w:tcPr>
          <w:p w14:paraId="04BA0EC5" w14:textId="34B16F70" w:rsidR="00A33B73" w:rsidRPr="00EB7F3E" w:rsidRDefault="00A33B73" w:rsidP="00A33B73">
            <w:pPr>
              <w:jc w:val="right"/>
              <w:rPr>
                <w:rFonts w:eastAsia="Times New Roman"/>
                <w:color w:val="C00000"/>
                <w:sz w:val="18"/>
                <w:szCs w:val="18"/>
              </w:rPr>
            </w:pPr>
            <w:r w:rsidRPr="00EB7F3E">
              <w:rPr>
                <w:color w:val="C00000"/>
                <w:sz w:val="18"/>
                <w:szCs w:val="18"/>
              </w:rPr>
              <w:t>$486,900</w:t>
            </w:r>
          </w:p>
        </w:tc>
        <w:tc>
          <w:tcPr>
            <w:tcW w:w="1214" w:type="dxa"/>
            <w:tcBorders>
              <w:top w:val="nil"/>
              <w:left w:val="nil"/>
              <w:bottom w:val="single" w:sz="4" w:space="0" w:color="auto"/>
              <w:right w:val="single" w:sz="4" w:space="0" w:color="auto"/>
            </w:tcBorders>
            <w:shd w:val="clear" w:color="000000" w:fill="F2F2F2"/>
            <w:noWrap/>
            <w:vAlign w:val="center"/>
            <w:hideMark/>
          </w:tcPr>
          <w:p w14:paraId="70D54A2B" w14:textId="08C6FE25" w:rsidR="00A33B73" w:rsidRPr="00EB7F3E" w:rsidRDefault="00A33B73" w:rsidP="00A33B73">
            <w:pPr>
              <w:jc w:val="right"/>
              <w:rPr>
                <w:rFonts w:eastAsia="Times New Roman"/>
                <w:color w:val="C00000"/>
                <w:sz w:val="18"/>
                <w:szCs w:val="18"/>
              </w:rPr>
            </w:pPr>
            <w:r w:rsidRPr="00EB7F3E">
              <w:rPr>
                <w:color w:val="C00000"/>
                <w:sz w:val="18"/>
                <w:szCs w:val="18"/>
              </w:rPr>
              <w:t>+42%</w:t>
            </w:r>
          </w:p>
        </w:tc>
        <w:tc>
          <w:tcPr>
            <w:tcW w:w="1214" w:type="dxa"/>
            <w:tcBorders>
              <w:top w:val="nil"/>
              <w:left w:val="nil"/>
              <w:bottom w:val="single" w:sz="4" w:space="0" w:color="auto"/>
              <w:right w:val="single" w:sz="4" w:space="0" w:color="BFBFBF"/>
            </w:tcBorders>
            <w:shd w:val="clear" w:color="000000" w:fill="F2F2F2"/>
            <w:noWrap/>
            <w:vAlign w:val="center"/>
            <w:hideMark/>
          </w:tcPr>
          <w:p w14:paraId="418B5313" w14:textId="73A8B57C" w:rsidR="00A33B73" w:rsidRPr="00EB7F3E" w:rsidRDefault="00A33B73" w:rsidP="00A33B73">
            <w:pPr>
              <w:jc w:val="right"/>
              <w:rPr>
                <w:rFonts w:eastAsia="Times New Roman"/>
                <w:color w:val="C00000"/>
                <w:sz w:val="18"/>
                <w:szCs w:val="18"/>
              </w:rPr>
            </w:pPr>
            <w:r w:rsidRPr="00EB7F3E">
              <w:rPr>
                <w:color w:val="C00000"/>
                <w:sz w:val="18"/>
                <w:szCs w:val="18"/>
              </w:rPr>
              <w:t>$461,800</w:t>
            </w:r>
          </w:p>
        </w:tc>
        <w:tc>
          <w:tcPr>
            <w:tcW w:w="1214" w:type="dxa"/>
            <w:tcBorders>
              <w:top w:val="nil"/>
              <w:left w:val="nil"/>
              <w:bottom w:val="single" w:sz="4" w:space="0" w:color="auto"/>
              <w:right w:val="single" w:sz="4" w:space="0" w:color="auto"/>
            </w:tcBorders>
            <w:shd w:val="clear" w:color="000000" w:fill="F2F2F2"/>
            <w:noWrap/>
            <w:vAlign w:val="center"/>
            <w:hideMark/>
          </w:tcPr>
          <w:p w14:paraId="18FED8B2" w14:textId="09B135DF" w:rsidR="00A33B73" w:rsidRPr="00EB7F3E" w:rsidRDefault="00A33B73" w:rsidP="00A33B73">
            <w:pPr>
              <w:jc w:val="right"/>
              <w:rPr>
                <w:rFonts w:eastAsia="Times New Roman"/>
                <w:color w:val="C00000"/>
                <w:sz w:val="18"/>
                <w:szCs w:val="18"/>
              </w:rPr>
            </w:pPr>
            <w:r w:rsidRPr="00EB7F3E">
              <w:rPr>
                <w:color w:val="C00000"/>
                <w:sz w:val="18"/>
                <w:szCs w:val="18"/>
              </w:rPr>
              <w:t>+34%</w:t>
            </w:r>
          </w:p>
        </w:tc>
        <w:tc>
          <w:tcPr>
            <w:tcW w:w="1214" w:type="dxa"/>
            <w:tcBorders>
              <w:top w:val="nil"/>
              <w:left w:val="nil"/>
              <w:bottom w:val="single" w:sz="4" w:space="0" w:color="auto"/>
              <w:right w:val="single" w:sz="4" w:space="0" w:color="BFBFBF"/>
            </w:tcBorders>
            <w:shd w:val="clear" w:color="000000" w:fill="F2F2F2"/>
            <w:noWrap/>
            <w:vAlign w:val="center"/>
            <w:hideMark/>
          </w:tcPr>
          <w:p w14:paraId="03CBE183" w14:textId="4E7E313F" w:rsidR="00A33B73" w:rsidRPr="00EB7F3E" w:rsidRDefault="00A33B73" w:rsidP="00A33B73">
            <w:pPr>
              <w:jc w:val="right"/>
              <w:rPr>
                <w:rFonts w:eastAsia="Times New Roman"/>
                <w:color w:val="C00000"/>
                <w:sz w:val="18"/>
                <w:szCs w:val="18"/>
              </w:rPr>
            </w:pPr>
            <w:r w:rsidRPr="00EB7F3E">
              <w:rPr>
                <w:color w:val="C00000"/>
                <w:sz w:val="18"/>
                <w:szCs w:val="18"/>
              </w:rPr>
              <w:t>$432,300</w:t>
            </w:r>
          </w:p>
        </w:tc>
        <w:tc>
          <w:tcPr>
            <w:tcW w:w="1215" w:type="dxa"/>
            <w:tcBorders>
              <w:top w:val="nil"/>
              <w:left w:val="nil"/>
              <w:bottom w:val="single" w:sz="4" w:space="0" w:color="auto"/>
              <w:right w:val="single" w:sz="4" w:space="0" w:color="auto"/>
            </w:tcBorders>
            <w:shd w:val="clear" w:color="000000" w:fill="F2F2F2"/>
            <w:noWrap/>
            <w:vAlign w:val="center"/>
            <w:hideMark/>
          </w:tcPr>
          <w:p w14:paraId="3F96FE96" w14:textId="1B3FCF17" w:rsidR="00A33B73" w:rsidRPr="00EB7F3E" w:rsidRDefault="00A33B73" w:rsidP="00A33B73">
            <w:pPr>
              <w:jc w:val="right"/>
              <w:rPr>
                <w:rFonts w:eastAsia="Times New Roman"/>
                <w:color w:val="C00000"/>
                <w:sz w:val="18"/>
                <w:szCs w:val="18"/>
              </w:rPr>
            </w:pPr>
            <w:r w:rsidRPr="00EB7F3E">
              <w:rPr>
                <w:color w:val="C00000"/>
                <w:sz w:val="18"/>
                <w:szCs w:val="18"/>
              </w:rPr>
              <w:t>+35%</w:t>
            </w:r>
          </w:p>
        </w:tc>
      </w:tr>
      <w:tr w:rsidR="00A33B73" w:rsidRPr="00472AAE" w14:paraId="28C8BAF2" w14:textId="77777777" w:rsidTr="00BD4309">
        <w:trPr>
          <w:trHeight w:val="285"/>
        </w:trPr>
        <w:tc>
          <w:tcPr>
            <w:tcW w:w="2070" w:type="dxa"/>
            <w:tcBorders>
              <w:top w:val="nil"/>
              <w:left w:val="nil"/>
              <w:bottom w:val="nil"/>
              <w:right w:val="nil"/>
            </w:tcBorders>
            <w:noWrap/>
            <w:vAlign w:val="bottom"/>
            <w:hideMark/>
          </w:tcPr>
          <w:p w14:paraId="1BF3BDA7" w14:textId="77777777" w:rsidR="00A33B73" w:rsidRPr="00472AAE" w:rsidRDefault="00A33B73" w:rsidP="00A33B73">
            <w:pPr>
              <w:jc w:val="right"/>
              <w:rPr>
                <w:rFonts w:eastAsia="Times New Roman"/>
                <w:color w:val="000000"/>
                <w:sz w:val="18"/>
                <w:szCs w:val="18"/>
              </w:rPr>
            </w:pPr>
          </w:p>
        </w:tc>
        <w:tc>
          <w:tcPr>
            <w:tcW w:w="1214" w:type="dxa"/>
            <w:tcBorders>
              <w:top w:val="nil"/>
              <w:left w:val="nil"/>
              <w:bottom w:val="nil"/>
              <w:right w:val="nil"/>
            </w:tcBorders>
            <w:noWrap/>
            <w:vAlign w:val="bottom"/>
            <w:hideMark/>
          </w:tcPr>
          <w:p w14:paraId="70BF6936"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7A3429A2"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3E2E3725"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0E0653B2"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23C5918F" w14:textId="77777777" w:rsidR="00A33B73" w:rsidRPr="00472AAE" w:rsidRDefault="00A33B73" w:rsidP="00A33B73">
            <w:pPr>
              <w:rPr>
                <w:rFonts w:ascii="Times New Roman" w:eastAsia="Times New Roman" w:hAnsi="Times New Roman" w:cs="Times New Roman"/>
                <w:sz w:val="20"/>
                <w:szCs w:val="20"/>
              </w:rPr>
            </w:pPr>
          </w:p>
        </w:tc>
        <w:tc>
          <w:tcPr>
            <w:tcW w:w="1215" w:type="dxa"/>
            <w:tcBorders>
              <w:top w:val="nil"/>
              <w:left w:val="nil"/>
              <w:bottom w:val="nil"/>
              <w:right w:val="nil"/>
            </w:tcBorders>
            <w:noWrap/>
            <w:vAlign w:val="bottom"/>
            <w:hideMark/>
          </w:tcPr>
          <w:p w14:paraId="6D6DCFC5" w14:textId="77777777" w:rsidR="00A33B73" w:rsidRPr="00472AAE" w:rsidRDefault="00A33B73" w:rsidP="00A33B73">
            <w:pPr>
              <w:rPr>
                <w:rFonts w:ascii="Times New Roman" w:eastAsia="Times New Roman" w:hAnsi="Times New Roman" w:cs="Times New Roman"/>
                <w:sz w:val="20"/>
                <w:szCs w:val="20"/>
              </w:rPr>
            </w:pPr>
          </w:p>
        </w:tc>
      </w:tr>
      <w:tr w:rsidR="00A33B73" w:rsidRPr="00472AAE" w14:paraId="4A303875" w14:textId="77777777" w:rsidTr="003C59F9">
        <w:trPr>
          <w:trHeight w:val="692"/>
        </w:trPr>
        <w:tc>
          <w:tcPr>
            <w:tcW w:w="207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37B88B7D" w14:textId="497A1DC6" w:rsidR="00A33B73" w:rsidRPr="00472AAE" w:rsidRDefault="00A33B73" w:rsidP="00A33B73">
            <w:pPr>
              <w:rPr>
                <w:rFonts w:eastAsia="Times New Roman"/>
                <w:color w:val="FFFFFF"/>
                <w:sz w:val="18"/>
                <w:szCs w:val="18"/>
              </w:rPr>
            </w:pPr>
            <w:r>
              <w:rPr>
                <w:color w:val="FFFFFF"/>
                <w:sz w:val="18"/>
                <w:szCs w:val="18"/>
              </w:rPr>
              <w:lastRenderedPageBreak/>
              <w:t>Income type</w:t>
            </w:r>
          </w:p>
        </w:tc>
        <w:tc>
          <w:tcPr>
            <w:tcW w:w="1214" w:type="dxa"/>
            <w:tcBorders>
              <w:top w:val="single" w:sz="4" w:space="0" w:color="auto"/>
              <w:left w:val="nil"/>
              <w:bottom w:val="single" w:sz="4" w:space="0" w:color="auto"/>
              <w:right w:val="single" w:sz="4" w:space="0" w:color="auto"/>
            </w:tcBorders>
            <w:shd w:val="clear" w:color="auto" w:fill="006B5F" w:themeFill="accent2"/>
            <w:noWrap/>
            <w:vAlign w:val="center"/>
            <w:hideMark/>
          </w:tcPr>
          <w:p w14:paraId="3DCC0F61" w14:textId="42AA8400" w:rsidR="00A33B73" w:rsidRPr="00472AAE" w:rsidRDefault="00A33B73" w:rsidP="00A33B73">
            <w:pPr>
              <w:jc w:val="right"/>
              <w:rPr>
                <w:rFonts w:eastAsia="Times New Roman"/>
                <w:color w:val="FFFFFF"/>
                <w:sz w:val="18"/>
                <w:szCs w:val="18"/>
              </w:rPr>
            </w:pPr>
            <w:r>
              <w:rPr>
                <w:color w:val="FFFFFF"/>
                <w:sz w:val="18"/>
                <w:szCs w:val="18"/>
              </w:rPr>
              <w:t>5-year average change</w:t>
            </w:r>
          </w:p>
        </w:tc>
        <w:tc>
          <w:tcPr>
            <w:tcW w:w="1214" w:type="dxa"/>
            <w:tcBorders>
              <w:top w:val="nil"/>
              <w:left w:val="nil"/>
              <w:bottom w:val="nil"/>
              <w:right w:val="nil"/>
            </w:tcBorders>
            <w:noWrap/>
            <w:vAlign w:val="bottom"/>
            <w:hideMark/>
          </w:tcPr>
          <w:p w14:paraId="5876D554" w14:textId="77777777" w:rsidR="00A33B73" w:rsidRPr="00472AAE" w:rsidRDefault="00A33B73" w:rsidP="00A33B73">
            <w:pPr>
              <w:jc w:val="right"/>
              <w:rPr>
                <w:rFonts w:eastAsia="Times New Roman"/>
                <w:color w:val="FFFFFF"/>
                <w:sz w:val="18"/>
                <w:szCs w:val="18"/>
              </w:rPr>
            </w:pPr>
          </w:p>
        </w:tc>
        <w:tc>
          <w:tcPr>
            <w:tcW w:w="1214" w:type="dxa"/>
            <w:tcBorders>
              <w:top w:val="nil"/>
              <w:left w:val="nil"/>
              <w:bottom w:val="nil"/>
              <w:right w:val="nil"/>
            </w:tcBorders>
            <w:noWrap/>
            <w:vAlign w:val="bottom"/>
            <w:hideMark/>
          </w:tcPr>
          <w:p w14:paraId="61E2D03B"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555B43AB"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293FE7F7" w14:textId="77777777" w:rsidR="00A33B73" w:rsidRPr="00472AAE" w:rsidRDefault="00A33B73" w:rsidP="00A33B73">
            <w:pPr>
              <w:rPr>
                <w:rFonts w:ascii="Times New Roman" w:eastAsia="Times New Roman" w:hAnsi="Times New Roman" w:cs="Times New Roman"/>
                <w:sz w:val="20"/>
                <w:szCs w:val="20"/>
              </w:rPr>
            </w:pPr>
          </w:p>
        </w:tc>
        <w:tc>
          <w:tcPr>
            <w:tcW w:w="1215" w:type="dxa"/>
            <w:tcBorders>
              <w:top w:val="nil"/>
              <w:left w:val="nil"/>
              <w:bottom w:val="nil"/>
              <w:right w:val="nil"/>
            </w:tcBorders>
            <w:noWrap/>
            <w:vAlign w:val="bottom"/>
            <w:hideMark/>
          </w:tcPr>
          <w:p w14:paraId="13B2B757" w14:textId="77777777" w:rsidR="00A33B73" w:rsidRPr="00472AAE" w:rsidRDefault="00A33B73" w:rsidP="00A33B73">
            <w:pPr>
              <w:rPr>
                <w:rFonts w:ascii="Times New Roman" w:eastAsia="Times New Roman" w:hAnsi="Times New Roman" w:cs="Times New Roman"/>
                <w:sz w:val="20"/>
                <w:szCs w:val="20"/>
              </w:rPr>
            </w:pPr>
          </w:p>
        </w:tc>
      </w:tr>
      <w:tr w:rsidR="00A33B73" w:rsidRPr="00472AAE" w14:paraId="49CD3E9F" w14:textId="77777777" w:rsidTr="00BD4309">
        <w:trPr>
          <w:trHeight w:val="402"/>
        </w:trPr>
        <w:tc>
          <w:tcPr>
            <w:tcW w:w="2070" w:type="dxa"/>
            <w:tcBorders>
              <w:top w:val="single" w:sz="4" w:space="0" w:color="BFBFBF"/>
              <w:left w:val="single" w:sz="4" w:space="0" w:color="auto"/>
              <w:bottom w:val="single" w:sz="4" w:space="0" w:color="BFBFBF"/>
              <w:right w:val="nil"/>
            </w:tcBorders>
            <w:noWrap/>
            <w:vAlign w:val="center"/>
            <w:hideMark/>
          </w:tcPr>
          <w:p w14:paraId="36F2AEA8" w14:textId="0DCE0981" w:rsidR="00A33B73" w:rsidRPr="00472AAE" w:rsidRDefault="00A33B73" w:rsidP="00A33B73">
            <w:pPr>
              <w:rPr>
                <w:rFonts w:eastAsia="Times New Roman"/>
                <w:color w:val="000000"/>
                <w:sz w:val="18"/>
                <w:szCs w:val="18"/>
              </w:rPr>
            </w:pPr>
            <w:r>
              <w:rPr>
                <w:color w:val="000000"/>
                <w:sz w:val="18"/>
                <w:szCs w:val="18"/>
              </w:rPr>
              <w:t>Province-wide salaries</w:t>
            </w:r>
          </w:p>
        </w:tc>
        <w:tc>
          <w:tcPr>
            <w:tcW w:w="1214" w:type="dxa"/>
            <w:tcBorders>
              <w:top w:val="single" w:sz="4" w:space="0" w:color="BFBFBF"/>
              <w:left w:val="single" w:sz="4" w:space="0" w:color="auto"/>
              <w:bottom w:val="single" w:sz="4" w:space="0" w:color="BFBFBF"/>
              <w:right w:val="single" w:sz="4" w:space="0" w:color="auto"/>
            </w:tcBorders>
            <w:noWrap/>
            <w:vAlign w:val="center"/>
            <w:hideMark/>
          </w:tcPr>
          <w:p w14:paraId="172327D1" w14:textId="64A3EE41" w:rsidR="00A33B73" w:rsidRPr="00EB7F3E" w:rsidRDefault="00A33B73" w:rsidP="00A33B73">
            <w:pPr>
              <w:jc w:val="right"/>
              <w:rPr>
                <w:rFonts w:eastAsia="Times New Roman"/>
                <w:color w:val="C00000"/>
                <w:sz w:val="18"/>
                <w:szCs w:val="18"/>
              </w:rPr>
            </w:pPr>
            <w:r w:rsidRPr="00EB7F3E">
              <w:rPr>
                <w:color w:val="C00000"/>
                <w:sz w:val="18"/>
                <w:szCs w:val="18"/>
              </w:rPr>
              <w:t>+22%</w:t>
            </w:r>
          </w:p>
        </w:tc>
        <w:tc>
          <w:tcPr>
            <w:tcW w:w="1214" w:type="dxa"/>
            <w:tcBorders>
              <w:top w:val="nil"/>
              <w:left w:val="nil"/>
              <w:bottom w:val="nil"/>
              <w:right w:val="nil"/>
            </w:tcBorders>
            <w:noWrap/>
            <w:vAlign w:val="bottom"/>
            <w:hideMark/>
          </w:tcPr>
          <w:p w14:paraId="3ABB4D06" w14:textId="77777777" w:rsidR="00A33B73" w:rsidRPr="00472AAE" w:rsidRDefault="00A33B73" w:rsidP="00A33B73">
            <w:pPr>
              <w:jc w:val="right"/>
              <w:rPr>
                <w:rFonts w:eastAsia="Times New Roman"/>
                <w:color w:val="000000"/>
                <w:sz w:val="18"/>
                <w:szCs w:val="18"/>
              </w:rPr>
            </w:pPr>
          </w:p>
        </w:tc>
        <w:tc>
          <w:tcPr>
            <w:tcW w:w="1214" w:type="dxa"/>
            <w:tcBorders>
              <w:top w:val="nil"/>
              <w:left w:val="nil"/>
              <w:bottom w:val="nil"/>
              <w:right w:val="nil"/>
            </w:tcBorders>
            <w:noWrap/>
            <w:vAlign w:val="bottom"/>
            <w:hideMark/>
          </w:tcPr>
          <w:p w14:paraId="3E86BFB0"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52749AFA"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5E6A5311" w14:textId="77777777" w:rsidR="00A33B73" w:rsidRPr="00472AAE" w:rsidRDefault="00A33B73" w:rsidP="00A33B73">
            <w:pPr>
              <w:rPr>
                <w:rFonts w:ascii="Times New Roman" w:eastAsia="Times New Roman" w:hAnsi="Times New Roman" w:cs="Times New Roman"/>
                <w:sz w:val="20"/>
                <w:szCs w:val="20"/>
              </w:rPr>
            </w:pPr>
          </w:p>
        </w:tc>
        <w:tc>
          <w:tcPr>
            <w:tcW w:w="1215" w:type="dxa"/>
            <w:tcBorders>
              <w:top w:val="nil"/>
              <w:left w:val="nil"/>
              <w:bottom w:val="nil"/>
              <w:right w:val="nil"/>
            </w:tcBorders>
            <w:noWrap/>
            <w:vAlign w:val="bottom"/>
            <w:hideMark/>
          </w:tcPr>
          <w:p w14:paraId="3001A2BF" w14:textId="77777777" w:rsidR="00A33B73" w:rsidRPr="00472AAE" w:rsidRDefault="00A33B73" w:rsidP="00A33B73">
            <w:pPr>
              <w:rPr>
                <w:rFonts w:ascii="Times New Roman" w:eastAsia="Times New Roman" w:hAnsi="Times New Roman" w:cs="Times New Roman"/>
                <w:sz w:val="20"/>
                <w:szCs w:val="20"/>
              </w:rPr>
            </w:pPr>
          </w:p>
        </w:tc>
      </w:tr>
      <w:tr w:rsidR="00A33B73" w:rsidRPr="00472AAE" w14:paraId="5FC9F150" w14:textId="77777777" w:rsidTr="00BD4309">
        <w:trPr>
          <w:trHeight w:val="402"/>
        </w:trPr>
        <w:tc>
          <w:tcPr>
            <w:tcW w:w="2070" w:type="dxa"/>
            <w:tcBorders>
              <w:top w:val="nil"/>
              <w:left w:val="single" w:sz="4" w:space="0" w:color="auto"/>
              <w:bottom w:val="single" w:sz="4" w:space="0" w:color="auto"/>
              <w:right w:val="nil"/>
            </w:tcBorders>
            <w:shd w:val="clear" w:color="000000" w:fill="F2F2F2"/>
            <w:noWrap/>
            <w:vAlign w:val="center"/>
            <w:hideMark/>
          </w:tcPr>
          <w:p w14:paraId="61E82D4E" w14:textId="6C7ED1E9" w:rsidR="00A33B73" w:rsidRPr="00472AAE" w:rsidRDefault="00A33B73" w:rsidP="00A33B73">
            <w:pPr>
              <w:rPr>
                <w:rFonts w:eastAsia="Times New Roman"/>
                <w:color w:val="000000"/>
                <w:sz w:val="18"/>
                <w:szCs w:val="18"/>
              </w:rPr>
            </w:pPr>
            <w:r>
              <w:rPr>
                <w:color w:val="000000"/>
                <w:sz w:val="18"/>
                <w:szCs w:val="18"/>
              </w:rPr>
              <w:t>Province-wide wages</w:t>
            </w:r>
          </w:p>
        </w:tc>
        <w:tc>
          <w:tcPr>
            <w:tcW w:w="1214" w:type="dxa"/>
            <w:tcBorders>
              <w:top w:val="nil"/>
              <w:left w:val="single" w:sz="4" w:space="0" w:color="auto"/>
              <w:bottom w:val="single" w:sz="4" w:space="0" w:color="auto"/>
              <w:right w:val="single" w:sz="4" w:space="0" w:color="auto"/>
            </w:tcBorders>
            <w:shd w:val="clear" w:color="000000" w:fill="F2F2F2"/>
            <w:noWrap/>
            <w:vAlign w:val="center"/>
            <w:hideMark/>
          </w:tcPr>
          <w:p w14:paraId="231EF77C" w14:textId="552B08DB" w:rsidR="00A33B73" w:rsidRPr="00EB7F3E" w:rsidRDefault="00A33B73" w:rsidP="00A33B73">
            <w:pPr>
              <w:jc w:val="right"/>
              <w:rPr>
                <w:rFonts w:eastAsia="Times New Roman"/>
                <w:color w:val="C00000"/>
                <w:sz w:val="18"/>
                <w:szCs w:val="18"/>
              </w:rPr>
            </w:pPr>
            <w:r w:rsidRPr="00EB7F3E">
              <w:rPr>
                <w:color w:val="C00000"/>
                <w:sz w:val="18"/>
                <w:szCs w:val="18"/>
              </w:rPr>
              <w:t>+26%</w:t>
            </w:r>
          </w:p>
        </w:tc>
        <w:tc>
          <w:tcPr>
            <w:tcW w:w="1214" w:type="dxa"/>
            <w:tcBorders>
              <w:top w:val="nil"/>
              <w:left w:val="nil"/>
              <w:bottom w:val="nil"/>
              <w:right w:val="nil"/>
            </w:tcBorders>
            <w:noWrap/>
            <w:vAlign w:val="bottom"/>
            <w:hideMark/>
          </w:tcPr>
          <w:p w14:paraId="760903F8" w14:textId="77777777" w:rsidR="00A33B73" w:rsidRPr="00472AAE" w:rsidRDefault="00A33B73" w:rsidP="00A33B73">
            <w:pPr>
              <w:jc w:val="right"/>
              <w:rPr>
                <w:rFonts w:eastAsia="Times New Roman"/>
                <w:color w:val="000000"/>
                <w:sz w:val="18"/>
                <w:szCs w:val="18"/>
              </w:rPr>
            </w:pPr>
          </w:p>
        </w:tc>
        <w:tc>
          <w:tcPr>
            <w:tcW w:w="1214" w:type="dxa"/>
            <w:tcBorders>
              <w:top w:val="nil"/>
              <w:left w:val="nil"/>
              <w:bottom w:val="nil"/>
              <w:right w:val="nil"/>
            </w:tcBorders>
            <w:noWrap/>
            <w:vAlign w:val="bottom"/>
            <w:hideMark/>
          </w:tcPr>
          <w:p w14:paraId="52EA3C93"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7F22BA6D" w14:textId="77777777" w:rsidR="00A33B73" w:rsidRPr="00472AAE" w:rsidRDefault="00A33B73" w:rsidP="00A33B73">
            <w:pPr>
              <w:rPr>
                <w:rFonts w:ascii="Times New Roman" w:eastAsia="Times New Roman" w:hAnsi="Times New Roman" w:cs="Times New Roman"/>
                <w:sz w:val="20"/>
                <w:szCs w:val="20"/>
              </w:rPr>
            </w:pPr>
          </w:p>
        </w:tc>
        <w:tc>
          <w:tcPr>
            <w:tcW w:w="1214" w:type="dxa"/>
            <w:tcBorders>
              <w:top w:val="nil"/>
              <w:left w:val="nil"/>
              <w:bottom w:val="nil"/>
              <w:right w:val="nil"/>
            </w:tcBorders>
            <w:noWrap/>
            <w:vAlign w:val="bottom"/>
            <w:hideMark/>
          </w:tcPr>
          <w:p w14:paraId="7256DE6E" w14:textId="77777777" w:rsidR="00A33B73" w:rsidRPr="00472AAE" w:rsidRDefault="00A33B73" w:rsidP="00A33B73">
            <w:pPr>
              <w:rPr>
                <w:rFonts w:ascii="Times New Roman" w:eastAsia="Times New Roman" w:hAnsi="Times New Roman" w:cs="Times New Roman"/>
                <w:sz w:val="20"/>
                <w:szCs w:val="20"/>
              </w:rPr>
            </w:pPr>
          </w:p>
        </w:tc>
        <w:tc>
          <w:tcPr>
            <w:tcW w:w="1215" w:type="dxa"/>
            <w:tcBorders>
              <w:top w:val="nil"/>
              <w:left w:val="nil"/>
              <w:bottom w:val="nil"/>
              <w:right w:val="nil"/>
            </w:tcBorders>
            <w:noWrap/>
            <w:vAlign w:val="bottom"/>
            <w:hideMark/>
          </w:tcPr>
          <w:p w14:paraId="09A02577" w14:textId="77777777" w:rsidR="00A33B73" w:rsidRPr="00472AAE" w:rsidRDefault="00A33B73" w:rsidP="00A33B73">
            <w:pPr>
              <w:rPr>
                <w:rFonts w:ascii="Times New Roman" w:eastAsia="Times New Roman" w:hAnsi="Times New Roman" w:cs="Times New Roman"/>
                <w:sz w:val="20"/>
                <w:szCs w:val="20"/>
              </w:rPr>
            </w:pPr>
          </w:p>
        </w:tc>
      </w:tr>
    </w:tbl>
    <w:p w14:paraId="39A2FDF3" w14:textId="377A8A5C" w:rsidR="0029138E" w:rsidRPr="00354CBD" w:rsidRDefault="0029138E" w:rsidP="0029138E">
      <w:pPr>
        <w:pStyle w:val="Source"/>
      </w:pPr>
      <w:r w:rsidRPr="00354CBD">
        <w:t>Source:</w:t>
      </w:r>
      <w:r w:rsidR="00BC550A">
        <w:t xml:space="preserve"> for PEI – </w:t>
      </w:r>
      <w:r w:rsidR="00B457AC">
        <w:t>PEI</w:t>
      </w:r>
      <w:r w:rsidR="00CE757C">
        <w:t>REA</w:t>
      </w:r>
      <w:r w:rsidR="00B457AC">
        <w:t xml:space="preserve"> MLS®</w:t>
      </w:r>
      <w:r w:rsidR="00216AA0">
        <w:t xml:space="preserve"> and Statistics Canada Table </w:t>
      </w:r>
      <w:r w:rsidR="00216AA0" w:rsidRPr="00EC0D24">
        <w:t>14-10-0204</w:t>
      </w:r>
      <w:r w:rsidR="00203304">
        <w:t>, for elsewhere – to be determined</w:t>
      </w:r>
    </w:p>
    <w:p w14:paraId="7DA6C02E" w14:textId="77777777" w:rsidR="009B28D6" w:rsidRDefault="009B28D6" w:rsidP="0029138E"/>
    <w:p w14:paraId="09D278C0" w14:textId="142D701C" w:rsidR="00411707" w:rsidRDefault="00411707" w:rsidP="00411707">
      <w:pPr>
        <w:jc w:val="both"/>
      </w:pPr>
      <w:r>
        <w:t xml:space="preserve">A community where prices have grown faster than the </w:t>
      </w:r>
      <w:r w:rsidR="00ED27FC">
        <w:t>broader</w:t>
      </w:r>
      <w:r>
        <w:t xml:space="preserve"> average</w:t>
      </w:r>
      <w:r w:rsidR="00951616">
        <w:t xml:space="preserve"> may </w:t>
      </w:r>
      <w:r w:rsidR="00ED27FC">
        <w:t>experience</w:t>
      </w:r>
      <w:r>
        <w:t xml:space="preserve"> </w:t>
      </w:r>
      <w:r w:rsidR="00ED27FC">
        <w:t>rising</w:t>
      </w:r>
      <w:r>
        <w:t xml:space="preserve"> affordability erosion relative to </w:t>
      </w:r>
      <w:r w:rsidR="00ED27FC">
        <w:t>other</w:t>
      </w:r>
      <w:r>
        <w:t xml:space="preserve"> areas, often reflecting a supply-demand imbalance.</w:t>
      </w:r>
    </w:p>
    <w:p w14:paraId="40838D79" w14:textId="77777777" w:rsidR="00411707" w:rsidRDefault="00411707" w:rsidP="00411707">
      <w:pPr>
        <w:jc w:val="both"/>
      </w:pPr>
    </w:p>
    <w:p w14:paraId="6A6F25C1" w14:textId="4A284F2A" w:rsidR="00411707" w:rsidRDefault="00411707" w:rsidP="00411707">
      <w:pPr>
        <w:jc w:val="both"/>
      </w:pPr>
      <w:r>
        <w:t>Price changes disaggregated by unit size reveal which segments of the ownership market have seen the sharpest appreciation. Faster price growth in smaller, lower-priced units</w:t>
      </w:r>
      <w:r w:rsidR="007D52BE">
        <w:t xml:space="preserve"> (</w:t>
      </w:r>
      <w:r>
        <w:t>typically the entry-level ownership segment accessible to younger and lower-income buyers such as condominiums</w:t>
      </w:r>
      <w:r w:rsidR="00951616">
        <w:t xml:space="preserve"> or mobile homes</w:t>
      </w:r>
      <w:r w:rsidR="007D52BE">
        <w:t>)</w:t>
      </w:r>
      <w:r>
        <w:t xml:space="preserve"> </w:t>
      </w:r>
      <w:r w:rsidR="002C64B2">
        <w:t>can be concerning</w:t>
      </w:r>
      <w:r>
        <w:t>, as it erodes the most accessible pathway into ownership. Conversely, disproportionate appreciation in larger units may push family-sized ownership housing beyond the reach of moderate-income households, increasing pressure on the rental market from households who would otherwise transition into ownership.</w:t>
      </w:r>
    </w:p>
    <w:p w14:paraId="51AFB7A1" w14:textId="77777777" w:rsidR="00411707" w:rsidRDefault="00411707" w:rsidP="00411707">
      <w:pPr>
        <w:jc w:val="both"/>
      </w:pPr>
    </w:p>
    <w:p w14:paraId="0EA928DD" w14:textId="6ED985B5" w:rsidR="00EC70BA" w:rsidRDefault="00411707" w:rsidP="00411707">
      <w:pPr>
        <w:jc w:val="both"/>
      </w:pPr>
      <w:r>
        <w:t>Local prices below regional averages can appear to signal affordability, but this comparison is meaningful only when paired with local income</w:t>
      </w:r>
      <w:r w:rsidR="00C071EB">
        <w:t>s</w:t>
      </w:r>
      <w:r>
        <w:t>: a</w:t>
      </w:r>
      <w:r w:rsidR="00C071EB">
        <w:t xml:space="preserve">n area </w:t>
      </w:r>
      <w:r>
        <w:t xml:space="preserve">with lower prices but also </w:t>
      </w:r>
      <w:r w:rsidR="00C071EB">
        <w:t>much</w:t>
      </w:r>
      <w:r>
        <w:t xml:space="preserve"> lower incomes may be no more affordable in practice than a higher-priced market with higher wages.</w:t>
      </w:r>
      <w:r w:rsidR="00D258A4">
        <w:t xml:space="preserve"> </w:t>
      </w:r>
    </w:p>
    <w:p w14:paraId="20563F20" w14:textId="77777777" w:rsidR="00411707" w:rsidRDefault="00411707" w:rsidP="00411707"/>
    <w:p w14:paraId="43349E79" w14:textId="0CE8D7B3" w:rsidR="009962D2" w:rsidRDefault="009962D2">
      <w:pPr>
        <w:pStyle w:val="Heading2"/>
      </w:pPr>
      <w:bookmarkStart w:id="54" w:name="_Toc223686646"/>
      <w:bookmarkStart w:id="55" w:name="_Toc237355944"/>
      <w:r>
        <w:t>AFFORDABLE</w:t>
      </w:r>
      <w:r w:rsidR="00DC1550">
        <w:t xml:space="preserve"> HOUSING</w:t>
      </w:r>
      <w:bookmarkEnd w:id="54"/>
      <w:bookmarkEnd w:id="55"/>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1907A7" w:rsidRPr="00500457" w14:paraId="758E80A7" w14:textId="77777777" w:rsidTr="009A4107">
        <w:trPr>
          <w:trHeight w:val="360"/>
        </w:trPr>
        <w:tc>
          <w:tcPr>
            <w:tcW w:w="1345" w:type="dxa"/>
            <w:shd w:val="clear" w:color="auto" w:fill="5F2ADF" w:themeFill="accent4" w:themeFillTint="80"/>
            <w:vAlign w:val="center"/>
          </w:tcPr>
          <w:p w14:paraId="2AD49B54" w14:textId="7EBCA8E3" w:rsidR="001907A7"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3957BA2F" w14:textId="77777777" w:rsidR="001907A7" w:rsidRPr="003A2EA5" w:rsidRDefault="001907A7"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1907A7" w:rsidRPr="00500457" w14:paraId="167B189C" w14:textId="77777777" w:rsidTr="001D5F85">
        <w:trPr>
          <w:trHeight w:val="1097"/>
        </w:trPr>
        <w:tc>
          <w:tcPr>
            <w:tcW w:w="1345" w:type="dxa"/>
            <w:shd w:val="clear" w:color="auto" w:fill="DED3F8" w:themeFill="accent4" w:themeFillTint="1A"/>
            <w:vAlign w:val="center"/>
          </w:tcPr>
          <w:p w14:paraId="76EA6FDD" w14:textId="63050E88" w:rsidR="001907A7" w:rsidRPr="00500457" w:rsidRDefault="001907A7" w:rsidP="009A4107">
            <w:pPr>
              <w:rPr>
                <w:sz w:val="20"/>
                <w:szCs w:val="20"/>
              </w:rPr>
            </w:pPr>
            <w:r>
              <w:rPr>
                <w:sz w:val="20"/>
                <w:szCs w:val="20"/>
              </w:rPr>
              <w:t>5.3</w:t>
            </w:r>
          </w:p>
        </w:tc>
        <w:tc>
          <w:tcPr>
            <w:tcW w:w="8005" w:type="dxa"/>
            <w:shd w:val="clear" w:color="auto" w:fill="DED3F8" w:themeFill="accent4" w:themeFillTint="1A"/>
            <w:vAlign w:val="center"/>
          </w:tcPr>
          <w:p w14:paraId="1AD27264" w14:textId="0399C7C0" w:rsidR="001907A7" w:rsidRPr="00500457" w:rsidRDefault="001907A7" w:rsidP="009A4107">
            <w:pPr>
              <w:rPr>
                <w:sz w:val="20"/>
                <w:szCs w:val="20"/>
              </w:rPr>
            </w:pPr>
            <w:r w:rsidRPr="001907A7">
              <w:rPr>
                <w:sz w:val="20"/>
                <w:szCs w:val="20"/>
              </w:rPr>
              <w:t>In the last five years, how many affordable units for low and very low-income households have been built, and how many have been lost? If data is not available, please describe how the loss of affordable housing units may have impacted your community, or territory and its communities.</w:t>
            </w:r>
          </w:p>
        </w:tc>
      </w:tr>
    </w:tbl>
    <w:p w14:paraId="286F8115" w14:textId="77777777" w:rsidR="00C73C80" w:rsidRDefault="00C73C80" w:rsidP="00C73C80"/>
    <w:p w14:paraId="0AEA2036" w14:textId="591B859A" w:rsidR="009962D2" w:rsidRDefault="00E77BBE" w:rsidP="00E77BBE">
      <w:pPr>
        <w:pStyle w:val="Heading3"/>
      </w:pPr>
      <w:r>
        <w:t>Overall Inventory</w:t>
      </w:r>
    </w:p>
    <w:p w14:paraId="36BADE28" w14:textId="5E43EB4B" w:rsidR="007254B5" w:rsidRDefault="004B7858" w:rsidP="004B7858">
      <w:pPr>
        <w:jc w:val="both"/>
      </w:pPr>
      <w:r w:rsidRPr="004B7858">
        <w:rPr>
          <w:rStyle w:val="Figure-textChar"/>
        </w:rPr>
        <w:fldChar w:fldCharType="begin"/>
      </w:r>
      <w:r w:rsidRPr="004B7858">
        <w:rPr>
          <w:rStyle w:val="Figure-textChar"/>
        </w:rPr>
        <w:instrText xml:space="preserve"> REF _Ref223276151 \h </w:instrText>
      </w:r>
      <w:r>
        <w:rPr>
          <w:rStyle w:val="Figure-textChar"/>
        </w:rPr>
        <w:instrText xml:space="preserve"> \* MERGEFORMAT </w:instrText>
      </w:r>
      <w:r w:rsidRPr="004B7858">
        <w:rPr>
          <w:rStyle w:val="Figure-textChar"/>
        </w:rPr>
      </w:r>
      <w:r w:rsidRPr="004B7858">
        <w:rPr>
          <w:rStyle w:val="Figure-textChar"/>
        </w:rPr>
        <w:fldChar w:fldCharType="separate"/>
      </w:r>
      <w:r w:rsidR="00CA6116" w:rsidRPr="00CA6116">
        <w:rPr>
          <w:rStyle w:val="Figure-textChar"/>
        </w:rPr>
        <w:t>Table 6.8</w:t>
      </w:r>
      <w:r w:rsidRPr="004B7858">
        <w:rPr>
          <w:rStyle w:val="Figure-textChar"/>
        </w:rPr>
        <w:fldChar w:fldCharType="end"/>
      </w:r>
      <w:r>
        <w:t xml:space="preserve"> </w:t>
      </w:r>
      <w:r w:rsidR="00B371EB" w:rsidRPr="00B371EB">
        <w:t xml:space="preserve">estimates the share of existing rental units that are affordable to </w:t>
      </w:r>
      <w:r w:rsidR="00BD7490">
        <w:t>very low</w:t>
      </w:r>
      <w:r w:rsidR="00867CFC">
        <w:t>-</w:t>
      </w:r>
      <w:r w:rsidR="00B371EB" w:rsidRPr="00B371EB">
        <w:t xml:space="preserve"> and </w:t>
      </w:r>
      <w:r w:rsidR="00BD7490">
        <w:t>low-</w:t>
      </w:r>
      <w:r w:rsidR="00B371EB" w:rsidRPr="00B371EB">
        <w:t xml:space="preserve">income households, </w:t>
      </w:r>
      <w:r w:rsidR="006E6F3B">
        <w:t>placing</w:t>
      </w:r>
      <w:r w:rsidR="00B371EB" w:rsidRPr="00B371EB">
        <w:t xml:space="preserve"> the local affordable rental supply within </w:t>
      </w:r>
      <w:r w:rsidR="006E6F3B">
        <w:t>broader</w:t>
      </w:r>
      <w:r w:rsidR="00B371EB" w:rsidRPr="00B371EB">
        <w:t xml:space="preserve"> context and establishing the baseline from which change is measured.</w:t>
      </w:r>
      <w:r w:rsidR="006E6F3B">
        <w:t xml:space="preserve"> Data and methodologies </w:t>
      </w:r>
      <w:r w:rsidR="00B173B0">
        <w:t xml:space="preserve">for the below table and those proceeding it </w:t>
      </w:r>
      <w:r w:rsidR="006E6F3B">
        <w:t>are</w:t>
      </w:r>
      <w:r w:rsidR="00B173B0">
        <w:t xml:space="preserve"> all</w:t>
      </w:r>
      <w:r w:rsidR="006E6F3B">
        <w:t xml:space="preserve"> sourced from the Housing Assessment Resource Tool (HART)</w:t>
      </w:r>
      <w:r w:rsidR="00B173B0">
        <w:t xml:space="preserve"> using 2021 Census data.</w:t>
      </w:r>
    </w:p>
    <w:p w14:paraId="44478EAC" w14:textId="77777777" w:rsidR="004B7858" w:rsidRDefault="004B7858" w:rsidP="009962D2"/>
    <w:p w14:paraId="1A0DA814" w14:textId="6064A059" w:rsidR="00E77BBE" w:rsidRDefault="00E77BBE" w:rsidP="00E77BBE">
      <w:pPr>
        <w:pStyle w:val="Caption"/>
      </w:pPr>
      <w:bookmarkStart w:id="56" w:name="_Ref223276151"/>
      <w:r>
        <w:t xml:space="preserve">Table </w:t>
      </w:r>
      <w:fldSimple w:instr=" STYLEREF 1 \s ">
        <w:r w:rsidR="005E459C">
          <w:rPr>
            <w:noProof/>
          </w:rPr>
          <w:t>6</w:t>
        </w:r>
      </w:fldSimple>
      <w:r w:rsidR="00BD4359">
        <w:t>.</w:t>
      </w:r>
      <w:fldSimple w:instr=" SEQ Table \* ARABIC \s 1 ">
        <w:r w:rsidR="005E459C">
          <w:rPr>
            <w:noProof/>
          </w:rPr>
          <w:t>8</w:t>
        </w:r>
      </w:fldSimple>
      <w:bookmarkEnd w:id="56"/>
      <w:r>
        <w:t xml:space="preserve">: Rental units afforded by </w:t>
      </w:r>
      <w:r w:rsidR="006004F3">
        <w:t>very</w:t>
      </w:r>
      <w:r w:rsidR="0051490E">
        <w:t xml:space="preserve"> </w:t>
      </w:r>
      <w:r>
        <w:t>low</w:t>
      </w:r>
      <w:r w:rsidR="0051490E">
        <w:t>-</w:t>
      </w:r>
      <w:r>
        <w:t xml:space="preserve"> and </w:t>
      </w:r>
      <w:r w:rsidR="00BD7490">
        <w:t>low-income</w:t>
      </w:r>
      <w:r>
        <w:t xml:space="preserve"> households by geography, 2021</w:t>
      </w:r>
    </w:p>
    <w:tbl>
      <w:tblPr>
        <w:tblW w:w="9355" w:type="dxa"/>
        <w:tblLayout w:type="fixed"/>
        <w:tblLook w:val="04A0" w:firstRow="1" w:lastRow="0" w:firstColumn="1" w:lastColumn="0" w:noHBand="0" w:noVBand="1"/>
      </w:tblPr>
      <w:tblGrid>
        <w:gridCol w:w="5755"/>
        <w:gridCol w:w="1200"/>
        <w:gridCol w:w="1200"/>
        <w:gridCol w:w="1200"/>
      </w:tblGrid>
      <w:tr w:rsidR="00EA5699" w:rsidRPr="00EA5699" w14:paraId="1D5C77A8" w14:textId="77777777" w:rsidTr="003C59F9">
        <w:trPr>
          <w:trHeight w:val="402"/>
          <w:tblHeader/>
        </w:trPr>
        <w:tc>
          <w:tcPr>
            <w:tcW w:w="575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7D965194" w14:textId="77777777" w:rsidR="00EA5699" w:rsidRPr="00EA5699" w:rsidRDefault="00EA5699" w:rsidP="00EA5699">
            <w:pPr>
              <w:rPr>
                <w:rFonts w:eastAsia="Times New Roman"/>
                <w:color w:val="FFFFFF"/>
                <w:sz w:val="18"/>
                <w:szCs w:val="18"/>
              </w:rPr>
            </w:pPr>
            <w:r w:rsidRPr="00EA5699">
              <w:rPr>
                <w:rFonts w:eastAsia="Times New Roman"/>
                <w:color w:val="FFFFFF"/>
                <w:sz w:val="18"/>
                <w:szCs w:val="18"/>
              </w:rPr>
              <w:t>Variable</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AC49354" w14:textId="77777777" w:rsidR="00EA5699" w:rsidRPr="00EA5699" w:rsidRDefault="00EA5699" w:rsidP="00EA5699">
            <w:pPr>
              <w:jc w:val="right"/>
              <w:rPr>
                <w:rFonts w:eastAsia="Times New Roman"/>
                <w:color w:val="FFFFFF"/>
                <w:sz w:val="18"/>
                <w:szCs w:val="18"/>
              </w:rPr>
            </w:pPr>
            <w:r w:rsidRPr="00EA5699">
              <w:rPr>
                <w:rFonts w:eastAsia="Times New Roman"/>
                <w:color w:val="FFFFFF"/>
                <w:sz w:val="18"/>
                <w:szCs w:val="18"/>
              </w:rPr>
              <w:t>Local</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254BB08" w14:textId="77777777" w:rsidR="00EA5699" w:rsidRPr="00EA5699" w:rsidRDefault="00EA5699" w:rsidP="00EA5699">
            <w:pPr>
              <w:jc w:val="right"/>
              <w:rPr>
                <w:rFonts w:eastAsia="Times New Roman"/>
                <w:color w:val="FFFFFF"/>
                <w:sz w:val="18"/>
                <w:szCs w:val="18"/>
              </w:rPr>
            </w:pPr>
            <w:r w:rsidRPr="00EA5699">
              <w:rPr>
                <w:rFonts w:eastAsia="Times New Roman"/>
                <w:color w:val="FFFFFF"/>
                <w:sz w:val="18"/>
                <w:szCs w:val="18"/>
              </w:rPr>
              <w:t>Region</w:t>
            </w:r>
          </w:p>
        </w:tc>
        <w:tc>
          <w:tcPr>
            <w:tcW w:w="12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798009D" w14:textId="77777777" w:rsidR="00EA5699" w:rsidRPr="00EA5699" w:rsidRDefault="00EA5699" w:rsidP="00EA5699">
            <w:pPr>
              <w:jc w:val="right"/>
              <w:rPr>
                <w:rFonts w:eastAsia="Times New Roman"/>
                <w:color w:val="FFFFFF"/>
                <w:sz w:val="18"/>
                <w:szCs w:val="18"/>
              </w:rPr>
            </w:pPr>
            <w:r w:rsidRPr="00EA5699">
              <w:rPr>
                <w:rFonts w:eastAsia="Times New Roman"/>
                <w:color w:val="FFFFFF"/>
                <w:sz w:val="18"/>
                <w:szCs w:val="18"/>
              </w:rPr>
              <w:t>Province</w:t>
            </w:r>
          </w:p>
        </w:tc>
      </w:tr>
      <w:tr w:rsidR="00EA5699" w:rsidRPr="00EA5699" w14:paraId="77E34316" w14:textId="77777777" w:rsidTr="008651E8">
        <w:trPr>
          <w:trHeight w:val="402"/>
        </w:trPr>
        <w:tc>
          <w:tcPr>
            <w:tcW w:w="5755"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7F671BCE" w14:textId="77777777" w:rsidR="00EA5699" w:rsidRPr="00EA5699" w:rsidRDefault="00EA5699" w:rsidP="00EA5699">
            <w:pPr>
              <w:rPr>
                <w:rFonts w:eastAsia="Times New Roman"/>
                <w:color w:val="0D0D0D"/>
                <w:sz w:val="18"/>
                <w:szCs w:val="18"/>
              </w:rPr>
            </w:pPr>
            <w:r w:rsidRPr="00EA5699">
              <w:rPr>
                <w:rFonts w:eastAsia="Times New Roman"/>
                <w:color w:val="0D0D0D"/>
                <w:sz w:val="18"/>
                <w:szCs w:val="18"/>
              </w:rPr>
              <w:t>Total rental units</w:t>
            </w:r>
          </w:p>
        </w:tc>
        <w:tc>
          <w:tcPr>
            <w:tcW w:w="1200" w:type="dxa"/>
            <w:tcBorders>
              <w:top w:val="nil"/>
              <w:left w:val="nil"/>
              <w:bottom w:val="single" w:sz="4" w:space="0" w:color="auto"/>
              <w:right w:val="single" w:sz="4" w:space="0" w:color="BFBFBF"/>
            </w:tcBorders>
            <w:shd w:val="clear" w:color="000000" w:fill="F2F2F2"/>
            <w:noWrap/>
            <w:vAlign w:val="center"/>
            <w:hideMark/>
          </w:tcPr>
          <w:p w14:paraId="31A29B62"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9,230</w:t>
            </w:r>
          </w:p>
        </w:tc>
        <w:tc>
          <w:tcPr>
            <w:tcW w:w="1200" w:type="dxa"/>
            <w:tcBorders>
              <w:top w:val="nil"/>
              <w:left w:val="nil"/>
              <w:bottom w:val="single" w:sz="4" w:space="0" w:color="auto"/>
              <w:right w:val="single" w:sz="4" w:space="0" w:color="BFBFBF"/>
            </w:tcBorders>
            <w:shd w:val="clear" w:color="000000" w:fill="F2F2F2"/>
            <w:noWrap/>
            <w:vAlign w:val="center"/>
            <w:hideMark/>
          </w:tcPr>
          <w:p w14:paraId="462FC7A8"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12,805</w:t>
            </w:r>
          </w:p>
        </w:tc>
        <w:tc>
          <w:tcPr>
            <w:tcW w:w="1200" w:type="dxa"/>
            <w:tcBorders>
              <w:top w:val="nil"/>
              <w:left w:val="nil"/>
              <w:bottom w:val="single" w:sz="4" w:space="0" w:color="auto"/>
              <w:right w:val="single" w:sz="4" w:space="0" w:color="auto"/>
            </w:tcBorders>
            <w:shd w:val="clear" w:color="000000" w:fill="F2F2F2"/>
            <w:noWrap/>
            <w:vAlign w:val="center"/>
            <w:hideMark/>
          </w:tcPr>
          <w:p w14:paraId="320B55B1"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19,870</w:t>
            </w:r>
          </w:p>
        </w:tc>
      </w:tr>
      <w:tr w:rsidR="00EA5699" w:rsidRPr="00EA5699" w14:paraId="03707EFB" w14:textId="77777777" w:rsidTr="008651E8">
        <w:trPr>
          <w:trHeight w:val="402"/>
        </w:trPr>
        <w:tc>
          <w:tcPr>
            <w:tcW w:w="5755" w:type="dxa"/>
            <w:tcBorders>
              <w:top w:val="nil"/>
              <w:left w:val="single" w:sz="4" w:space="0" w:color="auto"/>
              <w:bottom w:val="single" w:sz="4" w:space="0" w:color="BFBFBF"/>
              <w:right w:val="single" w:sz="4" w:space="0" w:color="000000"/>
            </w:tcBorders>
            <w:noWrap/>
            <w:vAlign w:val="center"/>
            <w:hideMark/>
          </w:tcPr>
          <w:p w14:paraId="64919063" w14:textId="286F8A86" w:rsidR="00EA5699" w:rsidRPr="00EA5699" w:rsidRDefault="00EA5699" w:rsidP="00EA5699">
            <w:pPr>
              <w:rPr>
                <w:rFonts w:eastAsia="Times New Roman"/>
                <w:color w:val="0D0D0D"/>
                <w:sz w:val="18"/>
                <w:szCs w:val="18"/>
              </w:rPr>
            </w:pPr>
            <w:r w:rsidRPr="00EA5699">
              <w:rPr>
                <w:rFonts w:eastAsia="Times New Roman"/>
                <w:color w:val="0D0D0D"/>
                <w:sz w:val="18"/>
                <w:szCs w:val="18"/>
              </w:rPr>
              <w:t>Rental units afforded by very</w:t>
            </w:r>
            <w:r w:rsidR="00305B3A">
              <w:rPr>
                <w:rFonts w:eastAsia="Times New Roman"/>
                <w:color w:val="0D0D0D"/>
                <w:sz w:val="18"/>
                <w:szCs w:val="18"/>
              </w:rPr>
              <w:t xml:space="preserve"> </w:t>
            </w:r>
            <w:r w:rsidR="00BD7490">
              <w:rPr>
                <w:rFonts w:eastAsia="Times New Roman"/>
                <w:color w:val="0D0D0D"/>
                <w:sz w:val="18"/>
                <w:szCs w:val="18"/>
              </w:rPr>
              <w:t>low-income</w:t>
            </w:r>
            <w:r w:rsidRPr="00EA5699">
              <w:rPr>
                <w:rFonts w:eastAsia="Times New Roman"/>
                <w:color w:val="0D0D0D"/>
                <w:sz w:val="18"/>
                <w:szCs w:val="18"/>
              </w:rPr>
              <w:t xml:space="preserve"> households</w:t>
            </w:r>
          </w:p>
        </w:tc>
        <w:tc>
          <w:tcPr>
            <w:tcW w:w="1200" w:type="dxa"/>
            <w:tcBorders>
              <w:top w:val="nil"/>
              <w:left w:val="nil"/>
              <w:bottom w:val="single" w:sz="4" w:space="0" w:color="BFBFBF"/>
              <w:right w:val="single" w:sz="4" w:space="0" w:color="BFBFBF"/>
            </w:tcBorders>
            <w:noWrap/>
            <w:vAlign w:val="center"/>
            <w:hideMark/>
          </w:tcPr>
          <w:p w14:paraId="3F5D074C"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360</w:t>
            </w:r>
          </w:p>
        </w:tc>
        <w:tc>
          <w:tcPr>
            <w:tcW w:w="1200" w:type="dxa"/>
            <w:tcBorders>
              <w:top w:val="nil"/>
              <w:left w:val="nil"/>
              <w:bottom w:val="single" w:sz="4" w:space="0" w:color="BFBFBF"/>
              <w:right w:val="single" w:sz="4" w:space="0" w:color="BFBFBF"/>
            </w:tcBorders>
            <w:noWrap/>
            <w:vAlign w:val="center"/>
            <w:hideMark/>
          </w:tcPr>
          <w:p w14:paraId="6EEDC693"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960</w:t>
            </w:r>
          </w:p>
        </w:tc>
        <w:tc>
          <w:tcPr>
            <w:tcW w:w="1200" w:type="dxa"/>
            <w:tcBorders>
              <w:top w:val="nil"/>
              <w:left w:val="nil"/>
              <w:bottom w:val="single" w:sz="4" w:space="0" w:color="BFBFBF"/>
              <w:right w:val="single" w:sz="4" w:space="0" w:color="auto"/>
            </w:tcBorders>
            <w:noWrap/>
            <w:vAlign w:val="center"/>
            <w:hideMark/>
          </w:tcPr>
          <w:p w14:paraId="32E7D8AF"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1,355</w:t>
            </w:r>
          </w:p>
        </w:tc>
      </w:tr>
      <w:tr w:rsidR="00EA5699" w:rsidRPr="00EA5699" w14:paraId="6CAB7BAA" w14:textId="77777777" w:rsidTr="008651E8">
        <w:trPr>
          <w:trHeight w:val="402"/>
        </w:trPr>
        <w:tc>
          <w:tcPr>
            <w:tcW w:w="5755" w:type="dxa"/>
            <w:tcBorders>
              <w:top w:val="single" w:sz="4" w:space="0" w:color="BFBFBF"/>
              <w:left w:val="single" w:sz="4" w:space="0" w:color="auto"/>
              <w:bottom w:val="nil"/>
              <w:right w:val="single" w:sz="4" w:space="0" w:color="000000"/>
            </w:tcBorders>
            <w:shd w:val="clear" w:color="000000" w:fill="F2F2F2"/>
            <w:noWrap/>
            <w:vAlign w:val="center"/>
            <w:hideMark/>
          </w:tcPr>
          <w:p w14:paraId="0DC408A7" w14:textId="7CCFD168" w:rsidR="00EA5699" w:rsidRPr="00EA5699" w:rsidRDefault="00EA5699" w:rsidP="00EA5699">
            <w:pPr>
              <w:rPr>
                <w:rFonts w:eastAsia="Times New Roman"/>
                <w:color w:val="0D0D0D"/>
                <w:sz w:val="18"/>
                <w:szCs w:val="18"/>
              </w:rPr>
            </w:pPr>
            <w:r w:rsidRPr="00EA5699">
              <w:rPr>
                <w:rFonts w:eastAsia="Times New Roman"/>
                <w:color w:val="0D0D0D"/>
                <w:sz w:val="18"/>
                <w:szCs w:val="18"/>
              </w:rPr>
              <w:t xml:space="preserve">Rental units afforded by </w:t>
            </w:r>
            <w:r w:rsidR="00BD7490">
              <w:rPr>
                <w:rFonts w:eastAsia="Times New Roman"/>
                <w:color w:val="0D0D0D"/>
                <w:sz w:val="18"/>
                <w:szCs w:val="18"/>
              </w:rPr>
              <w:t>low-income</w:t>
            </w:r>
            <w:r w:rsidRPr="00EA5699">
              <w:rPr>
                <w:rFonts w:eastAsia="Times New Roman"/>
                <w:color w:val="0D0D0D"/>
                <w:sz w:val="18"/>
                <w:szCs w:val="18"/>
              </w:rPr>
              <w:t xml:space="preserve"> households</w:t>
            </w:r>
          </w:p>
        </w:tc>
        <w:tc>
          <w:tcPr>
            <w:tcW w:w="1200" w:type="dxa"/>
            <w:tcBorders>
              <w:top w:val="nil"/>
              <w:left w:val="nil"/>
              <w:bottom w:val="nil"/>
              <w:right w:val="single" w:sz="4" w:space="0" w:color="BFBFBF"/>
            </w:tcBorders>
            <w:shd w:val="clear" w:color="000000" w:fill="F2F2F2"/>
            <w:noWrap/>
            <w:vAlign w:val="center"/>
            <w:hideMark/>
          </w:tcPr>
          <w:p w14:paraId="348C9B40"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2,635</w:t>
            </w:r>
          </w:p>
        </w:tc>
        <w:tc>
          <w:tcPr>
            <w:tcW w:w="1200" w:type="dxa"/>
            <w:tcBorders>
              <w:top w:val="nil"/>
              <w:left w:val="nil"/>
              <w:bottom w:val="nil"/>
              <w:right w:val="single" w:sz="4" w:space="0" w:color="BFBFBF"/>
            </w:tcBorders>
            <w:shd w:val="clear" w:color="000000" w:fill="F2F2F2"/>
            <w:noWrap/>
            <w:vAlign w:val="center"/>
            <w:hideMark/>
          </w:tcPr>
          <w:p w14:paraId="112CC304"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5,010</w:t>
            </w:r>
          </w:p>
        </w:tc>
        <w:tc>
          <w:tcPr>
            <w:tcW w:w="1200" w:type="dxa"/>
            <w:tcBorders>
              <w:top w:val="nil"/>
              <w:left w:val="nil"/>
              <w:bottom w:val="nil"/>
              <w:right w:val="single" w:sz="4" w:space="0" w:color="auto"/>
            </w:tcBorders>
            <w:shd w:val="clear" w:color="000000" w:fill="F2F2F2"/>
            <w:noWrap/>
            <w:vAlign w:val="center"/>
            <w:hideMark/>
          </w:tcPr>
          <w:p w14:paraId="7D421EFB"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6,845</w:t>
            </w:r>
          </w:p>
        </w:tc>
      </w:tr>
      <w:tr w:rsidR="00EA5699" w:rsidRPr="00EA5699" w14:paraId="3F12B07F" w14:textId="77777777" w:rsidTr="008651E8">
        <w:trPr>
          <w:trHeight w:val="402"/>
        </w:trPr>
        <w:tc>
          <w:tcPr>
            <w:tcW w:w="5755" w:type="dxa"/>
            <w:tcBorders>
              <w:top w:val="single" w:sz="4" w:space="0" w:color="auto"/>
              <w:left w:val="single" w:sz="4" w:space="0" w:color="auto"/>
              <w:bottom w:val="single" w:sz="4" w:space="0" w:color="BFBFBF"/>
              <w:right w:val="single" w:sz="4" w:space="0" w:color="000000"/>
            </w:tcBorders>
            <w:noWrap/>
            <w:vAlign w:val="center"/>
            <w:hideMark/>
          </w:tcPr>
          <w:p w14:paraId="09B42BF6" w14:textId="77777777" w:rsidR="00EA5699" w:rsidRPr="00EA5699" w:rsidRDefault="00EA5699" w:rsidP="00EA5699">
            <w:pPr>
              <w:rPr>
                <w:rFonts w:eastAsia="Times New Roman"/>
                <w:color w:val="0D0D0D"/>
                <w:sz w:val="18"/>
                <w:szCs w:val="18"/>
              </w:rPr>
            </w:pPr>
            <w:r w:rsidRPr="00EA5699">
              <w:rPr>
                <w:rFonts w:eastAsia="Times New Roman"/>
                <w:color w:val="0D0D0D"/>
                <w:sz w:val="18"/>
                <w:szCs w:val="18"/>
              </w:rPr>
              <w:t>Total rental units considered affordable</w:t>
            </w:r>
          </w:p>
        </w:tc>
        <w:tc>
          <w:tcPr>
            <w:tcW w:w="1200" w:type="dxa"/>
            <w:tcBorders>
              <w:top w:val="single" w:sz="4" w:space="0" w:color="auto"/>
              <w:left w:val="nil"/>
              <w:bottom w:val="single" w:sz="4" w:space="0" w:color="BFBFBF"/>
              <w:right w:val="single" w:sz="4" w:space="0" w:color="BFBFBF"/>
            </w:tcBorders>
            <w:noWrap/>
            <w:vAlign w:val="center"/>
            <w:hideMark/>
          </w:tcPr>
          <w:p w14:paraId="600731F0"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2,995</w:t>
            </w:r>
          </w:p>
        </w:tc>
        <w:tc>
          <w:tcPr>
            <w:tcW w:w="1200" w:type="dxa"/>
            <w:tcBorders>
              <w:top w:val="single" w:sz="4" w:space="0" w:color="auto"/>
              <w:left w:val="nil"/>
              <w:bottom w:val="single" w:sz="4" w:space="0" w:color="BFBFBF"/>
              <w:right w:val="single" w:sz="4" w:space="0" w:color="BFBFBF"/>
            </w:tcBorders>
            <w:noWrap/>
            <w:vAlign w:val="center"/>
            <w:hideMark/>
          </w:tcPr>
          <w:p w14:paraId="0F13BF86"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5,970</w:t>
            </w:r>
          </w:p>
        </w:tc>
        <w:tc>
          <w:tcPr>
            <w:tcW w:w="1200" w:type="dxa"/>
            <w:tcBorders>
              <w:top w:val="single" w:sz="4" w:space="0" w:color="auto"/>
              <w:left w:val="nil"/>
              <w:bottom w:val="single" w:sz="4" w:space="0" w:color="BFBFBF"/>
              <w:right w:val="single" w:sz="4" w:space="0" w:color="auto"/>
            </w:tcBorders>
            <w:noWrap/>
            <w:vAlign w:val="center"/>
            <w:hideMark/>
          </w:tcPr>
          <w:p w14:paraId="03A72A69"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8,200</w:t>
            </w:r>
          </w:p>
        </w:tc>
      </w:tr>
      <w:tr w:rsidR="00EA5699" w:rsidRPr="00EA5699" w14:paraId="572F3D9B" w14:textId="77777777" w:rsidTr="008651E8">
        <w:trPr>
          <w:trHeight w:val="402"/>
        </w:trPr>
        <w:tc>
          <w:tcPr>
            <w:tcW w:w="575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4B09D460" w14:textId="77777777" w:rsidR="00EA5699" w:rsidRPr="00EA5699" w:rsidRDefault="00EA5699" w:rsidP="00EA5699">
            <w:pPr>
              <w:rPr>
                <w:rFonts w:eastAsia="Times New Roman"/>
                <w:color w:val="0D0D0D"/>
                <w:sz w:val="18"/>
                <w:szCs w:val="18"/>
              </w:rPr>
            </w:pPr>
            <w:r w:rsidRPr="00EA5699">
              <w:rPr>
                <w:rFonts w:eastAsia="Times New Roman"/>
                <w:color w:val="0D0D0D"/>
                <w:sz w:val="18"/>
                <w:szCs w:val="18"/>
              </w:rPr>
              <w:lastRenderedPageBreak/>
              <w:t>Share of rental units considered affordable</w:t>
            </w:r>
          </w:p>
        </w:tc>
        <w:tc>
          <w:tcPr>
            <w:tcW w:w="1200" w:type="dxa"/>
            <w:tcBorders>
              <w:top w:val="nil"/>
              <w:left w:val="nil"/>
              <w:bottom w:val="single" w:sz="4" w:space="0" w:color="auto"/>
              <w:right w:val="single" w:sz="4" w:space="0" w:color="BFBFBF"/>
            </w:tcBorders>
            <w:shd w:val="clear" w:color="000000" w:fill="F2F2F2"/>
            <w:noWrap/>
            <w:vAlign w:val="center"/>
            <w:hideMark/>
          </w:tcPr>
          <w:p w14:paraId="5325315A"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32%</w:t>
            </w:r>
          </w:p>
        </w:tc>
        <w:tc>
          <w:tcPr>
            <w:tcW w:w="1200" w:type="dxa"/>
            <w:tcBorders>
              <w:top w:val="nil"/>
              <w:left w:val="nil"/>
              <w:bottom w:val="single" w:sz="4" w:space="0" w:color="auto"/>
              <w:right w:val="single" w:sz="4" w:space="0" w:color="BFBFBF"/>
            </w:tcBorders>
            <w:shd w:val="clear" w:color="000000" w:fill="F2F2F2"/>
            <w:noWrap/>
            <w:vAlign w:val="center"/>
            <w:hideMark/>
          </w:tcPr>
          <w:p w14:paraId="54E338AA"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47%</w:t>
            </w:r>
          </w:p>
        </w:tc>
        <w:tc>
          <w:tcPr>
            <w:tcW w:w="1200" w:type="dxa"/>
            <w:tcBorders>
              <w:top w:val="nil"/>
              <w:left w:val="nil"/>
              <w:bottom w:val="single" w:sz="4" w:space="0" w:color="auto"/>
              <w:right w:val="single" w:sz="4" w:space="0" w:color="auto"/>
            </w:tcBorders>
            <w:shd w:val="clear" w:color="000000" w:fill="F2F2F2"/>
            <w:noWrap/>
            <w:vAlign w:val="center"/>
            <w:hideMark/>
          </w:tcPr>
          <w:p w14:paraId="2C01ABF9" w14:textId="77777777" w:rsidR="00EA5699" w:rsidRPr="00EB7F3E" w:rsidRDefault="00EA5699" w:rsidP="00EA5699">
            <w:pPr>
              <w:jc w:val="right"/>
              <w:rPr>
                <w:rFonts w:eastAsia="Times New Roman"/>
                <w:color w:val="C00000"/>
                <w:sz w:val="18"/>
                <w:szCs w:val="18"/>
              </w:rPr>
            </w:pPr>
            <w:r w:rsidRPr="00EB7F3E">
              <w:rPr>
                <w:rFonts w:eastAsia="Times New Roman"/>
                <w:color w:val="C00000"/>
                <w:sz w:val="18"/>
                <w:szCs w:val="18"/>
              </w:rPr>
              <w:t>41%</w:t>
            </w:r>
          </w:p>
        </w:tc>
      </w:tr>
    </w:tbl>
    <w:p w14:paraId="4E4E4C6C" w14:textId="685906EB" w:rsidR="007254B5" w:rsidRDefault="003214B5" w:rsidP="003214B5">
      <w:pPr>
        <w:pStyle w:val="Source"/>
      </w:pPr>
      <w:r>
        <w:t xml:space="preserve">Source: </w:t>
      </w:r>
      <w:r w:rsidR="00DF7561">
        <w:t>Housing Assessment Resource Tools (HART)</w:t>
      </w:r>
      <w:r w:rsidR="006512A0">
        <w:rPr>
          <w:rStyle w:val="FootnoteReference"/>
        </w:rPr>
        <w:footnoteReference w:id="4"/>
      </w:r>
    </w:p>
    <w:p w14:paraId="78864AD8" w14:textId="77777777" w:rsidR="003214B5" w:rsidRDefault="003214B5" w:rsidP="009962D2"/>
    <w:p w14:paraId="52978030" w14:textId="5B371654" w:rsidR="002B26D9" w:rsidRDefault="002B26D9" w:rsidP="002B26D9">
      <w:pPr>
        <w:jc w:val="both"/>
      </w:pPr>
      <w:r>
        <w:t xml:space="preserve">A local affordable share substantially below the regional or provincial average </w:t>
      </w:r>
      <w:r w:rsidR="00984FD6">
        <w:t>could indicate</w:t>
      </w:r>
      <w:r>
        <w:t xml:space="preserve"> that the community's rental market offers fewer low-cost options relative to comparable areas. This can reflect higher overall rent levels, a constrained rental supply, or a concentration of higher-quality stock without a corresponding affordable segment. The absolute number of units affordable to very</w:t>
      </w:r>
      <w:r w:rsidR="00BD7490">
        <w:t xml:space="preserve"> low-income</w:t>
      </w:r>
      <w:r>
        <w:t xml:space="preserve"> households is often the most critical figure</w:t>
      </w:r>
      <w:r w:rsidR="002D00F3">
        <w:t>. E</w:t>
      </w:r>
      <w:r>
        <w:t xml:space="preserve">ven a seemingly adequate percentage can represent a small absolute number when measured against the actual count of </w:t>
      </w:r>
      <w:r w:rsidR="000F3BF6">
        <w:t>very low</w:t>
      </w:r>
      <w:r w:rsidR="00BD7490">
        <w:t>-income</w:t>
      </w:r>
      <w:r>
        <w:t xml:space="preserve"> renter households in the community.</w:t>
      </w:r>
    </w:p>
    <w:p w14:paraId="27D45266" w14:textId="77777777" w:rsidR="002B26D9" w:rsidRDefault="002B26D9" w:rsidP="002B26D9">
      <w:pPr>
        <w:jc w:val="both"/>
      </w:pPr>
    </w:p>
    <w:p w14:paraId="4486032E" w14:textId="5EEE63CF" w:rsidR="00BF462D" w:rsidRDefault="002B26D9" w:rsidP="002B26D9">
      <w:pPr>
        <w:jc w:val="both"/>
      </w:pPr>
      <w:r>
        <w:t>Where the share of affordable units is well below the share of renter households in the very</w:t>
      </w:r>
      <w:r w:rsidR="00BD7490">
        <w:t xml:space="preserve"> </w:t>
      </w:r>
      <w:r>
        <w:t>low</w:t>
      </w:r>
      <w:r w:rsidR="00E83F9B">
        <w:t>-</w:t>
      </w:r>
      <w:r>
        <w:t xml:space="preserve"> or </w:t>
      </w:r>
      <w:r w:rsidR="00BD7490">
        <w:t>low-income</w:t>
      </w:r>
      <w:r>
        <w:t xml:space="preserve"> category, the gap directly quantifies the scale of unmet affordable housing need in the current market.</w:t>
      </w:r>
    </w:p>
    <w:p w14:paraId="4AA680D5" w14:textId="77777777" w:rsidR="002B26D9" w:rsidRDefault="002B26D9" w:rsidP="002B26D9"/>
    <w:p w14:paraId="4A48C77A" w14:textId="0183F2B6" w:rsidR="007254B5" w:rsidRDefault="00E77BBE" w:rsidP="00E77BBE">
      <w:pPr>
        <w:pStyle w:val="Heading3"/>
      </w:pPr>
      <w:r>
        <w:t>Change in Inventory</w:t>
      </w:r>
    </w:p>
    <w:p w14:paraId="7E58E340" w14:textId="63DC3DF9" w:rsidR="00695307" w:rsidRDefault="00AA36ED" w:rsidP="00AA36ED">
      <w:pPr>
        <w:jc w:val="both"/>
      </w:pPr>
      <w:r w:rsidRPr="00AA36ED">
        <w:t xml:space="preserve">The following three tables track the flow of affordable rental units through the market between 2016 and 2021, showing how many units affordable to </w:t>
      </w:r>
      <w:r w:rsidR="00366577">
        <w:t>very</w:t>
      </w:r>
      <w:r w:rsidRPr="00AA36ED">
        <w:t xml:space="preserve"> low</w:t>
      </w:r>
      <w:r w:rsidR="00366577">
        <w:t>-</w:t>
      </w:r>
      <w:r w:rsidRPr="00AA36ED">
        <w:t xml:space="preserve"> and </w:t>
      </w:r>
      <w:r w:rsidR="00BD7490">
        <w:t>low-income</w:t>
      </w:r>
      <w:r w:rsidRPr="00AA36ED">
        <w:t xml:space="preserve"> households were added, how many were lost</w:t>
      </w:r>
      <w:r w:rsidR="00366577">
        <w:t xml:space="preserve"> (e.g., </w:t>
      </w:r>
      <w:r w:rsidR="000E7014">
        <w:t>existing units experiencing notable rent increases, demolition, or redevelopment)</w:t>
      </w:r>
      <w:r w:rsidRPr="00AA36ED">
        <w:t>, and the resulting net change in affordable supply.</w:t>
      </w:r>
    </w:p>
    <w:p w14:paraId="429B3E5C" w14:textId="77777777" w:rsidR="00AA36ED" w:rsidRDefault="00AA36ED" w:rsidP="00AA36ED">
      <w:pPr>
        <w:jc w:val="both"/>
      </w:pPr>
    </w:p>
    <w:p w14:paraId="0FC75515" w14:textId="51260D91" w:rsidR="00695307" w:rsidRDefault="00695307" w:rsidP="00695307">
      <w:pPr>
        <w:pStyle w:val="Caption"/>
      </w:pPr>
      <w:bookmarkStart w:id="57" w:name="_Ref224743263"/>
      <w:r>
        <w:t xml:space="preserve">Table </w:t>
      </w:r>
      <w:fldSimple w:instr=" STYLEREF 1 \s ">
        <w:r w:rsidR="005E459C">
          <w:rPr>
            <w:noProof/>
          </w:rPr>
          <w:t>6</w:t>
        </w:r>
      </w:fldSimple>
      <w:r w:rsidR="00BD4359">
        <w:t>.</w:t>
      </w:r>
      <w:fldSimple w:instr=" SEQ Table \* ARABIC \s 1 ">
        <w:r w:rsidR="005E459C">
          <w:rPr>
            <w:noProof/>
          </w:rPr>
          <w:t>9</w:t>
        </w:r>
      </w:fldSimple>
      <w:bookmarkEnd w:id="57"/>
      <w:r>
        <w:t xml:space="preserve">: </w:t>
      </w:r>
      <w:r w:rsidRPr="0000426C">
        <w:t xml:space="preserve">Rental units afforded by </w:t>
      </w:r>
      <w:r w:rsidR="000F3BF6">
        <w:t>very low</w:t>
      </w:r>
      <w:r w:rsidR="007A25CD">
        <w:t>-</w:t>
      </w:r>
      <w:r w:rsidRPr="0000426C">
        <w:t xml:space="preserve"> and </w:t>
      </w:r>
      <w:r w:rsidR="00BD7490">
        <w:t>low</w:t>
      </w:r>
      <w:r w:rsidR="00055EBB">
        <w:t>-</w:t>
      </w:r>
      <w:r w:rsidRPr="0000426C">
        <w:t xml:space="preserve">income households </w:t>
      </w:r>
      <w:r w:rsidRPr="00663723">
        <w:rPr>
          <w:b/>
          <w:u w:val="single"/>
        </w:rPr>
        <w:t>built</w:t>
      </w:r>
      <w:r>
        <w:t xml:space="preserve"> between 2016 and 2021 </w:t>
      </w:r>
      <w:r w:rsidRPr="0000426C">
        <w:t>by geography</w:t>
      </w:r>
    </w:p>
    <w:tbl>
      <w:tblPr>
        <w:tblW w:w="9355" w:type="dxa"/>
        <w:tblLayout w:type="fixed"/>
        <w:tblLook w:val="04A0" w:firstRow="1" w:lastRow="0" w:firstColumn="1" w:lastColumn="0" w:noHBand="0" w:noVBand="1"/>
      </w:tblPr>
      <w:tblGrid>
        <w:gridCol w:w="5755"/>
        <w:gridCol w:w="1200"/>
        <w:gridCol w:w="1200"/>
        <w:gridCol w:w="1200"/>
      </w:tblGrid>
      <w:tr w:rsidR="00D63A35" w:rsidRPr="00D63A35" w14:paraId="14F9C0E5" w14:textId="77777777" w:rsidTr="003C59F9">
        <w:trPr>
          <w:trHeight w:val="402"/>
          <w:tblHeader/>
        </w:trPr>
        <w:tc>
          <w:tcPr>
            <w:tcW w:w="575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095685C4" w14:textId="77777777" w:rsidR="00D63A35" w:rsidRPr="00D63A35" w:rsidRDefault="00D63A35" w:rsidP="00D63A35">
            <w:pPr>
              <w:rPr>
                <w:rFonts w:eastAsia="Times New Roman"/>
                <w:color w:val="FFFFFF"/>
                <w:sz w:val="18"/>
                <w:szCs w:val="18"/>
              </w:rPr>
            </w:pPr>
            <w:r w:rsidRPr="00D63A35">
              <w:rPr>
                <w:rFonts w:eastAsia="Times New Roman"/>
                <w:color w:val="FFFFFF"/>
                <w:sz w:val="18"/>
                <w:szCs w:val="18"/>
              </w:rPr>
              <w:t>Variable</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756767C" w14:textId="77777777" w:rsidR="00D63A35" w:rsidRPr="00D63A35" w:rsidRDefault="00D63A35" w:rsidP="00D63A35">
            <w:pPr>
              <w:jc w:val="right"/>
              <w:rPr>
                <w:rFonts w:eastAsia="Times New Roman"/>
                <w:color w:val="FFFFFF"/>
                <w:sz w:val="18"/>
                <w:szCs w:val="18"/>
              </w:rPr>
            </w:pPr>
            <w:r w:rsidRPr="00D63A35">
              <w:rPr>
                <w:rFonts w:eastAsia="Times New Roman"/>
                <w:color w:val="FFFFFF"/>
                <w:sz w:val="18"/>
                <w:szCs w:val="18"/>
              </w:rPr>
              <w:t>Local</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B0C5B6C" w14:textId="77777777" w:rsidR="00D63A35" w:rsidRPr="00D63A35" w:rsidRDefault="00D63A35" w:rsidP="00D63A35">
            <w:pPr>
              <w:jc w:val="right"/>
              <w:rPr>
                <w:rFonts w:eastAsia="Times New Roman"/>
                <w:color w:val="FFFFFF"/>
                <w:sz w:val="18"/>
                <w:szCs w:val="18"/>
              </w:rPr>
            </w:pPr>
            <w:r w:rsidRPr="00D63A35">
              <w:rPr>
                <w:rFonts w:eastAsia="Times New Roman"/>
                <w:color w:val="FFFFFF"/>
                <w:sz w:val="18"/>
                <w:szCs w:val="18"/>
              </w:rPr>
              <w:t>Region</w:t>
            </w:r>
          </w:p>
        </w:tc>
        <w:tc>
          <w:tcPr>
            <w:tcW w:w="12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141C190D" w14:textId="77777777" w:rsidR="00D63A35" w:rsidRPr="00D63A35" w:rsidRDefault="00D63A35" w:rsidP="00D63A35">
            <w:pPr>
              <w:jc w:val="right"/>
              <w:rPr>
                <w:rFonts w:eastAsia="Times New Roman"/>
                <w:color w:val="FFFFFF"/>
                <w:sz w:val="18"/>
                <w:szCs w:val="18"/>
              </w:rPr>
            </w:pPr>
            <w:r w:rsidRPr="00D63A35">
              <w:rPr>
                <w:rFonts w:eastAsia="Times New Roman"/>
                <w:color w:val="FFFFFF"/>
                <w:sz w:val="18"/>
                <w:szCs w:val="18"/>
              </w:rPr>
              <w:t>Province</w:t>
            </w:r>
          </w:p>
        </w:tc>
      </w:tr>
      <w:tr w:rsidR="00D63A35" w:rsidRPr="00D63A35" w14:paraId="5C0D941C" w14:textId="77777777" w:rsidTr="008651E8">
        <w:trPr>
          <w:trHeight w:val="402"/>
        </w:trPr>
        <w:tc>
          <w:tcPr>
            <w:tcW w:w="5755"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4C69DB5F" w14:textId="2ED3A89A" w:rsidR="00D63A35" w:rsidRPr="00D63A35" w:rsidRDefault="00D63A35" w:rsidP="00D63A35">
            <w:pPr>
              <w:rPr>
                <w:rFonts w:eastAsia="Times New Roman"/>
                <w:color w:val="0D0D0D"/>
                <w:sz w:val="18"/>
                <w:szCs w:val="18"/>
              </w:rPr>
            </w:pPr>
            <w:r w:rsidRPr="00D63A35">
              <w:rPr>
                <w:rFonts w:eastAsia="Times New Roman"/>
                <w:color w:val="0D0D0D"/>
                <w:sz w:val="18"/>
                <w:szCs w:val="18"/>
              </w:rPr>
              <w:t>Total rental units</w:t>
            </w:r>
            <w:r w:rsidR="00752033">
              <w:rPr>
                <w:rFonts w:eastAsia="Times New Roman"/>
                <w:color w:val="0D0D0D"/>
                <w:sz w:val="18"/>
                <w:szCs w:val="18"/>
              </w:rPr>
              <w:t xml:space="preserve"> built between 2016 and 2021</w:t>
            </w:r>
          </w:p>
        </w:tc>
        <w:tc>
          <w:tcPr>
            <w:tcW w:w="1200" w:type="dxa"/>
            <w:tcBorders>
              <w:top w:val="nil"/>
              <w:left w:val="nil"/>
              <w:bottom w:val="single" w:sz="4" w:space="0" w:color="auto"/>
              <w:right w:val="single" w:sz="4" w:space="0" w:color="BFBFBF"/>
            </w:tcBorders>
            <w:shd w:val="clear" w:color="000000" w:fill="F2F2F2"/>
            <w:noWrap/>
            <w:vAlign w:val="center"/>
            <w:hideMark/>
          </w:tcPr>
          <w:p w14:paraId="14119E9C"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735</w:t>
            </w:r>
          </w:p>
        </w:tc>
        <w:tc>
          <w:tcPr>
            <w:tcW w:w="1200" w:type="dxa"/>
            <w:tcBorders>
              <w:top w:val="nil"/>
              <w:left w:val="nil"/>
              <w:bottom w:val="single" w:sz="4" w:space="0" w:color="auto"/>
              <w:right w:val="single" w:sz="4" w:space="0" w:color="BFBFBF"/>
            </w:tcBorders>
            <w:shd w:val="clear" w:color="000000" w:fill="F2F2F2"/>
            <w:noWrap/>
            <w:vAlign w:val="center"/>
            <w:hideMark/>
          </w:tcPr>
          <w:p w14:paraId="02FE8B03"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1,455</w:t>
            </w:r>
          </w:p>
        </w:tc>
        <w:tc>
          <w:tcPr>
            <w:tcW w:w="1200" w:type="dxa"/>
            <w:tcBorders>
              <w:top w:val="nil"/>
              <w:left w:val="nil"/>
              <w:bottom w:val="single" w:sz="4" w:space="0" w:color="auto"/>
              <w:right w:val="single" w:sz="4" w:space="0" w:color="auto"/>
            </w:tcBorders>
            <w:shd w:val="clear" w:color="000000" w:fill="F2F2F2"/>
            <w:noWrap/>
            <w:vAlign w:val="center"/>
            <w:hideMark/>
          </w:tcPr>
          <w:p w14:paraId="7A279860"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2,045</w:t>
            </w:r>
          </w:p>
        </w:tc>
      </w:tr>
      <w:tr w:rsidR="00D63A35" w:rsidRPr="00D63A35" w14:paraId="3BCC0606" w14:textId="77777777" w:rsidTr="008651E8">
        <w:trPr>
          <w:trHeight w:val="402"/>
        </w:trPr>
        <w:tc>
          <w:tcPr>
            <w:tcW w:w="5755" w:type="dxa"/>
            <w:tcBorders>
              <w:top w:val="nil"/>
              <w:left w:val="single" w:sz="4" w:space="0" w:color="auto"/>
              <w:bottom w:val="single" w:sz="4" w:space="0" w:color="BFBFBF"/>
              <w:right w:val="single" w:sz="4" w:space="0" w:color="000000"/>
            </w:tcBorders>
            <w:noWrap/>
            <w:vAlign w:val="center"/>
            <w:hideMark/>
          </w:tcPr>
          <w:p w14:paraId="0FF7E30C" w14:textId="29CF79CD" w:rsidR="00D63A35" w:rsidRPr="00D63A35" w:rsidRDefault="00D63A35" w:rsidP="00D63A35">
            <w:pPr>
              <w:rPr>
                <w:rFonts w:eastAsia="Times New Roman"/>
                <w:color w:val="0D0D0D"/>
                <w:sz w:val="18"/>
                <w:szCs w:val="18"/>
              </w:rPr>
            </w:pPr>
            <w:r w:rsidRPr="00D63A35">
              <w:rPr>
                <w:rFonts w:eastAsia="Times New Roman"/>
                <w:color w:val="0D0D0D"/>
                <w:sz w:val="18"/>
                <w:szCs w:val="18"/>
              </w:rPr>
              <w:t xml:space="preserve">Rental units afforded by </w:t>
            </w:r>
            <w:r w:rsidR="00BD7490">
              <w:rPr>
                <w:rFonts w:eastAsia="Times New Roman"/>
                <w:color w:val="0D0D0D"/>
                <w:sz w:val="18"/>
                <w:szCs w:val="18"/>
              </w:rPr>
              <w:t xml:space="preserve">very </w:t>
            </w:r>
            <w:r w:rsidR="00055EBB">
              <w:rPr>
                <w:rFonts w:eastAsia="Times New Roman"/>
                <w:color w:val="0D0D0D"/>
                <w:sz w:val="18"/>
                <w:szCs w:val="18"/>
              </w:rPr>
              <w:t>low-</w:t>
            </w:r>
            <w:r w:rsidRPr="00D63A35">
              <w:rPr>
                <w:rFonts w:eastAsia="Times New Roman"/>
                <w:color w:val="0D0D0D"/>
                <w:sz w:val="18"/>
                <w:szCs w:val="18"/>
              </w:rPr>
              <w:t>income households</w:t>
            </w:r>
          </w:p>
        </w:tc>
        <w:tc>
          <w:tcPr>
            <w:tcW w:w="1200" w:type="dxa"/>
            <w:tcBorders>
              <w:top w:val="nil"/>
              <w:left w:val="nil"/>
              <w:bottom w:val="single" w:sz="4" w:space="0" w:color="BFBFBF"/>
              <w:right w:val="single" w:sz="4" w:space="0" w:color="BFBFBF"/>
            </w:tcBorders>
            <w:noWrap/>
            <w:vAlign w:val="center"/>
            <w:hideMark/>
          </w:tcPr>
          <w:p w14:paraId="33CDF3EA"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65</w:t>
            </w:r>
          </w:p>
        </w:tc>
        <w:tc>
          <w:tcPr>
            <w:tcW w:w="1200" w:type="dxa"/>
            <w:tcBorders>
              <w:top w:val="nil"/>
              <w:left w:val="nil"/>
              <w:bottom w:val="single" w:sz="4" w:space="0" w:color="BFBFBF"/>
              <w:right w:val="single" w:sz="4" w:space="0" w:color="BFBFBF"/>
            </w:tcBorders>
            <w:noWrap/>
            <w:vAlign w:val="center"/>
            <w:hideMark/>
          </w:tcPr>
          <w:p w14:paraId="7F132674"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130</w:t>
            </w:r>
          </w:p>
        </w:tc>
        <w:tc>
          <w:tcPr>
            <w:tcW w:w="1200" w:type="dxa"/>
            <w:tcBorders>
              <w:top w:val="nil"/>
              <w:left w:val="nil"/>
              <w:bottom w:val="single" w:sz="4" w:space="0" w:color="BFBFBF"/>
              <w:right w:val="single" w:sz="4" w:space="0" w:color="auto"/>
            </w:tcBorders>
            <w:noWrap/>
            <w:vAlign w:val="center"/>
            <w:hideMark/>
          </w:tcPr>
          <w:p w14:paraId="1CB7372A"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135</w:t>
            </w:r>
          </w:p>
        </w:tc>
      </w:tr>
      <w:tr w:rsidR="00D63A35" w:rsidRPr="00D63A35" w14:paraId="5FE314B5" w14:textId="77777777" w:rsidTr="008651E8">
        <w:trPr>
          <w:trHeight w:val="402"/>
        </w:trPr>
        <w:tc>
          <w:tcPr>
            <w:tcW w:w="5755" w:type="dxa"/>
            <w:tcBorders>
              <w:top w:val="single" w:sz="4" w:space="0" w:color="BFBFBF"/>
              <w:left w:val="single" w:sz="4" w:space="0" w:color="auto"/>
              <w:bottom w:val="nil"/>
              <w:right w:val="single" w:sz="4" w:space="0" w:color="000000"/>
            </w:tcBorders>
            <w:shd w:val="clear" w:color="000000" w:fill="F2F2F2"/>
            <w:noWrap/>
            <w:vAlign w:val="center"/>
            <w:hideMark/>
          </w:tcPr>
          <w:p w14:paraId="1D0FDDC3" w14:textId="178083CC" w:rsidR="00D63A35" w:rsidRPr="00D63A35" w:rsidRDefault="00D63A35" w:rsidP="00D63A35">
            <w:pPr>
              <w:rPr>
                <w:rFonts w:eastAsia="Times New Roman"/>
                <w:color w:val="0D0D0D"/>
                <w:sz w:val="18"/>
                <w:szCs w:val="18"/>
              </w:rPr>
            </w:pPr>
            <w:r w:rsidRPr="00D63A35">
              <w:rPr>
                <w:rFonts w:eastAsia="Times New Roman"/>
                <w:color w:val="0D0D0D"/>
                <w:sz w:val="18"/>
                <w:szCs w:val="18"/>
              </w:rPr>
              <w:t xml:space="preserve">Rental units afforded by </w:t>
            </w:r>
            <w:r w:rsidR="00055EBB">
              <w:rPr>
                <w:rFonts w:eastAsia="Times New Roman"/>
                <w:color w:val="0D0D0D"/>
                <w:sz w:val="18"/>
                <w:szCs w:val="18"/>
              </w:rPr>
              <w:t>low-income</w:t>
            </w:r>
            <w:r w:rsidRPr="00D63A35">
              <w:rPr>
                <w:rFonts w:eastAsia="Times New Roman"/>
                <w:color w:val="0D0D0D"/>
                <w:sz w:val="18"/>
                <w:szCs w:val="18"/>
              </w:rPr>
              <w:t xml:space="preserve"> households</w:t>
            </w:r>
          </w:p>
        </w:tc>
        <w:tc>
          <w:tcPr>
            <w:tcW w:w="1200" w:type="dxa"/>
            <w:tcBorders>
              <w:top w:val="nil"/>
              <w:left w:val="nil"/>
              <w:bottom w:val="nil"/>
              <w:right w:val="single" w:sz="4" w:space="0" w:color="BFBFBF"/>
            </w:tcBorders>
            <w:shd w:val="clear" w:color="000000" w:fill="F2F2F2"/>
            <w:noWrap/>
            <w:vAlign w:val="center"/>
            <w:hideMark/>
          </w:tcPr>
          <w:p w14:paraId="04BB438E"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65</w:t>
            </w:r>
          </w:p>
        </w:tc>
        <w:tc>
          <w:tcPr>
            <w:tcW w:w="1200" w:type="dxa"/>
            <w:tcBorders>
              <w:top w:val="nil"/>
              <w:left w:val="nil"/>
              <w:bottom w:val="nil"/>
              <w:right w:val="single" w:sz="4" w:space="0" w:color="BFBFBF"/>
            </w:tcBorders>
            <w:shd w:val="clear" w:color="000000" w:fill="F2F2F2"/>
            <w:noWrap/>
            <w:vAlign w:val="center"/>
            <w:hideMark/>
          </w:tcPr>
          <w:p w14:paraId="1F1B5D87"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150</w:t>
            </w:r>
          </w:p>
        </w:tc>
        <w:tc>
          <w:tcPr>
            <w:tcW w:w="1200" w:type="dxa"/>
            <w:tcBorders>
              <w:top w:val="nil"/>
              <w:left w:val="nil"/>
              <w:bottom w:val="nil"/>
              <w:right w:val="single" w:sz="4" w:space="0" w:color="auto"/>
            </w:tcBorders>
            <w:shd w:val="clear" w:color="000000" w:fill="F2F2F2"/>
            <w:noWrap/>
            <w:vAlign w:val="center"/>
            <w:hideMark/>
          </w:tcPr>
          <w:p w14:paraId="77DFCDB2"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285</w:t>
            </w:r>
          </w:p>
        </w:tc>
      </w:tr>
      <w:tr w:rsidR="00D63A35" w:rsidRPr="00D63A35" w14:paraId="5720E0B1" w14:textId="77777777" w:rsidTr="008651E8">
        <w:trPr>
          <w:trHeight w:val="402"/>
        </w:trPr>
        <w:tc>
          <w:tcPr>
            <w:tcW w:w="5755" w:type="dxa"/>
            <w:tcBorders>
              <w:top w:val="single" w:sz="4" w:space="0" w:color="auto"/>
              <w:left w:val="single" w:sz="4" w:space="0" w:color="auto"/>
              <w:bottom w:val="single" w:sz="4" w:space="0" w:color="BFBFBF"/>
              <w:right w:val="single" w:sz="4" w:space="0" w:color="000000"/>
            </w:tcBorders>
            <w:noWrap/>
            <w:vAlign w:val="center"/>
            <w:hideMark/>
          </w:tcPr>
          <w:p w14:paraId="259E4516" w14:textId="77777777" w:rsidR="00D63A35" w:rsidRPr="00D63A35" w:rsidRDefault="00D63A35" w:rsidP="00D63A35">
            <w:pPr>
              <w:rPr>
                <w:rFonts w:eastAsia="Times New Roman"/>
                <w:color w:val="0D0D0D"/>
                <w:sz w:val="18"/>
                <w:szCs w:val="18"/>
              </w:rPr>
            </w:pPr>
            <w:r w:rsidRPr="00D63A35">
              <w:rPr>
                <w:rFonts w:eastAsia="Times New Roman"/>
                <w:color w:val="0D0D0D"/>
                <w:sz w:val="18"/>
                <w:szCs w:val="18"/>
              </w:rPr>
              <w:t>Total rental units considered affordable</w:t>
            </w:r>
          </w:p>
        </w:tc>
        <w:tc>
          <w:tcPr>
            <w:tcW w:w="1200" w:type="dxa"/>
            <w:tcBorders>
              <w:top w:val="single" w:sz="4" w:space="0" w:color="auto"/>
              <w:left w:val="nil"/>
              <w:bottom w:val="single" w:sz="4" w:space="0" w:color="BFBFBF"/>
              <w:right w:val="single" w:sz="4" w:space="0" w:color="BFBFBF"/>
            </w:tcBorders>
            <w:noWrap/>
            <w:vAlign w:val="center"/>
            <w:hideMark/>
          </w:tcPr>
          <w:p w14:paraId="43CD34F5"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130</w:t>
            </w:r>
          </w:p>
        </w:tc>
        <w:tc>
          <w:tcPr>
            <w:tcW w:w="1200" w:type="dxa"/>
            <w:tcBorders>
              <w:top w:val="single" w:sz="4" w:space="0" w:color="auto"/>
              <w:left w:val="nil"/>
              <w:bottom w:val="single" w:sz="4" w:space="0" w:color="BFBFBF"/>
              <w:right w:val="single" w:sz="4" w:space="0" w:color="BFBFBF"/>
            </w:tcBorders>
            <w:noWrap/>
            <w:vAlign w:val="center"/>
            <w:hideMark/>
          </w:tcPr>
          <w:p w14:paraId="32757E49"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280</w:t>
            </w:r>
          </w:p>
        </w:tc>
        <w:tc>
          <w:tcPr>
            <w:tcW w:w="1200" w:type="dxa"/>
            <w:tcBorders>
              <w:top w:val="single" w:sz="4" w:space="0" w:color="auto"/>
              <w:left w:val="nil"/>
              <w:bottom w:val="single" w:sz="4" w:space="0" w:color="BFBFBF"/>
              <w:right w:val="single" w:sz="4" w:space="0" w:color="auto"/>
            </w:tcBorders>
            <w:noWrap/>
            <w:vAlign w:val="center"/>
            <w:hideMark/>
          </w:tcPr>
          <w:p w14:paraId="607A83D8"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420</w:t>
            </w:r>
          </w:p>
        </w:tc>
      </w:tr>
      <w:tr w:rsidR="00D63A35" w:rsidRPr="00D63A35" w14:paraId="32588770" w14:textId="77777777" w:rsidTr="008651E8">
        <w:trPr>
          <w:trHeight w:val="402"/>
        </w:trPr>
        <w:tc>
          <w:tcPr>
            <w:tcW w:w="575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2358BD5F" w14:textId="77777777" w:rsidR="00D63A35" w:rsidRPr="00D63A35" w:rsidRDefault="00D63A35" w:rsidP="00D63A35">
            <w:pPr>
              <w:rPr>
                <w:rFonts w:eastAsia="Times New Roman"/>
                <w:color w:val="0D0D0D"/>
                <w:sz w:val="18"/>
                <w:szCs w:val="18"/>
              </w:rPr>
            </w:pPr>
            <w:r w:rsidRPr="00D63A35">
              <w:rPr>
                <w:rFonts w:eastAsia="Times New Roman"/>
                <w:color w:val="0D0D0D"/>
                <w:sz w:val="18"/>
                <w:szCs w:val="18"/>
              </w:rPr>
              <w:t>Share of rental units considered affordable</w:t>
            </w:r>
          </w:p>
        </w:tc>
        <w:tc>
          <w:tcPr>
            <w:tcW w:w="1200" w:type="dxa"/>
            <w:tcBorders>
              <w:top w:val="nil"/>
              <w:left w:val="nil"/>
              <w:bottom w:val="single" w:sz="4" w:space="0" w:color="auto"/>
              <w:right w:val="single" w:sz="4" w:space="0" w:color="BFBFBF"/>
            </w:tcBorders>
            <w:shd w:val="clear" w:color="000000" w:fill="F2F2F2"/>
            <w:noWrap/>
            <w:vAlign w:val="center"/>
            <w:hideMark/>
          </w:tcPr>
          <w:p w14:paraId="1E659B8A"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18%</w:t>
            </w:r>
          </w:p>
        </w:tc>
        <w:tc>
          <w:tcPr>
            <w:tcW w:w="1200" w:type="dxa"/>
            <w:tcBorders>
              <w:top w:val="nil"/>
              <w:left w:val="nil"/>
              <w:bottom w:val="single" w:sz="4" w:space="0" w:color="auto"/>
              <w:right w:val="single" w:sz="4" w:space="0" w:color="BFBFBF"/>
            </w:tcBorders>
            <w:shd w:val="clear" w:color="000000" w:fill="F2F2F2"/>
            <w:noWrap/>
            <w:vAlign w:val="center"/>
            <w:hideMark/>
          </w:tcPr>
          <w:p w14:paraId="3B0CAF2F"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19%</w:t>
            </w:r>
          </w:p>
        </w:tc>
        <w:tc>
          <w:tcPr>
            <w:tcW w:w="1200" w:type="dxa"/>
            <w:tcBorders>
              <w:top w:val="nil"/>
              <w:left w:val="nil"/>
              <w:bottom w:val="single" w:sz="4" w:space="0" w:color="auto"/>
              <w:right w:val="single" w:sz="4" w:space="0" w:color="auto"/>
            </w:tcBorders>
            <w:shd w:val="clear" w:color="000000" w:fill="F2F2F2"/>
            <w:noWrap/>
            <w:vAlign w:val="center"/>
            <w:hideMark/>
          </w:tcPr>
          <w:p w14:paraId="70A984CC" w14:textId="77777777" w:rsidR="00D63A35" w:rsidRPr="00EB7F3E" w:rsidRDefault="00D63A35" w:rsidP="00D63A35">
            <w:pPr>
              <w:jc w:val="right"/>
              <w:rPr>
                <w:rFonts w:eastAsia="Times New Roman"/>
                <w:color w:val="C00000"/>
                <w:sz w:val="18"/>
                <w:szCs w:val="18"/>
              </w:rPr>
            </w:pPr>
            <w:r w:rsidRPr="00EB7F3E">
              <w:rPr>
                <w:rFonts w:eastAsia="Times New Roman"/>
                <w:color w:val="C00000"/>
                <w:sz w:val="18"/>
                <w:szCs w:val="18"/>
              </w:rPr>
              <w:t>21%</w:t>
            </w:r>
          </w:p>
        </w:tc>
      </w:tr>
    </w:tbl>
    <w:p w14:paraId="4BB05510" w14:textId="66A9C1DF" w:rsidR="003214B5" w:rsidRDefault="003214B5" w:rsidP="003214B5">
      <w:pPr>
        <w:pStyle w:val="Source"/>
      </w:pPr>
      <w:r>
        <w:t>Source</w:t>
      </w:r>
      <w:r w:rsidR="00DF646D">
        <w:t>: Housing Assessment Resource Tools (HART)</w:t>
      </w:r>
      <w:r w:rsidR="00DF646D">
        <w:rPr>
          <w:rStyle w:val="FootnoteReference"/>
        </w:rPr>
        <w:footnoteReference w:id="5"/>
      </w:r>
    </w:p>
    <w:p w14:paraId="134EA8D9" w14:textId="77777777" w:rsidR="003214B5" w:rsidRDefault="003214B5" w:rsidP="009962D2"/>
    <w:p w14:paraId="78D45658" w14:textId="09F2221A" w:rsidR="00695307" w:rsidRDefault="00695307" w:rsidP="00695307">
      <w:pPr>
        <w:pStyle w:val="Caption"/>
      </w:pPr>
      <w:bookmarkStart w:id="58" w:name="_Ref224743270"/>
      <w:r>
        <w:t xml:space="preserve">Table </w:t>
      </w:r>
      <w:fldSimple w:instr=" STYLEREF 1 \s ">
        <w:r w:rsidR="005E459C">
          <w:rPr>
            <w:noProof/>
          </w:rPr>
          <w:t>6</w:t>
        </w:r>
      </w:fldSimple>
      <w:r w:rsidR="00BD4359">
        <w:t>.</w:t>
      </w:r>
      <w:fldSimple w:instr=" SEQ Table \* ARABIC \s 1 ">
        <w:r w:rsidR="005E459C">
          <w:rPr>
            <w:noProof/>
          </w:rPr>
          <w:t>10</w:t>
        </w:r>
      </w:fldSimple>
      <w:bookmarkEnd w:id="58"/>
      <w:r>
        <w:t xml:space="preserve">: </w:t>
      </w:r>
      <w:r w:rsidRPr="00C42CA0">
        <w:t xml:space="preserve">Rental units afforded by </w:t>
      </w:r>
      <w:r w:rsidR="00055EBB">
        <w:t>very</w:t>
      </w:r>
      <w:r w:rsidRPr="00C42CA0">
        <w:t xml:space="preserve"> low</w:t>
      </w:r>
      <w:r w:rsidR="00055EBB">
        <w:t>- and low-income</w:t>
      </w:r>
      <w:r w:rsidRPr="00C42CA0">
        <w:t xml:space="preserve"> households </w:t>
      </w:r>
      <w:r w:rsidRPr="00663723">
        <w:rPr>
          <w:b/>
          <w:u w:val="single"/>
        </w:rPr>
        <w:t>lost</w:t>
      </w:r>
      <w:r>
        <w:t xml:space="preserve"> from 2016 to 2021 by geography</w:t>
      </w:r>
    </w:p>
    <w:tbl>
      <w:tblPr>
        <w:tblW w:w="9355" w:type="dxa"/>
        <w:tblLayout w:type="fixed"/>
        <w:tblLook w:val="04A0" w:firstRow="1" w:lastRow="0" w:firstColumn="1" w:lastColumn="0" w:noHBand="0" w:noVBand="1"/>
      </w:tblPr>
      <w:tblGrid>
        <w:gridCol w:w="5755"/>
        <w:gridCol w:w="1200"/>
        <w:gridCol w:w="1200"/>
        <w:gridCol w:w="1200"/>
      </w:tblGrid>
      <w:tr w:rsidR="008E0892" w:rsidRPr="008E0892" w14:paraId="7AB9DB0B" w14:textId="77777777" w:rsidTr="003020D6">
        <w:trPr>
          <w:trHeight w:val="402"/>
          <w:tblHeader/>
        </w:trPr>
        <w:tc>
          <w:tcPr>
            <w:tcW w:w="575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0CC23F4C" w14:textId="77777777" w:rsidR="008E0892" w:rsidRPr="008E0892" w:rsidRDefault="008E0892" w:rsidP="008E0892">
            <w:pPr>
              <w:rPr>
                <w:rFonts w:eastAsia="Times New Roman"/>
                <w:color w:val="FFFFFF"/>
                <w:sz w:val="18"/>
                <w:szCs w:val="18"/>
              </w:rPr>
            </w:pPr>
            <w:r w:rsidRPr="008E0892">
              <w:rPr>
                <w:rFonts w:eastAsia="Times New Roman"/>
                <w:color w:val="FFFFFF"/>
                <w:sz w:val="18"/>
                <w:szCs w:val="18"/>
              </w:rPr>
              <w:t>Variable</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302F30C" w14:textId="77777777" w:rsidR="008E0892" w:rsidRPr="008E0892" w:rsidRDefault="008E0892" w:rsidP="008E0892">
            <w:pPr>
              <w:jc w:val="right"/>
              <w:rPr>
                <w:rFonts w:eastAsia="Times New Roman"/>
                <w:color w:val="FFFFFF"/>
                <w:sz w:val="18"/>
                <w:szCs w:val="18"/>
              </w:rPr>
            </w:pPr>
            <w:r w:rsidRPr="008E0892">
              <w:rPr>
                <w:rFonts w:eastAsia="Times New Roman"/>
                <w:color w:val="FFFFFF"/>
                <w:sz w:val="18"/>
                <w:szCs w:val="18"/>
              </w:rPr>
              <w:t>Local</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332BBD1" w14:textId="77777777" w:rsidR="008E0892" w:rsidRPr="008E0892" w:rsidRDefault="008E0892" w:rsidP="008E0892">
            <w:pPr>
              <w:jc w:val="right"/>
              <w:rPr>
                <w:rFonts w:eastAsia="Times New Roman"/>
                <w:color w:val="FFFFFF"/>
                <w:sz w:val="18"/>
                <w:szCs w:val="18"/>
              </w:rPr>
            </w:pPr>
            <w:r w:rsidRPr="008E0892">
              <w:rPr>
                <w:rFonts w:eastAsia="Times New Roman"/>
                <w:color w:val="FFFFFF"/>
                <w:sz w:val="18"/>
                <w:szCs w:val="18"/>
              </w:rPr>
              <w:t>Region</w:t>
            </w:r>
          </w:p>
        </w:tc>
        <w:tc>
          <w:tcPr>
            <w:tcW w:w="12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C5C446C" w14:textId="77777777" w:rsidR="008E0892" w:rsidRPr="008E0892" w:rsidRDefault="008E0892" w:rsidP="008E0892">
            <w:pPr>
              <w:jc w:val="right"/>
              <w:rPr>
                <w:rFonts w:eastAsia="Times New Roman"/>
                <w:color w:val="FFFFFF"/>
                <w:sz w:val="18"/>
                <w:szCs w:val="18"/>
              </w:rPr>
            </w:pPr>
            <w:r w:rsidRPr="008E0892">
              <w:rPr>
                <w:rFonts w:eastAsia="Times New Roman"/>
                <w:color w:val="FFFFFF"/>
                <w:sz w:val="18"/>
                <w:szCs w:val="18"/>
              </w:rPr>
              <w:t>Province</w:t>
            </w:r>
          </w:p>
        </w:tc>
      </w:tr>
      <w:tr w:rsidR="008E0892" w:rsidRPr="008E0892" w14:paraId="61C9A5BE" w14:textId="77777777" w:rsidTr="00B56DA5">
        <w:trPr>
          <w:trHeight w:val="402"/>
        </w:trPr>
        <w:tc>
          <w:tcPr>
            <w:tcW w:w="5755"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47151FEB" w14:textId="23954069" w:rsidR="008E0892" w:rsidRPr="008E0892" w:rsidRDefault="008E0892" w:rsidP="008E0892">
            <w:pPr>
              <w:rPr>
                <w:rFonts w:eastAsia="Times New Roman"/>
                <w:color w:val="0D0D0D"/>
                <w:sz w:val="18"/>
                <w:szCs w:val="18"/>
              </w:rPr>
            </w:pPr>
            <w:r w:rsidRPr="008E0892">
              <w:rPr>
                <w:rFonts w:eastAsia="Times New Roman"/>
                <w:color w:val="0D0D0D"/>
                <w:sz w:val="18"/>
                <w:szCs w:val="18"/>
              </w:rPr>
              <w:t>Total rental units</w:t>
            </w:r>
            <w:r w:rsidR="00E97E7B">
              <w:rPr>
                <w:rFonts w:eastAsia="Times New Roman"/>
                <w:color w:val="0D0D0D"/>
                <w:sz w:val="18"/>
                <w:szCs w:val="18"/>
              </w:rPr>
              <w:t xml:space="preserve"> lost from 2016 to 2021</w:t>
            </w:r>
          </w:p>
        </w:tc>
        <w:tc>
          <w:tcPr>
            <w:tcW w:w="1200" w:type="dxa"/>
            <w:tcBorders>
              <w:top w:val="nil"/>
              <w:left w:val="nil"/>
              <w:bottom w:val="single" w:sz="4" w:space="0" w:color="auto"/>
              <w:right w:val="single" w:sz="4" w:space="0" w:color="BFBFBF"/>
            </w:tcBorders>
            <w:shd w:val="clear" w:color="000000" w:fill="F2F2F2"/>
            <w:noWrap/>
            <w:vAlign w:val="center"/>
            <w:hideMark/>
          </w:tcPr>
          <w:p w14:paraId="10765C02"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-200</w:t>
            </w:r>
          </w:p>
        </w:tc>
        <w:tc>
          <w:tcPr>
            <w:tcW w:w="1200" w:type="dxa"/>
            <w:tcBorders>
              <w:top w:val="nil"/>
              <w:left w:val="nil"/>
              <w:bottom w:val="single" w:sz="4" w:space="0" w:color="auto"/>
              <w:right w:val="single" w:sz="4" w:space="0" w:color="BFBFBF"/>
            </w:tcBorders>
            <w:shd w:val="clear" w:color="000000" w:fill="F2F2F2"/>
            <w:noWrap/>
            <w:vAlign w:val="center"/>
            <w:hideMark/>
          </w:tcPr>
          <w:p w14:paraId="27B45FD7"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-90</w:t>
            </w:r>
          </w:p>
        </w:tc>
        <w:tc>
          <w:tcPr>
            <w:tcW w:w="1200" w:type="dxa"/>
            <w:tcBorders>
              <w:top w:val="nil"/>
              <w:left w:val="nil"/>
              <w:bottom w:val="single" w:sz="4" w:space="0" w:color="auto"/>
              <w:right w:val="single" w:sz="4" w:space="0" w:color="auto"/>
            </w:tcBorders>
            <w:shd w:val="clear" w:color="000000" w:fill="F2F2F2"/>
            <w:noWrap/>
            <w:vAlign w:val="center"/>
            <w:hideMark/>
          </w:tcPr>
          <w:p w14:paraId="4DCD8DE7"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-355</w:t>
            </w:r>
          </w:p>
        </w:tc>
      </w:tr>
      <w:tr w:rsidR="008E0892" w:rsidRPr="008E0892" w14:paraId="5606A55C" w14:textId="77777777" w:rsidTr="00B56DA5">
        <w:trPr>
          <w:trHeight w:val="402"/>
        </w:trPr>
        <w:tc>
          <w:tcPr>
            <w:tcW w:w="5755" w:type="dxa"/>
            <w:tcBorders>
              <w:top w:val="single" w:sz="4" w:space="0" w:color="auto"/>
              <w:left w:val="single" w:sz="4" w:space="0" w:color="auto"/>
              <w:bottom w:val="single" w:sz="4" w:space="0" w:color="BFBFBF"/>
              <w:right w:val="single" w:sz="4" w:space="0" w:color="000000"/>
            </w:tcBorders>
            <w:noWrap/>
            <w:vAlign w:val="center"/>
            <w:hideMark/>
          </w:tcPr>
          <w:p w14:paraId="0FE8472A" w14:textId="2BB43414" w:rsidR="008E0892" w:rsidRPr="008E0892" w:rsidRDefault="008E0892" w:rsidP="008E0892">
            <w:pPr>
              <w:rPr>
                <w:rFonts w:eastAsia="Times New Roman"/>
                <w:color w:val="0D0D0D"/>
                <w:sz w:val="18"/>
                <w:szCs w:val="18"/>
              </w:rPr>
            </w:pPr>
            <w:r w:rsidRPr="008E0892">
              <w:rPr>
                <w:rFonts w:eastAsia="Times New Roman"/>
                <w:color w:val="0D0D0D"/>
                <w:sz w:val="18"/>
                <w:szCs w:val="18"/>
              </w:rPr>
              <w:t xml:space="preserve">Rental units afforded by </w:t>
            </w:r>
            <w:r w:rsidR="00BD7490">
              <w:rPr>
                <w:rFonts w:eastAsia="Times New Roman"/>
                <w:color w:val="0D0D0D"/>
                <w:sz w:val="18"/>
                <w:szCs w:val="18"/>
              </w:rPr>
              <w:t xml:space="preserve">very </w:t>
            </w:r>
            <w:r w:rsidR="00055EBB">
              <w:rPr>
                <w:rFonts w:eastAsia="Times New Roman"/>
                <w:color w:val="0D0D0D"/>
                <w:sz w:val="18"/>
                <w:szCs w:val="18"/>
              </w:rPr>
              <w:t>low-</w:t>
            </w:r>
            <w:r w:rsidRPr="008E0892">
              <w:rPr>
                <w:rFonts w:eastAsia="Times New Roman"/>
                <w:color w:val="0D0D0D"/>
                <w:sz w:val="18"/>
                <w:szCs w:val="18"/>
              </w:rPr>
              <w:t>income households</w:t>
            </w:r>
          </w:p>
        </w:tc>
        <w:tc>
          <w:tcPr>
            <w:tcW w:w="1200" w:type="dxa"/>
            <w:tcBorders>
              <w:top w:val="single" w:sz="4" w:space="0" w:color="auto"/>
              <w:left w:val="nil"/>
              <w:bottom w:val="single" w:sz="4" w:space="0" w:color="BFBFBF"/>
              <w:right w:val="single" w:sz="4" w:space="0" w:color="BFBFBF"/>
            </w:tcBorders>
            <w:noWrap/>
            <w:vAlign w:val="center"/>
            <w:hideMark/>
          </w:tcPr>
          <w:p w14:paraId="5CFEC144"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-25</w:t>
            </w:r>
          </w:p>
        </w:tc>
        <w:tc>
          <w:tcPr>
            <w:tcW w:w="1200" w:type="dxa"/>
            <w:tcBorders>
              <w:top w:val="single" w:sz="4" w:space="0" w:color="auto"/>
              <w:left w:val="nil"/>
              <w:bottom w:val="single" w:sz="4" w:space="0" w:color="BFBFBF"/>
              <w:right w:val="single" w:sz="4" w:space="0" w:color="BFBFBF"/>
            </w:tcBorders>
            <w:noWrap/>
            <w:vAlign w:val="center"/>
            <w:hideMark/>
          </w:tcPr>
          <w:p w14:paraId="34493195"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-275</w:t>
            </w:r>
          </w:p>
        </w:tc>
        <w:tc>
          <w:tcPr>
            <w:tcW w:w="1200" w:type="dxa"/>
            <w:tcBorders>
              <w:top w:val="single" w:sz="4" w:space="0" w:color="auto"/>
              <w:left w:val="nil"/>
              <w:bottom w:val="single" w:sz="4" w:space="0" w:color="BFBFBF"/>
              <w:right w:val="single" w:sz="4" w:space="0" w:color="auto"/>
            </w:tcBorders>
            <w:noWrap/>
            <w:vAlign w:val="center"/>
            <w:hideMark/>
          </w:tcPr>
          <w:p w14:paraId="76FFFFD6"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-175</w:t>
            </w:r>
          </w:p>
        </w:tc>
      </w:tr>
      <w:tr w:rsidR="008E0892" w:rsidRPr="008E0892" w14:paraId="107C8BD2" w14:textId="77777777" w:rsidTr="00B56DA5">
        <w:trPr>
          <w:trHeight w:val="402"/>
        </w:trPr>
        <w:tc>
          <w:tcPr>
            <w:tcW w:w="575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5802948F" w14:textId="3B3EA714" w:rsidR="008E0892" w:rsidRPr="008E0892" w:rsidRDefault="008E0892" w:rsidP="008E0892">
            <w:pPr>
              <w:rPr>
                <w:rFonts w:eastAsia="Times New Roman"/>
                <w:color w:val="0D0D0D"/>
                <w:sz w:val="18"/>
                <w:szCs w:val="18"/>
              </w:rPr>
            </w:pPr>
            <w:r w:rsidRPr="008E0892">
              <w:rPr>
                <w:rFonts w:eastAsia="Times New Roman"/>
                <w:color w:val="0D0D0D"/>
                <w:sz w:val="18"/>
                <w:szCs w:val="18"/>
              </w:rPr>
              <w:t xml:space="preserve">Rental units afforded by </w:t>
            </w:r>
            <w:r w:rsidR="00055EBB">
              <w:rPr>
                <w:rFonts w:eastAsia="Times New Roman"/>
                <w:color w:val="0D0D0D"/>
                <w:sz w:val="18"/>
                <w:szCs w:val="18"/>
              </w:rPr>
              <w:t>low-income</w:t>
            </w:r>
            <w:r w:rsidRPr="008E0892">
              <w:rPr>
                <w:rFonts w:eastAsia="Times New Roman"/>
                <w:color w:val="0D0D0D"/>
                <w:sz w:val="18"/>
                <w:szCs w:val="18"/>
              </w:rPr>
              <w:t xml:space="preserve"> households</w:t>
            </w:r>
          </w:p>
        </w:tc>
        <w:tc>
          <w:tcPr>
            <w:tcW w:w="1200" w:type="dxa"/>
            <w:tcBorders>
              <w:top w:val="single" w:sz="4" w:space="0" w:color="BFBFBF"/>
              <w:left w:val="nil"/>
              <w:bottom w:val="single" w:sz="4" w:space="0" w:color="auto"/>
              <w:right w:val="single" w:sz="4" w:space="0" w:color="BFBFBF"/>
            </w:tcBorders>
            <w:shd w:val="clear" w:color="000000" w:fill="F2F2F2"/>
            <w:noWrap/>
            <w:vAlign w:val="center"/>
            <w:hideMark/>
          </w:tcPr>
          <w:p w14:paraId="760A1F7E"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-535</w:t>
            </w:r>
          </w:p>
        </w:tc>
        <w:tc>
          <w:tcPr>
            <w:tcW w:w="1200" w:type="dxa"/>
            <w:tcBorders>
              <w:top w:val="single" w:sz="4" w:space="0" w:color="BFBFBF"/>
              <w:left w:val="nil"/>
              <w:bottom w:val="single" w:sz="4" w:space="0" w:color="auto"/>
              <w:right w:val="single" w:sz="4" w:space="0" w:color="BFBFBF"/>
            </w:tcBorders>
            <w:shd w:val="clear" w:color="000000" w:fill="F2F2F2"/>
            <w:noWrap/>
            <w:vAlign w:val="center"/>
            <w:hideMark/>
          </w:tcPr>
          <w:p w14:paraId="7D67140A"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-1,375</w:t>
            </w:r>
          </w:p>
        </w:tc>
        <w:tc>
          <w:tcPr>
            <w:tcW w:w="1200" w:type="dxa"/>
            <w:tcBorders>
              <w:top w:val="single" w:sz="4" w:space="0" w:color="BFBFBF"/>
              <w:left w:val="nil"/>
              <w:bottom w:val="single" w:sz="4" w:space="0" w:color="auto"/>
              <w:right w:val="single" w:sz="4" w:space="0" w:color="auto"/>
            </w:tcBorders>
            <w:shd w:val="clear" w:color="000000" w:fill="F2F2F2"/>
            <w:noWrap/>
            <w:vAlign w:val="center"/>
            <w:hideMark/>
          </w:tcPr>
          <w:p w14:paraId="7678B9CB"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-785</w:t>
            </w:r>
          </w:p>
        </w:tc>
      </w:tr>
      <w:tr w:rsidR="008E0892" w:rsidRPr="008E0892" w14:paraId="05148DBA" w14:textId="77777777" w:rsidTr="00B56DA5">
        <w:trPr>
          <w:trHeight w:val="402"/>
        </w:trPr>
        <w:tc>
          <w:tcPr>
            <w:tcW w:w="5755" w:type="dxa"/>
            <w:tcBorders>
              <w:top w:val="single" w:sz="4" w:space="0" w:color="auto"/>
              <w:left w:val="single" w:sz="4" w:space="0" w:color="auto"/>
              <w:bottom w:val="single" w:sz="4" w:space="0" w:color="auto"/>
              <w:right w:val="single" w:sz="4" w:space="0" w:color="000000"/>
            </w:tcBorders>
            <w:noWrap/>
            <w:vAlign w:val="center"/>
            <w:hideMark/>
          </w:tcPr>
          <w:p w14:paraId="150CC07F" w14:textId="77777777" w:rsidR="008E0892" w:rsidRPr="008E0892" w:rsidRDefault="008E0892" w:rsidP="008E0892">
            <w:pPr>
              <w:rPr>
                <w:rFonts w:eastAsia="Times New Roman"/>
                <w:color w:val="0D0D0D"/>
                <w:sz w:val="18"/>
                <w:szCs w:val="18"/>
              </w:rPr>
            </w:pPr>
            <w:r w:rsidRPr="008E0892">
              <w:rPr>
                <w:rFonts w:eastAsia="Times New Roman"/>
                <w:color w:val="0D0D0D"/>
                <w:sz w:val="18"/>
                <w:szCs w:val="18"/>
              </w:rPr>
              <w:lastRenderedPageBreak/>
              <w:t>Total rental units considered affordable</w:t>
            </w:r>
          </w:p>
        </w:tc>
        <w:tc>
          <w:tcPr>
            <w:tcW w:w="1200" w:type="dxa"/>
            <w:tcBorders>
              <w:top w:val="single" w:sz="4" w:space="0" w:color="auto"/>
              <w:left w:val="nil"/>
              <w:bottom w:val="single" w:sz="4" w:space="0" w:color="auto"/>
              <w:right w:val="single" w:sz="4" w:space="0" w:color="BFBFBF"/>
            </w:tcBorders>
            <w:noWrap/>
            <w:vAlign w:val="center"/>
            <w:hideMark/>
          </w:tcPr>
          <w:p w14:paraId="25418D5F"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-560</w:t>
            </w:r>
          </w:p>
        </w:tc>
        <w:tc>
          <w:tcPr>
            <w:tcW w:w="1200" w:type="dxa"/>
            <w:tcBorders>
              <w:top w:val="single" w:sz="4" w:space="0" w:color="auto"/>
              <w:left w:val="nil"/>
              <w:bottom w:val="single" w:sz="4" w:space="0" w:color="auto"/>
              <w:right w:val="single" w:sz="4" w:space="0" w:color="BFBFBF"/>
            </w:tcBorders>
            <w:noWrap/>
            <w:vAlign w:val="center"/>
            <w:hideMark/>
          </w:tcPr>
          <w:p w14:paraId="5ED9490E"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-1,650</w:t>
            </w:r>
          </w:p>
        </w:tc>
        <w:tc>
          <w:tcPr>
            <w:tcW w:w="1200" w:type="dxa"/>
            <w:tcBorders>
              <w:top w:val="single" w:sz="4" w:space="0" w:color="auto"/>
              <w:left w:val="nil"/>
              <w:bottom w:val="single" w:sz="4" w:space="0" w:color="auto"/>
              <w:right w:val="single" w:sz="4" w:space="0" w:color="auto"/>
            </w:tcBorders>
            <w:noWrap/>
            <w:vAlign w:val="center"/>
            <w:hideMark/>
          </w:tcPr>
          <w:p w14:paraId="50D48C3B" w14:textId="77777777" w:rsidR="008E0892" w:rsidRPr="00EB7F3E" w:rsidRDefault="008E0892" w:rsidP="008E0892">
            <w:pPr>
              <w:jc w:val="right"/>
              <w:rPr>
                <w:rFonts w:eastAsia="Times New Roman"/>
                <w:color w:val="C00000"/>
                <w:sz w:val="18"/>
                <w:szCs w:val="18"/>
              </w:rPr>
            </w:pPr>
            <w:r w:rsidRPr="00EB7F3E">
              <w:rPr>
                <w:rFonts w:eastAsia="Times New Roman"/>
                <w:color w:val="C00000"/>
                <w:sz w:val="18"/>
                <w:szCs w:val="18"/>
              </w:rPr>
              <w:t>-960</w:t>
            </w:r>
          </w:p>
        </w:tc>
      </w:tr>
    </w:tbl>
    <w:p w14:paraId="1A81A169" w14:textId="0CC96595" w:rsidR="003214B5" w:rsidRDefault="003214B5" w:rsidP="003214B5">
      <w:pPr>
        <w:pStyle w:val="Source"/>
      </w:pPr>
      <w:r>
        <w:t xml:space="preserve">Source: </w:t>
      </w:r>
      <w:r w:rsidR="00916A36">
        <w:t>Housing Assessment Resource Tools (HART)</w:t>
      </w:r>
      <w:r w:rsidR="00916A36">
        <w:rPr>
          <w:rStyle w:val="FootnoteReference"/>
        </w:rPr>
        <w:footnoteReference w:id="6"/>
      </w:r>
      <w:r w:rsidR="00916A36">
        <w:t xml:space="preserve"> </w:t>
      </w:r>
      <w:r w:rsidR="00916A36">
        <w:rPr>
          <w:rStyle w:val="FootnoteReference"/>
        </w:rPr>
        <w:footnoteReference w:id="7"/>
      </w:r>
    </w:p>
    <w:p w14:paraId="1123219D" w14:textId="77777777" w:rsidR="008E0892" w:rsidRDefault="008E0892" w:rsidP="009962D2"/>
    <w:p w14:paraId="00C79A74" w14:textId="09ADB3DA" w:rsidR="00695307" w:rsidRDefault="00695307" w:rsidP="00695307">
      <w:pPr>
        <w:pStyle w:val="Caption"/>
      </w:pPr>
      <w:r>
        <w:t xml:space="preserve">Table </w:t>
      </w:r>
      <w:fldSimple w:instr=" STYLEREF 1 \s ">
        <w:r w:rsidR="005E459C">
          <w:rPr>
            <w:noProof/>
          </w:rPr>
          <w:t>6</w:t>
        </w:r>
      </w:fldSimple>
      <w:r w:rsidR="00BD4359">
        <w:t>.</w:t>
      </w:r>
      <w:fldSimple w:instr=" SEQ Table \* ARABIC \s 1 ">
        <w:r w:rsidR="005E459C">
          <w:rPr>
            <w:noProof/>
          </w:rPr>
          <w:t>11</w:t>
        </w:r>
      </w:fldSimple>
      <w:r>
        <w:t xml:space="preserve">: </w:t>
      </w:r>
      <w:r w:rsidRPr="00663723">
        <w:rPr>
          <w:b/>
          <w:u w:val="single"/>
        </w:rPr>
        <w:t>Net change</w:t>
      </w:r>
      <w:r>
        <w:t xml:space="preserve"> in r</w:t>
      </w:r>
      <w:r w:rsidRPr="002D72DA">
        <w:t>ental units</w:t>
      </w:r>
      <w:r>
        <w:t xml:space="preserve"> </w:t>
      </w:r>
      <w:r w:rsidR="00844A86">
        <w:t>(</w:t>
      </w:r>
      <w:r>
        <w:t>2016 to 2021</w:t>
      </w:r>
      <w:r w:rsidR="00844A86">
        <w:t>)</w:t>
      </w:r>
      <w:r w:rsidRPr="002D72DA">
        <w:t xml:space="preserve"> afforded by </w:t>
      </w:r>
      <w:r w:rsidR="00055EBB">
        <w:t>very</w:t>
      </w:r>
      <w:r w:rsidR="005421DC">
        <w:t xml:space="preserve"> </w:t>
      </w:r>
      <w:r w:rsidRPr="002D72DA">
        <w:t>low</w:t>
      </w:r>
      <w:r w:rsidR="005421DC">
        <w:t>- and low-</w:t>
      </w:r>
      <w:r w:rsidRPr="002D72DA">
        <w:t>income households by geography</w:t>
      </w:r>
    </w:p>
    <w:tbl>
      <w:tblPr>
        <w:tblW w:w="9355" w:type="dxa"/>
        <w:tblLayout w:type="fixed"/>
        <w:tblLook w:val="04A0" w:firstRow="1" w:lastRow="0" w:firstColumn="1" w:lastColumn="0" w:noHBand="0" w:noVBand="1"/>
      </w:tblPr>
      <w:tblGrid>
        <w:gridCol w:w="5755"/>
        <w:gridCol w:w="1200"/>
        <w:gridCol w:w="1200"/>
        <w:gridCol w:w="1200"/>
      </w:tblGrid>
      <w:tr w:rsidR="0019651D" w:rsidRPr="0019651D" w14:paraId="192FA257" w14:textId="77777777" w:rsidTr="003C59F9">
        <w:trPr>
          <w:trHeight w:val="402"/>
        </w:trPr>
        <w:tc>
          <w:tcPr>
            <w:tcW w:w="575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41A4AAF9" w14:textId="77777777" w:rsidR="0019651D" w:rsidRPr="0019651D" w:rsidRDefault="0019651D" w:rsidP="0019651D">
            <w:pPr>
              <w:rPr>
                <w:rFonts w:eastAsia="Times New Roman"/>
                <w:color w:val="FFFFFF"/>
                <w:sz w:val="18"/>
                <w:szCs w:val="18"/>
              </w:rPr>
            </w:pPr>
            <w:r w:rsidRPr="0019651D">
              <w:rPr>
                <w:rFonts w:eastAsia="Times New Roman"/>
                <w:color w:val="FFFFFF"/>
                <w:sz w:val="18"/>
                <w:szCs w:val="18"/>
              </w:rPr>
              <w:t>Variable</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53FD810" w14:textId="77777777" w:rsidR="0019651D" w:rsidRPr="0019651D" w:rsidRDefault="0019651D" w:rsidP="0019651D">
            <w:pPr>
              <w:jc w:val="right"/>
              <w:rPr>
                <w:rFonts w:eastAsia="Times New Roman"/>
                <w:color w:val="FFFFFF"/>
                <w:sz w:val="18"/>
                <w:szCs w:val="18"/>
              </w:rPr>
            </w:pPr>
            <w:r w:rsidRPr="0019651D">
              <w:rPr>
                <w:rFonts w:eastAsia="Times New Roman"/>
                <w:color w:val="FFFFFF"/>
                <w:sz w:val="18"/>
                <w:szCs w:val="18"/>
              </w:rPr>
              <w:t>Local</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D50D433" w14:textId="77777777" w:rsidR="0019651D" w:rsidRPr="0019651D" w:rsidRDefault="0019651D" w:rsidP="0019651D">
            <w:pPr>
              <w:jc w:val="right"/>
              <w:rPr>
                <w:rFonts w:eastAsia="Times New Roman"/>
                <w:color w:val="FFFFFF"/>
                <w:sz w:val="18"/>
                <w:szCs w:val="18"/>
              </w:rPr>
            </w:pPr>
            <w:r w:rsidRPr="0019651D">
              <w:rPr>
                <w:rFonts w:eastAsia="Times New Roman"/>
                <w:color w:val="FFFFFF"/>
                <w:sz w:val="18"/>
                <w:szCs w:val="18"/>
              </w:rPr>
              <w:t>Region</w:t>
            </w:r>
          </w:p>
        </w:tc>
        <w:tc>
          <w:tcPr>
            <w:tcW w:w="12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00E98212" w14:textId="77777777" w:rsidR="0019651D" w:rsidRPr="0019651D" w:rsidRDefault="0019651D" w:rsidP="0019651D">
            <w:pPr>
              <w:jc w:val="right"/>
              <w:rPr>
                <w:rFonts w:eastAsia="Times New Roman"/>
                <w:color w:val="FFFFFF"/>
                <w:sz w:val="18"/>
                <w:szCs w:val="18"/>
              </w:rPr>
            </w:pPr>
            <w:r w:rsidRPr="0019651D">
              <w:rPr>
                <w:rFonts w:eastAsia="Times New Roman"/>
                <w:color w:val="FFFFFF"/>
                <w:sz w:val="18"/>
                <w:szCs w:val="18"/>
              </w:rPr>
              <w:t>Province</w:t>
            </w:r>
          </w:p>
        </w:tc>
      </w:tr>
      <w:tr w:rsidR="00CC76FA" w:rsidRPr="0019651D" w14:paraId="362F04FD" w14:textId="77777777" w:rsidTr="008651E8">
        <w:trPr>
          <w:trHeight w:val="402"/>
        </w:trPr>
        <w:tc>
          <w:tcPr>
            <w:tcW w:w="5755"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5373A71E" w14:textId="7C537421" w:rsidR="00CC76FA" w:rsidRPr="0019651D" w:rsidRDefault="00CC76FA" w:rsidP="00CC76FA">
            <w:pPr>
              <w:rPr>
                <w:rFonts w:eastAsia="Times New Roman"/>
                <w:color w:val="0D0D0D"/>
                <w:sz w:val="18"/>
                <w:szCs w:val="18"/>
              </w:rPr>
            </w:pPr>
            <w:r>
              <w:rPr>
                <w:color w:val="0D0D0D"/>
                <w:sz w:val="18"/>
                <w:szCs w:val="18"/>
              </w:rPr>
              <w:t>Net change in total rental units</w:t>
            </w:r>
            <w:r w:rsidR="006D7F91">
              <w:rPr>
                <w:color w:val="0D0D0D"/>
                <w:sz w:val="18"/>
                <w:szCs w:val="18"/>
              </w:rPr>
              <w:t xml:space="preserve"> from 2016 to 2021</w:t>
            </w:r>
          </w:p>
        </w:tc>
        <w:tc>
          <w:tcPr>
            <w:tcW w:w="1200" w:type="dxa"/>
            <w:tcBorders>
              <w:top w:val="nil"/>
              <w:left w:val="nil"/>
              <w:bottom w:val="single" w:sz="4" w:space="0" w:color="auto"/>
              <w:right w:val="single" w:sz="4" w:space="0" w:color="BFBFBF"/>
            </w:tcBorders>
            <w:shd w:val="clear" w:color="000000" w:fill="F2F2F2"/>
            <w:noWrap/>
            <w:vAlign w:val="center"/>
            <w:hideMark/>
          </w:tcPr>
          <w:p w14:paraId="16DF0221" w14:textId="0C186D57" w:rsidR="00CC76FA" w:rsidRPr="00EB7F3E" w:rsidRDefault="00CC76FA" w:rsidP="00CC76FA">
            <w:pPr>
              <w:jc w:val="right"/>
              <w:rPr>
                <w:rFonts w:eastAsia="Times New Roman"/>
                <w:color w:val="C00000"/>
                <w:sz w:val="18"/>
                <w:szCs w:val="18"/>
              </w:rPr>
            </w:pPr>
            <w:r w:rsidRPr="00EB7F3E">
              <w:rPr>
                <w:color w:val="C00000"/>
                <w:sz w:val="18"/>
                <w:szCs w:val="18"/>
              </w:rPr>
              <w:t>535</w:t>
            </w:r>
          </w:p>
        </w:tc>
        <w:tc>
          <w:tcPr>
            <w:tcW w:w="1200" w:type="dxa"/>
            <w:tcBorders>
              <w:top w:val="nil"/>
              <w:left w:val="nil"/>
              <w:bottom w:val="single" w:sz="4" w:space="0" w:color="auto"/>
              <w:right w:val="single" w:sz="4" w:space="0" w:color="BFBFBF"/>
            </w:tcBorders>
            <w:shd w:val="clear" w:color="000000" w:fill="F2F2F2"/>
            <w:noWrap/>
            <w:vAlign w:val="center"/>
            <w:hideMark/>
          </w:tcPr>
          <w:p w14:paraId="04616E14" w14:textId="22A7EF12" w:rsidR="00CC76FA" w:rsidRPr="00EB7F3E" w:rsidRDefault="00CC76FA" w:rsidP="00CC76FA">
            <w:pPr>
              <w:jc w:val="right"/>
              <w:rPr>
                <w:rFonts w:eastAsia="Times New Roman"/>
                <w:color w:val="C00000"/>
                <w:sz w:val="18"/>
                <w:szCs w:val="18"/>
              </w:rPr>
            </w:pPr>
            <w:r w:rsidRPr="00EB7F3E">
              <w:rPr>
                <w:color w:val="C00000"/>
                <w:sz w:val="18"/>
                <w:szCs w:val="18"/>
              </w:rPr>
              <w:t>1,365</w:t>
            </w:r>
          </w:p>
        </w:tc>
        <w:tc>
          <w:tcPr>
            <w:tcW w:w="1200" w:type="dxa"/>
            <w:tcBorders>
              <w:top w:val="nil"/>
              <w:left w:val="nil"/>
              <w:bottom w:val="single" w:sz="4" w:space="0" w:color="auto"/>
              <w:right w:val="single" w:sz="4" w:space="0" w:color="auto"/>
            </w:tcBorders>
            <w:shd w:val="clear" w:color="000000" w:fill="F2F2F2"/>
            <w:noWrap/>
            <w:vAlign w:val="center"/>
            <w:hideMark/>
          </w:tcPr>
          <w:p w14:paraId="28C8B0AF" w14:textId="3B88AB04" w:rsidR="00CC76FA" w:rsidRPr="00EB7F3E" w:rsidRDefault="00CC76FA" w:rsidP="00CC76FA">
            <w:pPr>
              <w:jc w:val="right"/>
              <w:rPr>
                <w:rFonts w:eastAsia="Times New Roman"/>
                <w:color w:val="C00000"/>
                <w:sz w:val="18"/>
                <w:szCs w:val="18"/>
              </w:rPr>
            </w:pPr>
            <w:r w:rsidRPr="00EB7F3E">
              <w:rPr>
                <w:color w:val="C00000"/>
                <w:sz w:val="18"/>
                <w:szCs w:val="18"/>
              </w:rPr>
              <w:t>1,690</w:t>
            </w:r>
          </w:p>
        </w:tc>
      </w:tr>
      <w:tr w:rsidR="00CC76FA" w:rsidRPr="0019651D" w14:paraId="39D3732C" w14:textId="77777777" w:rsidTr="008651E8">
        <w:trPr>
          <w:trHeight w:val="402"/>
        </w:trPr>
        <w:tc>
          <w:tcPr>
            <w:tcW w:w="5755" w:type="dxa"/>
            <w:tcBorders>
              <w:top w:val="nil"/>
              <w:left w:val="single" w:sz="4" w:space="0" w:color="auto"/>
              <w:bottom w:val="single" w:sz="4" w:space="0" w:color="BFBFBF"/>
              <w:right w:val="single" w:sz="4" w:space="0" w:color="000000"/>
            </w:tcBorders>
            <w:noWrap/>
            <w:vAlign w:val="center"/>
            <w:hideMark/>
          </w:tcPr>
          <w:p w14:paraId="44DF2877" w14:textId="75806E65" w:rsidR="00CC76FA" w:rsidRPr="0019651D" w:rsidRDefault="00CC76FA" w:rsidP="00CC76FA">
            <w:pPr>
              <w:rPr>
                <w:rFonts w:eastAsia="Times New Roman"/>
                <w:color w:val="0D0D0D"/>
                <w:sz w:val="18"/>
                <w:szCs w:val="18"/>
              </w:rPr>
            </w:pPr>
            <w:r>
              <w:rPr>
                <w:color w:val="0D0D0D"/>
                <w:sz w:val="18"/>
                <w:szCs w:val="18"/>
              </w:rPr>
              <w:t xml:space="preserve">Net change to rental units afforded by </w:t>
            </w:r>
            <w:r w:rsidR="00BD7490">
              <w:rPr>
                <w:color w:val="0D0D0D"/>
                <w:sz w:val="18"/>
                <w:szCs w:val="18"/>
              </w:rPr>
              <w:t xml:space="preserve">very </w:t>
            </w:r>
            <w:r w:rsidR="005E6C37">
              <w:rPr>
                <w:color w:val="0D0D0D"/>
                <w:sz w:val="18"/>
                <w:szCs w:val="18"/>
              </w:rPr>
              <w:t>low-</w:t>
            </w:r>
            <w:r>
              <w:rPr>
                <w:color w:val="0D0D0D"/>
                <w:sz w:val="18"/>
                <w:szCs w:val="18"/>
              </w:rPr>
              <w:t>income households</w:t>
            </w:r>
          </w:p>
        </w:tc>
        <w:tc>
          <w:tcPr>
            <w:tcW w:w="1200" w:type="dxa"/>
            <w:tcBorders>
              <w:top w:val="nil"/>
              <w:left w:val="nil"/>
              <w:bottom w:val="single" w:sz="4" w:space="0" w:color="BFBFBF"/>
              <w:right w:val="single" w:sz="4" w:space="0" w:color="BFBFBF"/>
            </w:tcBorders>
            <w:noWrap/>
            <w:vAlign w:val="center"/>
            <w:hideMark/>
          </w:tcPr>
          <w:p w14:paraId="40202CCE" w14:textId="76C13574" w:rsidR="00CC76FA" w:rsidRPr="00EB7F3E" w:rsidRDefault="00CC76FA" w:rsidP="00CC76FA">
            <w:pPr>
              <w:jc w:val="right"/>
              <w:rPr>
                <w:rFonts w:eastAsia="Times New Roman"/>
                <w:color w:val="C00000"/>
                <w:sz w:val="18"/>
                <w:szCs w:val="18"/>
              </w:rPr>
            </w:pPr>
            <w:r w:rsidRPr="00EB7F3E">
              <w:rPr>
                <w:color w:val="C00000"/>
                <w:sz w:val="18"/>
                <w:szCs w:val="18"/>
              </w:rPr>
              <w:t>40</w:t>
            </w:r>
          </w:p>
        </w:tc>
        <w:tc>
          <w:tcPr>
            <w:tcW w:w="1200" w:type="dxa"/>
            <w:tcBorders>
              <w:top w:val="nil"/>
              <w:left w:val="nil"/>
              <w:bottom w:val="single" w:sz="4" w:space="0" w:color="BFBFBF"/>
              <w:right w:val="single" w:sz="4" w:space="0" w:color="BFBFBF"/>
            </w:tcBorders>
            <w:noWrap/>
            <w:vAlign w:val="center"/>
            <w:hideMark/>
          </w:tcPr>
          <w:p w14:paraId="2D63B0EE" w14:textId="652FB0F4" w:rsidR="00CC76FA" w:rsidRPr="00EB7F3E" w:rsidRDefault="00CC76FA" w:rsidP="00CC76FA">
            <w:pPr>
              <w:jc w:val="right"/>
              <w:rPr>
                <w:rFonts w:eastAsia="Times New Roman"/>
                <w:color w:val="C00000"/>
                <w:sz w:val="18"/>
                <w:szCs w:val="18"/>
              </w:rPr>
            </w:pPr>
            <w:r w:rsidRPr="00EB7F3E">
              <w:rPr>
                <w:color w:val="C00000"/>
                <w:sz w:val="18"/>
                <w:szCs w:val="18"/>
              </w:rPr>
              <w:t>-145</w:t>
            </w:r>
          </w:p>
        </w:tc>
        <w:tc>
          <w:tcPr>
            <w:tcW w:w="1200" w:type="dxa"/>
            <w:tcBorders>
              <w:top w:val="nil"/>
              <w:left w:val="nil"/>
              <w:bottom w:val="single" w:sz="4" w:space="0" w:color="BFBFBF"/>
              <w:right w:val="single" w:sz="4" w:space="0" w:color="auto"/>
            </w:tcBorders>
            <w:noWrap/>
            <w:vAlign w:val="center"/>
            <w:hideMark/>
          </w:tcPr>
          <w:p w14:paraId="648768FC" w14:textId="4D5D423F" w:rsidR="00CC76FA" w:rsidRPr="00EB7F3E" w:rsidRDefault="00CC76FA" w:rsidP="00CC76FA">
            <w:pPr>
              <w:jc w:val="right"/>
              <w:rPr>
                <w:rFonts w:eastAsia="Times New Roman"/>
                <w:color w:val="C00000"/>
                <w:sz w:val="18"/>
                <w:szCs w:val="18"/>
              </w:rPr>
            </w:pPr>
            <w:r w:rsidRPr="00EB7F3E">
              <w:rPr>
                <w:color w:val="C00000"/>
                <w:sz w:val="18"/>
                <w:szCs w:val="18"/>
              </w:rPr>
              <w:t>-40</w:t>
            </w:r>
          </w:p>
        </w:tc>
      </w:tr>
      <w:tr w:rsidR="00CC76FA" w:rsidRPr="0019651D" w14:paraId="28960656" w14:textId="77777777" w:rsidTr="008651E8">
        <w:trPr>
          <w:trHeight w:val="402"/>
        </w:trPr>
        <w:tc>
          <w:tcPr>
            <w:tcW w:w="5755" w:type="dxa"/>
            <w:tcBorders>
              <w:top w:val="single" w:sz="4" w:space="0" w:color="BFBFBF"/>
              <w:left w:val="single" w:sz="4" w:space="0" w:color="auto"/>
              <w:bottom w:val="nil"/>
              <w:right w:val="single" w:sz="4" w:space="0" w:color="000000"/>
            </w:tcBorders>
            <w:shd w:val="clear" w:color="000000" w:fill="F2F2F2"/>
            <w:noWrap/>
            <w:vAlign w:val="center"/>
            <w:hideMark/>
          </w:tcPr>
          <w:p w14:paraId="7FF640D6" w14:textId="5B1812AC" w:rsidR="00CC76FA" w:rsidRPr="0019651D" w:rsidRDefault="00CC76FA" w:rsidP="00CC76FA">
            <w:pPr>
              <w:rPr>
                <w:rFonts w:eastAsia="Times New Roman"/>
                <w:color w:val="0D0D0D"/>
                <w:sz w:val="18"/>
                <w:szCs w:val="18"/>
              </w:rPr>
            </w:pPr>
            <w:r>
              <w:rPr>
                <w:color w:val="0D0D0D"/>
                <w:sz w:val="18"/>
                <w:szCs w:val="18"/>
              </w:rPr>
              <w:t xml:space="preserve">Net change to rental units afforded by </w:t>
            </w:r>
            <w:r w:rsidR="005E6C37">
              <w:rPr>
                <w:color w:val="0D0D0D"/>
                <w:sz w:val="18"/>
                <w:szCs w:val="18"/>
              </w:rPr>
              <w:t>low-income</w:t>
            </w:r>
            <w:r>
              <w:rPr>
                <w:color w:val="0D0D0D"/>
                <w:sz w:val="18"/>
                <w:szCs w:val="18"/>
              </w:rPr>
              <w:t xml:space="preserve"> households</w:t>
            </w:r>
          </w:p>
        </w:tc>
        <w:tc>
          <w:tcPr>
            <w:tcW w:w="1200" w:type="dxa"/>
            <w:tcBorders>
              <w:top w:val="nil"/>
              <w:left w:val="nil"/>
              <w:bottom w:val="nil"/>
              <w:right w:val="single" w:sz="4" w:space="0" w:color="BFBFBF"/>
            </w:tcBorders>
            <w:shd w:val="clear" w:color="000000" w:fill="F2F2F2"/>
            <w:noWrap/>
            <w:vAlign w:val="center"/>
            <w:hideMark/>
          </w:tcPr>
          <w:p w14:paraId="25225A7D" w14:textId="3AC1E67A" w:rsidR="00CC76FA" w:rsidRPr="00EB7F3E" w:rsidRDefault="00CC76FA" w:rsidP="00CC76FA">
            <w:pPr>
              <w:jc w:val="right"/>
              <w:rPr>
                <w:rFonts w:eastAsia="Times New Roman"/>
                <w:color w:val="C00000"/>
                <w:sz w:val="18"/>
                <w:szCs w:val="18"/>
              </w:rPr>
            </w:pPr>
            <w:r w:rsidRPr="00EB7F3E">
              <w:rPr>
                <w:color w:val="C00000"/>
                <w:sz w:val="18"/>
                <w:szCs w:val="18"/>
              </w:rPr>
              <w:t>-470</w:t>
            </w:r>
          </w:p>
        </w:tc>
        <w:tc>
          <w:tcPr>
            <w:tcW w:w="1200" w:type="dxa"/>
            <w:tcBorders>
              <w:top w:val="nil"/>
              <w:left w:val="nil"/>
              <w:bottom w:val="nil"/>
              <w:right w:val="single" w:sz="4" w:space="0" w:color="BFBFBF"/>
            </w:tcBorders>
            <w:shd w:val="clear" w:color="000000" w:fill="F2F2F2"/>
            <w:noWrap/>
            <w:vAlign w:val="center"/>
            <w:hideMark/>
          </w:tcPr>
          <w:p w14:paraId="31F633EB" w14:textId="786B5BB3" w:rsidR="00CC76FA" w:rsidRPr="00EB7F3E" w:rsidRDefault="00CC76FA" w:rsidP="00CC76FA">
            <w:pPr>
              <w:jc w:val="right"/>
              <w:rPr>
                <w:rFonts w:eastAsia="Times New Roman"/>
                <w:color w:val="C00000"/>
                <w:sz w:val="18"/>
                <w:szCs w:val="18"/>
              </w:rPr>
            </w:pPr>
            <w:r w:rsidRPr="00EB7F3E">
              <w:rPr>
                <w:color w:val="C00000"/>
                <w:sz w:val="18"/>
                <w:szCs w:val="18"/>
              </w:rPr>
              <w:t>-1,225</w:t>
            </w:r>
          </w:p>
        </w:tc>
        <w:tc>
          <w:tcPr>
            <w:tcW w:w="1200" w:type="dxa"/>
            <w:tcBorders>
              <w:top w:val="nil"/>
              <w:left w:val="nil"/>
              <w:bottom w:val="nil"/>
              <w:right w:val="single" w:sz="4" w:space="0" w:color="auto"/>
            </w:tcBorders>
            <w:shd w:val="clear" w:color="000000" w:fill="F2F2F2"/>
            <w:noWrap/>
            <w:vAlign w:val="center"/>
            <w:hideMark/>
          </w:tcPr>
          <w:p w14:paraId="4D32954A" w14:textId="15250583" w:rsidR="00CC76FA" w:rsidRPr="00EB7F3E" w:rsidRDefault="00CC76FA" w:rsidP="00CC76FA">
            <w:pPr>
              <w:jc w:val="right"/>
              <w:rPr>
                <w:rFonts w:eastAsia="Times New Roman"/>
                <w:color w:val="C00000"/>
                <w:sz w:val="18"/>
                <w:szCs w:val="18"/>
              </w:rPr>
            </w:pPr>
            <w:r w:rsidRPr="00EB7F3E">
              <w:rPr>
                <w:color w:val="C00000"/>
                <w:sz w:val="18"/>
                <w:szCs w:val="18"/>
              </w:rPr>
              <w:t>-500</w:t>
            </w:r>
          </w:p>
        </w:tc>
      </w:tr>
      <w:tr w:rsidR="00CC76FA" w:rsidRPr="0019651D" w14:paraId="2D547F7F" w14:textId="77777777" w:rsidTr="008651E8">
        <w:trPr>
          <w:trHeight w:val="402"/>
        </w:trPr>
        <w:tc>
          <w:tcPr>
            <w:tcW w:w="5755" w:type="dxa"/>
            <w:tcBorders>
              <w:top w:val="single" w:sz="4" w:space="0" w:color="auto"/>
              <w:left w:val="single" w:sz="4" w:space="0" w:color="auto"/>
              <w:bottom w:val="single" w:sz="4" w:space="0" w:color="auto"/>
              <w:right w:val="single" w:sz="4" w:space="0" w:color="000000"/>
            </w:tcBorders>
            <w:noWrap/>
            <w:vAlign w:val="center"/>
            <w:hideMark/>
          </w:tcPr>
          <w:p w14:paraId="1E7DCB8A" w14:textId="6CC684FE" w:rsidR="00CC76FA" w:rsidRPr="0019651D" w:rsidRDefault="00CC76FA" w:rsidP="00CC76FA">
            <w:pPr>
              <w:rPr>
                <w:rFonts w:eastAsia="Times New Roman"/>
                <w:color w:val="0D0D0D"/>
                <w:sz w:val="18"/>
                <w:szCs w:val="18"/>
              </w:rPr>
            </w:pPr>
            <w:r>
              <w:rPr>
                <w:color w:val="0D0D0D"/>
                <w:sz w:val="18"/>
                <w:szCs w:val="18"/>
              </w:rPr>
              <w:t>Total change to rental units considered affordable</w:t>
            </w:r>
          </w:p>
        </w:tc>
        <w:tc>
          <w:tcPr>
            <w:tcW w:w="1200" w:type="dxa"/>
            <w:tcBorders>
              <w:top w:val="single" w:sz="4" w:space="0" w:color="auto"/>
              <w:left w:val="nil"/>
              <w:bottom w:val="single" w:sz="4" w:space="0" w:color="auto"/>
              <w:right w:val="single" w:sz="4" w:space="0" w:color="BFBFBF"/>
            </w:tcBorders>
            <w:noWrap/>
            <w:vAlign w:val="center"/>
            <w:hideMark/>
          </w:tcPr>
          <w:p w14:paraId="5AF62CBF" w14:textId="004FDCD5" w:rsidR="00CC76FA" w:rsidRPr="00EB7F3E" w:rsidRDefault="00CC76FA" w:rsidP="00CC76FA">
            <w:pPr>
              <w:jc w:val="right"/>
              <w:rPr>
                <w:rFonts w:eastAsia="Times New Roman"/>
                <w:color w:val="C00000"/>
                <w:sz w:val="18"/>
                <w:szCs w:val="18"/>
              </w:rPr>
            </w:pPr>
            <w:r w:rsidRPr="00EB7F3E">
              <w:rPr>
                <w:color w:val="C00000"/>
                <w:sz w:val="18"/>
                <w:szCs w:val="18"/>
              </w:rPr>
              <w:t>-430</w:t>
            </w:r>
          </w:p>
        </w:tc>
        <w:tc>
          <w:tcPr>
            <w:tcW w:w="1200" w:type="dxa"/>
            <w:tcBorders>
              <w:top w:val="single" w:sz="4" w:space="0" w:color="auto"/>
              <w:left w:val="nil"/>
              <w:bottom w:val="single" w:sz="4" w:space="0" w:color="auto"/>
              <w:right w:val="single" w:sz="4" w:space="0" w:color="BFBFBF"/>
            </w:tcBorders>
            <w:noWrap/>
            <w:vAlign w:val="center"/>
            <w:hideMark/>
          </w:tcPr>
          <w:p w14:paraId="311F7D65" w14:textId="72B75C90" w:rsidR="00CC76FA" w:rsidRPr="00EB7F3E" w:rsidRDefault="00CC76FA" w:rsidP="00CC76FA">
            <w:pPr>
              <w:jc w:val="right"/>
              <w:rPr>
                <w:rFonts w:eastAsia="Times New Roman"/>
                <w:color w:val="C00000"/>
                <w:sz w:val="18"/>
                <w:szCs w:val="18"/>
              </w:rPr>
            </w:pPr>
            <w:r w:rsidRPr="00EB7F3E">
              <w:rPr>
                <w:color w:val="C00000"/>
                <w:sz w:val="18"/>
                <w:szCs w:val="18"/>
              </w:rPr>
              <w:t>-1,370</w:t>
            </w:r>
          </w:p>
        </w:tc>
        <w:tc>
          <w:tcPr>
            <w:tcW w:w="1200" w:type="dxa"/>
            <w:tcBorders>
              <w:top w:val="single" w:sz="4" w:space="0" w:color="auto"/>
              <w:left w:val="nil"/>
              <w:bottom w:val="single" w:sz="4" w:space="0" w:color="auto"/>
              <w:right w:val="single" w:sz="4" w:space="0" w:color="auto"/>
            </w:tcBorders>
            <w:noWrap/>
            <w:vAlign w:val="center"/>
            <w:hideMark/>
          </w:tcPr>
          <w:p w14:paraId="201A55A6" w14:textId="2E7F36C2" w:rsidR="00CC76FA" w:rsidRPr="00EB7F3E" w:rsidRDefault="00CC76FA" w:rsidP="00CC76FA">
            <w:pPr>
              <w:jc w:val="right"/>
              <w:rPr>
                <w:rFonts w:eastAsia="Times New Roman"/>
                <w:color w:val="C00000"/>
                <w:sz w:val="18"/>
                <w:szCs w:val="18"/>
              </w:rPr>
            </w:pPr>
            <w:r w:rsidRPr="00EB7F3E">
              <w:rPr>
                <w:color w:val="C00000"/>
                <w:sz w:val="18"/>
                <w:szCs w:val="18"/>
              </w:rPr>
              <w:t>-540</w:t>
            </w:r>
          </w:p>
        </w:tc>
      </w:tr>
    </w:tbl>
    <w:p w14:paraId="072743DA" w14:textId="56699266" w:rsidR="003214B5" w:rsidRDefault="003214B5" w:rsidP="003214B5">
      <w:pPr>
        <w:pStyle w:val="Source"/>
      </w:pPr>
      <w:r>
        <w:t xml:space="preserve">Source: </w:t>
      </w:r>
      <w:r w:rsidR="003712B7">
        <w:t xml:space="preserve">derived from </w:t>
      </w:r>
      <w:r w:rsidR="00725BD3" w:rsidRPr="00725BD3">
        <w:rPr>
          <w:rStyle w:val="Figure-textChar"/>
        </w:rPr>
        <w:fldChar w:fldCharType="begin"/>
      </w:r>
      <w:r w:rsidR="00725BD3" w:rsidRPr="00725BD3">
        <w:rPr>
          <w:rStyle w:val="Figure-textChar"/>
        </w:rPr>
        <w:instrText xml:space="preserve"> REF _Ref224743263 \h </w:instrText>
      </w:r>
      <w:r w:rsidR="00725BD3">
        <w:rPr>
          <w:rStyle w:val="Figure-textChar"/>
        </w:rPr>
        <w:instrText xml:space="preserve"> \* MERGEFORMAT </w:instrText>
      </w:r>
      <w:r w:rsidR="00725BD3" w:rsidRPr="00725BD3">
        <w:rPr>
          <w:rStyle w:val="Figure-textChar"/>
        </w:rPr>
      </w:r>
      <w:r w:rsidR="00725BD3" w:rsidRPr="00725BD3">
        <w:rPr>
          <w:rStyle w:val="Figure-textChar"/>
        </w:rPr>
        <w:fldChar w:fldCharType="separate"/>
      </w:r>
      <w:r w:rsidR="00CA6116" w:rsidRPr="00CA6116">
        <w:rPr>
          <w:rStyle w:val="Figure-textChar"/>
        </w:rPr>
        <w:t>Table 6.9</w:t>
      </w:r>
      <w:r w:rsidR="00725BD3" w:rsidRPr="00725BD3">
        <w:rPr>
          <w:rStyle w:val="Figure-textChar"/>
        </w:rPr>
        <w:fldChar w:fldCharType="end"/>
      </w:r>
      <w:r w:rsidR="003712B7">
        <w:t xml:space="preserve"> and </w:t>
      </w:r>
      <w:r w:rsidR="00725BD3" w:rsidRPr="00725BD3">
        <w:rPr>
          <w:rStyle w:val="Figure-textChar"/>
        </w:rPr>
        <w:fldChar w:fldCharType="begin"/>
      </w:r>
      <w:r w:rsidR="00725BD3" w:rsidRPr="00725BD3">
        <w:rPr>
          <w:rStyle w:val="Figure-textChar"/>
        </w:rPr>
        <w:instrText xml:space="preserve"> REF _Ref224743270 \h </w:instrText>
      </w:r>
      <w:r w:rsidR="00725BD3">
        <w:rPr>
          <w:rStyle w:val="Figure-textChar"/>
        </w:rPr>
        <w:instrText xml:space="preserve"> \* MERGEFORMAT </w:instrText>
      </w:r>
      <w:r w:rsidR="00725BD3" w:rsidRPr="00725BD3">
        <w:rPr>
          <w:rStyle w:val="Figure-textChar"/>
        </w:rPr>
      </w:r>
      <w:r w:rsidR="00725BD3" w:rsidRPr="00725BD3">
        <w:rPr>
          <w:rStyle w:val="Figure-textChar"/>
        </w:rPr>
        <w:fldChar w:fldCharType="separate"/>
      </w:r>
      <w:r w:rsidR="00CA6116" w:rsidRPr="00CA6116">
        <w:rPr>
          <w:rStyle w:val="Figure-textChar"/>
        </w:rPr>
        <w:t>Table 6.10</w:t>
      </w:r>
      <w:r w:rsidR="00725BD3" w:rsidRPr="00725BD3">
        <w:rPr>
          <w:rStyle w:val="Figure-textChar"/>
        </w:rPr>
        <w:fldChar w:fldCharType="end"/>
      </w:r>
    </w:p>
    <w:p w14:paraId="172FCB2D" w14:textId="77777777" w:rsidR="003214B5" w:rsidRDefault="003214B5" w:rsidP="00FE6736">
      <w:pPr>
        <w:jc w:val="both"/>
      </w:pPr>
    </w:p>
    <w:p w14:paraId="22311D51" w14:textId="4D33A7CF" w:rsidR="00FE6736" w:rsidRDefault="00FE6736" w:rsidP="00FE6736">
      <w:pPr>
        <w:jc w:val="both"/>
      </w:pPr>
      <w:r>
        <w:t xml:space="preserve">A net loss in rental units affordable to </w:t>
      </w:r>
      <w:r w:rsidR="005E6C37">
        <w:t xml:space="preserve">very </w:t>
      </w:r>
      <w:r>
        <w:t>low</w:t>
      </w:r>
      <w:r w:rsidR="005E6C37">
        <w:t xml:space="preserve">- </w:t>
      </w:r>
      <w:r>
        <w:t xml:space="preserve">and </w:t>
      </w:r>
      <w:r w:rsidR="00BD7490">
        <w:t>low</w:t>
      </w:r>
      <w:r w:rsidR="005E6C37">
        <w:t>-</w:t>
      </w:r>
      <w:r>
        <w:t>income households is a</w:t>
      </w:r>
      <w:r w:rsidR="00146638">
        <w:t xml:space="preserve">n </w:t>
      </w:r>
      <w:r>
        <w:t xml:space="preserve">indicator of a weakening affordable housing </w:t>
      </w:r>
      <w:r w:rsidR="002833AA">
        <w:t>market</w:t>
      </w:r>
      <w:r>
        <w:t>. Even where total rental units grew, a decline in affordable units indicates that supply is being added at prices above what lower-income earners can access.</w:t>
      </w:r>
    </w:p>
    <w:p w14:paraId="12FF4068" w14:textId="77777777" w:rsidR="00FE6736" w:rsidRDefault="00FE6736" w:rsidP="00FE6736">
      <w:pPr>
        <w:jc w:val="both"/>
      </w:pPr>
    </w:p>
    <w:p w14:paraId="513E801F" w14:textId="16ECA3AF" w:rsidR="00FE6736" w:rsidRDefault="00FE6736" w:rsidP="00FE6736">
      <w:pPr>
        <w:jc w:val="both"/>
      </w:pPr>
      <w:r>
        <w:t>The ratio of affordable units built to affordable units lost provides a more nuanced picture than net change alone</w:t>
      </w:r>
      <w:r w:rsidR="00A67FA4">
        <w:t>. A</w:t>
      </w:r>
      <w:r>
        <w:t xml:space="preserve"> community could show a positive net figure while still losing more deeply affordable units than it gained, if the losses were offset by gains in a less constrained </w:t>
      </w:r>
      <w:r w:rsidR="003403F4">
        <w:t>segment</w:t>
      </w:r>
      <w:r>
        <w:t>.</w:t>
      </w:r>
    </w:p>
    <w:p w14:paraId="5CD66709" w14:textId="77777777" w:rsidR="00FE6736" w:rsidRDefault="00FE6736" w:rsidP="00FE6736">
      <w:pPr>
        <w:jc w:val="both"/>
      </w:pPr>
    </w:p>
    <w:p w14:paraId="013E749A" w14:textId="1055DA78" w:rsidR="00A707DF" w:rsidRPr="00A707DF" w:rsidRDefault="00FE6736" w:rsidP="00FE6736">
      <w:pPr>
        <w:jc w:val="both"/>
      </w:pPr>
      <w:r>
        <w:t xml:space="preserve">Locally adverse trends in affordable inventory, particularly where they diverge from regional or provincial directions, suggest that local market conditions or policy gaps are driving affordable supply erosion faster than elsewhere. Rapid loss of </w:t>
      </w:r>
      <w:r w:rsidR="00BD7490">
        <w:t xml:space="preserve">very </w:t>
      </w:r>
      <w:r w:rsidR="005E6C37">
        <w:t>low-</w:t>
      </w:r>
      <w:r>
        <w:t>income affordable units is particularly notable, as these units serve the most vulnerable households and are the least likely to be replaced by market activity.</w:t>
      </w:r>
    </w:p>
    <w:p w14:paraId="483DD915" w14:textId="77777777" w:rsidR="003E64A1" w:rsidRDefault="003E64A1" w:rsidP="009962D2"/>
    <w:p w14:paraId="4AC5EE32" w14:textId="3AA19D36" w:rsidR="0055230E" w:rsidRDefault="0055230E" w:rsidP="0055230E">
      <w:pPr>
        <w:pStyle w:val="Heading2"/>
      </w:pPr>
      <w:bookmarkStart w:id="59" w:name="_Toc223686647"/>
      <w:bookmarkStart w:id="60" w:name="_Toc237355945"/>
      <w:r>
        <w:t>SUBSIDIZED HOUSING</w:t>
      </w:r>
      <w:bookmarkEnd w:id="59"/>
      <w:bookmarkEnd w:id="60"/>
    </w:p>
    <w:p w14:paraId="3F943E05" w14:textId="45996C8C" w:rsidR="00CE0FB4" w:rsidRDefault="00D606A9" w:rsidP="00D606A9">
      <w:pPr>
        <w:jc w:val="both"/>
      </w:pPr>
      <w:r w:rsidRPr="00D606A9">
        <w:rPr>
          <w:rStyle w:val="Figure-textChar"/>
        </w:rPr>
        <w:fldChar w:fldCharType="begin"/>
      </w:r>
      <w:r w:rsidRPr="00D606A9">
        <w:rPr>
          <w:rStyle w:val="Figure-textChar"/>
        </w:rPr>
        <w:instrText xml:space="preserve"> REF _Ref223276453 \h </w:instrText>
      </w:r>
      <w:r>
        <w:rPr>
          <w:rStyle w:val="Figure-textChar"/>
        </w:rPr>
        <w:instrText xml:space="preserve"> \* MERGEFORMAT </w:instrText>
      </w:r>
      <w:r w:rsidRPr="00D606A9">
        <w:rPr>
          <w:rStyle w:val="Figure-textChar"/>
        </w:rPr>
      </w:r>
      <w:r w:rsidRPr="00D606A9">
        <w:rPr>
          <w:rStyle w:val="Figure-textChar"/>
        </w:rPr>
        <w:fldChar w:fldCharType="separate"/>
      </w:r>
      <w:r w:rsidR="00CA6116" w:rsidRPr="00CA6116">
        <w:rPr>
          <w:rStyle w:val="Figure-textChar"/>
        </w:rPr>
        <w:t>Table 6.12</w:t>
      </w:r>
      <w:r w:rsidRPr="00D606A9">
        <w:rPr>
          <w:rStyle w:val="Figure-textChar"/>
        </w:rPr>
        <w:fldChar w:fldCharType="end"/>
      </w:r>
      <w:r w:rsidR="000F5B6A" w:rsidRPr="000F5B6A">
        <w:t xml:space="preserve"> presents the current stock of subsidized rental units as a share of total rental units, situating the community's non-market housing base within its regional and provincial context and providing a baseline measure of publicly supported housing supply.</w:t>
      </w:r>
    </w:p>
    <w:p w14:paraId="75DDF2B9" w14:textId="77777777" w:rsidR="001F7BCF" w:rsidRDefault="001F7BCF" w:rsidP="009962D2"/>
    <w:p w14:paraId="7EF5C832" w14:textId="573A7FD1" w:rsidR="00032281" w:rsidRDefault="00032281" w:rsidP="00032281">
      <w:pPr>
        <w:pStyle w:val="Caption"/>
      </w:pPr>
      <w:bookmarkStart w:id="61" w:name="_Ref223276453"/>
      <w:r>
        <w:t xml:space="preserve">Table </w:t>
      </w:r>
      <w:fldSimple w:instr=" STYLEREF 1 \s ">
        <w:r w:rsidR="005E459C">
          <w:rPr>
            <w:noProof/>
          </w:rPr>
          <w:t>6</w:t>
        </w:r>
      </w:fldSimple>
      <w:r w:rsidR="00BD4359">
        <w:t>.</w:t>
      </w:r>
      <w:fldSimple w:instr=" SEQ Table \* ARABIC \s 1 ">
        <w:r w:rsidR="005E459C">
          <w:rPr>
            <w:noProof/>
          </w:rPr>
          <w:t>12</w:t>
        </w:r>
      </w:fldSimple>
      <w:bookmarkEnd w:id="61"/>
      <w:r>
        <w:t>: Subsidized rental housing by geography, 2021</w:t>
      </w:r>
    </w:p>
    <w:tbl>
      <w:tblPr>
        <w:tblW w:w="9355" w:type="dxa"/>
        <w:tblLayout w:type="fixed"/>
        <w:tblLook w:val="04A0" w:firstRow="1" w:lastRow="0" w:firstColumn="1" w:lastColumn="0" w:noHBand="0" w:noVBand="1"/>
      </w:tblPr>
      <w:tblGrid>
        <w:gridCol w:w="5755"/>
        <w:gridCol w:w="1200"/>
        <w:gridCol w:w="1200"/>
        <w:gridCol w:w="1200"/>
      </w:tblGrid>
      <w:tr w:rsidR="00451497" w:rsidRPr="00451497" w14:paraId="089E93B1" w14:textId="77777777" w:rsidTr="003C59F9">
        <w:trPr>
          <w:trHeight w:val="402"/>
        </w:trPr>
        <w:tc>
          <w:tcPr>
            <w:tcW w:w="575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4D45C315" w14:textId="77777777" w:rsidR="00451497" w:rsidRPr="00451497" w:rsidRDefault="00451497" w:rsidP="00451497">
            <w:pPr>
              <w:rPr>
                <w:rFonts w:eastAsia="Times New Roman"/>
                <w:color w:val="FFFFFF"/>
                <w:sz w:val="18"/>
                <w:szCs w:val="18"/>
              </w:rPr>
            </w:pPr>
            <w:r w:rsidRPr="00451497">
              <w:rPr>
                <w:rFonts w:eastAsia="Times New Roman"/>
                <w:color w:val="FFFFFF"/>
                <w:sz w:val="18"/>
                <w:szCs w:val="18"/>
              </w:rPr>
              <w:t>Variable</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859CD7B" w14:textId="77777777" w:rsidR="00451497" w:rsidRPr="00451497" w:rsidRDefault="00451497" w:rsidP="00451497">
            <w:pPr>
              <w:jc w:val="right"/>
              <w:rPr>
                <w:rFonts w:eastAsia="Times New Roman"/>
                <w:color w:val="FFFFFF"/>
                <w:sz w:val="18"/>
                <w:szCs w:val="18"/>
              </w:rPr>
            </w:pPr>
            <w:r w:rsidRPr="00451497">
              <w:rPr>
                <w:rFonts w:eastAsia="Times New Roman"/>
                <w:color w:val="FFFFFF"/>
                <w:sz w:val="18"/>
                <w:szCs w:val="18"/>
              </w:rPr>
              <w:t>Local</w:t>
            </w:r>
          </w:p>
        </w:tc>
        <w:tc>
          <w:tcPr>
            <w:tcW w:w="12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82C9AC8" w14:textId="77777777" w:rsidR="00451497" w:rsidRPr="00451497" w:rsidRDefault="00451497" w:rsidP="00451497">
            <w:pPr>
              <w:jc w:val="right"/>
              <w:rPr>
                <w:rFonts w:eastAsia="Times New Roman"/>
                <w:color w:val="FFFFFF"/>
                <w:sz w:val="18"/>
                <w:szCs w:val="18"/>
              </w:rPr>
            </w:pPr>
            <w:r w:rsidRPr="00451497">
              <w:rPr>
                <w:rFonts w:eastAsia="Times New Roman"/>
                <w:color w:val="FFFFFF"/>
                <w:sz w:val="18"/>
                <w:szCs w:val="18"/>
              </w:rPr>
              <w:t>Region</w:t>
            </w:r>
          </w:p>
        </w:tc>
        <w:tc>
          <w:tcPr>
            <w:tcW w:w="12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23AE636" w14:textId="77777777" w:rsidR="00451497" w:rsidRPr="00451497" w:rsidRDefault="00451497" w:rsidP="00451497">
            <w:pPr>
              <w:jc w:val="right"/>
              <w:rPr>
                <w:rFonts w:eastAsia="Times New Roman"/>
                <w:color w:val="FFFFFF"/>
                <w:sz w:val="18"/>
                <w:szCs w:val="18"/>
              </w:rPr>
            </w:pPr>
            <w:r w:rsidRPr="00451497">
              <w:rPr>
                <w:rFonts w:eastAsia="Times New Roman"/>
                <w:color w:val="FFFFFF"/>
                <w:sz w:val="18"/>
                <w:szCs w:val="18"/>
              </w:rPr>
              <w:t>Province</w:t>
            </w:r>
          </w:p>
        </w:tc>
      </w:tr>
      <w:tr w:rsidR="00451497" w:rsidRPr="00451497" w14:paraId="7012710F" w14:textId="77777777" w:rsidTr="008651E8">
        <w:trPr>
          <w:trHeight w:val="402"/>
        </w:trPr>
        <w:tc>
          <w:tcPr>
            <w:tcW w:w="5755"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46949A42" w14:textId="77777777" w:rsidR="00451497" w:rsidRPr="00451497" w:rsidRDefault="00451497" w:rsidP="00451497">
            <w:pPr>
              <w:rPr>
                <w:rFonts w:eastAsia="Times New Roman"/>
                <w:color w:val="0D0D0D"/>
                <w:sz w:val="18"/>
                <w:szCs w:val="18"/>
              </w:rPr>
            </w:pPr>
            <w:r w:rsidRPr="00451497">
              <w:rPr>
                <w:rFonts w:eastAsia="Times New Roman"/>
                <w:color w:val="0D0D0D"/>
                <w:sz w:val="18"/>
                <w:szCs w:val="18"/>
              </w:rPr>
              <w:t>Total rental units</w:t>
            </w:r>
          </w:p>
        </w:tc>
        <w:tc>
          <w:tcPr>
            <w:tcW w:w="1200" w:type="dxa"/>
            <w:tcBorders>
              <w:top w:val="nil"/>
              <w:left w:val="single" w:sz="4" w:space="0" w:color="BFBFBF"/>
              <w:bottom w:val="single" w:sz="4" w:space="0" w:color="auto"/>
              <w:right w:val="single" w:sz="4" w:space="0" w:color="BFBFBF"/>
            </w:tcBorders>
            <w:shd w:val="clear" w:color="000000" w:fill="F2F2F2"/>
            <w:noWrap/>
            <w:vAlign w:val="center"/>
            <w:hideMark/>
          </w:tcPr>
          <w:p w14:paraId="4DEEAF37"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9,230</w:t>
            </w:r>
          </w:p>
        </w:tc>
        <w:tc>
          <w:tcPr>
            <w:tcW w:w="1200" w:type="dxa"/>
            <w:tcBorders>
              <w:top w:val="nil"/>
              <w:left w:val="nil"/>
              <w:bottom w:val="single" w:sz="4" w:space="0" w:color="auto"/>
              <w:right w:val="single" w:sz="4" w:space="0" w:color="BFBFBF"/>
            </w:tcBorders>
            <w:shd w:val="clear" w:color="000000" w:fill="F2F2F2"/>
            <w:noWrap/>
            <w:vAlign w:val="center"/>
            <w:hideMark/>
          </w:tcPr>
          <w:p w14:paraId="58C4B7A2"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12,805</w:t>
            </w:r>
          </w:p>
        </w:tc>
        <w:tc>
          <w:tcPr>
            <w:tcW w:w="1200" w:type="dxa"/>
            <w:tcBorders>
              <w:top w:val="nil"/>
              <w:left w:val="nil"/>
              <w:bottom w:val="single" w:sz="4" w:space="0" w:color="auto"/>
              <w:right w:val="single" w:sz="4" w:space="0" w:color="auto"/>
            </w:tcBorders>
            <w:shd w:val="clear" w:color="000000" w:fill="F2F2F2"/>
            <w:noWrap/>
            <w:vAlign w:val="center"/>
            <w:hideMark/>
          </w:tcPr>
          <w:p w14:paraId="0DC595D9"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19,870</w:t>
            </w:r>
          </w:p>
        </w:tc>
      </w:tr>
      <w:tr w:rsidR="00451497" w:rsidRPr="00451497" w14:paraId="048DD0B1" w14:textId="77777777" w:rsidTr="008651E8">
        <w:trPr>
          <w:trHeight w:val="402"/>
        </w:trPr>
        <w:tc>
          <w:tcPr>
            <w:tcW w:w="5755" w:type="dxa"/>
            <w:tcBorders>
              <w:top w:val="single" w:sz="4" w:space="0" w:color="auto"/>
              <w:left w:val="single" w:sz="4" w:space="0" w:color="auto"/>
              <w:bottom w:val="single" w:sz="4" w:space="0" w:color="BFBFBF"/>
              <w:right w:val="single" w:sz="4" w:space="0" w:color="000000"/>
            </w:tcBorders>
            <w:noWrap/>
            <w:vAlign w:val="center"/>
            <w:hideMark/>
          </w:tcPr>
          <w:p w14:paraId="0E883461" w14:textId="77777777" w:rsidR="00451497" w:rsidRPr="00451497" w:rsidRDefault="00451497" w:rsidP="00451497">
            <w:pPr>
              <w:rPr>
                <w:rFonts w:eastAsia="Times New Roman"/>
                <w:color w:val="0D0D0D"/>
                <w:sz w:val="18"/>
                <w:szCs w:val="18"/>
              </w:rPr>
            </w:pPr>
            <w:r w:rsidRPr="00451497">
              <w:rPr>
                <w:rFonts w:eastAsia="Times New Roman"/>
                <w:color w:val="0D0D0D"/>
                <w:sz w:val="18"/>
                <w:szCs w:val="18"/>
              </w:rPr>
              <w:t>Subsidized rental units</w:t>
            </w:r>
          </w:p>
        </w:tc>
        <w:tc>
          <w:tcPr>
            <w:tcW w:w="1200" w:type="dxa"/>
            <w:tcBorders>
              <w:top w:val="nil"/>
              <w:left w:val="nil"/>
              <w:bottom w:val="single" w:sz="4" w:space="0" w:color="BFBFBF"/>
              <w:right w:val="single" w:sz="4" w:space="0" w:color="BFBFBF"/>
            </w:tcBorders>
            <w:noWrap/>
            <w:vAlign w:val="center"/>
            <w:hideMark/>
          </w:tcPr>
          <w:p w14:paraId="1A4E1E52"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1,550</w:t>
            </w:r>
          </w:p>
        </w:tc>
        <w:tc>
          <w:tcPr>
            <w:tcW w:w="1200" w:type="dxa"/>
            <w:tcBorders>
              <w:top w:val="nil"/>
              <w:left w:val="nil"/>
              <w:bottom w:val="single" w:sz="4" w:space="0" w:color="BFBFBF"/>
              <w:right w:val="single" w:sz="4" w:space="0" w:color="BFBFBF"/>
            </w:tcBorders>
            <w:noWrap/>
            <w:vAlign w:val="center"/>
            <w:hideMark/>
          </w:tcPr>
          <w:p w14:paraId="41EDE24A"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1,935</w:t>
            </w:r>
          </w:p>
        </w:tc>
        <w:tc>
          <w:tcPr>
            <w:tcW w:w="1200" w:type="dxa"/>
            <w:tcBorders>
              <w:top w:val="nil"/>
              <w:left w:val="nil"/>
              <w:bottom w:val="single" w:sz="4" w:space="0" w:color="BFBFBF"/>
              <w:right w:val="single" w:sz="4" w:space="0" w:color="auto"/>
            </w:tcBorders>
            <w:noWrap/>
            <w:vAlign w:val="center"/>
            <w:hideMark/>
          </w:tcPr>
          <w:p w14:paraId="5E0F1B0E"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3,585</w:t>
            </w:r>
          </w:p>
        </w:tc>
      </w:tr>
      <w:tr w:rsidR="00451497" w:rsidRPr="00451497" w14:paraId="61CA05FB" w14:textId="77777777" w:rsidTr="008651E8">
        <w:trPr>
          <w:trHeight w:val="402"/>
        </w:trPr>
        <w:tc>
          <w:tcPr>
            <w:tcW w:w="575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4F8BB94B" w14:textId="77777777" w:rsidR="00451497" w:rsidRPr="00451497" w:rsidRDefault="00451497" w:rsidP="00451497">
            <w:pPr>
              <w:rPr>
                <w:rFonts w:eastAsia="Times New Roman"/>
                <w:color w:val="0D0D0D"/>
                <w:sz w:val="18"/>
                <w:szCs w:val="18"/>
              </w:rPr>
            </w:pPr>
            <w:r w:rsidRPr="00451497">
              <w:rPr>
                <w:rFonts w:eastAsia="Times New Roman"/>
                <w:color w:val="0D0D0D"/>
                <w:sz w:val="18"/>
                <w:szCs w:val="18"/>
              </w:rPr>
              <w:t>Subsidized units as share of total rental units</w:t>
            </w:r>
          </w:p>
        </w:tc>
        <w:tc>
          <w:tcPr>
            <w:tcW w:w="1200" w:type="dxa"/>
            <w:tcBorders>
              <w:top w:val="nil"/>
              <w:left w:val="nil"/>
              <w:bottom w:val="single" w:sz="4" w:space="0" w:color="auto"/>
              <w:right w:val="single" w:sz="4" w:space="0" w:color="BFBFBF"/>
            </w:tcBorders>
            <w:shd w:val="clear" w:color="000000" w:fill="F2F2F2"/>
            <w:noWrap/>
            <w:vAlign w:val="center"/>
            <w:hideMark/>
          </w:tcPr>
          <w:p w14:paraId="3E50456B"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17%</w:t>
            </w:r>
          </w:p>
        </w:tc>
        <w:tc>
          <w:tcPr>
            <w:tcW w:w="1200" w:type="dxa"/>
            <w:tcBorders>
              <w:top w:val="nil"/>
              <w:left w:val="nil"/>
              <w:bottom w:val="single" w:sz="4" w:space="0" w:color="auto"/>
              <w:right w:val="single" w:sz="4" w:space="0" w:color="BFBFBF"/>
            </w:tcBorders>
            <w:shd w:val="clear" w:color="000000" w:fill="F2F2F2"/>
            <w:noWrap/>
            <w:vAlign w:val="center"/>
            <w:hideMark/>
          </w:tcPr>
          <w:p w14:paraId="2883E52D"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15%</w:t>
            </w:r>
          </w:p>
        </w:tc>
        <w:tc>
          <w:tcPr>
            <w:tcW w:w="1200" w:type="dxa"/>
            <w:tcBorders>
              <w:top w:val="nil"/>
              <w:left w:val="nil"/>
              <w:bottom w:val="single" w:sz="4" w:space="0" w:color="auto"/>
              <w:right w:val="single" w:sz="4" w:space="0" w:color="auto"/>
            </w:tcBorders>
            <w:shd w:val="clear" w:color="000000" w:fill="F2F2F2"/>
            <w:noWrap/>
            <w:vAlign w:val="center"/>
            <w:hideMark/>
          </w:tcPr>
          <w:p w14:paraId="66FBB7E0" w14:textId="77777777" w:rsidR="00451497" w:rsidRPr="00EB7F3E" w:rsidRDefault="00451497" w:rsidP="00451497">
            <w:pPr>
              <w:jc w:val="right"/>
              <w:rPr>
                <w:rFonts w:eastAsia="Times New Roman"/>
                <w:color w:val="C00000"/>
                <w:sz w:val="18"/>
                <w:szCs w:val="18"/>
              </w:rPr>
            </w:pPr>
            <w:r w:rsidRPr="00EB7F3E">
              <w:rPr>
                <w:rFonts w:eastAsia="Times New Roman"/>
                <w:color w:val="C00000"/>
                <w:sz w:val="18"/>
                <w:szCs w:val="18"/>
              </w:rPr>
              <w:t>18%</w:t>
            </w:r>
          </w:p>
        </w:tc>
      </w:tr>
    </w:tbl>
    <w:p w14:paraId="0EE99483" w14:textId="58D0546A" w:rsidR="00451497" w:rsidRPr="00E94A0E" w:rsidRDefault="009C694C" w:rsidP="009C694C">
      <w:pPr>
        <w:pStyle w:val="Source"/>
      </w:pPr>
      <w:r w:rsidRPr="00E94A0E">
        <w:t xml:space="preserve">Source: </w:t>
      </w:r>
      <w:r w:rsidR="0037748E" w:rsidRPr="00E94A0E">
        <w:t>Statistics Canada 2021 Census Profile</w:t>
      </w:r>
    </w:p>
    <w:p w14:paraId="518F50A6" w14:textId="77777777" w:rsidR="009C694C" w:rsidRPr="00E94A0E" w:rsidRDefault="009C694C" w:rsidP="009C694C"/>
    <w:p w14:paraId="5B9C2558" w14:textId="39F17445" w:rsidR="000F5B6A" w:rsidRDefault="000F5B6A" w:rsidP="000F5B6A">
      <w:pPr>
        <w:jc w:val="both"/>
      </w:pPr>
      <w:r w:rsidRPr="000F5B6A">
        <w:t xml:space="preserve">A local subsidized share below the regional or provincial average suggests that the community is relatively underserved by non-market housing. This gap becomes more </w:t>
      </w:r>
      <w:r w:rsidR="00DB2CF6">
        <w:t>notable</w:t>
      </w:r>
      <w:r w:rsidRPr="000F5B6A">
        <w:t xml:space="preserve"> when considered alongside the local prevalence of </w:t>
      </w:r>
      <w:r w:rsidR="00BD7490">
        <w:t xml:space="preserve">very </w:t>
      </w:r>
      <w:r w:rsidR="005E6C37">
        <w:t>low-</w:t>
      </w:r>
      <w:r w:rsidRPr="000F5B6A">
        <w:t>income households, since the degree of unmet need depends on both the supply of subsidized units and the scale of the population requiring them.</w:t>
      </w:r>
    </w:p>
    <w:p w14:paraId="53AD02DF" w14:textId="77777777" w:rsidR="000F5B6A" w:rsidRPr="000F5B6A" w:rsidRDefault="000F5B6A" w:rsidP="000F5B6A">
      <w:pPr>
        <w:jc w:val="both"/>
      </w:pPr>
    </w:p>
    <w:p w14:paraId="163F0F35" w14:textId="19FEF006" w:rsidR="009C694C" w:rsidRPr="009B5F49" w:rsidRDefault="000F5B6A" w:rsidP="009C694C">
      <w:pPr>
        <w:jc w:val="both"/>
      </w:pPr>
      <w:r w:rsidRPr="000F5B6A">
        <w:t>A high subsidized share relative to comparators does not necessarily indicate adequate supply</w:t>
      </w:r>
      <w:r w:rsidR="00A322B1">
        <w:t>. If</w:t>
      </w:r>
      <w:r w:rsidRPr="000F5B6A">
        <w:t xml:space="preserve"> the community has a disproportionately high share of </w:t>
      </w:r>
      <w:r w:rsidR="00BD7490">
        <w:t xml:space="preserve">very </w:t>
      </w:r>
      <w:r w:rsidR="005E6C37">
        <w:t>low-</w:t>
      </w:r>
      <w:r w:rsidRPr="000F5B6A">
        <w:t xml:space="preserve">income households, even an </w:t>
      </w:r>
      <w:r w:rsidRPr="009B5F49">
        <w:t>above-average subsidized inventory may fall short of meeting need.</w:t>
      </w:r>
    </w:p>
    <w:p w14:paraId="0A054F6A" w14:textId="77777777" w:rsidR="0055230E" w:rsidRPr="009B5F49" w:rsidRDefault="0055230E" w:rsidP="009962D2"/>
    <w:p w14:paraId="11670512" w14:textId="333CEBF3" w:rsidR="0043538E" w:rsidRPr="009B5F49" w:rsidRDefault="00072A93">
      <w:pPr>
        <w:pStyle w:val="Heading2"/>
      </w:pPr>
      <w:bookmarkStart w:id="62" w:name="_Toc223686648"/>
      <w:bookmarkStart w:id="63" w:name="_Toc237355946"/>
      <w:r w:rsidRPr="009B5F49">
        <w:t>NON-MARKET HOUSING</w:t>
      </w:r>
      <w:bookmarkEnd w:id="62"/>
      <w:bookmarkEnd w:id="63"/>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00000"/>
        <w:tblLook w:val="04A0" w:firstRow="1" w:lastRow="0" w:firstColumn="1" w:lastColumn="0" w:noHBand="0" w:noVBand="1"/>
      </w:tblPr>
      <w:tblGrid>
        <w:gridCol w:w="9350"/>
      </w:tblGrid>
      <w:tr w:rsidR="00DE61F5" w14:paraId="35B153C8" w14:textId="77777777" w:rsidTr="00DE66E0">
        <w:trPr>
          <w:trHeight w:val="1133"/>
        </w:trPr>
        <w:tc>
          <w:tcPr>
            <w:tcW w:w="9350" w:type="dxa"/>
            <w:shd w:val="clear" w:color="auto" w:fill="C00000"/>
            <w:vAlign w:val="center"/>
          </w:tcPr>
          <w:p w14:paraId="7AF575B3" w14:textId="4887F438" w:rsidR="00DE61F5" w:rsidRDefault="00DE61F5" w:rsidP="00DE66E0">
            <w:pPr>
              <w:jc w:val="center"/>
            </w:pPr>
            <w:r>
              <w:t>Non-market housing data is only available for Prince Edward Island as the pilot geography. Data in this section should be completed by the user, as a national dataset is not readily available for broad template production. Users can update or amend this section as is appropriate for the content available to them.</w:t>
            </w:r>
          </w:p>
        </w:tc>
      </w:tr>
    </w:tbl>
    <w:p w14:paraId="6EE7EDF4" w14:textId="77777777" w:rsidR="00DE61F5" w:rsidRDefault="00DE61F5" w:rsidP="00DE61F5">
      <w:pPr>
        <w:jc w:val="both"/>
      </w:pPr>
    </w:p>
    <w:p w14:paraId="53732A0B" w14:textId="5C5768F3" w:rsidR="00AB7B32" w:rsidRDefault="00AB7B32" w:rsidP="00AB7B32">
      <w:pPr>
        <w:jc w:val="both"/>
      </w:pPr>
      <w:r w:rsidRPr="009B5F49">
        <w:t xml:space="preserve">The non-market sector includes a broader array of housing types that serve populations at different points along the housing continuum, from emergency and transitional accommodation through to long-term stable housing at below-market rents. </w:t>
      </w:r>
      <w:r w:rsidR="00E5390B" w:rsidRPr="009B5F49">
        <w:t>It</w:t>
      </w:r>
      <w:r w:rsidRPr="009B5F49">
        <w:t xml:space="preserve"> represents the primary response to housing need that the private market does not serve</w:t>
      </w:r>
      <w:r w:rsidR="00E5390B" w:rsidRPr="009B5F49">
        <w:t>, such as</w:t>
      </w:r>
      <w:r w:rsidRPr="009B5F49">
        <w:t xml:space="preserve"> very </w:t>
      </w:r>
      <w:r w:rsidR="00055EBB">
        <w:t xml:space="preserve">low- and </w:t>
      </w:r>
      <w:r w:rsidR="005E6C37">
        <w:t>low-</w:t>
      </w:r>
      <w:r w:rsidRPr="009B5F49">
        <w:t>income</w:t>
      </w:r>
      <w:r w:rsidRPr="00AB7B32">
        <w:t xml:space="preserve"> </w:t>
      </w:r>
      <w:r w:rsidR="001D55FF">
        <w:t>households</w:t>
      </w:r>
      <w:r w:rsidRPr="00AB7B32">
        <w:t>, individuals with complex needs, people exiting homelessness, and populations requiring specific accessibility or cultural accommodations.</w:t>
      </w:r>
    </w:p>
    <w:p w14:paraId="7BC99198" w14:textId="77777777" w:rsidR="00AB7B32" w:rsidRDefault="00AB7B32" w:rsidP="00AB7B32">
      <w:pPr>
        <w:jc w:val="both"/>
      </w:pPr>
    </w:p>
    <w:p w14:paraId="778B9E41" w14:textId="1D16295D" w:rsidR="00AB7B32" w:rsidRDefault="00AB7B32" w:rsidP="00AB7B32">
      <w:pPr>
        <w:jc w:val="both"/>
      </w:pPr>
      <w:r w:rsidRPr="00AB7B32">
        <w:t>The non-market sector also functions as a buffer that moderates private rental market</w:t>
      </w:r>
      <w:r w:rsidR="00874692">
        <w:t xml:space="preserve"> </w:t>
      </w:r>
      <w:r w:rsidRPr="00AB7B32">
        <w:t xml:space="preserve">demand. Where non-market supply is limited relative to need, households who would otherwise be served by subsidized or supportive housing compete directly with low-income market renters for </w:t>
      </w:r>
      <w:r w:rsidR="00874692">
        <w:t>affordable</w:t>
      </w:r>
      <w:r w:rsidRPr="00AB7B32">
        <w:t xml:space="preserve"> private rental units. Conversely, a well-resourced non-market sector can reduce pressure on emergency systems</w:t>
      </w:r>
      <w:r w:rsidR="00CB583C">
        <w:t xml:space="preserve"> (e.g., </w:t>
      </w:r>
      <w:r w:rsidRPr="00AB7B32">
        <w:t>shelters, hospitals, and correctional facilities</w:t>
      </w:r>
      <w:r w:rsidR="00CB583C">
        <w:t>)</w:t>
      </w:r>
      <w:r w:rsidRPr="00AB7B32">
        <w:t xml:space="preserve"> that are frequently called upon to absorb unmet housing need. </w:t>
      </w:r>
    </w:p>
    <w:p w14:paraId="22607617" w14:textId="77777777" w:rsidR="00AB7B32" w:rsidRDefault="00AB7B32" w:rsidP="00AB7B32">
      <w:pPr>
        <w:jc w:val="both"/>
      </w:pPr>
    </w:p>
    <w:p w14:paraId="0333B3AF" w14:textId="57F4E053" w:rsidR="0035015C" w:rsidRDefault="00CB583C" w:rsidP="00AB7B32">
      <w:pPr>
        <w:jc w:val="both"/>
      </w:pPr>
      <w:r w:rsidRPr="00CB583C">
        <w:rPr>
          <w:rStyle w:val="Figure-textChar"/>
        </w:rPr>
        <w:fldChar w:fldCharType="begin"/>
      </w:r>
      <w:r w:rsidRPr="00CB583C">
        <w:rPr>
          <w:rStyle w:val="Figure-textChar"/>
        </w:rPr>
        <w:instrText xml:space="preserve"> REF _Ref228194453 \h </w:instrText>
      </w:r>
      <w:r>
        <w:rPr>
          <w:rStyle w:val="Figure-textChar"/>
        </w:rPr>
        <w:instrText xml:space="preserve"> \* MERGEFORMAT </w:instrText>
      </w:r>
      <w:r w:rsidRPr="00CB583C">
        <w:rPr>
          <w:rStyle w:val="Figure-textChar"/>
        </w:rPr>
      </w:r>
      <w:r w:rsidRPr="00CB583C">
        <w:rPr>
          <w:rStyle w:val="Figure-textChar"/>
        </w:rPr>
        <w:fldChar w:fldCharType="separate"/>
      </w:r>
      <w:r w:rsidR="00CA6116" w:rsidRPr="00CA6116">
        <w:rPr>
          <w:rStyle w:val="Figure-textChar"/>
        </w:rPr>
        <w:t>Table 6.13</w:t>
      </w:r>
      <w:r w:rsidRPr="00CB583C">
        <w:rPr>
          <w:rStyle w:val="Figure-textChar"/>
        </w:rPr>
        <w:fldChar w:fldCharType="end"/>
      </w:r>
      <w:r w:rsidR="00AB7B32" w:rsidRPr="00AB7B32">
        <w:t xml:space="preserve"> presents a summary of the non-market housing inventory by housing type, reported in beds and units, </w:t>
      </w:r>
      <w:r w:rsidR="00D5231E">
        <w:t>and by geogr</w:t>
      </w:r>
      <w:r w:rsidR="00007709">
        <w:t>a</w:t>
      </w:r>
      <w:r w:rsidR="00D5231E">
        <w:t>phy</w:t>
      </w:r>
      <w:r w:rsidR="00AB7B32" w:rsidRPr="00AB7B32">
        <w:t xml:space="preserve">. </w:t>
      </w:r>
      <w:r w:rsidR="00FD64B4">
        <w:t>Note that the</w:t>
      </w:r>
      <w:r w:rsidR="00FD64B4" w:rsidRPr="00FD64B4">
        <w:t xml:space="preserve"> inventory </w:t>
      </w:r>
      <w:r w:rsidR="00926077">
        <w:t xml:space="preserve">may not be </w:t>
      </w:r>
      <w:r w:rsidR="00FD64B4" w:rsidRPr="00FD64B4">
        <w:t xml:space="preserve">exhaustive </w:t>
      </w:r>
      <w:r w:rsidR="00FD64B4">
        <w:t>d</w:t>
      </w:r>
      <w:r w:rsidR="00FD64B4" w:rsidRPr="00FD64B4">
        <w:t>ue to the decentralized nature of the sector and variability in data availability</w:t>
      </w:r>
      <w:r w:rsidR="00FD64B4">
        <w:t>.</w:t>
      </w:r>
      <w:r w:rsidR="00FD64B4" w:rsidRPr="00FD64B4">
        <w:t xml:space="preserve"> </w:t>
      </w:r>
      <w:r w:rsidR="00FD64B4">
        <w:t>S</w:t>
      </w:r>
      <w:r w:rsidR="00FD64B4" w:rsidRPr="00FD64B4">
        <w:t>ome providers or units may not be captured, and certain data points may be incomplete, approximate, or absent.</w:t>
      </w:r>
    </w:p>
    <w:p w14:paraId="4C52D3A5" w14:textId="1EA41597" w:rsidR="003F6369" w:rsidRDefault="003F6369"/>
    <w:p w14:paraId="4C211B04" w14:textId="33EAB886" w:rsidR="008D6386" w:rsidRDefault="008D6386" w:rsidP="008D6386">
      <w:pPr>
        <w:pStyle w:val="Caption"/>
      </w:pPr>
      <w:bookmarkStart w:id="64" w:name="_Ref228194453"/>
      <w:r>
        <w:t xml:space="preserve">Table </w:t>
      </w:r>
      <w:fldSimple w:instr=" STYLEREF 1 \s ">
        <w:r w:rsidR="005E459C">
          <w:rPr>
            <w:noProof/>
          </w:rPr>
          <w:t>6</w:t>
        </w:r>
      </w:fldSimple>
      <w:r w:rsidR="00BD4359">
        <w:t>.</w:t>
      </w:r>
      <w:fldSimple w:instr=" SEQ Table \* ARABIC \s 1 ">
        <w:r w:rsidR="005E459C">
          <w:rPr>
            <w:noProof/>
          </w:rPr>
          <w:t>13</w:t>
        </w:r>
      </w:fldSimple>
      <w:bookmarkEnd w:id="64"/>
      <w:r>
        <w:t xml:space="preserve">: </w:t>
      </w:r>
      <w:r w:rsidRPr="008D6386">
        <w:t>Summary</w:t>
      </w:r>
      <w:r>
        <w:t xml:space="preserve"> of non-market housing by type of housing and geography, Spring 2026</w:t>
      </w:r>
      <w:r w:rsidR="004E05C2">
        <w:t xml:space="preserve"> [for PEI]</w:t>
      </w:r>
    </w:p>
    <w:tbl>
      <w:tblPr>
        <w:tblW w:w="9355" w:type="dxa"/>
        <w:tblLayout w:type="fixed"/>
        <w:tblLook w:val="04A0" w:firstRow="1" w:lastRow="0" w:firstColumn="1" w:lastColumn="0" w:noHBand="0" w:noVBand="1"/>
      </w:tblPr>
      <w:tblGrid>
        <w:gridCol w:w="2160"/>
        <w:gridCol w:w="1199"/>
        <w:gridCol w:w="1199"/>
        <w:gridCol w:w="1199"/>
        <w:gridCol w:w="1199"/>
        <w:gridCol w:w="1199"/>
        <w:gridCol w:w="1200"/>
      </w:tblGrid>
      <w:tr w:rsidR="003F6369" w:rsidRPr="003F6369" w14:paraId="7F59ED41" w14:textId="77777777" w:rsidTr="003C59F9">
        <w:trPr>
          <w:trHeight w:val="402"/>
          <w:tblHeader/>
        </w:trPr>
        <w:tc>
          <w:tcPr>
            <w:tcW w:w="2160" w:type="dxa"/>
            <w:tcBorders>
              <w:top w:val="nil"/>
              <w:left w:val="nil"/>
              <w:bottom w:val="nil"/>
              <w:right w:val="nil"/>
            </w:tcBorders>
            <w:noWrap/>
            <w:vAlign w:val="bottom"/>
            <w:hideMark/>
          </w:tcPr>
          <w:p w14:paraId="7DA99BFE" w14:textId="77777777" w:rsidR="003F6369" w:rsidRPr="003F6369" w:rsidRDefault="003F6369" w:rsidP="003F6369">
            <w:pPr>
              <w:rPr>
                <w:rFonts w:ascii="Times New Roman" w:eastAsia="Times New Roman" w:hAnsi="Times New Roman" w:cs="Times New Roman"/>
                <w:sz w:val="24"/>
                <w:szCs w:val="24"/>
              </w:rPr>
            </w:pPr>
          </w:p>
        </w:tc>
        <w:tc>
          <w:tcPr>
            <w:tcW w:w="2398"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6ED24F5D" w14:textId="77777777" w:rsidR="003F6369" w:rsidRPr="003F6369" w:rsidRDefault="003F6369" w:rsidP="003F6369">
            <w:pPr>
              <w:jc w:val="center"/>
              <w:rPr>
                <w:rFonts w:eastAsia="Times New Roman"/>
                <w:color w:val="FFFFFF"/>
                <w:sz w:val="18"/>
                <w:szCs w:val="18"/>
              </w:rPr>
            </w:pPr>
            <w:r w:rsidRPr="003F6369">
              <w:rPr>
                <w:rFonts w:eastAsia="Times New Roman"/>
                <w:color w:val="FFFFFF"/>
                <w:sz w:val="18"/>
                <w:szCs w:val="18"/>
              </w:rPr>
              <w:t>Local</w:t>
            </w:r>
          </w:p>
        </w:tc>
        <w:tc>
          <w:tcPr>
            <w:tcW w:w="2398"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153B98CD" w14:textId="77777777" w:rsidR="003F6369" w:rsidRPr="003F6369" w:rsidRDefault="003F6369" w:rsidP="003F6369">
            <w:pPr>
              <w:jc w:val="center"/>
              <w:rPr>
                <w:rFonts w:eastAsia="Times New Roman"/>
                <w:color w:val="FFFFFF"/>
                <w:sz w:val="18"/>
                <w:szCs w:val="18"/>
              </w:rPr>
            </w:pPr>
            <w:r w:rsidRPr="003F6369">
              <w:rPr>
                <w:rFonts w:eastAsia="Times New Roman"/>
                <w:color w:val="FFFFFF"/>
                <w:sz w:val="18"/>
                <w:szCs w:val="18"/>
              </w:rPr>
              <w:t>Region</w:t>
            </w:r>
          </w:p>
        </w:tc>
        <w:tc>
          <w:tcPr>
            <w:tcW w:w="2399"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2A61A73F" w14:textId="77777777" w:rsidR="003F6369" w:rsidRPr="003F6369" w:rsidRDefault="003F6369" w:rsidP="003F6369">
            <w:pPr>
              <w:jc w:val="center"/>
              <w:rPr>
                <w:rFonts w:eastAsia="Times New Roman"/>
                <w:color w:val="FFFFFF"/>
                <w:sz w:val="18"/>
                <w:szCs w:val="18"/>
              </w:rPr>
            </w:pPr>
            <w:r w:rsidRPr="003F6369">
              <w:rPr>
                <w:rFonts w:eastAsia="Times New Roman"/>
                <w:color w:val="FFFFFF"/>
                <w:sz w:val="18"/>
                <w:szCs w:val="18"/>
              </w:rPr>
              <w:t>Province</w:t>
            </w:r>
          </w:p>
        </w:tc>
      </w:tr>
      <w:tr w:rsidR="003F6369" w:rsidRPr="003F6369" w14:paraId="1AB08F67" w14:textId="77777777" w:rsidTr="003C59F9">
        <w:trPr>
          <w:trHeight w:val="402"/>
          <w:tblHeader/>
        </w:trPr>
        <w:tc>
          <w:tcPr>
            <w:tcW w:w="216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37EFE0DB" w14:textId="77777777" w:rsidR="003F6369" w:rsidRPr="003F6369" w:rsidRDefault="003F6369" w:rsidP="003F6369">
            <w:pPr>
              <w:rPr>
                <w:rFonts w:eastAsia="Times New Roman"/>
                <w:color w:val="FFFFFF"/>
                <w:sz w:val="18"/>
                <w:szCs w:val="18"/>
              </w:rPr>
            </w:pPr>
            <w:r w:rsidRPr="003F6369">
              <w:rPr>
                <w:rFonts w:eastAsia="Times New Roman"/>
                <w:color w:val="FFFFFF"/>
                <w:sz w:val="18"/>
                <w:szCs w:val="18"/>
              </w:rPr>
              <w:t>Variables</w:t>
            </w:r>
          </w:p>
        </w:tc>
        <w:tc>
          <w:tcPr>
            <w:tcW w:w="1199" w:type="dxa"/>
            <w:tcBorders>
              <w:top w:val="nil"/>
              <w:left w:val="nil"/>
              <w:bottom w:val="single" w:sz="4" w:space="0" w:color="auto"/>
              <w:right w:val="single" w:sz="4" w:space="0" w:color="BFBFBF"/>
            </w:tcBorders>
            <w:shd w:val="clear" w:color="auto" w:fill="CFD9E3" w:themeFill="accent1"/>
            <w:noWrap/>
            <w:vAlign w:val="center"/>
            <w:hideMark/>
          </w:tcPr>
          <w:p w14:paraId="08921059" w14:textId="77777777" w:rsidR="003F6369" w:rsidRPr="003F6369" w:rsidRDefault="003F6369" w:rsidP="003F6369">
            <w:pPr>
              <w:jc w:val="right"/>
              <w:rPr>
                <w:rFonts w:eastAsia="Times New Roman"/>
                <w:color w:val="000000"/>
                <w:sz w:val="18"/>
                <w:szCs w:val="18"/>
              </w:rPr>
            </w:pPr>
            <w:r w:rsidRPr="003F6369">
              <w:rPr>
                <w:rFonts w:eastAsia="Times New Roman"/>
                <w:color w:val="000000"/>
                <w:sz w:val="18"/>
                <w:szCs w:val="18"/>
              </w:rPr>
              <w:t>Beds</w:t>
            </w:r>
          </w:p>
        </w:tc>
        <w:tc>
          <w:tcPr>
            <w:tcW w:w="1199" w:type="dxa"/>
            <w:tcBorders>
              <w:top w:val="nil"/>
              <w:left w:val="nil"/>
              <w:bottom w:val="single" w:sz="4" w:space="0" w:color="auto"/>
              <w:right w:val="single" w:sz="4" w:space="0" w:color="auto"/>
            </w:tcBorders>
            <w:shd w:val="clear" w:color="auto" w:fill="CFD9E3" w:themeFill="accent1"/>
            <w:noWrap/>
            <w:vAlign w:val="center"/>
            <w:hideMark/>
          </w:tcPr>
          <w:p w14:paraId="6689D130" w14:textId="77777777" w:rsidR="003F6369" w:rsidRPr="003F6369" w:rsidRDefault="003F6369" w:rsidP="003F6369">
            <w:pPr>
              <w:jc w:val="right"/>
              <w:rPr>
                <w:rFonts w:eastAsia="Times New Roman"/>
                <w:color w:val="000000"/>
                <w:sz w:val="18"/>
                <w:szCs w:val="18"/>
              </w:rPr>
            </w:pPr>
            <w:r w:rsidRPr="003F6369">
              <w:rPr>
                <w:rFonts w:eastAsia="Times New Roman"/>
                <w:color w:val="000000"/>
                <w:sz w:val="18"/>
                <w:szCs w:val="18"/>
              </w:rPr>
              <w:t>Units</w:t>
            </w:r>
          </w:p>
        </w:tc>
        <w:tc>
          <w:tcPr>
            <w:tcW w:w="1199" w:type="dxa"/>
            <w:tcBorders>
              <w:top w:val="nil"/>
              <w:left w:val="nil"/>
              <w:bottom w:val="single" w:sz="4" w:space="0" w:color="auto"/>
              <w:right w:val="single" w:sz="4" w:space="0" w:color="BFBFBF"/>
            </w:tcBorders>
            <w:shd w:val="clear" w:color="auto" w:fill="CFD9E3" w:themeFill="accent1"/>
            <w:noWrap/>
            <w:vAlign w:val="center"/>
            <w:hideMark/>
          </w:tcPr>
          <w:p w14:paraId="502B1ABE" w14:textId="77777777" w:rsidR="003F6369" w:rsidRPr="003F6369" w:rsidRDefault="003F6369" w:rsidP="003F6369">
            <w:pPr>
              <w:jc w:val="right"/>
              <w:rPr>
                <w:rFonts w:eastAsia="Times New Roman"/>
                <w:color w:val="000000"/>
                <w:sz w:val="18"/>
                <w:szCs w:val="18"/>
              </w:rPr>
            </w:pPr>
            <w:r w:rsidRPr="003F6369">
              <w:rPr>
                <w:rFonts w:eastAsia="Times New Roman"/>
                <w:color w:val="000000"/>
                <w:sz w:val="18"/>
                <w:szCs w:val="18"/>
              </w:rPr>
              <w:t>Beds</w:t>
            </w:r>
          </w:p>
        </w:tc>
        <w:tc>
          <w:tcPr>
            <w:tcW w:w="1199" w:type="dxa"/>
            <w:tcBorders>
              <w:top w:val="nil"/>
              <w:left w:val="nil"/>
              <w:bottom w:val="single" w:sz="4" w:space="0" w:color="auto"/>
              <w:right w:val="single" w:sz="4" w:space="0" w:color="auto"/>
            </w:tcBorders>
            <w:shd w:val="clear" w:color="auto" w:fill="CFD9E3" w:themeFill="accent1"/>
            <w:noWrap/>
            <w:vAlign w:val="center"/>
            <w:hideMark/>
          </w:tcPr>
          <w:p w14:paraId="20ADD1FA" w14:textId="77777777" w:rsidR="003F6369" w:rsidRPr="003F6369" w:rsidRDefault="003F6369" w:rsidP="003F6369">
            <w:pPr>
              <w:jc w:val="right"/>
              <w:rPr>
                <w:rFonts w:eastAsia="Times New Roman"/>
                <w:color w:val="000000"/>
                <w:sz w:val="18"/>
                <w:szCs w:val="18"/>
              </w:rPr>
            </w:pPr>
            <w:r w:rsidRPr="003F6369">
              <w:rPr>
                <w:rFonts w:eastAsia="Times New Roman"/>
                <w:color w:val="000000"/>
                <w:sz w:val="18"/>
                <w:szCs w:val="18"/>
              </w:rPr>
              <w:t>Units</w:t>
            </w:r>
          </w:p>
        </w:tc>
        <w:tc>
          <w:tcPr>
            <w:tcW w:w="1199" w:type="dxa"/>
            <w:tcBorders>
              <w:top w:val="nil"/>
              <w:left w:val="nil"/>
              <w:bottom w:val="single" w:sz="4" w:space="0" w:color="auto"/>
              <w:right w:val="single" w:sz="4" w:space="0" w:color="BFBFBF"/>
            </w:tcBorders>
            <w:shd w:val="clear" w:color="auto" w:fill="CFD9E3" w:themeFill="accent1"/>
            <w:noWrap/>
            <w:vAlign w:val="center"/>
            <w:hideMark/>
          </w:tcPr>
          <w:p w14:paraId="475D2D53" w14:textId="77777777" w:rsidR="003F6369" w:rsidRPr="003F6369" w:rsidRDefault="003F6369" w:rsidP="003F6369">
            <w:pPr>
              <w:jc w:val="right"/>
              <w:rPr>
                <w:rFonts w:eastAsia="Times New Roman"/>
                <w:color w:val="000000"/>
                <w:sz w:val="18"/>
                <w:szCs w:val="18"/>
              </w:rPr>
            </w:pPr>
            <w:r w:rsidRPr="003F6369">
              <w:rPr>
                <w:rFonts w:eastAsia="Times New Roman"/>
                <w:color w:val="000000"/>
                <w:sz w:val="18"/>
                <w:szCs w:val="18"/>
              </w:rPr>
              <w:t>Beds</w:t>
            </w:r>
          </w:p>
        </w:tc>
        <w:tc>
          <w:tcPr>
            <w:tcW w:w="1200" w:type="dxa"/>
            <w:tcBorders>
              <w:top w:val="nil"/>
              <w:left w:val="nil"/>
              <w:bottom w:val="single" w:sz="4" w:space="0" w:color="auto"/>
              <w:right w:val="single" w:sz="4" w:space="0" w:color="auto"/>
            </w:tcBorders>
            <w:shd w:val="clear" w:color="auto" w:fill="CFD9E3" w:themeFill="accent1"/>
            <w:noWrap/>
            <w:vAlign w:val="center"/>
            <w:hideMark/>
          </w:tcPr>
          <w:p w14:paraId="5CA0AA42" w14:textId="77777777" w:rsidR="003F6369" w:rsidRPr="003F6369" w:rsidRDefault="003F6369" w:rsidP="003F6369">
            <w:pPr>
              <w:jc w:val="right"/>
              <w:rPr>
                <w:rFonts w:eastAsia="Times New Roman"/>
                <w:color w:val="000000"/>
                <w:sz w:val="18"/>
                <w:szCs w:val="18"/>
              </w:rPr>
            </w:pPr>
            <w:r w:rsidRPr="003F6369">
              <w:rPr>
                <w:rFonts w:eastAsia="Times New Roman"/>
                <w:color w:val="000000"/>
                <w:sz w:val="18"/>
                <w:szCs w:val="18"/>
              </w:rPr>
              <w:t>Units</w:t>
            </w:r>
          </w:p>
        </w:tc>
      </w:tr>
      <w:tr w:rsidR="00BE44AE" w:rsidRPr="003F6369" w14:paraId="1FE97B19" w14:textId="77777777" w:rsidTr="003F6369">
        <w:trPr>
          <w:trHeight w:val="402"/>
        </w:trPr>
        <w:tc>
          <w:tcPr>
            <w:tcW w:w="2160" w:type="dxa"/>
            <w:tcBorders>
              <w:top w:val="single" w:sz="4" w:space="0" w:color="BFBFBF"/>
              <w:left w:val="single" w:sz="4" w:space="0" w:color="auto"/>
              <w:bottom w:val="nil"/>
              <w:right w:val="nil"/>
            </w:tcBorders>
            <w:shd w:val="clear" w:color="000000" w:fill="F2F2F2"/>
            <w:noWrap/>
            <w:vAlign w:val="center"/>
            <w:hideMark/>
          </w:tcPr>
          <w:p w14:paraId="027A2BB4"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t>Total</w:t>
            </w:r>
          </w:p>
        </w:tc>
        <w:tc>
          <w:tcPr>
            <w:tcW w:w="1199" w:type="dxa"/>
            <w:tcBorders>
              <w:top w:val="single" w:sz="4" w:space="0" w:color="BFBFBF"/>
              <w:left w:val="single" w:sz="4" w:space="0" w:color="auto"/>
              <w:bottom w:val="nil"/>
              <w:right w:val="single" w:sz="4" w:space="0" w:color="BFBFBF"/>
            </w:tcBorders>
            <w:shd w:val="clear" w:color="000000" w:fill="F2F2F2"/>
            <w:noWrap/>
            <w:vAlign w:val="center"/>
            <w:hideMark/>
          </w:tcPr>
          <w:p w14:paraId="23EB3E3B" w14:textId="6868F206" w:rsidR="00BE44AE" w:rsidRPr="00EB7F3E" w:rsidRDefault="00BE44AE" w:rsidP="00BE44AE">
            <w:pPr>
              <w:jc w:val="right"/>
              <w:rPr>
                <w:rFonts w:eastAsia="Times New Roman"/>
                <w:color w:val="C00000"/>
                <w:sz w:val="18"/>
                <w:szCs w:val="18"/>
              </w:rPr>
            </w:pPr>
            <w:r w:rsidRPr="00EB7F3E">
              <w:rPr>
                <w:color w:val="C00000"/>
                <w:sz w:val="18"/>
                <w:szCs w:val="18"/>
              </w:rPr>
              <w:t>104</w:t>
            </w:r>
          </w:p>
        </w:tc>
        <w:tc>
          <w:tcPr>
            <w:tcW w:w="1199" w:type="dxa"/>
            <w:tcBorders>
              <w:top w:val="single" w:sz="4" w:space="0" w:color="BFBFBF"/>
              <w:left w:val="nil"/>
              <w:bottom w:val="nil"/>
              <w:right w:val="single" w:sz="4" w:space="0" w:color="auto"/>
            </w:tcBorders>
            <w:shd w:val="clear" w:color="000000" w:fill="F2F2F2"/>
            <w:noWrap/>
            <w:vAlign w:val="center"/>
            <w:hideMark/>
          </w:tcPr>
          <w:p w14:paraId="12BF2CDD" w14:textId="02872F56" w:rsidR="00BE44AE" w:rsidRPr="00EB7F3E" w:rsidRDefault="00BE44AE" w:rsidP="00BE44AE">
            <w:pPr>
              <w:jc w:val="right"/>
              <w:rPr>
                <w:rFonts w:eastAsia="Times New Roman"/>
                <w:color w:val="C00000"/>
                <w:sz w:val="18"/>
                <w:szCs w:val="18"/>
              </w:rPr>
            </w:pPr>
            <w:r w:rsidRPr="00EB7F3E">
              <w:rPr>
                <w:color w:val="C00000"/>
                <w:sz w:val="18"/>
                <w:szCs w:val="18"/>
              </w:rPr>
              <w:t>1,099</w:t>
            </w:r>
          </w:p>
        </w:tc>
        <w:tc>
          <w:tcPr>
            <w:tcW w:w="1199" w:type="dxa"/>
            <w:tcBorders>
              <w:top w:val="single" w:sz="4" w:space="0" w:color="BFBFBF"/>
              <w:left w:val="nil"/>
              <w:bottom w:val="nil"/>
              <w:right w:val="single" w:sz="4" w:space="0" w:color="BFBFBF"/>
            </w:tcBorders>
            <w:shd w:val="clear" w:color="000000" w:fill="F2F2F2"/>
            <w:noWrap/>
            <w:vAlign w:val="center"/>
            <w:hideMark/>
          </w:tcPr>
          <w:p w14:paraId="4B28D315" w14:textId="1CB9908F" w:rsidR="00BE44AE" w:rsidRPr="00EB7F3E" w:rsidRDefault="00BE44AE" w:rsidP="00BE44AE">
            <w:pPr>
              <w:jc w:val="right"/>
              <w:rPr>
                <w:rFonts w:eastAsia="Times New Roman"/>
                <w:color w:val="C00000"/>
                <w:sz w:val="18"/>
                <w:szCs w:val="18"/>
              </w:rPr>
            </w:pPr>
            <w:r w:rsidRPr="00EB7F3E">
              <w:rPr>
                <w:color w:val="C00000"/>
                <w:sz w:val="18"/>
                <w:szCs w:val="18"/>
              </w:rPr>
              <w:t>104</w:t>
            </w:r>
          </w:p>
        </w:tc>
        <w:tc>
          <w:tcPr>
            <w:tcW w:w="1199" w:type="dxa"/>
            <w:tcBorders>
              <w:top w:val="single" w:sz="4" w:space="0" w:color="BFBFBF"/>
              <w:left w:val="nil"/>
              <w:bottom w:val="nil"/>
              <w:right w:val="single" w:sz="4" w:space="0" w:color="auto"/>
            </w:tcBorders>
            <w:shd w:val="clear" w:color="000000" w:fill="F2F2F2"/>
            <w:noWrap/>
            <w:vAlign w:val="center"/>
            <w:hideMark/>
          </w:tcPr>
          <w:p w14:paraId="78369A54" w14:textId="09563BA1" w:rsidR="00BE44AE" w:rsidRPr="00EB7F3E" w:rsidRDefault="00BE44AE" w:rsidP="00BE44AE">
            <w:pPr>
              <w:jc w:val="right"/>
              <w:rPr>
                <w:rFonts w:eastAsia="Times New Roman"/>
                <w:color w:val="C00000"/>
                <w:sz w:val="18"/>
                <w:szCs w:val="18"/>
              </w:rPr>
            </w:pPr>
            <w:r w:rsidRPr="00EB7F3E">
              <w:rPr>
                <w:color w:val="C00000"/>
                <w:sz w:val="18"/>
                <w:szCs w:val="18"/>
              </w:rPr>
              <w:t>1,584</w:t>
            </w:r>
          </w:p>
        </w:tc>
        <w:tc>
          <w:tcPr>
            <w:tcW w:w="1199" w:type="dxa"/>
            <w:tcBorders>
              <w:top w:val="single" w:sz="4" w:space="0" w:color="BFBFBF"/>
              <w:left w:val="nil"/>
              <w:bottom w:val="nil"/>
              <w:right w:val="single" w:sz="4" w:space="0" w:color="BFBFBF"/>
            </w:tcBorders>
            <w:shd w:val="clear" w:color="000000" w:fill="F2F2F2"/>
            <w:noWrap/>
            <w:vAlign w:val="center"/>
            <w:hideMark/>
          </w:tcPr>
          <w:p w14:paraId="61CB7037" w14:textId="71CBD38A" w:rsidR="00BE44AE" w:rsidRPr="00EB7F3E" w:rsidRDefault="00BE44AE" w:rsidP="00BE44AE">
            <w:pPr>
              <w:jc w:val="right"/>
              <w:rPr>
                <w:rFonts w:eastAsia="Times New Roman"/>
                <w:color w:val="C00000"/>
                <w:sz w:val="18"/>
                <w:szCs w:val="18"/>
              </w:rPr>
            </w:pPr>
            <w:r w:rsidRPr="00EB7F3E">
              <w:rPr>
                <w:color w:val="C00000"/>
                <w:sz w:val="18"/>
                <w:szCs w:val="18"/>
              </w:rPr>
              <w:t>127</w:t>
            </w:r>
          </w:p>
        </w:tc>
        <w:tc>
          <w:tcPr>
            <w:tcW w:w="1200" w:type="dxa"/>
            <w:tcBorders>
              <w:top w:val="single" w:sz="4" w:space="0" w:color="BFBFBF"/>
              <w:left w:val="nil"/>
              <w:bottom w:val="nil"/>
              <w:right w:val="single" w:sz="4" w:space="0" w:color="auto"/>
            </w:tcBorders>
            <w:shd w:val="clear" w:color="000000" w:fill="F2F2F2"/>
            <w:noWrap/>
            <w:vAlign w:val="center"/>
            <w:hideMark/>
          </w:tcPr>
          <w:p w14:paraId="549CD6CE" w14:textId="33AC7C03" w:rsidR="00BE44AE" w:rsidRPr="00EB7F3E" w:rsidRDefault="00BE44AE" w:rsidP="00BE44AE">
            <w:pPr>
              <w:jc w:val="right"/>
              <w:rPr>
                <w:rFonts w:eastAsia="Times New Roman"/>
                <w:color w:val="C00000"/>
                <w:sz w:val="18"/>
                <w:szCs w:val="18"/>
              </w:rPr>
            </w:pPr>
            <w:r w:rsidRPr="00EB7F3E">
              <w:rPr>
                <w:color w:val="C00000"/>
                <w:sz w:val="18"/>
                <w:szCs w:val="18"/>
              </w:rPr>
              <w:t>3,174</w:t>
            </w:r>
          </w:p>
        </w:tc>
      </w:tr>
      <w:tr w:rsidR="00BE44AE" w:rsidRPr="003F6369" w14:paraId="4E8E554C" w14:textId="77777777" w:rsidTr="003F6369">
        <w:trPr>
          <w:trHeight w:val="402"/>
        </w:trPr>
        <w:tc>
          <w:tcPr>
            <w:tcW w:w="2160" w:type="dxa"/>
            <w:tcBorders>
              <w:top w:val="single" w:sz="4" w:space="0" w:color="auto"/>
              <w:left w:val="single" w:sz="4" w:space="0" w:color="auto"/>
              <w:bottom w:val="single" w:sz="4" w:space="0" w:color="BFBFBF"/>
              <w:right w:val="nil"/>
            </w:tcBorders>
            <w:shd w:val="clear" w:color="000000" w:fill="FFFFFF"/>
            <w:noWrap/>
            <w:vAlign w:val="center"/>
            <w:hideMark/>
          </w:tcPr>
          <w:p w14:paraId="5B2434E3"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t>Affordable (</w:t>
            </w:r>
            <w:proofErr w:type="gramStart"/>
            <w:r w:rsidRPr="003F6369">
              <w:rPr>
                <w:rFonts w:eastAsia="Times New Roman"/>
                <w:color w:val="0D0D0D"/>
                <w:sz w:val="18"/>
                <w:szCs w:val="18"/>
              </w:rPr>
              <w:t>Non-Market</w:t>
            </w:r>
            <w:proofErr w:type="gramEnd"/>
            <w:r w:rsidRPr="003F6369">
              <w:rPr>
                <w:rFonts w:eastAsia="Times New Roman"/>
                <w:color w:val="0D0D0D"/>
                <w:sz w:val="18"/>
                <w:szCs w:val="18"/>
              </w:rPr>
              <w:t>)</w:t>
            </w:r>
          </w:p>
        </w:tc>
        <w:tc>
          <w:tcPr>
            <w:tcW w:w="1199" w:type="dxa"/>
            <w:tcBorders>
              <w:top w:val="single" w:sz="4" w:space="0" w:color="auto"/>
              <w:left w:val="single" w:sz="4" w:space="0" w:color="auto"/>
              <w:bottom w:val="single" w:sz="4" w:space="0" w:color="BFBFBF"/>
              <w:right w:val="single" w:sz="4" w:space="0" w:color="BFBFBF"/>
            </w:tcBorders>
            <w:shd w:val="clear" w:color="000000" w:fill="FFFFFF"/>
            <w:noWrap/>
            <w:vAlign w:val="center"/>
            <w:hideMark/>
          </w:tcPr>
          <w:p w14:paraId="170DDB42" w14:textId="54D9648E"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single" w:sz="4" w:space="0" w:color="auto"/>
              <w:left w:val="nil"/>
              <w:bottom w:val="single" w:sz="4" w:space="0" w:color="BFBFBF"/>
              <w:right w:val="single" w:sz="4" w:space="0" w:color="auto"/>
            </w:tcBorders>
            <w:shd w:val="clear" w:color="000000" w:fill="FFFFFF"/>
            <w:noWrap/>
            <w:vAlign w:val="center"/>
            <w:hideMark/>
          </w:tcPr>
          <w:p w14:paraId="09A130F2" w14:textId="448FFE5E" w:rsidR="00BE44AE" w:rsidRPr="00EB7F3E" w:rsidRDefault="00BE44AE" w:rsidP="00BE44AE">
            <w:pPr>
              <w:jc w:val="right"/>
              <w:rPr>
                <w:rFonts w:eastAsia="Times New Roman"/>
                <w:color w:val="C00000"/>
                <w:sz w:val="18"/>
                <w:szCs w:val="18"/>
              </w:rPr>
            </w:pPr>
            <w:r w:rsidRPr="00EB7F3E">
              <w:rPr>
                <w:color w:val="C00000"/>
                <w:sz w:val="18"/>
                <w:szCs w:val="18"/>
              </w:rPr>
              <w:t>833</w:t>
            </w:r>
          </w:p>
        </w:tc>
        <w:tc>
          <w:tcPr>
            <w:tcW w:w="1199" w:type="dxa"/>
            <w:tcBorders>
              <w:top w:val="single" w:sz="4" w:space="0" w:color="auto"/>
              <w:left w:val="nil"/>
              <w:bottom w:val="single" w:sz="4" w:space="0" w:color="BFBFBF"/>
              <w:right w:val="single" w:sz="4" w:space="0" w:color="BFBFBF"/>
            </w:tcBorders>
            <w:shd w:val="clear" w:color="000000" w:fill="FFFFFF"/>
            <w:noWrap/>
            <w:vAlign w:val="center"/>
            <w:hideMark/>
          </w:tcPr>
          <w:p w14:paraId="07DF6FB6" w14:textId="1A18306E"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single" w:sz="4" w:space="0" w:color="auto"/>
              <w:left w:val="nil"/>
              <w:bottom w:val="single" w:sz="4" w:space="0" w:color="BFBFBF"/>
              <w:right w:val="single" w:sz="4" w:space="0" w:color="auto"/>
            </w:tcBorders>
            <w:shd w:val="clear" w:color="000000" w:fill="FFFFFF"/>
            <w:noWrap/>
            <w:vAlign w:val="center"/>
            <w:hideMark/>
          </w:tcPr>
          <w:p w14:paraId="21CD4AA6" w14:textId="717E6499" w:rsidR="00BE44AE" w:rsidRPr="00EB7F3E" w:rsidRDefault="00BE44AE" w:rsidP="00BE44AE">
            <w:pPr>
              <w:jc w:val="right"/>
              <w:rPr>
                <w:rFonts w:eastAsia="Times New Roman"/>
                <w:color w:val="C00000"/>
                <w:sz w:val="18"/>
                <w:szCs w:val="18"/>
              </w:rPr>
            </w:pPr>
            <w:r w:rsidRPr="00EB7F3E">
              <w:rPr>
                <w:color w:val="C00000"/>
                <w:sz w:val="18"/>
                <w:szCs w:val="18"/>
              </w:rPr>
              <w:t>964</w:t>
            </w:r>
          </w:p>
        </w:tc>
        <w:tc>
          <w:tcPr>
            <w:tcW w:w="1199" w:type="dxa"/>
            <w:tcBorders>
              <w:top w:val="single" w:sz="4" w:space="0" w:color="auto"/>
              <w:left w:val="nil"/>
              <w:bottom w:val="single" w:sz="4" w:space="0" w:color="BFBFBF"/>
              <w:right w:val="single" w:sz="4" w:space="0" w:color="BFBFBF"/>
            </w:tcBorders>
            <w:shd w:val="clear" w:color="000000" w:fill="FFFFFF"/>
            <w:noWrap/>
            <w:vAlign w:val="center"/>
            <w:hideMark/>
          </w:tcPr>
          <w:p w14:paraId="5BB57840" w14:textId="547C4D82"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200" w:type="dxa"/>
            <w:tcBorders>
              <w:top w:val="single" w:sz="4" w:space="0" w:color="auto"/>
              <w:left w:val="nil"/>
              <w:bottom w:val="single" w:sz="4" w:space="0" w:color="BFBFBF"/>
              <w:right w:val="single" w:sz="4" w:space="0" w:color="auto"/>
            </w:tcBorders>
            <w:shd w:val="clear" w:color="000000" w:fill="FFFFFF"/>
            <w:noWrap/>
            <w:vAlign w:val="center"/>
            <w:hideMark/>
          </w:tcPr>
          <w:p w14:paraId="5BD3270F" w14:textId="4F9B96D2" w:rsidR="00BE44AE" w:rsidRPr="00EB7F3E" w:rsidRDefault="00BE44AE" w:rsidP="00BE44AE">
            <w:pPr>
              <w:jc w:val="right"/>
              <w:rPr>
                <w:rFonts w:eastAsia="Times New Roman"/>
                <w:color w:val="C00000"/>
                <w:sz w:val="18"/>
                <w:szCs w:val="18"/>
              </w:rPr>
            </w:pPr>
            <w:r w:rsidRPr="00EB7F3E">
              <w:rPr>
                <w:color w:val="C00000"/>
                <w:sz w:val="18"/>
                <w:szCs w:val="18"/>
              </w:rPr>
              <w:t>2,232</w:t>
            </w:r>
          </w:p>
        </w:tc>
      </w:tr>
      <w:tr w:rsidR="00BE44AE" w:rsidRPr="003F6369" w14:paraId="1B8534D6" w14:textId="77777777" w:rsidTr="003F6369">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456B1F33"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t>Co-operative</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3998B228" w14:textId="59E1D544"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2F2F2"/>
            <w:noWrap/>
            <w:vAlign w:val="center"/>
            <w:hideMark/>
          </w:tcPr>
          <w:p w14:paraId="31F77F13" w14:textId="19D4B3E6" w:rsidR="00BE44AE" w:rsidRPr="00EB7F3E" w:rsidRDefault="00BE44AE" w:rsidP="00BE44AE">
            <w:pPr>
              <w:jc w:val="right"/>
              <w:rPr>
                <w:rFonts w:eastAsia="Times New Roman"/>
                <w:color w:val="C00000"/>
                <w:sz w:val="18"/>
                <w:szCs w:val="18"/>
              </w:rPr>
            </w:pPr>
            <w:r w:rsidRPr="00EB7F3E">
              <w:rPr>
                <w:color w:val="C00000"/>
                <w:sz w:val="18"/>
                <w:szCs w:val="18"/>
              </w:rPr>
              <w:t>160</w:t>
            </w:r>
          </w:p>
        </w:tc>
        <w:tc>
          <w:tcPr>
            <w:tcW w:w="1199" w:type="dxa"/>
            <w:tcBorders>
              <w:top w:val="nil"/>
              <w:left w:val="nil"/>
              <w:bottom w:val="single" w:sz="4" w:space="0" w:color="BFBFBF"/>
              <w:right w:val="single" w:sz="4" w:space="0" w:color="BFBFBF"/>
            </w:tcBorders>
            <w:shd w:val="clear" w:color="000000" w:fill="F2F2F2"/>
            <w:noWrap/>
            <w:vAlign w:val="center"/>
            <w:hideMark/>
          </w:tcPr>
          <w:p w14:paraId="7ED2CDDF" w14:textId="59134A91"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2F2F2"/>
            <w:noWrap/>
            <w:vAlign w:val="center"/>
            <w:hideMark/>
          </w:tcPr>
          <w:p w14:paraId="7830D945" w14:textId="00382C0C" w:rsidR="00BE44AE" w:rsidRPr="00EB7F3E" w:rsidRDefault="00BE44AE" w:rsidP="00BE44AE">
            <w:pPr>
              <w:jc w:val="right"/>
              <w:rPr>
                <w:rFonts w:eastAsia="Times New Roman"/>
                <w:color w:val="C00000"/>
                <w:sz w:val="18"/>
                <w:szCs w:val="18"/>
              </w:rPr>
            </w:pPr>
            <w:r w:rsidRPr="00EB7F3E">
              <w:rPr>
                <w:color w:val="C00000"/>
                <w:sz w:val="18"/>
                <w:szCs w:val="18"/>
              </w:rPr>
              <w:t>160</w:t>
            </w:r>
          </w:p>
        </w:tc>
        <w:tc>
          <w:tcPr>
            <w:tcW w:w="1199" w:type="dxa"/>
            <w:tcBorders>
              <w:top w:val="nil"/>
              <w:left w:val="nil"/>
              <w:bottom w:val="single" w:sz="4" w:space="0" w:color="BFBFBF"/>
              <w:right w:val="single" w:sz="4" w:space="0" w:color="BFBFBF"/>
            </w:tcBorders>
            <w:shd w:val="clear" w:color="000000" w:fill="F2F2F2"/>
            <w:noWrap/>
            <w:vAlign w:val="center"/>
            <w:hideMark/>
          </w:tcPr>
          <w:p w14:paraId="050C369D" w14:textId="0DA84084"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200" w:type="dxa"/>
            <w:tcBorders>
              <w:top w:val="nil"/>
              <w:left w:val="nil"/>
              <w:bottom w:val="single" w:sz="4" w:space="0" w:color="BFBFBF"/>
              <w:right w:val="single" w:sz="4" w:space="0" w:color="auto"/>
            </w:tcBorders>
            <w:shd w:val="clear" w:color="000000" w:fill="F2F2F2"/>
            <w:noWrap/>
            <w:vAlign w:val="center"/>
            <w:hideMark/>
          </w:tcPr>
          <w:p w14:paraId="4097D2F7" w14:textId="78F00DDD" w:rsidR="00BE44AE" w:rsidRPr="00EB7F3E" w:rsidRDefault="00BE44AE" w:rsidP="00BE44AE">
            <w:pPr>
              <w:jc w:val="right"/>
              <w:rPr>
                <w:rFonts w:eastAsia="Times New Roman"/>
                <w:color w:val="C00000"/>
                <w:sz w:val="18"/>
                <w:szCs w:val="18"/>
              </w:rPr>
            </w:pPr>
            <w:r w:rsidRPr="00EB7F3E">
              <w:rPr>
                <w:color w:val="C00000"/>
                <w:sz w:val="18"/>
                <w:szCs w:val="18"/>
              </w:rPr>
              <w:t>301</w:t>
            </w:r>
          </w:p>
        </w:tc>
      </w:tr>
      <w:tr w:rsidR="00BE44AE" w:rsidRPr="003F6369" w14:paraId="5E28B975" w14:textId="77777777" w:rsidTr="003F6369">
        <w:trPr>
          <w:trHeight w:val="402"/>
        </w:trPr>
        <w:tc>
          <w:tcPr>
            <w:tcW w:w="2160" w:type="dxa"/>
            <w:tcBorders>
              <w:top w:val="nil"/>
              <w:left w:val="single" w:sz="4" w:space="0" w:color="auto"/>
              <w:bottom w:val="single" w:sz="4" w:space="0" w:color="BFBFBF"/>
              <w:right w:val="nil"/>
            </w:tcBorders>
            <w:shd w:val="clear" w:color="000000" w:fill="FFFFFF"/>
            <w:noWrap/>
            <w:vAlign w:val="center"/>
            <w:hideMark/>
          </w:tcPr>
          <w:p w14:paraId="6048A6D2"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t>Emergency Shelter</w:t>
            </w:r>
          </w:p>
        </w:tc>
        <w:tc>
          <w:tcPr>
            <w:tcW w:w="1199" w:type="dxa"/>
            <w:tcBorders>
              <w:top w:val="nil"/>
              <w:left w:val="single" w:sz="4" w:space="0" w:color="auto"/>
              <w:bottom w:val="single" w:sz="4" w:space="0" w:color="BFBFBF"/>
              <w:right w:val="single" w:sz="4" w:space="0" w:color="BFBFBF"/>
            </w:tcBorders>
            <w:shd w:val="clear" w:color="000000" w:fill="FFFFFF"/>
            <w:noWrap/>
            <w:vAlign w:val="center"/>
            <w:hideMark/>
          </w:tcPr>
          <w:p w14:paraId="5E349F27" w14:textId="3488B6B5" w:rsidR="00BE44AE" w:rsidRPr="00EB7F3E" w:rsidRDefault="00BE44AE" w:rsidP="00BE44AE">
            <w:pPr>
              <w:jc w:val="right"/>
              <w:rPr>
                <w:rFonts w:eastAsia="Times New Roman"/>
                <w:color w:val="C00000"/>
                <w:sz w:val="18"/>
                <w:szCs w:val="18"/>
              </w:rPr>
            </w:pPr>
            <w:r w:rsidRPr="00EB7F3E">
              <w:rPr>
                <w:color w:val="C00000"/>
                <w:sz w:val="18"/>
                <w:szCs w:val="18"/>
              </w:rPr>
              <w:t>86</w:t>
            </w:r>
          </w:p>
        </w:tc>
        <w:tc>
          <w:tcPr>
            <w:tcW w:w="1199" w:type="dxa"/>
            <w:tcBorders>
              <w:top w:val="nil"/>
              <w:left w:val="nil"/>
              <w:bottom w:val="single" w:sz="4" w:space="0" w:color="BFBFBF"/>
              <w:right w:val="single" w:sz="4" w:space="0" w:color="auto"/>
            </w:tcBorders>
            <w:shd w:val="clear" w:color="000000" w:fill="FFFFFF"/>
            <w:noWrap/>
            <w:vAlign w:val="center"/>
            <w:hideMark/>
          </w:tcPr>
          <w:p w14:paraId="23CA8558" w14:textId="5F795235"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BFBFBF"/>
            </w:tcBorders>
            <w:shd w:val="clear" w:color="000000" w:fill="FFFFFF"/>
            <w:noWrap/>
            <w:vAlign w:val="center"/>
            <w:hideMark/>
          </w:tcPr>
          <w:p w14:paraId="2B6A4335" w14:textId="40F56413" w:rsidR="00BE44AE" w:rsidRPr="00EB7F3E" w:rsidRDefault="00BE44AE" w:rsidP="00BE44AE">
            <w:pPr>
              <w:jc w:val="right"/>
              <w:rPr>
                <w:rFonts w:eastAsia="Times New Roman"/>
                <w:color w:val="C00000"/>
                <w:sz w:val="18"/>
                <w:szCs w:val="18"/>
              </w:rPr>
            </w:pPr>
            <w:r w:rsidRPr="00EB7F3E">
              <w:rPr>
                <w:color w:val="C00000"/>
                <w:sz w:val="18"/>
                <w:szCs w:val="18"/>
              </w:rPr>
              <w:t>86</w:t>
            </w:r>
          </w:p>
        </w:tc>
        <w:tc>
          <w:tcPr>
            <w:tcW w:w="1199" w:type="dxa"/>
            <w:tcBorders>
              <w:top w:val="nil"/>
              <w:left w:val="nil"/>
              <w:bottom w:val="single" w:sz="4" w:space="0" w:color="BFBFBF"/>
              <w:right w:val="single" w:sz="4" w:space="0" w:color="auto"/>
            </w:tcBorders>
            <w:shd w:val="clear" w:color="000000" w:fill="FFFFFF"/>
            <w:noWrap/>
            <w:vAlign w:val="center"/>
            <w:hideMark/>
          </w:tcPr>
          <w:p w14:paraId="26A1119C" w14:textId="0DB122B7"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BFBFBF"/>
            </w:tcBorders>
            <w:shd w:val="clear" w:color="000000" w:fill="FFFFFF"/>
            <w:noWrap/>
            <w:vAlign w:val="center"/>
            <w:hideMark/>
          </w:tcPr>
          <w:p w14:paraId="0C2D60D9" w14:textId="4FFA0FC8" w:rsidR="00BE44AE" w:rsidRPr="00EB7F3E" w:rsidRDefault="00BE44AE" w:rsidP="00BE44AE">
            <w:pPr>
              <w:jc w:val="right"/>
              <w:rPr>
                <w:rFonts w:eastAsia="Times New Roman"/>
                <w:color w:val="C00000"/>
                <w:sz w:val="18"/>
                <w:szCs w:val="18"/>
              </w:rPr>
            </w:pPr>
            <w:r w:rsidRPr="00EB7F3E">
              <w:rPr>
                <w:color w:val="C00000"/>
                <w:sz w:val="18"/>
                <w:szCs w:val="18"/>
              </w:rPr>
              <w:t>109</w:t>
            </w:r>
          </w:p>
        </w:tc>
        <w:tc>
          <w:tcPr>
            <w:tcW w:w="1200" w:type="dxa"/>
            <w:tcBorders>
              <w:top w:val="nil"/>
              <w:left w:val="nil"/>
              <w:bottom w:val="single" w:sz="4" w:space="0" w:color="BFBFBF"/>
              <w:right w:val="single" w:sz="4" w:space="0" w:color="auto"/>
            </w:tcBorders>
            <w:shd w:val="clear" w:color="000000" w:fill="FFFFFF"/>
            <w:noWrap/>
            <w:vAlign w:val="center"/>
            <w:hideMark/>
          </w:tcPr>
          <w:p w14:paraId="43E909C6" w14:textId="6E6B28FF" w:rsidR="00BE44AE" w:rsidRPr="00EB7F3E" w:rsidRDefault="00BE44AE" w:rsidP="00BE44AE">
            <w:pPr>
              <w:jc w:val="right"/>
              <w:rPr>
                <w:rFonts w:eastAsia="Times New Roman"/>
                <w:color w:val="C00000"/>
                <w:sz w:val="18"/>
                <w:szCs w:val="18"/>
              </w:rPr>
            </w:pPr>
            <w:r w:rsidRPr="00EB7F3E">
              <w:rPr>
                <w:color w:val="C00000"/>
                <w:sz w:val="18"/>
                <w:szCs w:val="18"/>
              </w:rPr>
              <w:t>-</w:t>
            </w:r>
          </w:p>
        </w:tc>
      </w:tr>
      <w:tr w:rsidR="00BE44AE" w:rsidRPr="003F6369" w14:paraId="6642B0EF" w14:textId="77777777" w:rsidTr="003F6369">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5B5FB71C"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t>Group Home</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0200A5CF" w14:textId="3A7F31FF"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2F2F2"/>
            <w:noWrap/>
            <w:vAlign w:val="center"/>
            <w:hideMark/>
          </w:tcPr>
          <w:p w14:paraId="6DE5BA9B" w14:textId="7261A228"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BFBFBF"/>
            </w:tcBorders>
            <w:shd w:val="clear" w:color="000000" w:fill="F2F2F2"/>
            <w:noWrap/>
            <w:vAlign w:val="center"/>
            <w:hideMark/>
          </w:tcPr>
          <w:p w14:paraId="2134C64C" w14:textId="03505E1F"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2F2F2"/>
            <w:noWrap/>
            <w:vAlign w:val="center"/>
            <w:hideMark/>
          </w:tcPr>
          <w:p w14:paraId="00A81114" w14:textId="139E9A81"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BFBFBF"/>
            </w:tcBorders>
            <w:shd w:val="clear" w:color="000000" w:fill="F2F2F2"/>
            <w:noWrap/>
            <w:vAlign w:val="center"/>
            <w:hideMark/>
          </w:tcPr>
          <w:p w14:paraId="4AA3D9F9" w14:textId="1C3CAC3F"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200" w:type="dxa"/>
            <w:tcBorders>
              <w:top w:val="nil"/>
              <w:left w:val="nil"/>
              <w:bottom w:val="single" w:sz="4" w:space="0" w:color="BFBFBF"/>
              <w:right w:val="single" w:sz="4" w:space="0" w:color="auto"/>
            </w:tcBorders>
            <w:shd w:val="clear" w:color="000000" w:fill="F2F2F2"/>
            <w:noWrap/>
            <w:vAlign w:val="center"/>
            <w:hideMark/>
          </w:tcPr>
          <w:p w14:paraId="0AEDF7A8" w14:textId="06DA98ED" w:rsidR="00BE44AE" w:rsidRPr="00EB7F3E" w:rsidRDefault="00BE44AE" w:rsidP="00BE44AE">
            <w:pPr>
              <w:jc w:val="right"/>
              <w:rPr>
                <w:rFonts w:eastAsia="Times New Roman"/>
                <w:color w:val="C00000"/>
                <w:sz w:val="18"/>
                <w:szCs w:val="18"/>
              </w:rPr>
            </w:pPr>
            <w:r w:rsidRPr="00EB7F3E">
              <w:rPr>
                <w:color w:val="C00000"/>
                <w:sz w:val="18"/>
                <w:szCs w:val="18"/>
              </w:rPr>
              <w:t>22</w:t>
            </w:r>
          </w:p>
        </w:tc>
      </w:tr>
      <w:tr w:rsidR="00BE44AE" w:rsidRPr="003F6369" w14:paraId="771EFB5C" w14:textId="77777777" w:rsidTr="003F6369">
        <w:trPr>
          <w:trHeight w:val="402"/>
        </w:trPr>
        <w:tc>
          <w:tcPr>
            <w:tcW w:w="2160" w:type="dxa"/>
            <w:tcBorders>
              <w:top w:val="nil"/>
              <w:left w:val="single" w:sz="4" w:space="0" w:color="auto"/>
              <w:bottom w:val="single" w:sz="4" w:space="0" w:color="BFBFBF"/>
              <w:right w:val="nil"/>
            </w:tcBorders>
            <w:shd w:val="clear" w:color="000000" w:fill="FFFFFF"/>
            <w:noWrap/>
            <w:vAlign w:val="center"/>
            <w:hideMark/>
          </w:tcPr>
          <w:p w14:paraId="278AB6EA"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t>Subsidized Market</w:t>
            </w:r>
          </w:p>
        </w:tc>
        <w:tc>
          <w:tcPr>
            <w:tcW w:w="1199" w:type="dxa"/>
            <w:tcBorders>
              <w:top w:val="nil"/>
              <w:left w:val="single" w:sz="4" w:space="0" w:color="auto"/>
              <w:bottom w:val="single" w:sz="4" w:space="0" w:color="BFBFBF"/>
              <w:right w:val="single" w:sz="4" w:space="0" w:color="BFBFBF"/>
            </w:tcBorders>
            <w:shd w:val="clear" w:color="000000" w:fill="FFFFFF"/>
            <w:noWrap/>
            <w:vAlign w:val="center"/>
            <w:hideMark/>
          </w:tcPr>
          <w:p w14:paraId="0F97ECAD" w14:textId="4F14B2CC"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FFFFF"/>
            <w:noWrap/>
            <w:vAlign w:val="center"/>
            <w:hideMark/>
          </w:tcPr>
          <w:p w14:paraId="525F6F21" w14:textId="1BCFF6EE"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BFBFBF"/>
            </w:tcBorders>
            <w:shd w:val="clear" w:color="000000" w:fill="FFFFFF"/>
            <w:noWrap/>
            <w:vAlign w:val="center"/>
            <w:hideMark/>
          </w:tcPr>
          <w:p w14:paraId="32372D5D" w14:textId="14CC9CF6"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FFFFF"/>
            <w:noWrap/>
            <w:vAlign w:val="center"/>
            <w:hideMark/>
          </w:tcPr>
          <w:p w14:paraId="09D4239A" w14:textId="23159177" w:rsidR="00BE44AE" w:rsidRPr="00EB7F3E" w:rsidRDefault="00BE44AE" w:rsidP="00BE44AE">
            <w:pPr>
              <w:jc w:val="right"/>
              <w:rPr>
                <w:rFonts w:eastAsia="Times New Roman"/>
                <w:color w:val="C00000"/>
                <w:sz w:val="18"/>
                <w:szCs w:val="18"/>
              </w:rPr>
            </w:pPr>
            <w:r w:rsidRPr="00EB7F3E">
              <w:rPr>
                <w:color w:val="C00000"/>
                <w:sz w:val="18"/>
                <w:szCs w:val="18"/>
              </w:rPr>
              <w:t>354</w:t>
            </w:r>
          </w:p>
        </w:tc>
        <w:tc>
          <w:tcPr>
            <w:tcW w:w="1199" w:type="dxa"/>
            <w:tcBorders>
              <w:top w:val="nil"/>
              <w:left w:val="nil"/>
              <w:bottom w:val="single" w:sz="4" w:space="0" w:color="BFBFBF"/>
              <w:right w:val="single" w:sz="4" w:space="0" w:color="BFBFBF"/>
            </w:tcBorders>
            <w:shd w:val="clear" w:color="000000" w:fill="FFFFFF"/>
            <w:noWrap/>
            <w:vAlign w:val="center"/>
            <w:hideMark/>
          </w:tcPr>
          <w:p w14:paraId="2A66841E" w14:textId="27848EBC"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200" w:type="dxa"/>
            <w:tcBorders>
              <w:top w:val="nil"/>
              <w:left w:val="nil"/>
              <w:bottom w:val="single" w:sz="4" w:space="0" w:color="BFBFBF"/>
              <w:right w:val="single" w:sz="4" w:space="0" w:color="auto"/>
            </w:tcBorders>
            <w:shd w:val="clear" w:color="000000" w:fill="FFFFFF"/>
            <w:noWrap/>
            <w:vAlign w:val="center"/>
            <w:hideMark/>
          </w:tcPr>
          <w:p w14:paraId="39E73D14" w14:textId="61FB2819" w:rsidR="00BE44AE" w:rsidRPr="00EB7F3E" w:rsidRDefault="00BE44AE" w:rsidP="00BE44AE">
            <w:pPr>
              <w:jc w:val="right"/>
              <w:rPr>
                <w:rFonts w:eastAsia="Times New Roman"/>
                <w:color w:val="C00000"/>
                <w:sz w:val="18"/>
                <w:szCs w:val="18"/>
              </w:rPr>
            </w:pPr>
            <w:r w:rsidRPr="00EB7F3E">
              <w:rPr>
                <w:color w:val="C00000"/>
                <w:sz w:val="18"/>
                <w:szCs w:val="18"/>
              </w:rPr>
              <w:t>473</w:t>
            </w:r>
          </w:p>
        </w:tc>
      </w:tr>
      <w:tr w:rsidR="00BE44AE" w:rsidRPr="003F6369" w14:paraId="3A725882" w14:textId="77777777" w:rsidTr="00766FB9">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7A9DE31E"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lastRenderedPageBreak/>
              <w:t>Supportive</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161EE8EB" w14:textId="1B36BBC0"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2F2F2"/>
            <w:noWrap/>
            <w:vAlign w:val="center"/>
            <w:hideMark/>
          </w:tcPr>
          <w:p w14:paraId="3ADA2BF4" w14:textId="6FF59EC5" w:rsidR="00BE44AE" w:rsidRPr="00EB7F3E" w:rsidRDefault="00BE44AE" w:rsidP="00BE44AE">
            <w:pPr>
              <w:jc w:val="right"/>
              <w:rPr>
                <w:rFonts w:eastAsia="Times New Roman"/>
                <w:color w:val="C00000"/>
                <w:sz w:val="18"/>
                <w:szCs w:val="18"/>
              </w:rPr>
            </w:pPr>
            <w:r w:rsidRPr="00EB7F3E">
              <w:rPr>
                <w:color w:val="C00000"/>
                <w:sz w:val="18"/>
                <w:szCs w:val="18"/>
              </w:rPr>
              <w:t>99</w:t>
            </w:r>
          </w:p>
        </w:tc>
        <w:tc>
          <w:tcPr>
            <w:tcW w:w="1199" w:type="dxa"/>
            <w:tcBorders>
              <w:top w:val="nil"/>
              <w:left w:val="nil"/>
              <w:bottom w:val="single" w:sz="4" w:space="0" w:color="BFBFBF"/>
              <w:right w:val="single" w:sz="4" w:space="0" w:color="BFBFBF"/>
            </w:tcBorders>
            <w:shd w:val="clear" w:color="000000" w:fill="F2F2F2"/>
            <w:noWrap/>
            <w:vAlign w:val="center"/>
            <w:hideMark/>
          </w:tcPr>
          <w:p w14:paraId="5ED50C66" w14:textId="65C619BF"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199" w:type="dxa"/>
            <w:tcBorders>
              <w:top w:val="nil"/>
              <w:left w:val="nil"/>
              <w:bottom w:val="single" w:sz="4" w:space="0" w:color="BFBFBF"/>
              <w:right w:val="single" w:sz="4" w:space="0" w:color="auto"/>
            </w:tcBorders>
            <w:shd w:val="clear" w:color="000000" w:fill="F2F2F2"/>
            <w:noWrap/>
            <w:vAlign w:val="center"/>
            <w:hideMark/>
          </w:tcPr>
          <w:p w14:paraId="2E49A050" w14:textId="749350C7" w:rsidR="00BE44AE" w:rsidRPr="00EB7F3E" w:rsidRDefault="00BE44AE" w:rsidP="00BE44AE">
            <w:pPr>
              <w:jc w:val="right"/>
              <w:rPr>
                <w:rFonts w:eastAsia="Times New Roman"/>
                <w:color w:val="C00000"/>
                <w:sz w:val="18"/>
                <w:szCs w:val="18"/>
              </w:rPr>
            </w:pPr>
            <w:r w:rsidRPr="00EB7F3E">
              <w:rPr>
                <w:color w:val="C00000"/>
                <w:sz w:val="18"/>
                <w:szCs w:val="18"/>
              </w:rPr>
              <w:t>99</w:t>
            </w:r>
          </w:p>
        </w:tc>
        <w:tc>
          <w:tcPr>
            <w:tcW w:w="1199" w:type="dxa"/>
            <w:tcBorders>
              <w:top w:val="nil"/>
              <w:left w:val="nil"/>
              <w:bottom w:val="single" w:sz="4" w:space="0" w:color="BFBFBF"/>
              <w:right w:val="single" w:sz="4" w:space="0" w:color="BFBFBF"/>
            </w:tcBorders>
            <w:shd w:val="clear" w:color="000000" w:fill="F2F2F2"/>
            <w:noWrap/>
            <w:vAlign w:val="center"/>
            <w:hideMark/>
          </w:tcPr>
          <w:p w14:paraId="5997EF2F" w14:textId="4D690155" w:rsidR="00BE44AE" w:rsidRPr="00EB7F3E" w:rsidRDefault="00BE44AE" w:rsidP="00BE44AE">
            <w:pPr>
              <w:jc w:val="right"/>
              <w:rPr>
                <w:rFonts w:eastAsia="Times New Roman"/>
                <w:color w:val="C00000"/>
                <w:sz w:val="18"/>
                <w:szCs w:val="18"/>
              </w:rPr>
            </w:pPr>
            <w:r w:rsidRPr="00EB7F3E">
              <w:rPr>
                <w:color w:val="C00000"/>
                <w:sz w:val="18"/>
                <w:szCs w:val="18"/>
              </w:rPr>
              <w:t>-</w:t>
            </w:r>
          </w:p>
        </w:tc>
        <w:tc>
          <w:tcPr>
            <w:tcW w:w="1200" w:type="dxa"/>
            <w:tcBorders>
              <w:top w:val="nil"/>
              <w:left w:val="nil"/>
              <w:bottom w:val="single" w:sz="4" w:space="0" w:color="BFBFBF"/>
              <w:right w:val="single" w:sz="4" w:space="0" w:color="auto"/>
            </w:tcBorders>
            <w:shd w:val="clear" w:color="000000" w:fill="F2F2F2"/>
            <w:noWrap/>
            <w:vAlign w:val="center"/>
            <w:hideMark/>
          </w:tcPr>
          <w:p w14:paraId="34BFBAE9" w14:textId="4DDDB4E2" w:rsidR="00BE44AE" w:rsidRPr="00EB7F3E" w:rsidRDefault="00BE44AE" w:rsidP="00BE44AE">
            <w:pPr>
              <w:jc w:val="right"/>
              <w:rPr>
                <w:rFonts w:eastAsia="Times New Roman"/>
                <w:color w:val="C00000"/>
                <w:sz w:val="18"/>
                <w:szCs w:val="18"/>
              </w:rPr>
            </w:pPr>
            <w:r w:rsidRPr="00EB7F3E">
              <w:rPr>
                <w:color w:val="C00000"/>
                <w:sz w:val="18"/>
                <w:szCs w:val="18"/>
              </w:rPr>
              <w:t>109</w:t>
            </w:r>
          </w:p>
        </w:tc>
      </w:tr>
      <w:tr w:rsidR="00BE44AE" w:rsidRPr="003F6369" w14:paraId="4FD404F3" w14:textId="77777777" w:rsidTr="00766FB9">
        <w:trPr>
          <w:trHeight w:val="402"/>
        </w:trPr>
        <w:tc>
          <w:tcPr>
            <w:tcW w:w="2160" w:type="dxa"/>
            <w:tcBorders>
              <w:top w:val="single" w:sz="4" w:space="0" w:color="BFBFBF"/>
              <w:left w:val="single" w:sz="4" w:space="0" w:color="auto"/>
              <w:bottom w:val="single" w:sz="4" w:space="0" w:color="auto"/>
              <w:right w:val="nil"/>
            </w:tcBorders>
            <w:shd w:val="clear" w:color="000000" w:fill="FFFFFF"/>
            <w:noWrap/>
            <w:vAlign w:val="center"/>
            <w:hideMark/>
          </w:tcPr>
          <w:p w14:paraId="4FBA413A" w14:textId="77777777" w:rsidR="00BE44AE" w:rsidRPr="003F6369" w:rsidRDefault="00BE44AE" w:rsidP="00BE44AE">
            <w:pPr>
              <w:rPr>
                <w:rFonts w:eastAsia="Times New Roman"/>
                <w:color w:val="0D0D0D"/>
                <w:sz w:val="18"/>
                <w:szCs w:val="18"/>
              </w:rPr>
            </w:pPr>
            <w:r w:rsidRPr="003F6369">
              <w:rPr>
                <w:rFonts w:eastAsia="Times New Roman"/>
                <w:color w:val="0D0D0D"/>
                <w:sz w:val="18"/>
                <w:szCs w:val="18"/>
              </w:rPr>
              <w:t>Transitional</w:t>
            </w:r>
          </w:p>
        </w:tc>
        <w:tc>
          <w:tcPr>
            <w:tcW w:w="1199" w:type="dxa"/>
            <w:tcBorders>
              <w:top w:val="single" w:sz="4" w:space="0" w:color="BFBFBF"/>
              <w:left w:val="single" w:sz="4" w:space="0" w:color="auto"/>
              <w:bottom w:val="single" w:sz="4" w:space="0" w:color="auto"/>
              <w:right w:val="single" w:sz="4" w:space="0" w:color="BFBFBF"/>
            </w:tcBorders>
            <w:shd w:val="clear" w:color="000000" w:fill="FFFFFF"/>
            <w:noWrap/>
            <w:vAlign w:val="center"/>
            <w:hideMark/>
          </w:tcPr>
          <w:p w14:paraId="37652B48" w14:textId="086091AF" w:rsidR="00BE44AE" w:rsidRPr="00EB7F3E" w:rsidRDefault="00BE44AE" w:rsidP="00BE44AE">
            <w:pPr>
              <w:jc w:val="right"/>
              <w:rPr>
                <w:rFonts w:eastAsia="Times New Roman"/>
                <w:color w:val="C00000"/>
                <w:sz w:val="18"/>
                <w:szCs w:val="18"/>
              </w:rPr>
            </w:pPr>
            <w:r w:rsidRPr="00EB7F3E">
              <w:rPr>
                <w:color w:val="C00000"/>
                <w:sz w:val="18"/>
                <w:szCs w:val="18"/>
              </w:rPr>
              <w:t>18</w:t>
            </w:r>
          </w:p>
        </w:tc>
        <w:tc>
          <w:tcPr>
            <w:tcW w:w="1199" w:type="dxa"/>
            <w:tcBorders>
              <w:top w:val="single" w:sz="4" w:space="0" w:color="BFBFBF"/>
              <w:left w:val="nil"/>
              <w:bottom w:val="single" w:sz="4" w:space="0" w:color="auto"/>
              <w:right w:val="single" w:sz="4" w:space="0" w:color="auto"/>
            </w:tcBorders>
            <w:shd w:val="clear" w:color="000000" w:fill="FFFFFF"/>
            <w:noWrap/>
            <w:vAlign w:val="center"/>
            <w:hideMark/>
          </w:tcPr>
          <w:p w14:paraId="3F3A417F" w14:textId="4AC472FA" w:rsidR="00BE44AE" w:rsidRPr="00EB7F3E" w:rsidRDefault="00BE44AE" w:rsidP="00BE44AE">
            <w:pPr>
              <w:jc w:val="right"/>
              <w:rPr>
                <w:rFonts w:eastAsia="Times New Roman"/>
                <w:color w:val="C00000"/>
                <w:sz w:val="18"/>
                <w:szCs w:val="18"/>
              </w:rPr>
            </w:pPr>
            <w:r w:rsidRPr="00EB7F3E">
              <w:rPr>
                <w:color w:val="C00000"/>
                <w:sz w:val="18"/>
                <w:szCs w:val="18"/>
              </w:rPr>
              <w:t>7</w:t>
            </w:r>
          </w:p>
        </w:tc>
        <w:tc>
          <w:tcPr>
            <w:tcW w:w="1199" w:type="dxa"/>
            <w:tcBorders>
              <w:top w:val="single" w:sz="4" w:space="0" w:color="BFBFBF"/>
              <w:left w:val="nil"/>
              <w:bottom w:val="single" w:sz="4" w:space="0" w:color="auto"/>
              <w:right w:val="single" w:sz="4" w:space="0" w:color="BFBFBF"/>
            </w:tcBorders>
            <w:shd w:val="clear" w:color="000000" w:fill="FFFFFF"/>
            <w:noWrap/>
            <w:vAlign w:val="center"/>
            <w:hideMark/>
          </w:tcPr>
          <w:p w14:paraId="38EF84E5" w14:textId="3D2808EA" w:rsidR="00BE44AE" w:rsidRPr="00EB7F3E" w:rsidRDefault="00BE44AE" w:rsidP="00BE44AE">
            <w:pPr>
              <w:jc w:val="right"/>
              <w:rPr>
                <w:rFonts w:eastAsia="Times New Roman"/>
                <w:color w:val="C00000"/>
                <w:sz w:val="18"/>
                <w:szCs w:val="18"/>
              </w:rPr>
            </w:pPr>
            <w:r w:rsidRPr="00EB7F3E">
              <w:rPr>
                <w:color w:val="C00000"/>
                <w:sz w:val="18"/>
                <w:szCs w:val="18"/>
              </w:rPr>
              <w:t>18</w:t>
            </w:r>
          </w:p>
        </w:tc>
        <w:tc>
          <w:tcPr>
            <w:tcW w:w="1199" w:type="dxa"/>
            <w:tcBorders>
              <w:top w:val="single" w:sz="4" w:space="0" w:color="BFBFBF"/>
              <w:left w:val="nil"/>
              <w:bottom w:val="single" w:sz="4" w:space="0" w:color="auto"/>
              <w:right w:val="single" w:sz="4" w:space="0" w:color="auto"/>
            </w:tcBorders>
            <w:shd w:val="clear" w:color="000000" w:fill="FFFFFF"/>
            <w:noWrap/>
            <w:vAlign w:val="center"/>
            <w:hideMark/>
          </w:tcPr>
          <w:p w14:paraId="57CA2446" w14:textId="2193ACEC" w:rsidR="00BE44AE" w:rsidRPr="00EB7F3E" w:rsidRDefault="00BE44AE" w:rsidP="00BE44AE">
            <w:pPr>
              <w:jc w:val="right"/>
              <w:rPr>
                <w:rFonts w:eastAsia="Times New Roman"/>
                <w:color w:val="C00000"/>
                <w:sz w:val="18"/>
                <w:szCs w:val="18"/>
              </w:rPr>
            </w:pPr>
            <w:r w:rsidRPr="00EB7F3E">
              <w:rPr>
                <w:color w:val="C00000"/>
                <w:sz w:val="18"/>
                <w:szCs w:val="18"/>
              </w:rPr>
              <w:t>7</w:t>
            </w:r>
          </w:p>
        </w:tc>
        <w:tc>
          <w:tcPr>
            <w:tcW w:w="1199" w:type="dxa"/>
            <w:tcBorders>
              <w:top w:val="single" w:sz="4" w:space="0" w:color="BFBFBF"/>
              <w:left w:val="nil"/>
              <w:bottom w:val="single" w:sz="4" w:space="0" w:color="auto"/>
              <w:right w:val="single" w:sz="4" w:space="0" w:color="BFBFBF"/>
            </w:tcBorders>
            <w:shd w:val="clear" w:color="000000" w:fill="FFFFFF"/>
            <w:noWrap/>
            <w:vAlign w:val="center"/>
            <w:hideMark/>
          </w:tcPr>
          <w:p w14:paraId="00DE7E88" w14:textId="56B9CE5F" w:rsidR="00BE44AE" w:rsidRPr="00EB7F3E" w:rsidRDefault="00BE44AE" w:rsidP="00BE44AE">
            <w:pPr>
              <w:jc w:val="right"/>
              <w:rPr>
                <w:rFonts w:eastAsia="Times New Roman"/>
                <w:color w:val="C00000"/>
                <w:sz w:val="18"/>
                <w:szCs w:val="18"/>
              </w:rPr>
            </w:pPr>
            <w:r w:rsidRPr="00EB7F3E">
              <w:rPr>
                <w:color w:val="C00000"/>
                <w:sz w:val="18"/>
                <w:szCs w:val="18"/>
              </w:rPr>
              <w:t>18</w:t>
            </w:r>
          </w:p>
        </w:tc>
        <w:tc>
          <w:tcPr>
            <w:tcW w:w="1200" w:type="dxa"/>
            <w:tcBorders>
              <w:top w:val="single" w:sz="4" w:space="0" w:color="BFBFBF"/>
              <w:left w:val="nil"/>
              <w:bottom w:val="single" w:sz="4" w:space="0" w:color="auto"/>
              <w:right w:val="single" w:sz="4" w:space="0" w:color="auto"/>
            </w:tcBorders>
            <w:shd w:val="clear" w:color="000000" w:fill="FFFFFF"/>
            <w:noWrap/>
            <w:vAlign w:val="center"/>
            <w:hideMark/>
          </w:tcPr>
          <w:p w14:paraId="72A8C680" w14:textId="72BD6CE1" w:rsidR="00BE44AE" w:rsidRPr="00EB7F3E" w:rsidRDefault="00BE44AE" w:rsidP="00BE44AE">
            <w:pPr>
              <w:jc w:val="right"/>
              <w:rPr>
                <w:rFonts w:eastAsia="Times New Roman"/>
                <w:color w:val="C00000"/>
                <w:sz w:val="18"/>
                <w:szCs w:val="18"/>
              </w:rPr>
            </w:pPr>
            <w:r w:rsidRPr="00EB7F3E">
              <w:rPr>
                <w:color w:val="C00000"/>
                <w:sz w:val="18"/>
                <w:szCs w:val="18"/>
              </w:rPr>
              <w:t>22</w:t>
            </w:r>
          </w:p>
        </w:tc>
      </w:tr>
    </w:tbl>
    <w:p w14:paraId="080575E2" w14:textId="1830BD8E" w:rsidR="003F6369" w:rsidRDefault="00BE44AE" w:rsidP="00DE29F9">
      <w:pPr>
        <w:pStyle w:val="Source"/>
      </w:pPr>
      <w:r>
        <w:t xml:space="preserve">Source: </w:t>
      </w:r>
      <w:r w:rsidR="00FE4A03">
        <w:t xml:space="preserve">for PEI – </w:t>
      </w:r>
      <w:r w:rsidR="00DE29F9">
        <w:t>survey of non-market stakeholders</w:t>
      </w:r>
      <w:r w:rsidR="00FE4A03">
        <w:t>, for elsewhere – to be determined</w:t>
      </w:r>
    </w:p>
    <w:p w14:paraId="47DE5DD7" w14:textId="77777777" w:rsidR="00DC4D78" w:rsidRDefault="00DC4D78"/>
    <w:p w14:paraId="243FB59B" w14:textId="130F30B3" w:rsidR="00DC4D78" w:rsidRDefault="00DC4D78" w:rsidP="00DC4D78">
      <w:pPr>
        <w:jc w:val="both"/>
      </w:pPr>
      <w:r>
        <w:t xml:space="preserve">The total non-market inventory should first be read in the context of the community's </w:t>
      </w:r>
      <w:r w:rsidR="00DC4228">
        <w:t>core housing need</w:t>
      </w:r>
      <w:r w:rsidR="00EC4901">
        <w:t>; particularly, among the renting</w:t>
      </w:r>
      <w:r>
        <w:t xml:space="preserve"> population, as that population </w:t>
      </w:r>
      <w:r w:rsidR="00EC4901">
        <w:t xml:space="preserve">often </w:t>
      </w:r>
      <w:r>
        <w:t xml:space="preserve">defines the scale of households for whom non-market housing is </w:t>
      </w:r>
      <w:r w:rsidR="00EC4901">
        <w:t>a</w:t>
      </w:r>
      <w:r w:rsidR="00653118">
        <w:t>n</w:t>
      </w:r>
      <w:r w:rsidR="00EC4901">
        <w:t xml:space="preserve"> increasingly</w:t>
      </w:r>
      <w:r>
        <w:t xml:space="preserve"> viable form of stable accommodation. Where the total unit count is small relative to the estimated number of households in core housing need, the table provides evidence of</w:t>
      </w:r>
      <w:r w:rsidR="00966AC1">
        <w:t xml:space="preserve"> a</w:t>
      </w:r>
      <w:r>
        <w:t xml:space="preserve"> gap between need and</w:t>
      </w:r>
      <w:r w:rsidR="00966AC1">
        <w:t xml:space="preserve"> supply.</w:t>
      </w:r>
    </w:p>
    <w:p w14:paraId="7AFADCE5" w14:textId="77777777" w:rsidR="00DC4D78" w:rsidRDefault="00DC4D78" w:rsidP="00DC4D78">
      <w:pPr>
        <w:jc w:val="both"/>
      </w:pPr>
    </w:p>
    <w:p w14:paraId="7DDDC544" w14:textId="50D9AE00" w:rsidR="00DC4D78" w:rsidRDefault="00DC4D78" w:rsidP="00DC4D78">
      <w:pPr>
        <w:jc w:val="both"/>
      </w:pPr>
      <w:r>
        <w:t xml:space="preserve">The composition of the inventory across housing types is as important as the total. Emergency shelter beds represent crisis-response capacity rather than stable housing, and a disproportionately large share of the local inventory in emergency accommodation </w:t>
      </w:r>
      <w:r w:rsidR="003F6151">
        <w:t>(</w:t>
      </w:r>
      <w:r>
        <w:t>relative to supportive, transitional, and affordable non-market units</w:t>
      </w:r>
      <w:r w:rsidR="003F6151">
        <w:t>)</w:t>
      </w:r>
      <w:r>
        <w:t xml:space="preserve"> may indicate an underdeveloped continuum of care where the sector is responding to acute need without the housing infrastructure to resolve it. Supportive and transitional housing provide the bridge between emergency response and long-term stability; their relative absence from the local inventory</w:t>
      </w:r>
      <w:r w:rsidR="00D82D1F">
        <w:t>,</w:t>
      </w:r>
      <w:r>
        <w:t xml:space="preserve"> alongside a large</w:t>
      </w:r>
      <w:r w:rsidR="003F6151">
        <w:t xml:space="preserve"> </w:t>
      </w:r>
      <w:r>
        <w:t>emergency shelter component</w:t>
      </w:r>
      <w:r w:rsidR="00D82D1F">
        <w:t>,</w:t>
      </w:r>
      <w:r>
        <w:t xml:space="preserve"> points to a gap in the progression from crisis to permanence.</w:t>
      </w:r>
    </w:p>
    <w:p w14:paraId="60ACCE37" w14:textId="77777777" w:rsidR="00DC4D78" w:rsidRDefault="00DC4D78" w:rsidP="00DC4D78">
      <w:pPr>
        <w:jc w:val="both"/>
      </w:pPr>
    </w:p>
    <w:p w14:paraId="06243640" w14:textId="77777777" w:rsidR="003B0538" w:rsidRDefault="00DC4D78" w:rsidP="00DC4D78">
      <w:pPr>
        <w:jc w:val="both"/>
      </w:pPr>
      <w:r>
        <w:t>Co-operative and affordable non-market units serve a somewhat different population than emergency and transitional housing</w:t>
      </w:r>
      <w:r w:rsidR="003F6151">
        <w:t>. They</w:t>
      </w:r>
      <w:r w:rsidR="00F542B1">
        <w:t xml:space="preserve"> are </w:t>
      </w:r>
      <w:r>
        <w:t>typically lower-income households and seniors rather than individuals in acute crisis</w:t>
      </w:r>
      <w:r w:rsidR="00F542B1">
        <w:t>.</w:t>
      </w:r>
    </w:p>
    <w:p w14:paraId="1B478533" w14:textId="77777777" w:rsidR="003B0538" w:rsidRDefault="003B0538" w:rsidP="00DC4D78">
      <w:pPr>
        <w:jc w:val="both"/>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C847AF" w:rsidRPr="00500457" w14:paraId="320B4320" w14:textId="77777777" w:rsidTr="009A4107">
        <w:trPr>
          <w:trHeight w:val="360"/>
        </w:trPr>
        <w:tc>
          <w:tcPr>
            <w:tcW w:w="1345" w:type="dxa"/>
            <w:shd w:val="clear" w:color="auto" w:fill="5F2ADF" w:themeFill="accent4" w:themeFillTint="80"/>
            <w:vAlign w:val="center"/>
          </w:tcPr>
          <w:p w14:paraId="2389E803" w14:textId="16E6DA49" w:rsidR="00C847AF"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7C966E1D" w14:textId="77777777" w:rsidR="00C847AF" w:rsidRPr="003A2EA5" w:rsidRDefault="00C847AF"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C847AF" w:rsidRPr="00500457" w14:paraId="687BDE03" w14:textId="77777777" w:rsidTr="00C847AF">
        <w:trPr>
          <w:trHeight w:val="728"/>
        </w:trPr>
        <w:tc>
          <w:tcPr>
            <w:tcW w:w="1345" w:type="dxa"/>
            <w:shd w:val="clear" w:color="auto" w:fill="DED3F8" w:themeFill="accent4" w:themeFillTint="1A"/>
            <w:vAlign w:val="center"/>
          </w:tcPr>
          <w:p w14:paraId="751AEE60" w14:textId="3070D170" w:rsidR="00C847AF" w:rsidRPr="00500457" w:rsidRDefault="00C847AF" w:rsidP="009A4107">
            <w:pPr>
              <w:rPr>
                <w:sz w:val="20"/>
                <w:szCs w:val="20"/>
              </w:rPr>
            </w:pPr>
            <w:r>
              <w:rPr>
                <w:sz w:val="20"/>
                <w:szCs w:val="20"/>
              </w:rPr>
              <w:t>5.8</w:t>
            </w:r>
          </w:p>
        </w:tc>
        <w:tc>
          <w:tcPr>
            <w:tcW w:w="8005" w:type="dxa"/>
            <w:shd w:val="clear" w:color="auto" w:fill="DED3F8" w:themeFill="accent4" w:themeFillTint="1A"/>
            <w:vAlign w:val="center"/>
          </w:tcPr>
          <w:p w14:paraId="2537CB38" w14:textId="5C0205CE" w:rsidR="00C847AF" w:rsidRPr="00500457" w:rsidRDefault="00C847AF" w:rsidP="009A4107">
            <w:pPr>
              <w:rPr>
                <w:sz w:val="20"/>
                <w:szCs w:val="20"/>
              </w:rPr>
            </w:pPr>
            <w:r w:rsidRPr="00C847AF">
              <w:rPr>
                <w:sz w:val="20"/>
                <w:szCs w:val="20"/>
              </w:rPr>
              <w:t>Please describe any other affordable and community housing options and needs/gaps currently in your community that are not captured by the above.</w:t>
            </w:r>
          </w:p>
        </w:tc>
      </w:tr>
    </w:tbl>
    <w:p w14:paraId="7E5F223D" w14:textId="3641F457" w:rsidR="0043538E" w:rsidRDefault="000511ED" w:rsidP="00DC4D78">
      <w:pPr>
        <w:jc w:val="both"/>
      </w:pPr>
      <w:r>
        <w:br w:type="page"/>
      </w:r>
    </w:p>
    <w:p w14:paraId="22B17F6A" w14:textId="02EEC89B" w:rsidR="0043538E" w:rsidRDefault="00072A93" w:rsidP="00072A93">
      <w:pPr>
        <w:pStyle w:val="Heading1"/>
      </w:pPr>
      <w:bookmarkStart w:id="65" w:name="_Toc223686649"/>
      <w:bookmarkStart w:id="66" w:name="_Toc237355947"/>
      <w:r>
        <w:lastRenderedPageBreak/>
        <w:t>HOUSING NEED</w:t>
      </w:r>
      <w:bookmarkEnd w:id="65"/>
      <w:bookmarkEnd w:id="66"/>
    </w:p>
    <w:p w14:paraId="65EAD17B" w14:textId="77777777" w:rsidR="002F2847" w:rsidRDefault="002F2847" w:rsidP="003858C8">
      <w:pPr>
        <w:jc w:val="both"/>
      </w:pPr>
    </w:p>
    <w:p w14:paraId="5CCDDD6C" w14:textId="0D7CDECB" w:rsidR="00F42C7E" w:rsidRDefault="00F42C7E" w:rsidP="00F42C7E">
      <w:pPr>
        <w:jc w:val="both"/>
      </w:pPr>
      <w:bookmarkStart w:id="67" w:name="_Hlk223437361"/>
      <w:r>
        <w:t>This section is the analytical core of a Housing Needs Assessment, synthesizing the community and housing profile data into a determination of the scale, nature, and distribution of housing need across the community.</w:t>
      </w:r>
      <w:r w:rsidR="00A42962">
        <w:t xml:space="preserve"> Where possible, comparisons are made between the local community and the county / region and province said community belongs to.</w:t>
      </w:r>
    </w:p>
    <w:p w14:paraId="29C9F4FC" w14:textId="77777777" w:rsidR="00F42C7E" w:rsidRDefault="00F42C7E" w:rsidP="00F42C7E">
      <w:pPr>
        <w:jc w:val="both"/>
      </w:pPr>
    </w:p>
    <w:p w14:paraId="2C7855DD" w14:textId="022F0290" w:rsidR="003858C8" w:rsidRDefault="00F42C7E" w:rsidP="00F42C7E">
      <w:pPr>
        <w:jc w:val="both"/>
      </w:pPr>
      <w:r>
        <w:t xml:space="preserve">This section is what distinguishes a Housing Needs Assessment from a housing market study or a demographic report. It translates data about who lives in the community and what housing exists into a direct answer to the central policy question: are residents' housing needs being met? The federal requirements under the </w:t>
      </w:r>
      <w:r w:rsidR="0066194B">
        <w:t>BCSF</w:t>
      </w:r>
      <w:r>
        <w:t xml:space="preserve"> and HAF frameworks specifically require that HNAs address core housing need by income category, household size, and tenure, making this section critical not only for local planning but for accessing federal funding programs.</w:t>
      </w:r>
    </w:p>
    <w:p w14:paraId="6D6B69BC" w14:textId="77777777" w:rsidR="002F2847" w:rsidRDefault="002F2847" w:rsidP="002F2847">
      <w:bookmarkStart w:id="68" w:name="_Toc222480671"/>
      <w:bookmarkStart w:id="69" w:name="_Toc222480670"/>
      <w:bookmarkEnd w:id="67"/>
    </w:p>
    <w:p w14:paraId="6D03CCBB" w14:textId="7C7346AE" w:rsidR="00FE6955" w:rsidRDefault="00FE6955" w:rsidP="00FE6955">
      <w:pPr>
        <w:pStyle w:val="Heading2"/>
      </w:pPr>
      <w:bookmarkStart w:id="70" w:name="_Toc223686650"/>
      <w:bookmarkStart w:id="71" w:name="_Toc237355948"/>
      <w:r>
        <w:t>INDICATOR SUMMARY</w:t>
      </w:r>
      <w:bookmarkEnd w:id="68"/>
      <w:bookmarkEnd w:id="70"/>
      <w:bookmarkEnd w:id="71"/>
    </w:p>
    <w:p w14:paraId="53C99D4E" w14:textId="0E90CF8E" w:rsidR="002D1546" w:rsidRDefault="00C620AB" w:rsidP="00C620AB">
      <w:pPr>
        <w:jc w:val="both"/>
      </w:pPr>
      <w:r>
        <w:t>Core housing need is the federal government's primary measure of housing precarity</w:t>
      </w:r>
      <w:r w:rsidR="00262740">
        <w:t xml:space="preserve"> and is made up of three dimensions: </w:t>
      </w:r>
      <w:r w:rsidR="00262740" w:rsidRPr="003C59F9">
        <w:rPr>
          <w:i/>
          <w:iCs/>
        </w:rPr>
        <w:t>affordability</w:t>
      </w:r>
      <w:r w:rsidR="00262740">
        <w:t xml:space="preserve">, </w:t>
      </w:r>
      <w:r w:rsidR="00262740" w:rsidRPr="003C59F9">
        <w:rPr>
          <w:i/>
          <w:iCs/>
        </w:rPr>
        <w:t>adequacy</w:t>
      </w:r>
      <w:r w:rsidR="007A3447">
        <w:rPr>
          <w:i/>
          <w:iCs/>
        </w:rPr>
        <w:t xml:space="preserve"> (i.e., need for major repair)</w:t>
      </w:r>
      <w:r w:rsidR="00262740">
        <w:t xml:space="preserve">, and </w:t>
      </w:r>
      <w:r w:rsidR="00262740" w:rsidRPr="003C59F9">
        <w:rPr>
          <w:i/>
          <w:iCs/>
        </w:rPr>
        <w:t>suitability</w:t>
      </w:r>
      <w:r w:rsidR="007A3447">
        <w:rPr>
          <w:i/>
          <w:iCs/>
        </w:rPr>
        <w:t xml:space="preserve"> (i.e., overcrowding)</w:t>
      </w:r>
      <w:r w:rsidR="00262740">
        <w:t xml:space="preserve">. </w:t>
      </w:r>
      <w:r w:rsidR="00663D1D">
        <w:t xml:space="preserve">This measure is </w:t>
      </w:r>
      <w:r w:rsidR="00262740">
        <w:t xml:space="preserve">often </w:t>
      </w:r>
      <w:r>
        <w:t xml:space="preserve">used to benchmark community performance and track progress over time. The disaggregation by tenure is particularly important: renters consistently experience core housing need at rates two to three times higher than owners across Canada, and a report that presents only </w:t>
      </w:r>
      <w:r w:rsidR="002E2741">
        <w:t>the overall</w:t>
      </w:r>
      <w:r w:rsidR="00CC15B7">
        <w:t xml:space="preserve"> figures, rather than </w:t>
      </w:r>
      <w:r w:rsidR="00821E4C">
        <w:t>including</w:t>
      </w:r>
      <w:r w:rsidR="00CC15B7">
        <w:t xml:space="preserve"> tenure types, </w:t>
      </w:r>
      <w:r>
        <w:t>obscures this structural inequality.</w:t>
      </w:r>
    </w:p>
    <w:p w14:paraId="535385E0" w14:textId="77777777" w:rsidR="00C620AB" w:rsidRDefault="00C620AB" w:rsidP="00C620AB"/>
    <w:p w14:paraId="2C2E55D7" w14:textId="0185FBC2" w:rsidR="00366E49" w:rsidRDefault="00366E49" w:rsidP="00366E49">
      <w:pPr>
        <w:jc w:val="both"/>
      </w:pPr>
      <w:r w:rsidRPr="00366E49">
        <w:rPr>
          <w:rStyle w:val="Figure-textChar"/>
        </w:rPr>
        <w:fldChar w:fldCharType="begin"/>
      </w:r>
      <w:r w:rsidRPr="00366E49">
        <w:rPr>
          <w:rStyle w:val="Figure-textChar"/>
        </w:rPr>
        <w:instrText xml:space="preserve"> REF _Ref223276599 \h </w:instrText>
      </w:r>
      <w:r>
        <w:rPr>
          <w:rStyle w:val="Figure-textChar"/>
        </w:rPr>
        <w:instrText xml:space="preserve"> \* MERGEFORMAT </w:instrText>
      </w:r>
      <w:r w:rsidRPr="00366E49">
        <w:rPr>
          <w:rStyle w:val="Figure-textChar"/>
        </w:rPr>
      </w:r>
      <w:r w:rsidRPr="00366E49">
        <w:rPr>
          <w:rStyle w:val="Figure-textChar"/>
        </w:rPr>
        <w:fldChar w:fldCharType="separate"/>
      </w:r>
      <w:r w:rsidR="00CA6116" w:rsidRPr="00CA6116">
        <w:rPr>
          <w:rStyle w:val="Figure-textChar"/>
        </w:rPr>
        <w:t>Table 7.1</w:t>
      </w:r>
      <w:r w:rsidRPr="00366E49">
        <w:rPr>
          <w:rStyle w:val="Figure-textChar"/>
        </w:rPr>
        <w:fldChar w:fldCharType="end"/>
      </w:r>
      <w:r>
        <w:t xml:space="preserve"> </w:t>
      </w:r>
      <w:r w:rsidR="00137DF1" w:rsidRPr="00137DF1">
        <w:t xml:space="preserve">presents the community's core housing need profile across the </w:t>
      </w:r>
      <w:r w:rsidR="00137DF1">
        <w:t>three dimensions</w:t>
      </w:r>
      <w:r w:rsidR="00137DF1" w:rsidRPr="00137DF1">
        <w:t>, disaggregated by tenure, enabling a comparison of local housing conditions against regional and provincial benchmarks.</w:t>
      </w:r>
    </w:p>
    <w:p w14:paraId="789A3DB7" w14:textId="77777777" w:rsidR="00366E49" w:rsidRDefault="00366E49" w:rsidP="002F2847"/>
    <w:p w14:paraId="0F18FC97" w14:textId="6104691F" w:rsidR="00880723" w:rsidRDefault="00880723" w:rsidP="00880723">
      <w:pPr>
        <w:pStyle w:val="Caption"/>
      </w:pPr>
      <w:bookmarkStart w:id="72" w:name="_Ref223276599"/>
      <w:r>
        <w:t xml:space="preserve">Table </w:t>
      </w:r>
      <w:fldSimple w:instr=" STYLEREF 1 \s ">
        <w:r w:rsidR="005E459C">
          <w:rPr>
            <w:noProof/>
          </w:rPr>
          <w:t>7</w:t>
        </w:r>
      </w:fldSimple>
      <w:r w:rsidR="00BD4359">
        <w:t>.</w:t>
      </w:r>
      <w:fldSimple w:instr=" SEQ Table \* ARABIC \s 1 ">
        <w:r w:rsidR="005E459C">
          <w:rPr>
            <w:noProof/>
          </w:rPr>
          <w:t>1</w:t>
        </w:r>
      </w:fldSimple>
      <w:bookmarkEnd w:id="72"/>
      <w:r>
        <w:t>: Summary of local housing need indicators, 2021</w:t>
      </w:r>
    </w:p>
    <w:tbl>
      <w:tblPr>
        <w:tblW w:w="9355" w:type="dxa"/>
        <w:tblLayout w:type="fixed"/>
        <w:tblLook w:val="04A0" w:firstRow="1" w:lastRow="0" w:firstColumn="1" w:lastColumn="0" w:noHBand="0" w:noVBand="1"/>
      </w:tblPr>
      <w:tblGrid>
        <w:gridCol w:w="3595"/>
        <w:gridCol w:w="1920"/>
        <w:gridCol w:w="1920"/>
        <w:gridCol w:w="1920"/>
      </w:tblGrid>
      <w:tr w:rsidR="0016693A" w:rsidRPr="00F35C9B" w14:paraId="44FDAF5F" w14:textId="77777777" w:rsidTr="003C59F9">
        <w:trPr>
          <w:trHeight w:val="402"/>
          <w:tblHeader/>
        </w:trPr>
        <w:tc>
          <w:tcPr>
            <w:tcW w:w="359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0D477D4D" w14:textId="1DFEEF82" w:rsidR="0016693A" w:rsidRPr="00F35C9B" w:rsidRDefault="0016693A" w:rsidP="00D91BF1">
            <w:pPr>
              <w:rPr>
                <w:rFonts w:eastAsia="Times New Roman"/>
                <w:color w:val="FFFFFF"/>
                <w:sz w:val="18"/>
                <w:szCs w:val="18"/>
              </w:rPr>
            </w:pPr>
            <w:r>
              <w:rPr>
                <w:rFonts w:eastAsia="Times New Roman"/>
                <w:color w:val="FFFFFF"/>
                <w:sz w:val="18"/>
                <w:szCs w:val="18"/>
              </w:rPr>
              <w:t>Housing need categories</w:t>
            </w:r>
          </w:p>
        </w:tc>
        <w:tc>
          <w:tcPr>
            <w:tcW w:w="192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A9E9EE2" w14:textId="77777777" w:rsidR="0016693A" w:rsidRPr="00F35C9B" w:rsidRDefault="0016693A" w:rsidP="00D91BF1">
            <w:pPr>
              <w:jc w:val="right"/>
              <w:rPr>
                <w:rFonts w:eastAsia="Times New Roman"/>
                <w:color w:val="FFFFFF"/>
                <w:sz w:val="18"/>
                <w:szCs w:val="18"/>
              </w:rPr>
            </w:pPr>
            <w:r w:rsidRPr="00F35C9B">
              <w:rPr>
                <w:rFonts w:eastAsia="Times New Roman"/>
                <w:color w:val="FFFFFF"/>
                <w:sz w:val="18"/>
                <w:szCs w:val="18"/>
              </w:rPr>
              <w:t>Total</w:t>
            </w:r>
          </w:p>
        </w:tc>
        <w:tc>
          <w:tcPr>
            <w:tcW w:w="192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2420884" w14:textId="77777777" w:rsidR="0016693A" w:rsidRPr="00F35C9B" w:rsidRDefault="0016693A" w:rsidP="00D91BF1">
            <w:pPr>
              <w:jc w:val="right"/>
              <w:rPr>
                <w:rFonts w:eastAsia="Times New Roman"/>
                <w:color w:val="FFFFFF"/>
                <w:sz w:val="18"/>
                <w:szCs w:val="18"/>
              </w:rPr>
            </w:pPr>
            <w:r w:rsidRPr="00F35C9B">
              <w:rPr>
                <w:rFonts w:eastAsia="Times New Roman"/>
                <w:color w:val="FFFFFF"/>
                <w:sz w:val="18"/>
                <w:szCs w:val="18"/>
              </w:rPr>
              <w:t>Owner</w:t>
            </w:r>
          </w:p>
        </w:tc>
        <w:tc>
          <w:tcPr>
            <w:tcW w:w="192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A4D5D36" w14:textId="77777777" w:rsidR="0016693A" w:rsidRPr="00F35C9B" w:rsidRDefault="0016693A" w:rsidP="00D91BF1">
            <w:pPr>
              <w:jc w:val="right"/>
              <w:rPr>
                <w:rFonts w:eastAsia="Times New Roman"/>
                <w:color w:val="FFFFFF"/>
                <w:sz w:val="18"/>
                <w:szCs w:val="18"/>
              </w:rPr>
            </w:pPr>
            <w:r w:rsidRPr="00F35C9B">
              <w:rPr>
                <w:rFonts w:eastAsia="Times New Roman"/>
                <w:color w:val="FFFFFF"/>
                <w:sz w:val="18"/>
                <w:szCs w:val="18"/>
              </w:rPr>
              <w:t>Renter</w:t>
            </w:r>
          </w:p>
        </w:tc>
      </w:tr>
      <w:tr w:rsidR="0016693A" w:rsidRPr="00F35C9B" w14:paraId="197BF753" w14:textId="77777777" w:rsidTr="004D74FB">
        <w:trPr>
          <w:trHeight w:val="402"/>
        </w:trPr>
        <w:tc>
          <w:tcPr>
            <w:tcW w:w="3595"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533D9651" w14:textId="77777777" w:rsidR="0016693A" w:rsidRPr="00F35C9B" w:rsidRDefault="0016693A" w:rsidP="00D91BF1">
            <w:pPr>
              <w:rPr>
                <w:rFonts w:eastAsia="Times New Roman"/>
                <w:color w:val="0D0D0D"/>
                <w:sz w:val="18"/>
                <w:szCs w:val="18"/>
              </w:rPr>
            </w:pPr>
            <w:r w:rsidRPr="00F35C9B">
              <w:rPr>
                <w:rFonts w:eastAsia="Times New Roman"/>
                <w:color w:val="0D0D0D"/>
                <w:sz w:val="18"/>
                <w:szCs w:val="18"/>
              </w:rPr>
              <w:t>Total households</w:t>
            </w:r>
          </w:p>
        </w:tc>
        <w:tc>
          <w:tcPr>
            <w:tcW w:w="1920" w:type="dxa"/>
            <w:tcBorders>
              <w:top w:val="single" w:sz="4" w:space="0" w:color="auto"/>
              <w:left w:val="nil"/>
              <w:bottom w:val="single" w:sz="4" w:space="0" w:color="auto"/>
              <w:right w:val="single" w:sz="4" w:space="0" w:color="BFBFBF"/>
            </w:tcBorders>
            <w:shd w:val="clear" w:color="000000" w:fill="F2F2F2"/>
            <w:noWrap/>
            <w:vAlign w:val="center"/>
            <w:hideMark/>
          </w:tcPr>
          <w:p w14:paraId="7CBC9436"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17,180</w:t>
            </w:r>
          </w:p>
        </w:tc>
        <w:tc>
          <w:tcPr>
            <w:tcW w:w="1920" w:type="dxa"/>
            <w:tcBorders>
              <w:top w:val="single" w:sz="4" w:space="0" w:color="auto"/>
              <w:left w:val="nil"/>
              <w:bottom w:val="single" w:sz="4" w:space="0" w:color="auto"/>
              <w:right w:val="single" w:sz="4" w:space="0" w:color="BFBFBF"/>
            </w:tcBorders>
            <w:shd w:val="clear" w:color="000000" w:fill="F2F2F2"/>
            <w:noWrap/>
            <w:vAlign w:val="center"/>
            <w:hideMark/>
          </w:tcPr>
          <w:p w14:paraId="698EE64F"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7,875</w:t>
            </w:r>
          </w:p>
        </w:tc>
        <w:tc>
          <w:tcPr>
            <w:tcW w:w="1920" w:type="dxa"/>
            <w:tcBorders>
              <w:top w:val="single" w:sz="4" w:space="0" w:color="auto"/>
              <w:left w:val="nil"/>
              <w:bottom w:val="single" w:sz="4" w:space="0" w:color="auto"/>
              <w:right w:val="single" w:sz="4" w:space="0" w:color="auto"/>
            </w:tcBorders>
            <w:shd w:val="clear" w:color="000000" w:fill="F2F2F2"/>
            <w:noWrap/>
            <w:vAlign w:val="center"/>
            <w:hideMark/>
          </w:tcPr>
          <w:p w14:paraId="2A2646EF"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9,305</w:t>
            </w:r>
          </w:p>
        </w:tc>
      </w:tr>
      <w:tr w:rsidR="0016693A" w:rsidRPr="00F35C9B" w14:paraId="2B2834E5" w14:textId="77777777" w:rsidTr="004D74FB">
        <w:trPr>
          <w:trHeight w:val="402"/>
        </w:trPr>
        <w:tc>
          <w:tcPr>
            <w:tcW w:w="3595" w:type="dxa"/>
            <w:tcBorders>
              <w:top w:val="single" w:sz="4" w:space="0" w:color="auto"/>
              <w:left w:val="single" w:sz="4" w:space="0" w:color="auto"/>
              <w:bottom w:val="single" w:sz="4" w:space="0" w:color="BFBFBF"/>
              <w:right w:val="single" w:sz="4" w:space="0" w:color="000000"/>
            </w:tcBorders>
            <w:noWrap/>
            <w:vAlign w:val="center"/>
            <w:hideMark/>
          </w:tcPr>
          <w:p w14:paraId="43CBDCFB" w14:textId="77777777" w:rsidR="0016693A" w:rsidRPr="00F35C9B" w:rsidRDefault="0016693A" w:rsidP="00D91BF1">
            <w:pPr>
              <w:rPr>
                <w:rFonts w:eastAsia="Times New Roman"/>
                <w:color w:val="0D0D0D"/>
                <w:sz w:val="18"/>
                <w:szCs w:val="18"/>
              </w:rPr>
            </w:pPr>
            <w:r w:rsidRPr="00F35C9B">
              <w:rPr>
                <w:rFonts w:eastAsia="Times New Roman"/>
                <w:color w:val="0D0D0D"/>
                <w:sz w:val="18"/>
                <w:szCs w:val="18"/>
              </w:rPr>
              <w:t>Unsuitable dwellings</w:t>
            </w:r>
          </w:p>
        </w:tc>
        <w:tc>
          <w:tcPr>
            <w:tcW w:w="1920" w:type="dxa"/>
            <w:tcBorders>
              <w:top w:val="single" w:sz="4" w:space="0" w:color="auto"/>
              <w:left w:val="nil"/>
              <w:bottom w:val="single" w:sz="4" w:space="0" w:color="BFBFBF"/>
              <w:right w:val="single" w:sz="4" w:space="0" w:color="BFBFBF"/>
            </w:tcBorders>
            <w:noWrap/>
            <w:vAlign w:val="center"/>
            <w:hideMark/>
          </w:tcPr>
          <w:p w14:paraId="7EE95B00"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4.7%</w:t>
            </w:r>
          </w:p>
        </w:tc>
        <w:tc>
          <w:tcPr>
            <w:tcW w:w="1920" w:type="dxa"/>
            <w:tcBorders>
              <w:top w:val="single" w:sz="4" w:space="0" w:color="auto"/>
              <w:left w:val="nil"/>
              <w:bottom w:val="single" w:sz="4" w:space="0" w:color="BFBFBF"/>
              <w:right w:val="single" w:sz="4" w:space="0" w:color="BFBFBF"/>
            </w:tcBorders>
            <w:noWrap/>
            <w:vAlign w:val="center"/>
            <w:hideMark/>
          </w:tcPr>
          <w:p w14:paraId="59551CB0"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1.7%</w:t>
            </w:r>
          </w:p>
        </w:tc>
        <w:tc>
          <w:tcPr>
            <w:tcW w:w="1920" w:type="dxa"/>
            <w:tcBorders>
              <w:top w:val="single" w:sz="4" w:space="0" w:color="auto"/>
              <w:left w:val="nil"/>
              <w:bottom w:val="single" w:sz="4" w:space="0" w:color="BFBFBF"/>
              <w:right w:val="single" w:sz="4" w:space="0" w:color="auto"/>
            </w:tcBorders>
            <w:noWrap/>
            <w:vAlign w:val="center"/>
            <w:hideMark/>
          </w:tcPr>
          <w:p w14:paraId="313A785C"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7.4%</w:t>
            </w:r>
          </w:p>
        </w:tc>
      </w:tr>
      <w:tr w:rsidR="0016693A" w:rsidRPr="00F35C9B" w14:paraId="1DB5CEFD" w14:textId="77777777" w:rsidTr="00D91BF1">
        <w:trPr>
          <w:trHeight w:val="402"/>
        </w:trPr>
        <w:tc>
          <w:tcPr>
            <w:tcW w:w="359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081F601" w14:textId="77777777" w:rsidR="0016693A" w:rsidRPr="00F35C9B" w:rsidRDefault="0016693A" w:rsidP="00D91BF1">
            <w:pPr>
              <w:rPr>
                <w:rFonts w:eastAsia="Times New Roman"/>
                <w:color w:val="0D0D0D"/>
                <w:sz w:val="18"/>
                <w:szCs w:val="18"/>
              </w:rPr>
            </w:pPr>
            <w:r w:rsidRPr="00F35C9B">
              <w:rPr>
                <w:rFonts w:eastAsia="Times New Roman"/>
                <w:color w:val="0D0D0D"/>
                <w:sz w:val="18"/>
                <w:szCs w:val="18"/>
              </w:rPr>
              <w:t>Inadequate dwellings</w:t>
            </w:r>
          </w:p>
        </w:tc>
        <w:tc>
          <w:tcPr>
            <w:tcW w:w="1920" w:type="dxa"/>
            <w:tcBorders>
              <w:top w:val="nil"/>
              <w:left w:val="nil"/>
              <w:bottom w:val="single" w:sz="4" w:space="0" w:color="BFBFBF"/>
              <w:right w:val="single" w:sz="4" w:space="0" w:color="BFBFBF"/>
            </w:tcBorders>
            <w:shd w:val="clear" w:color="000000" w:fill="F2F2F2"/>
            <w:noWrap/>
            <w:vAlign w:val="center"/>
            <w:hideMark/>
          </w:tcPr>
          <w:p w14:paraId="54C762C6"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5.7%</w:t>
            </w:r>
          </w:p>
        </w:tc>
        <w:tc>
          <w:tcPr>
            <w:tcW w:w="1920" w:type="dxa"/>
            <w:tcBorders>
              <w:top w:val="nil"/>
              <w:left w:val="nil"/>
              <w:bottom w:val="single" w:sz="4" w:space="0" w:color="BFBFBF"/>
              <w:right w:val="single" w:sz="4" w:space="0" w:color="BFBFBF"/>
            </w:tcBorders>
            <w:shd w:val="clear" w:color="000000" w:fill="F2F2F2"/>
            <w:noWrap/>
            <w:vAlign w:val="center"/>
            <w:hideMark/>
          </w:tcPr>
          <w:p w14:paraId="00251AAE"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6.3%</w:t>
            </w:r>
          </w:p>
        </w:tc>
        <w:tc>
          <w:tcPr>
            <w:tcW w:w="1920" w:type="dxa"/>
            <w:tcBorders>
              <w:top w:val="nil"/>
              <w:left w:val="nil"/>
              <w:bottom w:val="single" w:sz="4" w:space="0" w:color="BFBFBF"/>
              <w:right w:val="single" w:sz="4" w:space="0" w:color="auto"/>
            </w:tcBorders>
            <w:shd w:val="clear" w:color="000000" w:fill="F2F2F2"/>
            <w:noWrap/>
            <w:vAlign w:val="center"/>
            <w:hideMark/>
          </w:tcPr>
          <w:p w14:paraId="2A7D2309"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5.1%</w:t>
            </w:r>
          </w:p>
        </w:tc>
      </w:tr>
      <w:tr w:rsidR="0016693A" w:rsidRPr="00F35C9B" w14:paraId="49C12BA4" w14:textId="77777777" w:rsidTr="00D91BF1">
        <w:trPr>
          <w:trHeight w:val="402"/>
        </w:trPr>
        <w:tc>
          <w:tcPr>
            <w:tcW w:w="3595" w:type="dxa"/>
            <w:tcBorders>
              <w:top w:val="single" w:sz="4" w:space="0" w:color="BFBFBF"/>
              <w:left w:val="single" w:sz="4" w:space="0" w:color="auto"/>
              <w:bottom w:val="single" w:sz="4" w:space="0" w:color="BFBFBF"/>
              <w:right w:val="single" w:sz="4" w:space="0" w:color="000000"/>
            </w:tcBorders>
            <w:noWrap/>
            <w:vAlign w:val="center"/>
            <w:hideMark/>
          </w:tcPr>
          <w:p w14:paraId="62D2830B" w14:textId="77777777" w:rsidR="0016693A" w:rsidRPr="00F35C9B" w:rsidRDefault="0016693A" w:rsidP="00D91BF1">
            <w:pPr>
              <w:rPr>
                <w:rFonts w:eastAsia="Times New Roman"/>
                <w:color w:val="0D0D0D"/>
                <w:sz w:val="18"/>
                <w:szCs w:val="18"/>
              </w:rPr>
            </w:pPr>
            <w:r w:rsidRPr="00F35C9B">
              <w:rPr>
                <w:rFonts w:eastAsia="Times New Roman"/>
                <w:color w:val="0D0D0D"/>
                <w:sz w:val="18"/>
                <w:szCs w:val="18"/>
              </w:rPr>
              <w:t>Unaffordable dwellings</w:t>
            </w:r>
          </w:p>
        </w:tc>
        <w:tc>
          <w:tcPr>
            <w:tcW w:w="1920" w:type="dxa"/>
            <w:tcBorders>
              <w:top w:val="nil"/>
              <w:left w:val="nil"/>
              <w:bottom w:val="single" w:sz="4" w:space="0" w:color="BFBFBF"/>
              <w:right w:val="single" w:sz="4" w:space="0" w:color="BFBFBF"/>
            </w:tcBorders>
            <w:noWrap/>
            <w:vAlign w:val="center"/>
            <w:hideMark/>
          </w:tcPr>
          <w:p w14:paraId="40FA339C"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23.7%</w:t>
            </w:r>
          </w:p>
        </w:tc>
        <w:tc>
          <w:tcPr>
            <w:tcW w:w="1920" w:type="dxa"/>
            <w:tcBorders>
              <w:top w:val="nil"/>
              <w:left w:val="nil"/>
              <w:bottom w:val="single" w:sz="4" w:space="0" w:color="BFBFBF"/>
              <w:right w:val="single" w:sz="4" w:space="0" w:color="BFBFBF"/>
            </w:tcBorders>
            <w:noWrap/>
            <w:vAlign w:val="center"/>
            <w:hideMark/>
          </w:tcPr>
          <w:p w14:paraId="599AAFC0"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12.5%</w:t>
            </w:r>
          </w:p>
        </w:tc>
        <w:tc>
          <w:tcPr>
            <w:tcW w:w="1920" w:type="dxa"/>
            <w:tcBorders>
              <w:top w:val="nil"/>
              <w:left w:val="nil"/>
              <w:bottom w:val="single" w:sz="4" w:space="0" w:color="BFBFBF"/>
              <w:right w:val="single" w:sz="4" w:space="0" w:color="auto"/>
            </w:tcBorders>
            <w:noWrap/>
            <w:vAlign w:val="center"/>
            <w:hideMark/>
          </w:tcPr>
          <w:p w14:paraId="1E554EEA"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33.1%</w:t>
            </w:r>
          </w:p>
        </w:tc>
      </w:tr>
      <w:tr w:rsidR="0016693A" w:rsidRPr="00F35C9B" w14:paraId="34566361" w14:textId="77777777" w:rsidTr="00D91BF1">
        <w:trPr>
          <w:trHeight w:val="402"/>
        </w:trPr>
        <w:tc>
          <w:tcPr>
            <w:tcW w:w="359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12B41B1B" w14:textId="77777777" w:rsidR="0016693A" w:rsidRPr="00F35C9B" w:rsidRDefault="0016693A" w:rsidP="00D91BF1">
            <w:pPr>
              <w:rPr>
                <w:rFonts w:eastAsia="Times New Roman"/>
                <w:color w:val="0D0D0D"/>
                <w:sz w:val="18"/>
                <w:szCs w:val="18"/>
              </w:rPr>
            </w:pPr>
            <w:r w:rsidRPr="00F35C9B">
              <w:rPr>
                <w:rFonts w:eastAsia="Times New Roman"/>
                <w:color w:val="0D0D0D"/>
                <w:sz w:val="18"/>
                <w:szCs w:val="18"/>
              </w:rPr>
              <w:t>Deeply unaffordable dwellings *</w:t>
            </w:r>
          </w:p>
        </w:tc>
        <w:tc>
          <w:tcPr>
            <w:tcW w:w="1920" w:type="dxa"/>
            <w:tcBorders>
              <w:top w:val="nil"/>
              <w:left w:val="nil"/>
              <w:bottom w:val="single" w:sz="4" w:space="0" w:color="BFBFBF"/>
              <w:right w:val="single" w:sz="4" w:space="0" w:color="BFBFBF"/>
            </w:tcBorders>
            <w:shd w:val="clear" w:color="000000" w:fill="F2F2F2"/>
            <w:noWrap/>
            <w:vAlign w:val="center"/>
            <w:hideMark/>
          </w:tcPr>
          <w:p w14:paraId="22809D32"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8.1%</w:t>
            </w:r>
          </w:p>
        </w:tc>
        <w:tc>
          <w:tcPr>
            <w:tcW w:w="1920" w:type="dxa"/>
            <w:tcBorders>
              <w:top w:val="nil"/>
              <w:left w:val="nil"/>
              <w:bottom w:val="single" w:sz="4" w:space="0" w:color="BFBFBF"/>
              <w:right w:val="single" w:sz="4" w:space="0" w:color="BFBFBF"/>
            </w:tcBorders>
            <w:shd w:val="clear" w:color="000000" w:fill="F2F2F2"/>
            <w:noWrap/>
            <w:vAlign w:val="center"/>
            <w:hideMark/>
          </w:tcPr>
          <w:p w14:paraId="3B1B5E75"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4.2%</w:t>
            </w:r>
          </w:p>
        </w:tc>
        <w:tc>
          <w:tcPr>
            <w:tcW w:w="1920" w:type="dxa"/>
            <w:tcBorders>
              <w:top w:val="nil"/>
              <w:left w:val="nil"/>
              <w:bottom w:val="single" w:sz="4" w:space="0" w:color="BFBFBF"/>
              <w:right w:val="single" w:sz="4" w:space="0" w:color="auto"/>
            </w:tcBorders>
            <w:shd w:val="clear" w:color="000000" w:fill="F2F2F2"/>
            <w:noWrap/>
            <w:vAlign w:val="center"/>
            <w:hideMark/>
          </w:tcPr>
          <w:p w14:paraId="2403796F"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11.4%</w:t>
            </w:r>
          </w:p>
        </w:tc>
      </w:tr>
      <w:tr w:rsidR="0016693A" w:rsidRPr="00F35C9B" w14:paraId="45CFE3FE" w14:textId="77777777" w:rsidTr="00D91BF1">
        <w:trPr>
          <w:trHeight w:val="402"/>
        </w:trPr>
        <w:tc>
          <w:tcPr>
            <w:tcW w:w="3595" w:type="dxa"/>
            <w:tcBorders>
              <w:top w:val="single" w:sz="4" w:space="0" w:color="BFBFBF"/>
              <w:left w:val="single" w:sz="4" w:space="0" w:color="auto"/>
              <w:bottom w:val="single" w:sz="4" w:space="0" w:color="BFBFBF"/>
              <w:right w:val="single" w:sz="4" w:space="0" w:color="000000"/>
            </w:tcBorders>
            <w:noWrap/>
            <w:vAlign w:val="center"/>
            <w:hideMark/>
          </w:tcPr>
          <w:p w14:paraId="712F41B9" w14:textId="77777777" w:rsidR="0016693A" w:rsidRPr="00F35C9B" w:rsidRDefault="0016693A" w:rsidP="00D91BF1">
            <w:pPr>
              <w:rPr>
                <w:rFonts w:eastAsia="Times New Roman"/>
                <w:color w:val="0D0D0D"/>
                <w:sz w:val="18"/>
                <w:szCs w:val="18"/>
              </w:rPr>
            </w:pPr>
            <w:r w:rsidRPr="00F35C9B">
              <w:rPr>
                <w:rFonts w:eastAsia="Times New Roman"/>
                <w:color w:val="0D0D0D"/>
                <w:sz w:val="18"/>
                <w:szCs w:val="18"/>
              </w:rPr>
              <w:t>Households in core need</w:t>
            </w:r>
          </w:p>
        </w:tc>
        <w:tc>
          <w:tcPr>
            <w:tcW w:w="1920" w:type="dxa"/>
            <w:tcBorders>
              <w:top w:val="nil"/>
              <w:left w:val="nil"/>
              <w:bottom w:val="single" w:sz="4" w:space="0" w:color="BFBFBF"/>
              <w:right w:val="single" w:sz="4" w:space="0" w:color="BFBFBF"/>
            </w:tcBorders>
            <w:noWrap/>
            <w:vAlign w:val="center"/>
            <w:hideMark/>
          </w:tcPr>
          <w:p w14:paraId="3CF94CF8"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8.9%</w:t>
            </w:r>
          </w:p>
        </w:tc>
        <w:tc>
          <w:tcPr>
            <w:tcW w:w="1920" w:type="dxa"/>
            <w:tcBorders>
              <w:top w:val="nil"/>
              <w:left w:val="nil"/>
              <w:bottom w:val="single" w:sz="4" w:space="0" w:color="BFBFBF"/>
              <w:right w:val="single" w:sz="4" w:space="0" w:color="BFBFBF"/>
            </w:tcBorders>
            <w:noWrap/>
            <w:vAlign w:val="center"/>
            <w:hideMark/>
          </w:tcPr>
          <w:p w14:paraId="430A9C30"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3.2%</w:t>
            </w:r>
          </w:p>
        </w:tc>
        <w:tc>
          <w:tcPr>
            <w:tcW w:w="1920" w:type="dxa"/>
            <w:tcBorders>
              <w:top w:val="nil"/>
              <w:left w:val="nil"/>
              <w:bottom w:val="single" w:sz="4" w:space="0" w:color="BFBFBF"/>
              <w:right w:val="single" w:sz="4" w:space="0" w:color="auto"/>
            </w:tcBorders>
            <w:noWrap/>
            <w:vAlign w:val="center"/>
            <w:hideMark/>
          </w:tcPr>
          <w:p w14:paraId="0916ABF7"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13.9%</w:t>
            </w:r>
          </w:p>
        </w:tc>
      </w:tr>
      <w:tr w:rsidR="0016693A" w:rsidRPr="00F35C9B" w14:paraId="369A46EF" w14:textId="77777777" w:rsidTr="00D91BF1">
        <w:trPr>
          <w:trHeight w:val="402"/>
        </w:trPr>
        <w:tc>
          <w:tcPr>
            <w:tcW w:w="359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536A6921" w14:textId="77777777" w:rsidR="0016693A" w:rsidRPr="00F35C9B" w:rsidRDefault="0016693A" w:rsidP="00D91BF1">
            <w:pPr>
              <w:rPr>
                <w:rFonts w:eastAsia="Times New Roman"/>
                <w:color w:val="0D0D0D"/>
                <w:sz w:val="18"/>
                <w:szCs w:val="18"/>
              </w:rPr>
            </w:pPr>
            <w:r w:rsidRPr="00F35C9B">
              <w:rPr>
                <w:rFonts w:eastAsia="Times New Roman"/>
                <w:color w:val="0D0D0D"/>
                <w:sz w:val="18"/>
                <w:szCs w:val="18"/>
              </w:rPr>
              <w:t>Households in extreme need **</w:t>
            </w:r>
          </w:p>
        </w:tc>
        <w:tc>
          <w:tcPr>
            <w:tcW w:w="1920" w:type="dxa"/>
            <w:tcBorders>
              <w:top w:val="nil"/>
              <w:left w:val="nil"/>
              <w:bottom w:val="single" w:sz="4" w:space="0" w:color="auto"/>
              <w:right w:val="single" w:sz="4" w:space="0" w:color="BFBFBF"/>
            </w:tcBorders>
            <w:shd w:val="clear" w:color="000000" w:fill="F2F2F2"/>
            <w:noWrap/>
            <w:vAlign w:val="center"/>
            <w:hideMark/>
          </w:tcPr>
          <w:p w14:paraId="344FF95F"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4.0%</w:t>
            </w:r>
          </w:p>
        </w:tc>
        <w:tc>
          <w:tcPr>
            <w:tcW w:w="1920" w:type="dxa"/>
            <w:tcBorders>
              <w:top w:val="nil"/>
              <w:left w:val="nil"/>
              <w:bottom w:val="single" w:sz="4" w:space="0" w:color="auto"/>
              <w:right w:val="single" w:sz="4" w:space="0" w:color="BFBFBF"/>
            </w:tcBorders>
            <w:shd w:val="clear" w:color="000000" w:fill="F2F2F2"/>
            <w:noWrap/>
            <w:vAlign w:val="center"/>
            <w:hideMark/>
          </w:tcPr>
          <w:p w14:paraId="7B1E77F1"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1.3%</w:t>
            </w:r>
          </w:p>
        </w:tc>
        <w:tc>
          <w:tcPr>
            <w:tcW w:w="1920" w:type="dxa"/>
            <w:tcBorders>
              <w:top w:val="nil"/>
              <w:left w:val="nil"/>
              <w:bottom w:val="single" w:sz="4" w:space="0" w:color="auto"/>
              <w:right w:val="single" w:sz="4" w:space="0" w:color="auto"/>
            </w:tcBorders>
            <w:shd w:val="clear" w:color="000000" w:fill="F2F2F2"/>
            <w:noWrap/>
            <w:vAlign w:val="center"/>
            <w:hideMark/>
          </w:tcPr>
          <w:p w14:paraId="5AEC4EDC" w14:textId="77777777" w:rsidR="0016693A" w:rsidRPr="00EB7F3E" w:rsidRDefault="0016693A" w:rsidP="00D91BF1">
            <w:pPr>
              <w:jc w:val="right"/>
              <w:rPr>
                <w:rFonts w:eastAsia="Times New Roman"/>
                <w:color w:val="C00000"/>
                <w:sz w:val="18"/>
                <w:szCs w:val="18"/>
              </w:rPr>
            </w:pPr>
            <w:r w:rsidRPr="00EB7F3E">
              <w:rPr>
                <w:rFonts w:eastAsia="Times New Roman"/>
                <w:color w:val="C00000"/>
                <w:sz w:val="18"/>
                <w:szCs w:val="18"/>
              </w:rPr>
              <w:t>6.3%</w:t>
            </w:r>
          </w:p>
        </w:tc>
      </w:tr>
    </w:tbl>
    <w:p w14:paraId="14587571" w14:textId="0A77DC04" w:rsidR="00F35C9B" w:rsidRDefault="000F5004" w:rsidP="0063531D">
      <w:pPr>
        <w:pStyle w:val="Source"/>
      </w:pPr>
      <w:r>
        <w:t>* Deeply unaffordable means a household pays 50% or more on shelter costs</w:t>
      </w:r>
      <w:r w:rsidR="00262740">
        <w:t xml:space="preserve"> instead of the typical 30% affordability threshold</w:t>
      </w:r>
      <w:r w:rsidR="008D1B5C">
        <w:t>.</w:t>
      </w:r>
      <w:r>
        <w:br/>
        <w:t xml:space="preserve">** Extreme need is the definition of core housing need, </w:t>
      </w:r>
      <w:r w:rsidR="00CC3095">
        <w:t>but modified from the 30% to 50% shelter cost threshold</w:t>
      </w:r>
      <w:r w:rsidR="008D1B5C">
        <w:t>.</w:t>
      </w:r>
    </w:p>
    <w:p w14:paraId="6755A0A2" w14:textId="7DC398B4" w:rsidR="00CC3095" w:rsidRDefault="00CC3095" w:rsidP="0063531D">
      <w:pPr>
        <w:pStyle w:val="Source"/>
      </w:pPr>
      <w:r>
        <w:t xml:space="preserve">Source: </w:t>
      </w:r>
      <w:r w:rsidR="004E235D">
        <w:t xml:space="preserve">derived from Statistics Canada Tables </w:t>
      </w:r>
      <w:r w:rsidR="004E235D" w:rsidRPr="004E235D">
        <w:t>98</w:t>
      </w:r>
      <w:r w:rsidR="00E24F2E">
        <w:t>-</w:t>
      </w:r>
      <w:r w:rsidR="004E235D" w:rsidRPr="004E235D">
        <w:t>10</w:t>
      </w:r>
      <w:r w:rsidR="00E24F2E">
        <w:t>-</w:t>
      </w:r>
      <w:r w:rsidR="004E235D" w:rsidRPr="004E235D">
        <w:t>0247</w:t>
      </w:r>
      <w:r w:rsidR="004E235D">
        <w:t xml:space="preserve">, </w:t>
      </w:r>
      <w:r w:rsidR="004E235D" w:rsidRPr="004E235D">
        <w:t>98</w:t>
      </w:r>
      <w:r w:rsidR="00E24F2E">
        <w:t>-</w:t>
      </w:r>
      <w:r w:rsidR="004E235D" w:rsidRPr="004E235D">
        <w:t>10</w:t>
      </w:r>
      <w:r w:rsidR="00E24F2E">
        <w:t>-</w:t>
      </w:r>
      <w:r w:rsidR="004E235D" w:rsidRPr="004E235D">
        <w:t>0624</w:t>
      </w:r>
      <w:r w:rsidR="004E235D">
        <w:t>, and</w:t>
      </w:r>
      <w:r w:rsidR="0063531D">
        <w:t xml:space="preserve"> </w:t>
      </w:r>
      <w:r w:rsidR="0063531D" w:rsidRPr="0063531D">
        <w:t>98</w:t>
      </w:r>
      <w:r w:rsidR="00E24F2E">
        <w:t>-</w:t>
      </w:r>
      <w:r w:rsidR="0063531D" w:rsidRPr="0063531D">
        <w:t>10</w:t>
      </w:r>
      <w:r w:rsidR="00E24F2E">
        <w:t>-</w:t>
      </w:r>
      <w:r w:rsidR="0063531D" w:rsidRPr="0063531D">
        <w:t>0622</w:t>
      </w:r>
    </w:p>
    <w:p w14:paraId="5CB9440A" w14:textId="77777777" w:rsidR="002F2847" w:rsidRDefault="002F2847" w:rsidP="002F2847"/>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7445F5" w:rsidRPr="00500457" w14:paraId="6EF2FBCE" w14:textId="77777777" w:rsidTr="007445F5">
        <w:trPr>
          <w:trHeight w:val="360"/>
          <w:tblHeader/>
        </w:trPr>
        <w:tc>
          <w:tcPr>
            <w:tcW w:w="1345" w:type="dxa"/>
            <w:shd w:val="clear" w:color="auto" w:fill="5F2ADF" w:themeFill="accent4" w:themeFillTint="80"/>
            <w:vAlign w:val="center"/>
          </w:tcPr>
          <w:p w14:paraId="26A54165" w14:textId="07F4695E" w:rsidR="007445F5" w:rsidRPr="003A2EA5" w:rsidRDefault="00CC38DC" w:rsidP="009A4107">
            <w:pPr>
              <w:rPr>
                <w:color w:val="FFFFFF" w:themeColor="background1"/>
                <w:sz w:val="20"/>
                <w:szCs w:val="20"/>
              </w:rPr>
            </w:pPr>
            <w:r>
              <w:rPr>
                <w:color w:val="FFFFFF" w:themeColor="background1"/>
                <w:sz w:val="20"/>
                <w:szCs w:val="20"/>
              </w:rPr>
              <w:lastRenderedPageBreak/>
              <w:t>Question</w:t>
            </w:r>
          </w:p>
        </w:tc>
        <w:tc>
          <w:tcPr>
            <w:tcW w:w="8005" w:type="dxa"/>
            <w:shd w:val="clear" w:color="auto" w:fill="5F2ADF" w:themeFill="accent4" w:themeFillTint="80"/>
            <w:vAlign w:val="center"/>
          </w:tcPr>
          <w:p w14:paraId="2CCA7B90" w14:textId="77777777" w:rsidR="007445F5" w:rsidRPr="003A2EA5" w:rsidRDefault="007445F5"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7445F5" w:rsidRPr="00500457" w14:paraId="0F33BB14" w14:textId="77777777" w:rsidTr="009A4107">
        <w:trPr>
          <w:trHeight w:val="728"/>
        </w:trPr>
        <w:tc>
          <w:tcPr>
            <w:tcW w:w="1345" w:type="dxa"/>
            <w:shd w:val="clear" w:color="auto" w:fill="DED3F8" w:themeFill="accent4" w:themeFillTint="1A"/>
            <w:vAlign w:val="center"/>
          </w:tcPr>
          <w:p w14:paraId="7AB30C63" w14:textId="77777777" w:rsidR="007445F5" w:rsidRPr="00500457" w:rsidRDefault="007445F5" w:rsidP="009A4107">
            <w:pPr>
              <w:rPr>
                <w:sz w:val="20"/>
                <w:szCs w:val="20"/>
              </w:rPr>
            </w:pPr>
            <w:r>
              <w:rPr>
                <w:sz w:val="20"/>
                <w:szCs w:val="20"/>
              </w:rPr>
              <w:t>5.6</w:t>
            </w:r>
          </w:p>
        </w:tc>
        <w:tc>
          <w:tcPr>
            <w:tcW w:w="8005" w:type="dxa"/>
            <w:shd w:val="clear" w:color="auto" w:fill="DED3F8" w:themeFill="accent4" w:themeFillTint="1A"/>
            <w:vAlign w:val="center"/>
          </w:tcPr>
          <w:p w14:paraId="41EF2A3A" w14:textId="77777777" w:rsidR="007445F5" w:rsidRPr="00500457" w:rsidRDefault="007445F5" w:rsidP="009A4107">
            <w:pPr>
              <w:rPr>
                <w:sz w:val="20"/>
                <w:szCs w:val="20"/>
              </w:rPr>
            </w:pPr>
            <w:r w:rsidRPr="00B05605">
              <w:rPr>
                <w:sz w:val="20"/>
                <w:szCs w:val="20"/>
              </w:rPr>
              <w:t>How have trends in core housing need changed over time between both tenant and owner-occupied households?</w:t>
            </w:r>
          </w:p>
        </w:tc>
      </w:tr>
    </w:tbl>
    <w:p w14:paraId="52D08644" w14:textId="77777777" w:rsidR="007445F5" w:rsidRDefault="007445F5" w:rsidP="002F2847"/>
    <w:p w14:paraId="65B0208A" w14:textId="02D9BB73" w:rsidR="002931A1" w:rsidRDefault="002931A1" w:rsidP="002931A1">
      <w:pPr>
        <w:jc w:val="both"/>
      </w:pPr>
      <w:r>
        <w:t>A local core housing need rate above the regional or provincial average</w:t>
      </w:r>
      <w:r w:rsidR="0093315F">
        <w:t xml:space="preserve"> (see </w:t>
      </w:r>
      <w:r w:rsidR="00402E43" w:rsidRPr="003C59F9">
        <w:rPr>
          <w:rStyle w:val="Figure-textChar"/>
        </w:rPr>
        <w:fldChar w:fldCharType="begin"/>
      </w:r>
      <w:r w:rsidR="00402E43" w:rsidRPr="003C59F9">
        <w:rPr>
          <w:rStyle w:val="Figure-textChar"/>
        </w:rPr>
        <w:instrText xml:space="preserve"> REF _Ref223276809 \h </w:instrText>
      </w:r>
      <w:r w:rsidR="00402E43">
        <w:rPr>
          <w:rStyle w:val="Figure-textChar"/>
        </w:rPr>
        <w:instrText xml:space="preserve"> \* MERGEFORMAT </w:instrText>
      </w:r>
      <w:r w:rsidR="00402E43" w:rsidRPr="003C59F9">
        <w:rPr>
          <w:rStyle w:val="Figure-textChar"/>
        </w:rPr>
      </w:r>
      <w:r w:rsidR="00402E43" w:rsidRPr="003C59F9">
        <w:rPr>
          <w:rStyle w:val="Figure-textChar"/>
        </w:rPr>
        <w:fldChar w:fldCharType="separate"/>
      </w:r>
      <w:r w:rsidR="00CA6116" w:rsidRPr="00CA6116">
        <w:rPr>
          <w:rStyle w:val="Figure-textChar"/>
        </w:rPr>
        <w:t>Table 7.3</w:t>
      </w:r>
      <w:r w:rsidR="00402E43" w:rsidRPr="003C59F9">
        <w:rPr>
          <w:rStyle w:val="Figure-textChar"/>
        </w:rPr>
        <w:fldChar w:fldCharType="end"/>
      </w:r>
      <w:r w:rsidR="00402E43">
        <w:t>)</w:t>
      </w:r>
      <w:r>
        <w:t xml:space="preserve"> signals that housing conditions in the community are more stressful than in surrounding areas. The tenure gap, where renter core housing need rates substantially exceed owner rates, is the dominant structural pattern in Canadian housing need</w:t>
      </w:r>
      <w:r w:rsidR="00410D76">
        <w:t>. A</w:t>
      </w:r>
      <w:r>
        <w:t xml:space="preserve"> </w:t>
      </w:r>
      <w:r w:rsidR="001B40DA">
        <w:t>wide</w:t>
      </w:r>
      <w:r>
        <w:t xml:space="preserve"> local gap indicates that the rental market is not meeting the needs of its lower-income residents relative to the provincial norm.</w:t>
      </w:r>
    </w:p>
    <w:p w14:paraId="383881FD" w14:textId="77777777" w:rsidR="002931A1" w:rsidRDefault="002931A1" w:rsidP="002931A1">
      <w:pPr>
        <w:jc w:val="both"/>
      </w:pPr>
    </w:p>
    <w:p w14:paraId="30DD3888" w14:textId="553E15BA" w:rsidR="002931A1" w:rsidRDefault="002931A1" w:rsidP="002931A1">
      <w:pPr>
        <w:jc w:val="both"/>
      </w:pPr>
      <w:r>
        <w:t xml:space="preserve">High rates of affordability-driven need call for supply-side and income-support interventions, while high rates of suitability need may point to a shortage of larger, family-sized units in accessible tenure forms. Adequacy need concentrated among owner households may indicate an aging stock maintained by lower-income seniors whose fixed incomes cannot support necessary </w:t>
      </w:r>
      <w:r w:rsidR="005075F4">
        <w:t xml:space="preserve">repairs or </w:t>
      </w:r>
      <w:r w:rsidR="00922130">
        <w:t>renovations</w:t>
      </w:r>
      <w:r>
        <w:t>.</w:t>
      </w:r>
    </w:p>
    <w:p w14:paraId="752920FB" w14:textId="77777777" w:rsidR="002931A1" w:rsidRDefault="002931A1" w:rsidP="002931A1">
      <w:pPr>
        <w:jc w:val="both"/>
      </w:pPr>
    </w:p>
    <w:p w14:paraId="2CACA29F" w14:textId="2E61AAA3" w:rsidR="005B483F" w:rsidRDefault="002931A1" w:rsidP="002931A1">
      <w:pPr>
        <w:jc w:val="both"/>
      </w:pPr>
      <w:r>
        <w:t>Deeply unaffordable and extreme need categories, where households pay 50% or more of income on shelter, represent the most acute end of the housing need spectrum and carry elevated homelessness risk</w:t>
      </w:r>
      <w:r w:rsidR="008F7562">
        <w:t>. E</w:t>
      </w:r>
      <w:r>
        <w:t xml:space="preserve">levated local rates in these categories signal an urgent </w:t>
      </w:r>
      <w:r w:rsidR="008F7562">
        <w:t>need of</w:t>
      </w:r>
      <w:r>
        <w:t xml:space="preserve"> deeply affordable and subsidized supply.</w:t>
      </w:r>
    </w:p>
    <w:p w14:paraId="5351F89B" w14:textId="77777777" w:rsidR="002931A1" w:rsidRDefault="002931A1" w:rsidP="002931A1"/>
    <w:p w14:paraId="2F0D65B2" w14:textId="77777777" w:rsidR="00A73213" w:rsidRPr="004E5ECD" w:rsidRDefault="00A73213" w:rsidP="00A73213">
      <w:pPr>
        <w:pStyle w:val="Heading2"/>
      </w:pPr>
      <w:bookmarkStart w:id="73" w:name="_Toc223686651"/>
      <w:bookmarkStart w:id="74" w:name="_Toc237355949"/>
      <w:r w:rsidRPr="004E5ECD">
        <w:t>INCOME CATEGORIES</w:t>
      </w:r>
      <w:bookmarkEnd w:id="73"/>
      <w:bookmarkEnd w:id="74"/>
    </w:p>
    <w:p w14:paraId="0353259F" w14:textId="01AFAA94" w:rsidR="00A73213" w:rsidRDefault="001B554F" w:rsidP="003C522A">
      <w:pPr>
        <w:jc w:val="both"/>
      </w:pPr>
      <w:r w:rsidRPr="004E5ECD">
        <w:rPr>
          <w:rStyle w:val="Figure-textChar"/>
        </w:rPr>
        <w:fldChar w:fldCharType="begin"/>
      </w:r>
      <w:r w:rsidRPr="004E5ECD">
        <w:rPr>
          <w:rStyle w:val="Figure-textChar"/>
        </w:rPr>
        <w:instrText xml:space="preserve"> REF _Ref223426327 \h  \* MERGEFORMAT </w:instrText>
      </w:r>
      <w:r w:rsidRPr="004E5ECD">
        <w:rPr>
          <w:rStyle w:val="Figure-textChar"/>
        </w:rPr>
      </w:r>
      <w:r w:rsidRPr="004E5ECD">
        <w:rPr>
          <w:rStyle w:val="Figure-textChar"/>
        </w:rPr>
        <w:fldChar w:fldCharType="separate"/>
      </w:r>
      <w:r w:rsidR="00CA6116" w:rsidRPr="00CA6116">
        <w:rPr>
          <w:rStyle w:val="Figure-textChar"/>
        </w:rPr>
        <w:t>Table 7.2</w:t>
      </w:r>
      <w:r w:rsidRPr="004E5ECD">
        <w:rPr>
          <w:rStyle w:val="Figure-textChar"/>
        </w:rPr>
        <w:fldChar w:fldCharType="end"/>
      </w:r>
      <w:r w:rsidRPr="004E5ECD">
        <w:t xml:space="preserve"> </w:t>
      </w:r>
      <w:r w:rsidR="003C522A" w:rsidRPr="003C522A">
        <w:t>cross-tabulates households in core housing need by income category and household size, providing a granular view of where housing need is concentrated and at what income levels different household sizes are unable to meet their housing needs in the current market.</w:t>
      </w:r>
    </w:p>
    <w:p w14:paraId="086194FA" w14:textId="77777777" w:rsidR="001B554F" w:rsidRDefault="001B554F" w:rsidP="00A73213"/>
    <w:p w14:paraId="0C33A64D" w14:textId="03E8E76C" w:rsidR="003C1152" w:rsidRDefault="003C1152" w:rsidP="003C1152">
      <w:pPr>
        <w:pStyle w:val="Caption"/>
      </w:pPr>
      <w:bookmarkStart w:id="75" w:name="_Ref223426327"/>
      <w:r>
        <w:t xml:space="preserve">Table </w:t>
      </w:r>
      <w:fldSimple w:instr=" STYLEREF 1 \s ">
        <w:r w:rsidR="005E459C">
          <w:rPr>
            <w:noProof/>
          </w:rPr>
          <w:t>7</w:t>
        </w:r>
      </w:fldSimple>
      <w:r w:rsidR="00BD4359">
        <w:t>.</w:t>
      </w:r>
      <w:fldSimple w:instr=" SEQ Table \* ARABIC \s 1 ">
        <w:r w:rsidR="005E459C">
          <w:rPr>
            <w:noProof/>
          </w:rPr>
          <w:t>2</w:t>
        </w:r>
      </w:fldSimple>
      <w:bookmarkEnd w:id="75"/>
      <w:r>
        <w:t>: Households in core housing need by household size and income category, 2021</w:t>
      </w:r>
    </w:p>
    <w:tbl>
      <w:tblPr>
        <w:tblW w:w="9355" w:type="dxa"/>
        <w:tblLayout w:type="fixed"/>
        <w:tblLook w:val="04A0" w:firstRow="1" w:lastRow="0" w:firstColumn="1" w:lastColumn="0" w:noHBand="0" w:noVBand="1"/>
      </w:tblPr>
      <w:tblGrid>
        <w:gridCol w:w="1169"/>
        <w:gridCol w:w="1169"/>
        <w:gridCol w:w="1170"/>
        <w:gridCol w:w="1169"/>
        <w:gridCol w:w="1169"/>
        <w:gridCol w:w="1170"/>
        <w:gridCol w:w="1169"/>
        <w:gridCol w:w="1170"/>
      </w:tblGrid>
      <w:tr w:rsidR="0076371A" w:rsidRPr="0076371A" w14:paraId="6FD3B861" w14:textId="77777777" w:rsidTr="003C59F9">
        <w:trPr>
          <w:trHeight w:val="402"/>
        </w:trPr>
        <w:tc>
          <w:tcPr>
            <w:tcW w:w="1169" w:type="dxa"/>
            <w:tcBorders>
              <w:top w:val="single" w:sz="4" w:space="0" w:color="auto"/>
              <w:left w:val="single" w:sz="4" w:space="0" w:color="auto"/>
              <w:bottom w:val="nil"/>
              <w:right w:val="single" w:sz="4" w:space="0" w:color="BFBFBF"/>
            </w:tcBorders>
            <w:shd w:val="clear" w:color="auto" w:fill="42618C" w:themeFill="accent3"/>
            <w:noWrap/>
            <w:vAlign w:val="center"/>
            <w:hideMark/>
          </w:tcPr>
          <w:p w14:paraId="587D2841" w14:textId="2C3E3AAF" w:rsidR="0076371A" w:rsidRPr="0076371A" w:rsidRDefault="0076371A" w:rsidP="0076371A">
            <w:pPr>
              <w:rPr>
                <w:rFonts w:eastAsia="Times New Roman"/>
                <w:color w:val="FFFFFF"/>
                <w:sz w:val="18"/>
                <w:szCs w:val="18"/>
              </w:rPr>
            </w:pPr>
            <w:r>
              <w:rPr>
                <w:color w:val="FFFFFF"/>
                <w:sz w:val="18"/>
                <w:szCs w:val="18"/>
              </w:rPr>
              <w:t>Income category</w:t>
            </w:r>
          </w:p>
        </w:tc>
        <w:tc>
          <w:tcPr>
            <w:tcW w:w="1169" w:type="dxa"/>
            <w:tcBorders>
              <w:top w:val="single" w:sz="4" w:space="0" w:color="auto"/>
              <w:left w:val="nil"/>
              <w:bottom w:val="nil"/>
              <w:right w:val="single" w:sz="4" w:space="0" w:color="auto"/>
            </w:tcBorders>
            <w:shd w:val="clear" w:color="auto" w:fill="42618C" w:themeFill="accent3"/>
            <w:noWrap/>
            <w:vAlign w:val="center"/>
            <w:hideMark/>
          </w:tcPr>
          <w:p w14:paraId="547E1E07" w14:textId="38470B42" w:rsidR="0076371A" w:rsidRPr="0076371A" w:rsidRDefault="0076371A" w:rsidP="0076371A">
            <w:pPr>
              <w:jc w:val="right"/>
              <w:rPr>
                <w:rFonts w:eastAsia="Times New Roman"/>
                <w:color w:val="FFFFFF"/>
                <w:sz w:val="18"/>
                <w:szCs w:val="18"/>
              </w:rPr>
            </w:pPr>
            <w:r>
              <w:rPr>
                <w:color w:val="FFFFFF"/>
                <w:sz w:val="18"/>
                <w:szCs w:val="18"/>
              </w:rPr>
              <w:t xml:space="preserve">Max affordable </w:t>
            </w:r>
            <w:r w:rsidR="0098398F">
              <w:rPr>
                <w:color w:val="FFFFFF"/>
                <w:sz w:val="18"/>
                <w:szCs w:val="18"/>
              </w:rPr>
              <w:t xml:space="preserve">shelter </w:t>
            </w:r>
            <w:r>
              <w:rPr>
                <w:color w:val="FFFFFF"/>
                <w:sz w:val="18"/>
                <w:szCs w:val="18"/>
              </w:rPr>
              <w:t>cost</w:t>
            </w:r>
          </w:p>
        </w:tc>
        <w:tc>
          <w:tcPr>
            <w:tcW w:w="1170" w:type="dxa"/>
            <w:tcBorders>
              <w:top w:val="single" w:sz="4" w:space="0" w:color="auto"/>
              <w:left w:val="nil"/>
              <w:bottom w:val="nil"/>
              <w:right w:val="single" w:sz="4" w:space="0" w:color="auto"/>
            </w:tcBorders>
            <w:shd w:val="clear" w:color="auto" w:fill="42618C" w:themeFill="accent3"/>
            <w:noWrap/>
            <w:vAlign w:val="center"/>
            <w:hideMark/>
          </w:tcPr>
          <w:p w14:paraId="0552D946" w14:textId="2A9A0D24" w:rsidR="0076371A" w:rsidRPr="0076371A" w:rsidRDefault="0076371A" w:rsidP="0076371A">
            <w:pPr>
              <w:jc w:val="right"/>
              <w:rPr>
                <w:rFonts w:eastAsia="Times New Roman"/>
                <w:color w:val="FFFFFF"/>
                <w:sz w:val="18"/>
                <w:szCs w:val="18"/>
              </w:rPr>
            </w:pPr>
            <w:r>
              <w:rPr>
                <w:color w:val="FFFFFF"/>
                <w:sz w:val="18"/>
                <w:szCs w:val="18"/>
              </w:rPr>
              <w:t>Total</w:t>
            </w:r>
          </w:p>
        </w:tc>
        <w:tc>
          <w:tcPr>
            <w:tcW w:w="1169" w:type="dxa"/>
            <w:tcBorders>
              <w:top w:val="nil"/>
              <w:left w:val="nil"/>
              <w:bottom w:val="nil"/>
              <w:right w:val="single" w:sz="4" w:space="0" w:color="BFBFBF"/>
            </w:tcBorders>
            <w:shd w:val="clear" w:color="auto" w:fill="42618C" w:themeFill="accent3"/>
            <w:noWrap/>
            <w:vAlign w:val="center"/>
            <w:hideMark/>
          </w:tcPr>
          <w:p w14:paraId="56660707" w14:textId="0744278A" w:rsidR="0076371A" w:rsidRPr="0076371A" w:rsidRDefault="0076371A" w:rsidP="0076371A">
            <w:pPr>
              <w:jc w:val="right"/>
              <w:rPr>
                <w:rFonts w:eastAsia="Times New Roman"/>
                <w:color w:val="FFFFFF"/>
                <w:sz w:val="18"/>
                <w:szCs w:val="18"/>
              </w:rPr>
            </w:pPr>
            <w:r>
              <w:rPr>
                <w:color w:val="FFFFFF"/>
                <w:sz w:val="18"/>
                <w:szCs w:val="18"/>
              </w:rPr>
              <w:t>1 person</w:t>
            </w:r>
            <w:r w:rsidR="0098398F">
              <w:rPr>
                <w:color w:val="FFFFFF"/>
                <w:sz w:val="18"/>
                <w:szCs w:val="18"/>
              </w:rPr>
              <w:t xml:space="preserve"> HH</w:t>
            </w:r>
          </w:p>
        </w:tc>
        <w:tc>
          <w:tcPr>
            <w:tcW w:w="1169" w:type="dxa"/>
            <w:tcBorders>
              <w:top w:val="nil"/>
              <w:left w:val="nil"/>
              <w:bottom w:val="nil"/>
              <w:right w:val="single" w:sz="4" w:space="0" w:color="BFBFBF"/>
            </w:tcBorders>
            <w:shd w:val="clear" w:color="auto" w:fill="42618C" w:themeFill="accent3"/>
            <w:noWrap/>
            <w:vAlign w:val="center"/>
            <w:hideMark/>
          </w:tcPr>
          <w:p w14:paraId="23288504" w14:textId="08571597" w:rsidR="0076371A" w:rsidRPr="0076371A" w:rsidRDefault="0076371A" w:rsidP="0076371A">
            <w:pPr>
              <w:jc w:val="right"/>
              <w:rPr>
                <w:rFonts w:eastAsia="Times New Roman"/>
                <w:color w:val="FFFFFF"/>
                <w:sz w:val="18"/>
                <w:szCs w:val="18"/>
              </w:rPr>
            </w:pPr>
            <w:r>
              <w:rPr>
                <w:color w:val="FFFFFF"/>
                <w:sz w:val="18"/>
                <w:szCs w:val="18"/>
              </w:rPr>
              <w:t>2 person</w:t>
            </w:r>
            <w:r w:rsidR="0098398F">
              <w:rPr>
                <w:color w:val="FFFFFF"/>
                <w:sz w:val="18"/>
                <w:szCs w:val="18"/>
              </w:rPr>
              <w:t xml:space="preserve"> HH</w:t>
            </w:r>
          </w:p>
        </w:tc>
        <w:tc>
          <w:tcPr>
            <w:tcW w:w="1170" w:type="dxa"/>
            <w:tcBorders>
              <w:top w:val="nil"/>
              <w:left w:val="nil"/>
              <w:bottom w:val="nil"/>
              <w:right w:val="single" w:sz="4" w:space="0" w:color="BFBFBF"/>
            </w:tcBorders>
            <w:shd w:val="clear" w:color="auto" w:fill="42618C" w:themeFill="accent3"/>
            <w:noWrap/>
            <w:vAlign w:val="center"/>
            <w:hideMark/>
          </w:tcPr>
          <w:p w14:paraId="6483AC63" w14:textId="374D4F4B" w:rsidR="0076371A" w:rsidRPr="0076371A" w:rsidRDefault="0098398F" w:rsidP="0076371A">
            <w:pPr>
              <w:jc w:val="right"/>
              <w:rPr>
                <w:rFonts w:eastAsia="Times New Roman"/>
                <w:color w:val="FFFFFF"/>
                <w:sz w:val="18"/>
                <w:szCs w:val="18"/>
              </w:rPr>
            </w:pPr>
            <w:r>
              <w:rPr>
                <w:color w:val="FFFFFF"/>
                <w:sz w:val="18"/>
                <w:szCs w:val="18"/>
              </w:rPr>
              <w:t>3</w:t>
            </w:r>
            <w:r w:rsidR="0076371A">
              <w:rPr>
                <w:color w:val="FFFFFF"/>
                <w:sz w:val="18"/>
                <w:szCs w:val="18"/>
              </w:rPr>
              <w:t xml:space="preserve"> person</w:t>
            </w:r>
            <w:r>
              <w:rPr>
                <w:color w:val="FFFFFF"/>
                <w:sz w:val="18"/>
                <w:szCs w:val="18"/>
              </w:rPr>
              <w:t xml:space="preserve"> HH</w:t>
            </w:r>
          </w:p>
        </w:tc>
        <w:tc>
          <w:tcPr>
            <w:tcW w:w="1169" w:type="dxa"/>
            <w:tcBorders>
              <w:top w:val="nil"/>
              <w:left w:val="nil"/>
              <w:bottom w:val="nil"/>
              <w:right w:val="single" w:sz="4" w:space="0" w:color="BFBFBF"/>
            </w:tcBorders>
            <w:shd w:val="clear" w:color="auto" w:fill="42618C" w:themeFill="accent3"/>
            <w:noWrap/>
            <w:vAlign w:val="center"/>
            <w:hideMark/>
          </w:tcPr>
          <w:p w14:paraId="2A794C2D" w14:textId="74F30EAA" w:rsidR="0076371A" w:rsidRPr="0076371A" w:rsidRDefault="0076371A" w:rsidP="0076371A">
            <w:pPr>
              <w:jc w:val="right"/>
              <w:rPr>
                <w:rFonts w:eastAsia="Times New Roman"/>
                <w:color w:val="FFFFFF"/>
                <w:sz w:val="18"/>
                <w:szCs w:val="18"/>
              </w:rPr>
            </w:pPr>
            <w:r>
              <w:rPr>
                <w:color w:val="FFFFFF"/>
                <w:sz w:val="18"/>
                <w:szCs w:val="18"/>
              </w:rPr>
              <w:t>4 person</w:t>
            </w:r>
            <w:r w:rsidR="0098398F">
              <w:rPr>
                <w:color w:val="FFFFFF"/>
                <w:sz w:val="18"/>
                <w:szCs w:val="18"/>
              </w:rPr>
              <w:t xml:space="preserve"> HH</w:t>
            </w:r>
          </w:p>
        </w:tc>
        <w:tc>
          <w:tcPr>
            <w:tcW w:w="1170" w:type="dxa"/>
            <w:tcBorders>
              <w:top w:val="nil"/>
              <w:left w:val="nil"/>
              <w:bottom w:val="nil"/>
              <w:right w:val="nil"/>
            </w:tcBorders>
            <w:shd w:val="clear" w:color="auto" w:fill="42618C" w:themeFill="accent3"/>
            <w:noWrap/>
            <w:vAlign w:val="center"/>
            <w:hideMark/>
          </w:tcPr>
          <w:p w14:paraId="0A6C17A5" w14:textId="61230695" w:rsidR="0076371A" w:rsidRPr="0076371A" w:rsidRDefault="0076371A" w:rsidP="0076371A">
            <w:pPr>
              <w:jc w:val="right"/>
              <w:rPr>
                <w:rFonts w:eastAsia="Times New Roman"/>
                <w:color w:val="FFFFFF"/>
                <w:sz w:val="18"/>
                <w:szCs w:val="18"/>
              </w:rPr>
            </w:pPr>
            <w:r>
              <w:rPr>
                <w:color w:val="FFFFFF"/>
                <w:sz w:val="18"/>
                <w:szCs w:val="18"/>
              </w:rPr>
              <w:t>5+ person</w:t>
            </w:r>
            <w:r w:rsidR="0098398F">
              <w:rPr>
                <w:color w:val="FFFFFF"/>
                <w:sz w:val="18"/>
                <w:szCs w:val="18"/>
              </w:rPr>
              <w:t xml:space="preserve"> HH</w:t>
            </w:r>
          </w:p>
        </w:tc>
      </w:tr>
      <w:tr w:rsidR="0076371A" w:rsidRPr="0076371A" w14:paraId="6510285D" w14:textId="77777777" w:rsidTr="003C59F9">
        <w:trPr>
          <w:trHeight w:val="402"/>
        </w:trPr>
        <w:tc>
          <w:tcPr>
            <w:tcW w:w="1169" w:type="dxa"/>
            <w:tcBorders>
              <w:top w:val="single" w:sz="4" w:space="0" w:color="auto"/>
              <w:left w:val="single" w:sz="4" w:space="0" w:color="auto"/>
              <w:bottom w:val="single" w:sz="4" w:space="0" w:color="auto"/>
              <w:right w:val="nil"/>
            </w:tcBorders>
            <w:shd w:val="clear" w:color="000000" w:fill="F2F2F2"/>
            <w:noWrap/>
            <w:vAlign w:val="center"/>
            <w:hideMark/>
          </w:tcPr>
          <w:p w14:paraId="28555E38" w14:textId="4C3E4C1D" w:rsidR="0076371A" w:rsidRPr="0076371A" w:rsidRDefault="0076371A" w:rsidP="0076371A">
            <w:pPr>
              <w:rPr>
                <w:rFonts w:eastAsia="Times New Roman"/>
                <w:color w:val="000000"/>
                <w:sz w:val="18"/>
                <w:szCs w:val="18"/>
              </w:rPr>
            </w:pPr>
            <w:r>
              <w:rPr>
                <w:color w:val="000000"/>
                <w:sz w:val="18"/>
                <w:szCs w:val="18"/>
              </w:rPr>
              <w:t>Total</w:t>
            </w:r>
          </w:p>
        </w:tc>
        <w:tc>
          <w:tcPr>
            <w:tcW w:w="1169" w:type="dxa"/>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6E0C6348" w14:textId="0FD70781" w:rsidR="0076371A" w:rsidRPr="0076371A" w:rsidRDefault="0076371A" w:rsidP="0076371A">
            <w:pPr>
              <w:jc w:val="right"/>
              <w:rPr>
                <w:rFonts w:eastAsia="Times New Roman"/>
                <w:color w:val="000000"/>
                <w:sz w:val="18"/>
                <w:szCs w:val="18"/>
              </w:rPr>
            </w:pPr>
            <w:r>
              <w:rPr>
                <w:color w:val="000000"/>
                <w:sz w:val="18"/>
                <w:szCs w:val="18"/>
              </w:rPr>
              <w:t> </w:t>
            </w:r>
          </w:p>
        </w:tc>
        <w:tc>
          <w:tcPr>
            <w:tcW w:w="1170" w:type="dxa"/>
            <w:tcBorders>
              <w:top w:val="single" w:sz="4" w:space="0" w:color="auto"/>
              <w:left w:val="nil"/>
              <w:bottom w:val="single" w:sz="4" w:space="0" w:color="auto"/>
              <w:right w:val="single" w:sz="4" w:space="0" w:color="auto"/>
            </w:tcBorders>
            <w:shd w:val="clear" w:color="000000" w:fill="F2F2F2"/>
            <w:noWrap/>
            <w:vAlign w:val="center"/>
            <w:hideMark/>
          </w:tcPr>
          <w:p w14:paraId="6C49B24C" w14:textId="1F372A6D" w:rsidR="0076371A" w:rsidRPr="00862CD8" w:rsidRDefault="0076371A" w:rsidP="0076371A">
            <w:pPr>
              <w:jc w:val="right"/>
              <w:rPr>
                <w:rFonts w:eastAsia="Times New Roman"/>
                <w:color w:val="C00000"/>
                <w:sz w:val="18"/>
                <w:szCs w:val="18"/>
              </w:rPr>
            </w:pPr>
            <w:r w:rsidRPr="00862CD8">
              <w:rPr>
                <w:color w:val="C00000"/>
                <w:sz w:val="18"/>
                <w:szCs w:val="18"/>
              </w:rPr>
              <w:t>1,500</w:t>
            </w:r>
          </w:p>
        </w:tc>
        <w:tc>
          <w:tcPr>
            <w:tcW w:w="1169" w:type="dxa"/>
            <w:tcBorders>
              <w:top w:val="single" w:sz="4" w:space="0" w:color="auto"/>
              <w:left w:val="nil"/>
              <w:bottom w:val="single" w:sz="4" w:space="0" w:color="auto"/>
              <w:right w:val="single" w:sz="4" w:space="0" w:color="BFBFBF"/>
            </w:tcBorders>
            <w:shd w:val="clear" w:color="000000" w:fill="F2F2F2"/>
            <w:noWrap/>
            <w:vAlign w:val="center"/>
            <w:hideMark/>
          </w:tcPr>
          <w:p w14:paraId="6249F23C" w14:textId="5A9C5786" w:rsidR="0076371A" w:rsidRPr="00862CD8" w:rsidRDefault="0076371A" w:rsidP="0076371A">
            <w:pPr>
              <w:jc w:val="right"/>
              <w:rPr>
                <w:rFonts w:eastAsia="Times New Roman"/>
                <w:color w:val="C00000"/>
                <w:sz w:val="18"/>
                <w:szCs w:val="18"/>
              </w:rPr>
            </w:pPr>
            <w:r w:rsidRPr="00862CD8">
              <w:rPr>
                <w:color w:val="C00000"/>
                <w:sz w:val="18"/>
                <w:szCs w:val="18"/>
              </w:rPr>
              <w:t>995</w:t>
            </w:r>
          </w:p>
        </w:tc>
        <w:tc>
          <w:tcPr>
            <w:tcW w:w="1169" w:type="dxa"/>
            <w:tcBorders>
              <w:top w:val="single" w:sz="4" w:space="0" w:color="auto"/>
              <w:left w:val="nil"/>
              <w:bottom w:val="single" w:sz="4" w:space="0" w:color="auto"/>
              <w:right w:val="single" w:sz="4" w:space="0" w:color="BFBFBF"/>
            </w:tcBorders>
            <w:shd w:val="clear" w:color="000000" w:fill="F2F2F2"/>
            <w:noWrap/>
            <w:vAlign w:val="center"/>
            <w:hideMark/>
          </w:tcPr>
          <w:p w14:paraId="49DEE5E7" w14:textId="55CAC971" w:rsidR="0076371A" w:rsidRPr="00862CD8" w:rsidRDefault="0076371A" w:rsidP="0076371A">
            <w:pPr>
              <w:jc w:val="right"/>
              <w:rPr>
                <w:rFonts w:eastAsia="Times New Roman"/>
                <w:color w:val="C00000"/>
                <w:sz w:val="18"/>
                <w:szCs w:val="18"/>
              </w:rPr>
            </w:pPr>
            <w:r w:rsidRPr="00862CD8">
              <w:rPr>
                <w:color w:val="C00000"/>
                <w:sz w:val="18"/>
                <w:szCs w:val="18"/>
              </w:rPr>
              <w:t>250</w:t>
            </w:r>
          </w:p>
        </w:tc>
        <w:tc>
          <w:tcPr>
            <w:tcW w:w="1170" w:type="dxa"/>
            <w:tcBorders>
              <w:top w:val="single" w:sz="4" w:space="0" w:color="auto"/>
              <w:left w:val="nil"/>
              <w:bottom w:val="single" w:sz="4" w:space="0" w:color="auto"/>
              <w:right w:val="single" w:sz="4" w:space="0" w:color="BFBFBF"/>
            </w:tcBorders>
            <w:shd w:val="clear" w:color="000000" w:fill="F2F2F2"/>
            <w:noWrap/>
            <w:vAlign w:val="center"/>
            <w:hideMark/>
          </w:tcPr>
          <w:p w14:paraId="07269D4C" w14:textId="6AEB8E62" w:rsidR="0076371A" w:rsidRPr="00862CD8" w:rsidRDefault="0076371A" w:rsidP="0076371A">
            <w:pPr>
              <w:jc w:val="right"/>
              <w:rPr>
                <w:rFonts w:eastAsia="Times New Roman"/>
                <w:color w:val="C00000"/>
                <w:sz w:val="18"/>
                <w:szCs w:val="18"/>
              </w:rPr>
            </w:pPr>
            <w:r w:rsidRPr="00862CD8">
              <w:rPr>
                <w:color w:val="C00000"/>
                <w:sz w:val="18"/>
                <w:szCs w:val="18"/>
              </w:rPr>
              <w:t>135</w:t>
            </w:r>
          </w:p>
        </w:tc>
        <w:tc>
          <w:tcPr>
            <w:tcW w:w="1169" w:type="dxa"/>
            <w:tcBorders>
              <w:top w:val="single" w:sz="4" w:space="0" w:color="auto"/>
              <w:left w:val="nil"/>
              <w:bottom w:val="single" w:sz="4" w:space="0" w:color="auto"/>
              <w:right w:val="single" w:sz="4" w:space="0" w:color="BFBFBF"/>
            </w:tcBorders>
            <w:shd w:val="clear" w:color="000000" w:fill="F2F2F2"/>
            <w:noWrap/>
            <w:vAlign w:val="center"/>
            <w:hideMark/>
          </w:tcPr>
          <w:p w14:paraId="6F6D1FEF" w14:textId="5D729C34" w:rsidR="0076371A" w:rsidRPr="00862CD8" w:rsidRDefault="0076371A" w:rsidP="0076371A">
            <w:pPr>
              <w:jc w:val="right"/>
              <w:rPr>
                <w:rFonts w:eastAsia="Times New Roman"/>
                <w:color w:val="C00000"/>
                <w:sz w:val="18"/>
                <w:szCs w:val="18"/>
              </w:rPr>
            </w:pPr>
            <w:r w:rsidRPr="00862CD8">
              <w:rPr>
                <w:color w:val="C00000"/>
                <w:sz w:val="18"/>
                <w:szCs w:val="18"/>
              </w:rPr>
              <w:t>40</w:t>
            </w:r>
          </w:p>
        </w:tc>
        <w:tc>
          <w:tcPr>
            <w:tcW w:w="1170" w:type="dxa"/>
            <w:tcBorders>
              <w:top w:val="single" w:sz="4" w:space="0" w:color="auto"/>
              <w:left w:val="nil"/>
              <w:bottom w:val="single" w:sz="4" w:space="0" w:color="auto"/>
              <w:right w:val="single" w:sz="4" w:space="0" w:color="auto"/>
            </w:tcBorders>
            <w:shd w:val="clear" w:color="000000" w:fill="F2F2F2"/>
            <w:noWrap/>
            <w:vAlign w:val="center"/>
            <w:hideMark/>
          </w:tcPr>
          <w:p w14:paraId="486EFDEC" w14:textId="658460EF" w:rsidR="0076371A" w:rsidRPr="00862CD8" w:rsidRDefault="0076371A" w:rsidP="0076371A">
            <w:pPr>
              <w:jc w:val="right"/>
              <w:rPr>
                <w:rFonts w:eastAsia="Times New Roman"/>
                <w:color w:val="C00000"/>
                <w:sz w:val="18"/>
                <w:szCs w:val="18"/>
              </w:rPr>
            </w:pPr>
            <w:r w:rsidRPr="00862CD8">
              <w:rPr>
                <w:color w:val="C00000"/>
                <w:sz w:val="18"/>
                <w:szCs w:val="18"/>
              </w:rPr>
              <w:t>45</w:t>
            </w:r>
          </w:p>
        </w:tc>
      </w:tr>
      <w:tr w:rsidR="0076371A" w:rsidRPr="0076371A" w14:paraId="451EBD78" w14:textId="77777777" w:rsidTr="0076371A">
        <w:trPr>
          <w:trHeight w:val="402"/>
        </w:trPr>
        <w:tc>
          <w:tcPr>
            <w:tcW w:w="1169" w:type="dxa"/>
            <w:tcBorders>
              <w:top w:val="nil"/>
              <w:left w:val="single" w:sz="4" w:space="0" w:color="auto"/>
              <w:bottom w:val="single" w:sz="4" w:space="0" w:color="BFBFBF"/>
              <w:right w:val="single" w:sz="4" w:space="0" w:color="BFBFBF"/>
            </w:tcBorders>
            <w:noWrap/>
            <w:vAlign w:val="center"/>
            <w:hideMark/>
          </w:tcPr>
          <w:p w14:paraId="37E96BA0" w14:textId="49DE93E1" w:rsidR="0076371A" w:rsidRPr="0076371A" w:rsidRDefault="0076371A" w:rsidP="0076371A">
            <w:pPr>
              <w:rPr>
                <w:rFonts w:eastAsia="Times New Roman"/>
                <w:color w:val="000000"/>
                <w:sz w:val="18"/>
                <w:szCs w:val="18"/>
              </w:rPr>
            </w:pPr>
            <w:r>
              <w:rPr>
                <w:color w:val="000000"/>
                <w:sz w:val="18"/>
                <w:szCs w:val="18"/>
              </w:rPr>
              <w:t>Very low</w:t>
            </w:r>
          </w:p>
        </w:tc>
        <w:tc>
          <w:tcPr>
            <w:tcW w:w="1169" w:type="dxa"/>
            <w:tcBorders>
              <w:top w:val="nil"/>
              <w:left w:val="nil"/>
              <w:bottom w:val="single" w:sz="4" w:space="0" w:color="BFBFBF"/>
              <w:right w:val="single" w:sz="4" w:space="0" w:color="auto"/>
            </w:tcBorders>
            <w:noWrap/>
            <w:vAlign w:val="center"/>
            <w:hideMark/>
          </w:tcPr>
          <w:p w14:paraId="10D2ABED" w14:textId="64ED2B26" w:rsidR="0076371A" w:rsidRPr="00862CD8" w:rsidRDefault="0076371A" w:rsidP="0076371A">
            <w:pPr>
              <w:jc w:val="right"/>
              <w:rPr>
                <w:rFonts w:eastAsia="Times New Roman"/>
                <w:color w:val="C00000"/>
                <w:sz w:val="18"/>
                <w:szCs w:val="18"/>
              </w:rPr>
            </w:pPr>
            <w:r w:rsidRPr="00862CD8">
              <w:rPr>
                <w:color w:val="C00000"/>
                <w:sz w:val="18"/>
                <w:szCs w:val="18"/>
              </w:rPr>
              <w:t>$333</w:t>
            </w:r>
          </w:p>
        </w:tc>
        <w:tc>
          <w:tcPr>
            <w:tcW w:w="1170" w:type="dxa"/>
            <w:tcBorders>
              <w:top w:val="nil"/>
              <w:left w:val="nil"/>
              <w:bottom w:val="single" w:sz="4" w:space="0" w:color="BFBFBF"/>
              <w:right w:val="single" w:sz="4" w:space="0" w:color="auto"/>
            </w:tcBorders>
            <w:noWrap/>
            <w:vAlign w:val="center"/>
            <w:hideMark/>
          </w:tcPr>
          <w:p w14:paraId="7D1A4B8E" w14:textId="21FD59A0" w:rsidR="0076371A" w:rsidRPr="00862CD8" w:rsidRDefault="0076371A" w:rsidP="0076371A">
            <w:pPr>
              <w:jc w:val="right"/>
              <w:rPr>
                <w:rFonts w:eastAsia="Times New Roman"/>
                <w:color w:val="C00000"/>
                <w:sz w:val="18"/>
                <w:szCs w:val="18"/>
              </w:rPr>
            </w:pPr>
            <w:r w:rsidRPr="00862CD8">
              <w:rPr>
                <w:color w:val="C00000"/>
                <w:sz w:val="18"/>
                <w:szCs w:val="18"/>
              </w:rPr>
              <w:t>170</w:t>
            </w:r>
          </w:p>
        </w:tc>
        <w:tc>
          <w:tcPr>
            <w:tcW w:w="1169" w:type="dxa"/>
            <w:tcBorders>
              <w:top w:val="nil"/>
              <w:left w:val="nil"/>
              <w:bottom w:val="single" w:sz="4" w:space="0" w:color="BFBFBF"/>
              <w:right w:val="single" w:sz="4" w:space="0" w:color="BFBFBF"/>
            </w:tcBorders>
            <w:noWrap/>
            <w:vAlign w:val="center"/>
            <w:hideMark/>
          </w:tcPr>
          <w:p w14:paraId="74D18A15" w14:textId="0F64EA57" w:rsidR="0076371A" w:rsidRPr="00862CD8" w:rsidRDefault="0076371A" w:rsidP="0076371A">
            <w:pPr>
              <w:jc w:val="right"/>
              <w:rPr>
                <w:rFonts w:eastAsia="Times New Roman"/>
                <w:color w:val="C00000"/>
                <w:sz w:val="18"/>
                <w:szCs w:val="18"/>
              </w:rPr>
            </w:pPr>
            <w:r w:rsidRPr="00862CD8">
              <w:rPr>
                <w:color w:val="C00000"/>
                <w:sz w:val="18"/>
                <w:szCs w:val="18"/>
              </w:rPr>
              <w:t>145</w:t>
            </w:r>
          </w:p>
        </w:tc>
        <w:tc>
          <w:tcPr>
            <w:tcW w:w="1169" w:type="dxa"/>
            <w:tcBorders>
              <w:top w:val="nil"/>
              <w:left w:val="nil"/>
              <w:bottom w:val="single" w:sz="4" w:space="0" w:color="BFBFBF"/>
              <w:right w:val="single" w:sz="4" w:space="0" w:color="BFBFBF"/>
            </w:tcBorders>
            <w:noWrap/>
            <w:vAlign w:val="center"/>
            <w:hideMark/>
          </w:tcPr>
          <w:p w14:paraId="25AB3F71" w14:textId="70E8AC25" w:rsidR="0076371A" w:rsidRPr="00862CD8" w:rsidRDefault="0076371A" w:rsidP="0076371A">
            <w:pPr>
              <w:jc w:val="right"/>
              <w:rPr>
                <w:rFonts w:eastAsia="Times New Roman"/>
                <w:color w:val="C00000"/>
                <w:sz w:val="18"/>
                <w:szCs w:val="18"/>
              </w:rPr>
            </w:pPr>
            <w:r w:rsidRPr="00862CD8">
              <w:rPr>
                <w:color w:val="C00000"/>
                <w:sz w:val="18"/>
                <w:szCs w:val="18"/>
              </w:rPr>
              <w:t>15</w:t>
            </w:r>
          </w:p>
        </w:tc>
        <w:tc>
          <w:tcPr>
            <w:tcW w:w="1170" w:type="dxa"/>
            <w:tcBorders>
              <w:top w:val="nil"/>
              <w:left w:val="nil"/>
              <w:bottom w:val="single" w:sz="4" w:space="0" w:color="BFBFBF"/>
              <w:right w:val="single" w:sz="4" w:space="0" w:color="BFBFBF"/>
            </w:tcBorders>
            <w:noWrap/>
            <w:vAlign w:val="center"/>
            <w:hideMark/>
          </w:tcPr>
          <w:p w14:paraId="35AD969C" w14:textId="721B231A"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BFBFBF"/>
              <w:right w:val="single" w:sz="4" w:space="0" w:color="BFBFBF"/>
            </w:tcBorders>
            <w:noWrap/>
            <w:vAlign w:val="center"/>
            <w:hideMark/>
          </w:tcPr>
          <w:p w14:paraId="5F77C03A" w14:textId="2C72A066"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70" w:type="dxa"/>
            <w:tcBorders>
              <w:top w:val="nil"/>
              <w:left w:val="nil"/>
              <w:bottom w:val="single" w:sz="4" w:space="0" w:color="BFBFBF"/>
              <w:right w:val="single" w:sz="4" w:space="0" w:color="auto"/>
            </w:tcBorders>
            <w:noWrap/>
            <w:vAlign w:val="center"/>
            <w:hideMark/>
          </w:tcPr>
          <w:p w14:paraId="10165DF2" w14:textId="0687C8E5" w:rsidR="0076371A" w:rsidRPr="00862CD8" w:rsidRDefault="0076371A" w:rsidP="0076371A">
            <w:pPr>
              <w:jc w:val="right"/>
              <w:rPr>
                <w:rFonts w:eastAsia="Times New Roman"/>
                <w:color w:val="C00000"/>
                <w:sz w:val="18"/>
                <w:szCs w:val="18"/>
              </w:rPr>
            </w:pPr>
            <w:r w:rsidRPr="00862CD8">
              <w:rPr>
                <w:color w:val="C00000"/>
                <w:sz w:val="18"/>
                <w:szCs w:val="18"/>
              </w:rPr>
              <w:t>0</w:t>
            </w:r>
          </w:p>
        </w:tc>
      </w:tr>
      <w:tr w:rsidR="0076371A" w:rsidRPr="0076371A" w14:paraId="09EF0DCB" w14:textId="77777777" w:rsidTr="0076371A">
        <w:trPr>
          <w:trHeight w:val="402"/>
        </w:trPr>
        <w:tc>
          <w:tcPr>
            <w:tcW w:w="1169" w:type="dxa"/>
            <w:tcBorders>
              <w:top w:val="nil"/>
              <w:left w:val="single" w:sz="4" w:space="0" w:color="auto"/>
              <w:bottom w:val="single" w:sz="4" w:space="0" w:color="BFBFBF"/>
              <w:right w:val="single" w:sz="4" w:space="0" w:color="BFBFBF"/>
            </w:tcBorders>
            <w:shd w:val="clear" w:color="000000" w:fill="F2F2F2"/>
            <w:noWrap/>
            <w:vAlign w:val="center"/>
            <w:hideMark/>
          </w:tcPr>
          <w:p w14:paraId="4757730B" w14:textId="0CF74F38" w:rsidR="0076371A" w:rsidRPr="0076371A" w:rsidRDefault="0076371A" w:rsidP="0076371A">
            <w:pPr>
              <w:rPr>
                <w:rFonts w:eastAsia="Times New Roman"/>
                <w:color w:val="000000"/>
                <w:sz w:val="18"/>
                <w:szCs w:val="18"/>
              </w:rPr>
            </w:pPr>
            <w:r>
              <w:rPr>
                <w:color w:val="000000"/>
                <w:sz w:val="18"/>
                <w:szCs w:val="18"/>
              </w:rPr>
              <w:t>Low</w:t>
            </w:r>
          </w:p>
        </w:tc>
        <w:tc>
          <w:tcPr>
            <w:tcW w:w="1169" w:type="dxa"/>
            <w:tcBorders>
              <w:top w:val="nil"/>
              <w:left w:val="nil"/>
              <w:bottom w:val="single" w:sz="4" w:space="0" w:color="BFBFBF"/>
              <w:right w:val="single" w:sz="4" w:space="0" w:color="auto"/>
            </w:tcBorders>
            <w:shd w:val="clear" w:color="000000" w:fill="F2F2F2"/>
            <w:noWrap/>
            <w:vAlign w:val="center"/>
            <w:hideMark/>
          </w:tcPr>
          <w:p w14:paraId="00E54DA8" w14:textId="48B9C0B6" w:rsidR="0076371A" w:rsidRPr="00862CD8" w:rsidRDefault="0076371A" w:rsidP="0076371A">
            <w:pPr>
              <w:jc w:val="right"/>
              <w:rPr>
                <w:rFonts w:eastAsia="Times New Roman"/>
                <w:color w:val="C00000"/>
                <w:sz w:val="18"/>
                <w:szCs w:val="18"/>
              </w:rPr>
            </w:pPr>
            <w:r w:rsidRPr="00862CD8">
              <w:rPr>
                <w:color w:val="C00000"/>
                <w:sz w:val="18"/>
                <w:szCs w:val="18"/>
              </w:rPr>
              <w:t>$833</w:t>
            </w:r>
          </w:p>
        </w:tc>
        <w:tc>
          <w:tcPr>
            <w:tcW w:w="1170" w:type="dxa"/>
            <w:tcBorders>
              <w:top w:val="nil"/>
              <w:left w:val="nil"/>
              <w:bottom w:val="single" w:sz="4" w:space="0" w:color="BFBFBF"/>
              <w:right w:val="single" w:sz="4" w:space="0" w:color="auto"/>
            </w:tcBorders>
            <w:shd w:val="clear" w:color="000000" w:fill="F2F2F2"/>
            <w:noWrap/>
            <w:vAlign w:val="center"/>
            <w:hideMark/>
          </w:tcPr>
          <w:p w14:paraId="77E0E5A4" w14:textId="67E88357" w:rsidR="0076371A" w:rsidRPr="00862CD8" w:rsidRDefault="0076371A" w:rsidP="0076371A">
            <w:pPr>
              <w:jc w:val="right"/>
              <w:rPr>
                <w:rFonts w:eastAsia="Times New Roman"/>
                <w:color w:val="C00000"/>
                <w:sz w:val="18"/>
                <w:szCs w:val="18"/>
              </w:rPr>
            </w:pPr>
            <w:r w:rsidRPr="00862CD8">
              <w:rPr>
                <w:color w:val="C00000"/>
                <w:sz w:val="18"/>
                <w:szCs w:val="18"/>
              </w:rPr>
              <w:t>1,155</w:t>
            </w:r>
          </w:p>
        </w:tc>
        <w:tc>
          <w:tcPr>
            <w:tcW w:w="1169" w:type="dxa"/>
            <w:tcBorders>
              <w:top w:val="nil"/>
              <w:left w:val="nil"/>
              <w:bottom w:val="single" w:sz="4" w:space="0" w:color="BFBFBF"/>
              <w:right w:val="single" w:sz="4" w:space="0" w:color="BFBFBF"/>
            </w:tcBorders>
            <w:shd w:val="clear" w:color="000000" w:fill="F2F2F2"/>
            <w:noWrap/>
            <w:vAlign w:val="center"/>
            <w:hideMark/>
          </w:tcPr>
          <w:p w14:paraId="09D6CCF4" w14:textId="4A34AE47" w:rsidR="0076371A" w:rsidRPr="00862CD8" w:rsidRDefault="0076371A" w:rsidP="0076371A">
            <w:pPr>
              <w:jc w:val="right"/>
              <w:rPr>
                <w:rFonts w:eastAsia="Times New Roman"/>
                <w:color w:val="C00000"/>
                <w:sz w:val="18"/>
                <w:szCs w:val="18"/>
              </w:rPr>
            </w:pPr>
            <w:r w:rsidRPr="00862CD8">
              <w:rPr>
                <w:color w:val="C00000"/>
                <w:sz w:val="18"/>
                <w:szCs w:val="18"/>
              </w:rPr>
              <w:t>850</w:t>
            </w:r>
          </w:p>
        </w:tc>
        <w:tc>
          <w:tcPr>
            <w:tcW w:w="1169" w:type="dxa"/>
            <w:tcBorders>
              <w:top w:val="nil"/>
              <w:left w:val="nil"/>
              <w:bottom w:val="single" w:sz="4" w:space="0" w:color="BFBFBF"/>
              <w:right w:val="single" w:sz="4" w:space="0" w:color="BFBFBF"/>
            </w:tcBorders>
            <w:shd w:val="clear" w:color="000000" w:fill="F2F2F2"/>
            <w:noWrap/>
            <w:vAlign w:val="center"/>
            <w:hideMark/>
          </w:tcPr>
          <w:p w14:paraId="10815BC6" w14:textId="6B8962F1" w:rsidR="0076371A" w:rsidRPr="00862CD8" w:rsidRDefault="0076371A" w:rsidP="0076371A">
            <w:pPr>
              <w:jc w:val="right"/>
              <w:rPr>
                <w:rFonts w:eastAsia="Times New Roman"/>
                <w:color w:val="C00000"/>
                <w:sz w:val="18"/>
                <w:szCs w:val="18"/>
              </w:rPr>
            </w:pPr>
            <w:r w:rsidRPr="00862CD8">
              <w:rPr>
                <w:color w:val="C00000"/>
                <w:sz w:val="18"/>
                <w:szCs w:val="18"/>
              </w:rPr>
              <w:t>210</w:t>
            </w:r>
          </w:p>
        </w:tc>
        <w:tc>
          <w:tcPr>
            <w:tcW w:w="1170" w:type="dxa"/>
            <w:tcBorders>
              <w:top w:val="nil"/>
              <w:left w:val="nil"/>
              <w:bottom w:val="single" w:sz="4" w:space="0" w:color="BFBFBF"/>
              <w:right w:val="single" w:sz="4" w:space="0" w:color="BFBFBF"/>
            </w:tcBorders>
            <w:shd w:val="clear" w:color="000000" w:fill="F2F2F2"/>
            <w:noWrap/>
            <w:vAlign w:val="center"/>
            <w:hideMark/>
          </w:tcPr>
          <w:p w14:paraId="4DAA7812" w14:textId="3C348ABA" w:rsidR="0076371A" w:rsidRPr="00862CD8" w:rsidRDefault="0076371A" w:rsidP="0076371A">
            <w:pPr>
              <w:jc w:val="right"/>
              <w:rPr>
                <w:rFonts w:eastAsia="Times New Roman"/>
                <w:color w:val="C00000"/>
                <w:sz w:val="18"/>
                <w:szCs w:val="18"/>
              </w:rPr>
            </w:pPr>
            <w:r w:rsidRPr="00862CD8">
              <w:rPr>
                <w:color w:val="C00000"/>
                <w:sz w:val="18"/>
                <w:szCs w:val="18"/>
              </w:rPr>
              <w:t>70</w:t>
            </w:r>
          </w:p>
        </w:tc>
        <w:tc>
          <w:tcPr>
            <w:tcW w:w="1169" w:type="dxa"/>
            <w:tcBorders>
              <w:top w:val="nil"/>
              <w:left w:val="nil"/>
              <w:bottom w:val="single" w:sz="4" w:space="0" w:color="BFBFBF"/>
              <w:right w:val="single" w:sz="4" w:space="0" w:color="BFBFBF"/>
            </w:tcBorders>
            <w:shd w:val="clear" w:color="000000" w:fill="F2F2F2"/>
            <w:noWrap/>
            <w:vAlign w:val="center"/>
            <w:hideMark/>
          </w:tcPr>
          <w:p w14:paraId="1FCD2CC6" w14:textId="07D3D017"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70" w:type="dxa"/>
            <w:tcBorders>
              <w:top w:val="nil"/>
              <w:left w:val="nil"/>
              <w:bottom w:val="single" w:sz="4" w:space="0" w:color="BFBFBF"/>
              <w:right w:val="single" w:sz="4" w:space="0" w:color="auto"/>
            </w:tcBorders>
            <w:shd w:val="clear" w:color="000000" w:fill="F2F2F2"/>
            <w:noWrap/>
            <w:vAlign w:val="center"/>
            <w:hideMark/>
          </w:tcPr>
          <w:p w14:paraId="1D3B606E" w14:textId="0B5DDE71" w:rsidR="0076371A" w:rsidRPr="00862CD8" w:rsidRDefault="0076371A" w:rsidP="0076371A">
            <w:pPr>
              <w:jc w:val="right"/>
              <w:rPr>
                <w:rFonts w:eastAsia="Times New Roman"/>
                <w:color w:val="C00000"/>
                <w:sz w:val="18"/>
                <w:szCs w:val="18"/>
              </w:rPr>
            </w:pPr>
            <w:r w:rsidRPr="00862CD8">
              <w:rPr>
                <w:color w:val="C00000"/>
                <w:sz w:val="18"/>
                <w:szCs w:val="18"/>
              </w:rPr>
              <w:t>0</w:t>
            </w:r>
          </w:p>
        </w:tc>
      </w:tr>
      <w:tr w:rsidR="0076371A" w:rsidRPr="0076371A" w14:paraId="1BDCF37B" w14:textId="77777777" w:rsidTr="0076371A">
        <w:trPr>
          <w:trHeight w:val="402"/>
        </w:trPr>
        <w:tc>
          <w:tcPr>
            <w:tcW w:w="1169" w:type="dxa"/>
            <w:tcBorders>
              <w:top w:val="nil"/>
              <w:left w:val="single" w:sz="4" w:space="0" w:color="auto"/>
              <w:bottom w:val="single" w:sz="4" w:space="0" w:color="BFBFBF"/>
              <w:right w:val="single" w:sz="4" w:space="0" w:color="BFBFBF"/>
            </w:tcBorders>
            <w:noWrap/>
            <w:vAlign w:val="center"/>
            <w:hideMark/>
          </w:tcPr>
          <w:p w14:paraId="32F0D035" w14:textId="38534027" w:rsidR="0076371A" w:rsidRPr="0076371A" w:rsidRDefault="0076371A" w:rsidP="0076371A">
            <w:pPr>
              <w:rPr>
                <w:rFonts w:eastAsia="Times New Roman"/>
                <w:color w:val="000000"/>
                <w:sz w:val="18"/>
                <w:szCs w:val="18"/>
              </w:rPr>
            </w:pPr>
            <w:r>
              <w:rPr>
                <w:color w:val="000000"/>
                <w:sz w:val="18"/>
                <w:szCs w:val="18"/>
              </w:rPr>
              <w:t>Moderate</w:t>
            </w:r>
          </w:p>
        </w:tc>
        <w:tc>
          <w:tcPr>
            <w:tcW w:w="1169" w:type="dxa"/>
            <w:tcBorders>
              <w:top w:val="nil"/>
              <w:left w:val="nil"/>
              <w:bottom w:val="single" w:sz="4" w:space="0" w:color="BFBFBF"/>
              <w:right w:val="single" w:sz="4" w:space="0" w:color="auto"/>
            </w:tcBorders>
            <w:noWrap/>
            <w:vAlign w:val="center"/>
            <w:hideMark/>
          </w:tcPr>
          <w:p w14:paraId="5B704237" w14:textId="2659EE7B" w:rsidR="0076371A" w:rsidRPr="00862CD8" w:rsidRDefault="0076371A" w:rsidP="0076371A">
            <w:pPr>
              <w:jc w:val="right"/>
              <w:rPr>
                <w:rFonts w:eastAsia="Times New Roman"/>
                <w:color w:val="C00000"/>
                <w:sz w:val="18"/>
                <w:szCs w:val="18"/>
              </w:rPr>
            </w:pPr>
            <w:r w:rsidRPr="00862CD8">
              <w:rPr>
                <w:color w:val="C00000"/>
                <w:sz w:val="18"/>
                <w:szCs w:val="18"/>
              </w:rPr>
              <w:t>$1,330</w:t>
            </w:r>
          </w:p>
        </w:tc>
        <w:tc>
          <w:tcPr>
            <w:tcW w:w="1170" w:type="dxa"/>
            <w:tcBorders>
              <w:top w:val="nil"/>
              <w:left w:val="nil"/>
              <w:bottom w:val="single" w:sz="4" w:space="0" w:color="BFBFBF"/>
              <w:right w:val="single" w:sz="4" w:space="0" w:color="auto"/>
            </w:tcBorders>
            <w:noWrap/>
            <w:vAlign w:val="center"/>
            <w:hideMark/>
          </w:tcPr>
          <w:p w14:paraId="7CA92453" w14:textId="27F9ABFB" w:rsidR="0076371A" w:rsidRPr="00862CD8" w:rsidRDefault="0076371A" w:rsidP="0076371A">
            <w:pPr>
              <w:jc w:val="right"/>
              <w:rPr>
                <w:rFonts w:eastAsia="Times New Roman"/>
                <w:color w:val="C00000"/>
                <w:sz w:val="18"/>
                <w:szCs w:val="18"/>
              </w:rPr>
            </w:pPr>
            <w:r w:rsidRPr="00862CD8">
              <w:rPr>
                <w:color w:val="C00000"/>
                <w:sz w:val="18"/>
                <w:szCs w:val="18"/>
              </w:rPr>
              <w:t>175</w:t>
            </w:r>
          </w:p>
        </w:tc>
        <w:tc>
          <w:tcPr>
            <w:tcW w:w="1169" w:type="dxa"/>
            <w:tcBorders>
              <w:top w:val="nil"/>
              <w:left w:val="nil"/>
              <w:bottom w:val="single" w:sz="4" w:space="0" w:color="BFBFBF"/>
              <w:right w:val="single" w:sz="4" w:space="0" w:color="BFBFBF"/>
            </w:tcBorders>
            <w:noWrap/>
            <w:vAlign w:val="center"/>
            <w:hideMark/>
          </w:tcPr>
          <w:p w14:paraId="7FE37704" w14:textId="44678075"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BFBFBF"/>
              <w:right w:val="single" w:sz="4" w:space="0" w:color="BFBFBF"/>
            </w:tcBorders>
            <w:noWrap/>
            <w:vAlign w:val="center"/>
            <w:hideMark/>
          </w:tcPr>
          <w:p w14:paraId="5459BFD3" w14:textId="15482918" w:rsidR="0076371A" w:rsidRPr="00862CD8" w:rsidRDefault="0076371A" w:rsidP="0076371A">
            <w:pPr>
              <w:jc w:val="right"/>
              <w:rPr>
                <w:rFonts w:eastAsia="Times New Roman"/>
                <w:color w:val="C00000"/>
                <w:sz w:val="18"/>
                <w:szCs w:val="18"/>
              </w:rPr>
            </w:pPr>
            <w:r w:rsidRPr="00862CD8">
              <w:rPr>
                <w:color w:val="C00000"/>
                <w:sz w:val="18"/>
                <w:szCs w:val="18"/>
              </w:rPr>
              <w:t>25</w:t>
            </w:r>
          </w:p>
        </w:tc>
        <w:tc>
          <w:tcPr>
            <w:tcW w:w="1170" w:type="dxa"/>
            <w:tcBorders>
              <w:top w:val="nil"/>
              <w:left w:val="nil"/>
              <w:bottom w:val="single" w:sz="4" w:space="0" w:color="BFBFBF"/>
              <w:right w:val="single" w:sz="4" w:space="0" w:color="BFBFBF"/>
            </w:tcBorders>
            <w:noWrap/>
            <w:vAlign w:val="center"/>
            <w:hideMark/>
          </w:tcPr>
          <w:p w14:paraId="1220E6BC" w14:textId="6F20D23B" w:rsidR="0076371A" w:rsidRPr="00862CD8" w:rsidRDefault="0076371A" w:rsidP="0076371A">
            <w:pPr>
              <w:jc w:val="right"/>
              <w:rPr>
                <w:rFonts w:eastAsia="Times New Roman"/>
                <w:color w:val="C00000"/>
                <w:sz w:val="18"/>
                <w:szCs w:val="18"/>
              </w:rPr>
            </w:pPr>
            <w:r w:rsidRPr="00862CD8">
              <w:rPr>
                <w:color w:val="C00000"/>
                <w:sz w:val="18"/>
                <w:szCs w:val="18"/>
              </w:rPr>
              <w:t>65</w:t>
            </w:r>
          </w:p>
        </w:tc>
        <w:tc>
          <w:tcPr>
            <w:tcW w:w="1169" w:type="dxa"/>
            <w:tcBorders>
              <w:top w:val="nil"/>
              <w:left w:val="nil"/>
              <w:bottom w:val="single" w:sz="4" w:space="0" w:color="BFBFBF"/>
              <w:right w:val="single" w:sz="4" w:space="0" w:color="BFBFBF"/>
            </w:tcBorders>
            <w:noWrap/>
            <w:vAlign w:val="center"/>
            <w:hideMark/>
          </w:tcPr>
          <w:p w14:paraId="13406F0D" w14:textId="5515F247" w:rsidR="0076371A" w:rsidRPr="00862CD8" w:rsidRDefault="0076371A" w:rsidP="0076371A">
            <w:pPr>
              <w:jc w:val="right"/>
              <w:rPr>
                <w:rFonts w:eastAsia="Times New Roman"/>
                <w:color w:val="C00000"/>
                <w:sz w:val="18"/>
                <w:szCs w:val="18"/>
              </w:rPr>
            </w:pPr>
            <w:r w:rsidRPr="00862CD8">
              <w:rPr>
                <w:color w:val="C00000"/>
                <w:sz w:val="18"/>
                <w:szCs w:val="18"/>
              </w:rPr>
              <w:t>40</w:t>
            </w:r>
          </w:p>
        </w:tc>
        <w:tc>
          <w:tcPr>
            <w:tcW w:w="1170" w:type="dxa"/>
            <w:tcBorders>
              <w:top w:val="nil"/>
              <w:left w:val="nil"/>
              <w:bottom w:val="single" w:sz="4" w:space="0" w:color="BFBFBF"/>
              <w:right w:val="single" w:sz="4" w:space="0" w:color="auto"/>
            </w:tcBorders>
            <w:noWrap/>
            <w:vAlign w:val="center"/>
            <w:hideMark/>
          </w:tcPr>
          <w:p w14:paraId="29F0F468" w14:textId="00C71084" w:rsidR="0076371A" w:rsidRPr="00862CD8" w:rsidRDefault="0076371A" w:rsidP="0076371A">
            <w:pPr>
              <w:jc w:val="right"/>
              <w:rPr>
                <w:rFonts w:eastAsia="Times New Roman"/>
                <w:color w:val="C00000"/>
                <w:sz w:val="18"/>
                <w:szCs w:val="18"/>
              </w:rPr>
            </w:pPr>
            <w:r w:rsidRPr="00862CD8">
              <w:rPr>
                <w:color w:val="C00000"/>
                <w:sz w:val="18"/>
                <w:szCs w:val="18"/>
              </w:rPr>
              <w:t>45</w:t>
            </w:r>
          </w:p>
        </w:tc>
      </w:tr>
      <w:tr w:rsidR="0076371A" w:rsidRPr="0076371A" w14:paraId="6B76A95C" w14:textId="77777777" w:rsidTr="0076371A">
        <w:trPr>
          <w:trHeight w:val="402"/>
        </w:trPr>
        <w:tc>
          <w:tcPr>
            <w:tcW w:w="1169" w:type="dxa"/>
            <w:tcBorders>
              <w:top w:val="nil"/>
              <w:left w:val="single" w:sz="4" w:space="0" w:color="auto"/>
              <w:bottom w:val="single" w:sz="4" w:space="0" w:color="BFBFBF"/>
              <w:right w:val="single" w:sz="4" w:space="0" w:color="BFBFBF"/>
            </w:tcBorders>
            <w:shd w:val="clear" w:color="000000" w:fill="F2F2F2"/>
            <w:noWrap/>
            <w:vAlign w:val="center"/>
            <w:hideMark/>
          </w:tcPr>
          <w:p w14:paraId="067563EB" w14:textId="4C69DF92" w:rsidR="0076371A" w:rsidRPr="0076371A" w:rsidRDefault="0076371A" w:rsidP="0076371A">
            <w:pPr>
              <w:rPr>
                <w:rFonts w:eastAsia="Times New Roman"/>
                <w:color w:val="000000"/>
                <w:sz w:val="18"/>
                <w:szCs w:val="18"/>
              </w:rPr>
            </w:pPr>
            <w:r>
              <w:rPr>
                <w:color w:val="000000"/>
                <w:sz w:val="18"/>
                <w:szCs w:val="18"/>
              </w:rPr>
              <w:t>Median</w:t>
            </w:r>
          </w:p>
        </w:tc>
        <w:tc>
          <w:tcPr>
            <w:tcW w:w="1169" w:type="dxa"/>
            <w:tcBorders>
              <w:top w:val="nil"/>
              <w:left w:val="nil"/>
              <w:bottom w:val="single" w:sz="4" w:space="0" w:color="BFBFBF"/>
              <w:right w:val="single" w:sz="4" w:space="0" w:color="auto"/>
            </w:tcBorders>
            <w:shd w:val="clear" w:color="000000" w:fill="F2F2F2"/>
            <w:noWrap/>
            <w:vAlign w:val="center"/>
            <w:hideMark/>
          </w:tcPr>
          <w:p w14:paraId="6086E49E" w14:textId="2AB4D52F" w:rsidR="0076371A" w:rsidRPr="00862CD8" w:rsidRDefault="0076371A" w:rsidP="0076371A">
            <w:pPr>
              <w:jc w:val="right"/>
              <w:rPr>
                <w:rFonts w:eastAsia="Times New Roman"/>
                <w:color w:val="C00000"/>
                <w:sz w:val="18"/>
                <w:szCs w:val="18"/>
              </w:rPr>
            </w:pPr>
            <w:r w:rsidRPr="00862CD8">
              <w:rPr>
                <w:color w:val="C00000"/>
                <w:sz w:val="18"/>
                <w:szCs w:val="18"/>
              </w:rPr>
              <w:t>$1,995</w:t>
            </w:r>
          </w:p>
        </w:tc>
        <w:tc>
          <w:tcPr>
            <w:tcW w:w="1170" w:type="dxa"/>
            <w:tcBorders>
              <w:top w:val="nil"/>
              <w:left w:val="nil"/>
              <w:bottom w:val="single" w:sz="4" w:space="0" w:color="BFBFBF"/>
              <w:right w:val="single" w:sz="4" w:space="0" w:color="auto"/>
            </w:tcBorders>
            <w:shd w:val="clear" w:color="000000" w:fill="F2F2F2"/>
            <w:noWrap/>
            <w:vAlign w:val="center"/>
            <w:hideMark/>
          </w:tcPr>
          <w:p w14:paraId="31FD6EB8" w14:textId="57D486D2"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BFBFBF"/>
              <w:right w:val="single" w:sz="4" w:space="0" w:color="BFBFBF"/>
            </w:tcBorders>
            <w:shd w:val="clear" w:color="000000" w:fill="F2F2F2"/>
            <w:noWrap/>
            <w:vAlign w:val="center"/>
            <w:hideMark/>
          </w:tcPr>
          <w:p w14:paraId="628D6335" w14:textId="6481CAE7"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BFBFBF"/>
              <w:right w:val="single" w:sz="4" w:space="0" w:color="BFBFBF"/>
            </w:tcBorders>
            <w:shd w:val="clear" w:color="000000" w:fill="F2F2F2"/>
            <w:noWrap/>
            <w:vAlign w:val="center"/>
            <w:hideMark/>
          </w:tcPr>
          <w:p w14:paraId="6523C457" w14:textId="792178E3"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70" w:type="dxa"/>
            <w:tcBorders>
              <w:top w:val="nil"/>
              <w:left w:val="nil"/>
              <w:bottom w:val="single" w:sz="4" w:space="0" w:color="BFBFBF"/>
              <w:right w:val="single" w:sz="4" w:space="0" w:color="BFBFBF"/>
            </w:tcBorders>
            <w:shd w:val="clear" w:color="000000" w:fill="F2F2F2"/>
            <w:noWrap/>
            <w:vAlign w:val="center"/>
            <w:hideMark/>
          </w:tcPr>
          <w:p w14:paraId="28302083" w14:textId="4D64ACDF"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BFBFBF"/>
              <w:right w:val="single" w:sz="4" w:space="0" w:color="BFBFBF"/>
            </w:tcBorders>
            <w:shd w:val="clear" w:color="000000" w:fill="F2F2F2"/>
            <w:noWrap/>
            <w:vAlign w:val="center"/>
            <w:hideMark/>
          </w:tcPr>
          <w:p w14:paraId="595C1270" w14:textId="41FBF54F"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70" w:type="dxa"/>
            <w:tcBorders>
              <w:top w:val="nil"/>
              <w:left w:val="nil"/>
              <w:bottom w:val="single" w:sz="4" w:space="0" w:color="BFBFBF"/>
              <w:right w:val="single" w:sz="4" w:space="0" w:color="auto"/>
            </w:tcBorders>
            <w:shd w:val="clear" w:color="000000" w:fill="F2F2F2"/>
            <w:noWrap/>
            <w:vAlign w:val="center"/>
            <w:hideMark/>
          </w:tcPr>
          <w:p w14:paraId="3C3C2C27" w14:textId="3C9A1989" w:rsidR="0076371A" w:rsidRPr="00862CD8" w:rsidRDefault="0076371A" w:rsidP="0076371A">
            <w:pPr>
              <w:jc w:val="right"/>
              <w:rPr>
                <w:rFonts w:eastAsia="Times New Roman"/>
                <w:color w:val="C00000"/>
                <w:sz w:val="18"/>
                <w:szCs w:val="18"/>
              </w:rPr>
            </w:pPr>
            <w:r w:rsidRPr="00862CD8">
              <w:rPr>
                <w:color w:val="C00000"/>
                <w:sz w:val="18"/>
                <w:szCs w:val="18"/>
              </w:rPr>
              <w:t>0</w:t>
            </w:r>
          </w:p>
        </w:tc>
      </w:tr>
      <w:tr w:rsidR="0076371A" w:rsidRPr="0076371A" w14:paraId="74221C78" w14:textId="77777777" w:rsidTr="0076371A">
        <w:trPr>
          <w:trHeight w:val="402"/>
        </w:trPr>
        <w:tc>
          <w:tcPr>
            <w:tcW w:w="1169" w:type="dxa"/>
            <w:tcBorders>
              <w:top w:val="nil"/>
              <w:left w:val="single" w:sz="4" w:space="0" w:color="auto"/>
              <w:bottom w:val="single" w:sz="4" w:space="0" w:color="auto"/>
              <w:right w:val="single" w:sz="4" w:space="0" w:color="BFBFBF"/>
            </w:tcBorders>
            <w:noWrap/>
            <w:vAlign w:val="center"/>
            <w:hideMark/>
          </w:tcPr>
          <w:p w14:paraId="424C1C6B" w14:textId="6B061160" w:rsidR="0076371A" w:rsidRPr="0076371A" w:rsidRDefault="0076371A" w:rsidP="0076371A">
            <w:pPr>
              <w:rPr>
                <w:rFonts w:eastAsia="Times New Roman"/>
                <w:color w:val="000000"/>
                <w:sz w:val="18"/>
                <w:szCs w:val="18"/>
              </w:rPr>
            </w:pPr>
            <w:r>
              <w:rPr>
                <w:color w:val="000000"/>
                <w:sz w:val="18"/>
                <w:szCs w:val="18"/>
              </w:rPr>
              <w:t>High</w:t>
            </w:r>
          </w:p>
        </w:tc>
        <w:tc>
          <w:tcPr>
            <w:tcW w:w="1169" w:type="dxa"/>
            <w:tcBorders>
              <w:top w:val="nil"/>
              <w:left w:val="nil"/>
              <w:bottom w:val="single" w:sz="4" w:space="0" w:color="auto"/>
              <w:right w:val="single" w:sz="4" w:space="0" w:color="auto"/>
            </w:tcBorders>
            <w:noWrap/>
            <w:vAlign w:val="center"/>
            <w:hideMark/>
          </w:tcPr>
          <w:p w14:paraId="7CEB0138" w14:textId="352AAAD8" w:rsidR="0076371A" w:rsidRPr="00862CD8" w:rsidRDefault="0076371A" w:rsidP="0076371A">
            <w:pPr>
              <w:jc w:val="right"/>
              <w:rPr>
                <w:rFonts w:eastAsia="Times New Roman"/>
                <w:color w:val="C00000"/>
                <w:sz w:val="18"/>
                <w:szCs w:val="18"/>
              </w:rPr>
            </w:pPr>
            <w:r w:rsidRPr="00862CD8">
              <w:rPr>
                <w:color w:val="C00000"/>
                <w:sz w:val="18"/>
                <w:szCs w:val="18"/>
              </w:rPr>
              <w:t>&gt;$1,995</w:t>
            </w:r>
          </w:p>
        </w:tc>
        <w:tc>
          <w:tcPr>
            <w:tcW w:w="1170" w:type="dxa"/>
            <w:tcBorders>
              <w:top w:val="nil"/>
              <w:left w:val="nil"/>
              <w:bottom w:val="single" w:sz="4" w:space="0" w:color="auto"/>
              <w:right w:val="single" w:sz="4" w:space="0" w:color="auto"/>
            </w:tcBorders>
            <w:noWrap/>
            <w:vAlign w:val="center"/>
            <w:hideMark/>
          </w:tcPr>
          <w:p w14:paraId="5E9AC511" w14:textId="41034679"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auto"/>
              <w:right w:val="single" w:sz="4" w:space="0" w:color="BFBFBF"/>
            </w:tcBorders>
            <w:noWrap/>
            <w:vAlign w:val="center"/>
            <w:hideMark/>
          </w:tcPr>
          <w:p w14:paraId="7287039A" w14:textId="3CBE0200"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auto"/>
              <w:right w:val="single" w:sz="4" w:space="0" w:color="BFBFBF"/>
            </w:tcBorders>
            <w:noWrap/>
            <w:vAlign w:val="center"/>
            <w:hideMark/>
          </w:tcPr>
          <w:p w14:paraId="40A21066" w14:textId="4D58950B"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70" w:type="dxa"/>
            <w:tcBorders>
              <w:top w:val="nil"/>
              <w:left w:val="nil"/>
              <w:bottom w:val="single" w:sz="4" w:space="0" w:color="auto"/>
              <w:right w:val="single" w:sz="4" w:space="0" w:color="BFBFBF"/>
            </w:tcBorders>
            <w:noWrap/>
            <w:vAlign w:val="center"/>
            <w:hideMark/>
          </w:tcPr>
          <w:p w14:paraId="245BF0CC" w14:textId="64E9C01B"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69" w:type="dxa"/>
            <w:tcBorders>
              <w:top w:val="nil"/>
              <w:left w:val="nil"/>
              <w:bottom w:val="single" w:sz="4" w:space="0" w:color="auto"/>
              <w:right w:val="single" w:sz="4" w:space="0" w:color="BFBFBF"/>
            </w:tcBorders>
            <w:noWrap/>
            <w:vAlign w:val="center"/>
            <w:hideMark/>
          </w:tcPr>
          <w:p w14:paraId="7631907B" w14:textId="045D1724" w:rsidR="0076371A" w:rsidRPr="00862CD8" w:rsidRDefault="0076371A" w:rsidP="0076371A">
            <w:pPr>
              <w:jc w:val="right"/>
              <w:rPr>
                <w:rFonts w:eastAsia="Times New Roman"/>
                <w:color w:val="C00000"/>
                <w:sz w:val="18"/>
                <w:szCs w:val="18"/>
              </w:rPr>
            </w:pPr>
            <w:r w:rsidRPr="00862CD8">
              <w:rPr>
                <w:color w:val="C00000"/>
                <w:sz w:val="18"/>
                <w:szCs w:val="18"/>
              </w:rPr>
              <w:t>0</w:t>
            </w:r>
          </w:p>
        </w:tc>
        <w:tc>
          <w:tcPr>
            <w:tcW w:w="1170" w:type="dxa"/>
            <w:tcBorders>
              <w:top w:val="nil"/>
              <w:left w:val="nil"/>
              <w:bottom w:val="single" w:sz="4" w:space="0" w:color="auto"/>
              <w:right w:val="single" w:sz="4" w:space="0" w:color="auto"/>
            </w:tcBorders>
            <w:noWrap/>
            <w:vAlign w:val="center"/>
            <w:hideMark/>
          </w:tcPr>
          <w:p w14:paraId="6680BEBC" w14:textId="6DE43C73" w:rsidR="0076371A" w:rsidRPr="00862CD8" w:rsidRDefault="0076371A" w:rsidP="0076371A">
            <w:pPr>
              <w:jc w:val="right"/>
              <w:rPr>
                <w:rFonts w:eastAsia="Times New Roman"/>
                <w:color w:val="C00000"/>
                <w:sz w:val="18"/>
                <w:szCs w:val="18"/>
              </w:rPr>
            </w:pPr>
            <w:r w:rsidRPr="00862CD8">
              <w:rPr>
                <w:color w:val="C00000"/>
                <w:sz w:val="18"/>
                <w:szCs w:val="18"/>
              </w:rPr>
              <w:t>0</w:t>
            </w:r>
          </w:p>
        </w:tc>
      </w:tr>
    </w:tbl>
    <w:p w14:paraId="79D33FCB" w14:textId="38E199C9" w:rsidR="007739E4" w:rsidRDefault="003C1152" w:rsidP="003C1152">
      <w:pPr>
        <w:pStyle w:val="Source"/>
      </w:pPr>
      <w:r>
        <w:t>Source: Housing Assessment Resource Tools (HART)</w:t>
      </w:r>
      <w:r>
        <w:rPr>
          <w:rStyle w:val="FootnoteReference"/>
        </w:rPr>
        <w:footnoteReference w:id="8"/>
      </w:r>
    </w:p>
    <w:p w14:paraId="6359B815" w14:textId="77777777" w:rsidR="007739E4" w:rsidRDefault="007739E4" w:rsidP="00A73213"/>
    <w:p w14:paraId="2E373C3D" w14:textId="05940B81" w:rsidR="00805FAC" w:rsidRDefault="00805FAC" w:rsidP="006A1450">
      <w:pPr>
        <w:jc w:val="both"/>
      </w:pPr>
      <w:r>
        <w:t xml:space="preserve">The concentration of core housing need among very </w:t>
      </w:r>
      <w:r w:rsidR="00055EBB">
        <w:t xml:space="preserve">low- and </w:t>
      </w:r>
      <w:r w:rsidR="005E6C37">
        <w:t>low-</w:t>
      </w:r>
      <w:r>
        <w:t>income households is</w:t>
      </w:r>
      <w:r w:rsidR="006A1450">
        <w:t xml:space="preserve"> often</w:t>
      </w:r>
      <w:r>
        <w:t xml:space="preserve"> an expected structural finding, but the absolute counts at each cell matter as much as the distribution: </w:t>
      </w:r>
      <w:r>
        <w:lastRenderedPageBreak/>
        <w:t xml:space="preserve">even a small number of </w:t>
      </w:r>
      <w:r w:rsidR="00BD7490">
        <w:t xml:space="preserve">very </w:t>
      </w:r>
      <w:r w:rsidR="005E6C37">
        <w:t>low-</w:t>
      </w:r>
      <w:r>
        <w:t xml:space="preserve">income households in core housing need represents a segment whose needs cannot be met by market supply at </w:t>
      </w:r>
      <w:r w:rsidR="00CD5A5A">
        <w:t xml:space="preserve">a </w:t>
      </w:r>
      <w:r>
        <w:t>realistic price point, and who require directly subsidized or non-market housing options. Where need is concentrated entirely in the one- and two-person categories, it points to a specific supply gap in small, deeply affordable units.</w:t>
      </w:r>
    </w:p>
    <w:p w14:paraId="3D1DD9F4" w14:textId="77777777" w:rsidR="00805FAC" w:rsidRDefault="00805FAC" w:rsidP="006A1450">
      <w:pPr>
        <w:jc w:val="both"/>
      </w:pPr>
    </w:p>
    <w:p w14:paraId="180EB386" w14:textId="77777777" w:rsidR="00805FAC" w:rsidRDefault="00805FAC" w:rsidP="006A1450">
      <w:pPr>
        <w:jc w:val="both"/>
      </w:pPr>
      <w:r>
        <w:t>Moderate-income households appearing in core housing need, a less common but notable finding, indicates that affordability pressures have extended beyond the lowest income brackets. This suggests either that market rents have risen to levels that strain even middle-income budgets, or that housing suitability and adequacy issues are affecting a broader population than income alone would predict.</w:t>
      </w:r>
    </w:p>
    <w:p w14:paraId="427565BC" w14:textId="77777777" w:rsidR="00805FAC" w:rsidRDefault="00805FAC" w:rsidP="00805FAC"/>
    <w:p w14:paraId="2AAEA972" w14:textId="195C8560" w:rsidR="00A73213" w:rsidRDefault="00805FAC" w:rsidP="003C59F9">
      <w:pPr>
        <w:jc w:val="both"/>
      </w:pPr>
      <w:r>
        <w:t xml:space="preserve">The absence of core need among median and high income categories </w:t>
      </w:r>
      <w:r w:rsidR="00F061B4">
        <w:t xml:space="preserve">suggests that </w:t>
      </w:r>
      <w:r>
        <w:t>housing stress is not generally a market-wide phenomenon but one concentrated among specific income groups, which defines both the target population and the depth of intervention required.</w:t>
      </w:r>
    </w:p>
    <w:p w14:paraId="4EAC2910" w14:textId="77777777" w:rsidR="00805FAC" w:rsidRDefault="00805FAC" w:rsidP="00805FAC"/>
    <w:p w14:paraId="4316A99A" w14:textId="77777777" w:rsidR="00FE6955" w:rsidRDefault="00FE6955" w:rsidP="00FE6955">
      <w:pPr>
        <w:pStyle w:val="Heading2"/>
      </w:pPr>
      <w:bookmarkStart w:id="76" w:name="_Toc223686652"/>
      <w:bookmarkStart w:id="77" w:name="_Toc237355950"/>
      <w:r>
        <w:t>PRIORITY POPULATIONS</w:t>
      </w:r>
      <w:bookmarkEnd w:id="76"/>
      <w:bookmarkEnd w:id="77"/>
    </w:p>
    <w:p w14:paraId="58719B5B" w14:textId="77777777" w:rsidR="002461F3" w:rsidRDefault="002461F3" w:rsidP="002461F3">
      <w:pPr>
        <w:jc w:val="both"/>
      </w:pPr>
      <w:r>
        <w:t>Housing need is not evenly distributed. Aggregate core housing need rates can mask severe precarity concentrated among specific groups who face compounded barriers, including discrimination in the housing market, income insecurity, inaccessible unit design, lack of culturally appropriate options, and inadequate support services.</w:t>
      </w:r>
    </w:p>
    <w:p w14:paraId="3A7A268F" w14:textId="77777777" w:rsidR="002461F3" w:rsidRDefault="002461F3" w:rsidP="002461F3">
      <w:pPr>
        <w:jc w:val="both"/>
      </w:pPr>
    </w:p>
    <w:p w14:paraId="12C54A75" w14:textId="30C6E249" w:rsidR="00417A34" w:rsidRDefault="002461F3" w:rsidP="002461F3">
      <w:pPr>
        <w:jc w:val="both"/>
      </w:pPr>
      <w:r>
        <w:t>Federal funding programs typically require that HNAs demonstrate a commitment to equity-deserving groups. This section provides the evidence base for targeted interventions responding to the specific, often intersecting, needs of those most at risk.</w:t>
      </w:r>
    </w:p>
    <w:p w14:paraId="5BDE607C" w14:textId="77777777" w:rsidR="00694E7E" w:rsidRDefault="00694E7E" w:rsidP="00417A34">
      <w:pPr>
        <w:jc w:val="both"/>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F10D68" w:rsidRPr="00500457" w14:paraId="18933C2A" w14:textId="77777777" w:rsidTr="009A4107">
        <w:trPr>
          <w:trHeight w:val="360"/>
          <w:tblHeader/>
        </w:trPr>
        <w:tc>
          <w:tcPr>
            <w:tcW w:w="1345" w:type="dxa"/>
            <w:shd w:val="clear" w:color="auto" w:fill="5F2ADF" w:themeFill="accent4" w:themeFillTint="80"/>
            <w:vAlign w:val="center"/>
          </w:tcPr>
          <w:p w14:paraId="2CA1A37C" w14:textId="77BF03A9" w:rsidR="00F10D68"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5009872A" w14:textId="77777777" w:rsidR="00F10D68" w:rsidRPr="003A2EA5" w:rsidRDefault="00F10D68"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F10D68" w:rsidRPr="00500457" w14:paraId="323A24BC" w14:textId="77777777" w:rsidTr="00F10D68">
        <w:trPr>
          <w:trHeight w:val="1358"/>
        </w:trPr>
        <w:tc>
          <w:tcPr>
            <w:tcW w:w="1345" w:type="dxa"/>
            <w:shd w:val="clear" w:color="auto" w:fill="DED3F8" w:themeFill="accent4" w:themeFillTint="1A"/>
            <w:vAlign w:val="center"/>
          </w:tcPr>
          <w:p w14:paraId="6377CBEE" w14:textId="0C3976F3" w:rsidR="00F10D68" w:rsidRPr="00500457" w:rsidRDefault="00F10D68" w:rsidP="009A4107">
            <w:pPr>
              <w:rPr>
                <w:sz w:val="20"/>
                <w:szCs w:val="20"/>
              </w:rPr>
            </w:pPr>
            <w:r>
              <w:rPr>
                <w:sz w:val="20"/>
                <w:szCs w:val="20"/>
              </w:rPr>
              <w:t>4.1</w:t>
            </w:r>
          </w:p>
        </w:tc>
        <w:tc>
          <w:tcPr>
            <w:tcW w:w="8005" w:type="dxa"/>
            <w:shd w:val="clear" w:color="auto" w:fill="DED3F8" w:themeFill="accent4" w:themeFillTint="1A"/>
            <w:vAlign w:val="center"/>
          </w:tcPr>
          <w:p w14:paraId="05D75DE7" w14:textId="0019AD55" w:rsidR="00F10D68" w:rsidRPr="00500457" w:rsidRDefault="00F10D68" w:rsidP="009A4107">
            <w:pPr>
              <w:rPr>
                <w:sz w:val="20"/>
                <w:szCs w:val="20"/>
              </w:rPr>
            </w:pPr>
            <w:r w:rsidRPr="00F10D68">
              <w:rPr>
                <w:sz w:val="20"/>
                <w:szCs w:val="20"/>
              </w:rPr>
              <w:t>What information is available that reflects the housing need or challenges of priority populations in your territory and its communities? If data is available, please report on the incidence of core housing need by CMHC priority population groups in your territory and its communities. If no quantitative data is available, please use qualitative information to describe the need for these priority populations.</w:t>
            </w:r>
          </w:p>
        </w:tc>
      </w:tr>
      <w:tr w:rsidR="00F10D68" w:rsidRPr="00500457" w14:paraId="7C12D87D" w14:textId="77777777" w:rsidTr="00F10D68">
        <w:trPr>
          <w:trHeight w:val="1340"/>
        </w:trPr>
        <w:tc>
          <w:tcPr>
            <w:tcW w:w="1345" w:type="dxa"/>
            <w:shd w:val="clear" w:color="auto" w:fill="DED3F8" w:themeFill="accent4" w:themeFillTint="1A"/>
            <w:vAlign w:val="center"/>
          </w:tcPr>
          <w:p w14:paraId="1FFA653B" w14:textId="615A56C0" w:rsidR="00F10D68" w:rsidRDefault="00F10D68" w:rsidP="009A4107">
            <w:pPr>
              <w:rPr>
                <w:sz w:val="20"/>
                <w:szCs w:val="20"/>
              </w:rPr>
            </w:pPr>
            <w:r>
              <w:rPr>
                <w:sz w:val="20"/>
                <w:szCs w:val="20"/>
              </w:rPr>
              <w:t>4.5</w:t>
            </w:r>
          </w:p>
        </w:tc>
        <w:tc>
          <w:tcPr>
            <w:tcW w:w="8005" w:type="dxa"/>
            <w:shd w:val="clear" w:color="auto" w:fill="DED3F8" w:themeFill="accent4" w:themeFillTint="1A"/>
            <w:vAlign w:val="center"/>
          </w:tcPr>
          <w:p w14:paraId="640A595B" w14:textId="6C9A7088" w:rsidR="00F10D68" w:rsidRPr="00B05605" w:rsidRDefault="00F10D68" w:rsidP="009A4107">
            <w:pPr>
              <w:rPr>
                <w:sz w:val="20"/>
                <w:szCs w:val="20"/>
              </w:rPr>
            </w:pPr>
            <w:r w:rsidRPr="00F10D68">
              <w:rPr>
                <w:sz w:val="20"/>
                <w:szCs w:val="20"/>
              </w:rPr>
              <w:t>Some groups, including students, those in congregate housing, those practicing traditional lifestyles of living off the land, and temporary resource-industry workers, may be excluded from publicly available core housing need data sources. Communities and territories are encouraged to use this section to describe the housing needs of these respective populations to ensure that all groups are represented in their HNA.</w:t>
            </w:r>
          </w:p>
        </w:tc>
      </w:tr>
    </w:tbl>
    <w:p w14:paraId="3EA1B3A5" w14:textId="77777777" w:rsidR="00F10D68" w:rsidRDefault="00F10D68" w:rsidP="00417A34">
      <w:pPr>
        <w:jc w:val="both"/>
      </w:pPr>
    </w:p>
    <w:p w14:paraId="11C58558" w14:textId="3DC8B448" w:rsidR="00694E7E" w:rsidRDefault="00694E7E" w:rsidP="00417A34">
      <w:pPr>
        <w:jc w:val="both"/>
      </w:pPr>
      <w:r w:rsidRPr="00694E7E">
        <w:rPr>
          <w:rStyle w:val="Figure-textChar"/>
        </w:rPr>
        <w:fldChar w:fldCharType="begin"/>
      </w:r>
      <w:r w:rsidRPr="00694E7E">
        <w:rPr>
          <w:rStyle w:val="Figure-textChar"/>
        </w:rPr>
        <w:instrText xml:space="preserve"> REF _Ref223276809 \h </w:instrText>
      </w:r>
      <w:r>
        <w:rPr>
          <w:rStyle w:val="Figure-textChar"/>
        </w:rPr>
        <w:instrText xml:space="preserve"> \* MERGEFORMAT </w:instrText>
      </w:r>
      <w:r w:rsidRPr="00694E7E">
        <w:rPr>
          <w:rStyle w:val="Figure-textChar"/>
        </w:rPr>
      </w:r>
      <w:r w:rsidRPr="00694E7E">
        <w:rPr>
          <w:rStyle w:val="Figure-textChar"/>
        </w:rPr>
        <w:fldChar w:fldCharType="separate"/>
      </w:r>
      <w:r w:rsidR="00CA6116" w:rsidRPr="00CA6116">
        <w:rPr>
          <w:rStyle w:val="Figure-textChar"/>
        </w:rPr>
        <w:t>Table 7.3</w:t>
      </w:r>
      <w:r w:rsidRPr="00694E7E">
        <w:rPr>
          <w:rStyle w:val="Figure-textChar"/>
        </w:rPr>
        <w:fldChar w:fldCharType="end"/>
      </w:r>
      <w:r>
        <w:t xml:space="preserve"> </w:t>
      </w:r>
      <w:r w:rsidR="002461F3" w:rsidRPr="002461F3">
        <w:t>presents core housing need rates for a range of vulnerable population groups, comparing local rates against regional and provincial benchmarks to identify where housing need is most acute and which groups face disproportionate barriers to adequate, suitable, and affordable housing.</w:t>
      </w:r>
    </w:p>
    <w:p w14:paraId="361DBE33" w14:textId="77777777" w:rsidR="00417A34" w:rsidRDefault="00417A34" w:rsidP="00417A34"/>
    <w:p w14:paraId="39341881" w14:textId="58D9F3C4" w:rsidR="00237141" w:rsidRDefault="00237141" w:rsidP="00237141">
      <w:pPr>
        <w:pStyle w:val="Caption"/>
      </w:pPr>
      <w:bookmarkStart w:id="78" w:name="_Ref223276809"/>
      <w:r>
        <w:t xml:space="preserve">Table </w:t>
      </w:r>
      <w:fldSimple w:instr=" STYLEREF 1 \s ">
        <w:r w:rsidR="005E459C">
          <w:rPr>
            <w:noProof/>
          </w:rPr>
          <w:t>7</w:t>
        </w:r>
      </w:fldSimple>
      <w:r w:rsidR="00BD4359">
        <w:t>.</w:t>
      </w:r>
      <w:fldSimple w:instr=" SEQ Table \* ARABIC \s 1 ">
        <w:r w:rsidR="005E459C">
          <w:rPr>
            <w:noProof/>
          </w:rPr>
          <w:t>3</w:t>
        </w:r>
      </w:fldSimple>
      <w:bookmarkEnd w:id="78"/>
      <w:r>
        <w:t>: Rate of core housing need by vulnerable population group and geography, 2021</w:t>
      </w:r>
    </w:p>
    <w:tbl>
      <w:tblPr>
        <w:tblW w:w="9350" w:type="dxa"/>
        <w:tblLayout w:type="fixed"/>
        <w:tblLook w:val="04A0" w:firstRow="1" w:lastRow="0" w:firstColumn="1" w:lastColumn="0" w:noHBand="0" w:noVBand="1"/>
      </w:tblPr>
      <w:tblGrid>
        <w:gridCol w:w="5800"/>
        <w:gridCol w:w="1183"/>
        <w:gridCol w:w="1183"/>
        <w:gridCol w:w="1184"/>
      </w:tblGrid>
      <w:tr w:rsidR="00B07EF5" w:rsidRPr="00B07EF5" w14:paraId="366B43FA" w14:textId="77777777" w:rsidTr="003C59F9">
        <w:trPr>
          <w:trHeight w:val="402"/>
          <w:tblHeader/>
        </w:trPr>
        <w:tc>
          <w:tcPr>
            <w:tcW w:w="5800"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600912C3" w14:textId="390BCC66" w:rsidR="00B07EF5" w:rsidRPr="00B07EF5" w:rsidRDefault="00B07EF5" w:rsidP="00B07EF5">
            <w:pPr>
              <w:rPr>
                <w:rFonts w:eastAsia="Times New Roman"/>
                <w:color w:val="FFFFFF"/>
                <w:sz w:val="18"/>
                <w:szCs w:val="18"/>
              </w:rPr>
            </w:pPr>
            <w:r w:rsidRPr="00B07EF5">
              <w:rPr>
                <w:rFonts w:eastAsia="Times New Roman"/>
                <w:color w:val="FFFFFF"/>
                <w:sz w:val="18"/>
                <w:szCs w:val="18"/>
              </w:rPr>
              <w:t>Vulnerable population</w:t>
            </w:r>
            <w:r w:rsidR="00EA6765">
              <w:rPr>
                <w:rFonts w:eastAsia="Times New Roman"/>
                <w:color w:val="FFFFFF"/>
                <w:sz w:val="18"/>
                <w:szCs w:val="18"/>
              </w:rPr>
              <w:t xml:space="preserve"> group</w:t>
            </w:r>
          </w:p>
        </w:tc>
        <w:tc>
          <w:tcPr>
            <w:tcW w:w="1183"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721B1BC" w14:textId="77777777" w:rsidR="00B07EF5" w:rsidRPr="00B07EF5" w:rsidRDefault="00B07EF5" w:rsidP="00B07EF5">
            <w:pPr>
              <w:jc w:val="right"/>
              <w:rPr>
                <w:rFonts w:eastAsia="Times New Roman"/>
                <w:color w:val="FFFFFF"/>
                <w:sz w:val="18"/>
                <w:szCs w:val="18"/>
              </w:rPr>
            </w:pPr>
            <w:r w:rsidRPr="00B07EF5">
              <w:rPr>
                <w:rFonts w:eastAsia="Times New Roman"/>
                <w:color w:val="FFFFFF"/>
                <w:sz w:val="18"/>
                <w:szCs w:val="18"/>
              </w:rPr>
              <w:t>Local</w:t>
            </w:r>
          </w:p>
        </w:tc>
        <w:tc>
          <w:tcPr>
            <w:tcW w:w="1183"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2AC4C8B" w14:textId="77777777" w:rsidR="00B07EF5" w:rsidRPr="00B07EF5" w:rsidRDefault="00B07EF5" w:rsidP="00B07EF5">
            <w:pPr>
              <w:jc w:val="right"/>
              <w:rPr>
                <w:rFonts w:eastAsia="Times New Roman"/>
                <w:color w:val="FFFFFF"/>
                <w:sz w:val="18"/>
                <w:szCs w:val="18"/>
              </w:rPr>
            </w:pPr>
            <w:r w:rsidRPr="00B07EF5">
              <w:rPr>
                <w:rFonts w:eastAsia="Times New Roman"/>
                <w:color w:val="FFFFFF"/>
                <w:sz w:val="18"/>
                <w:szCs w:val="18"/>
              </w:rPr>
              <w:t>Region</w:t>
            </w:r>
          </w:p>
        </w:tc>
        <w:tc>
          <w:tcPr>
            <w:tcW w:w="118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70142C4" w14:textId="77777777" w:rsidR="00B07EF5" w:rsidRPr="00B07EF5" w:rsidRDefault="00B07EF5" w:rsidP="00B07EF5">
            <w:pPr>
              <w:jc w:val="right"/>
              <w:rPr>
                <w:rFonts w:eastAsia="Times New Roman"/>
                <w:color w:val="FFFFFF"/>
                <w:sz w:val="18"/>
                <w:szCs w:val="18"/>
              </w:rPr>
            </w:pPr>
            <w:r w:rsidRPr="00B07EF5">
              <w:rPr>
                <w:rFonts w:eastAsia="Times New Roman"/>
                <w:color w:val="FFFFFF"/>
                <w:sz w:val="18"/>
                <w:szCs w:val="18"/>
              </w:rPr>
              <w:t>Province</w:t>
            </w:r>
          </w:p>
        </w:tc>
      </w:tr>
      <w:tr w:rsidR="004D0F52" w:rsidRPr="00B07EF5" w14:paraId="5ED75B0B" w14:textId="77777777" w:rsidTr="00EA6765">
        <w:trPr>
          <w:trHeight w:val="402"/>
        </w:trPr>
        <w:tc>
          <w:tcPr>
            <w:tcW w:w="5800"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4C1BA171"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Total households</w:t>
            </w:r>
          </w:p>
        </w:tc>
        <w:tc>
          <w:tcPr>
            <w:tcW w:w="1183" w:type="dxa"/>
            <w:tcBorders>
              <w:top w:val="nil"/>
              <w:left w:val="nil"/>
              <w:bottom w:val="single" w:sz="4" w:space="0" w:color="auto"/>
              <w:right w:val="single" w:sz="4" w:space="0" w:color="BFBFBF"/>
            </w:tcBorders>
            <w:shd w:val="clear" w:color="000000" w:fill="F2F2F2"/>
            <w:noWrap/>
            <w:vAlign w:val="center"/>
            <w:hideMark/>
          </w:tcPr>
          <w:p w14:paraId="5B0D3ACD" w14:textId="2F612A4A" w:rsidR="004D0F52" w:rsidRPr="00862CD8" w:rsidRDefault="004D0F52" w:rsidP="004D0F52">
            <w:pPr>
              <w:jc w:val="right"/>
              <w:rPr>
                <w:rFonts w:eastAsia="Times New Roman"/>
                <w:color w:val="C00000"/>
                <w:sz w:val="18"/>
                <w:szCs w:val="18"/>
              </w:rPr>
            </w:pPr>
            <w:r w:rsidRPr="00862CD8">
              <w:rPr>
                <w:color w:val="C00000"/>
                <w:sz w:val="18"/>
                <w:szCs w:val="18"/>
              </w:rPr>
              <w:t>8.9%</w:t>
            </w:r>
          </w:p>
        </w:tc>
        <w:tc>
          <w:tcPr>
            <w:tcW w:w="1183" w:type="dxa"/>
            <w:tcBorders>
              <w:top w:val="nil"/>
              <w:left w:val="nil"/>
              <w:bottom w:val="single" w:sz="4" w:space="0" w:color="auto"/>
              <w:right w:val="single" w:sz="4" w:space="0" w:color="BFBFBF"/>
            </w:tcBorders>
            <w:shd w:val="clear" w:color="000000" w:fill="F2F2F2"/>
            <w:noWrap/>
            <w:vAlign w:val="center"/>
            <w:hideMark/>
          </w:tcPr>
          <w:p w14:paraId="2595A0A4" w14:textId="44A461F1" w:rsidR="004D0F52" w:rsidRPr="00862CD8" w:rsidRDefault="004D0F52" w:rsidP="004D0F52">
            <w:pPr>
              <w:jc w:val="right"/>
              <w:rPr>
                <w:rFonts w:eastAsia="Times New Roman"/>
                <w:color w:val="C00000"/>
                <w:sz w:val="18"/>
                <w:szCs w:val="18"/>
              </w:rPr>
            </w:pPr>
            <w:r w:rsidRPr="00862CD8">
              <w:rPr>
                <w:color w:val="C00000"/>
                <w:sz w:val="18"/>
                <w:szCs w:val="18"/>
              </w:rPr>
              <w:t>6.2%</w:t>
            </w:r>
          </w:p>
        </w:tc>
        <w:tc>
          <w:tcPr>
            <w:tcW w:w="1184" w:type="dxa"/>
            <w:tcBorders>
              <w:top w:val="nil"/>
              <w:left w:val="nil"/>
              <w:bottom w:val="single" w:sz="4" w:space="0" w:color="auto"/>
              <w:right w:val="single" w:sz="4" w:space="0" w:color="auto"/>
            </w:tcBorders>
            <w:shd w:val="clear" w:color="000000" w:fill="F2F2F2"/>
            <w:noWrap/>
            <w:vAlign w:val="center"/>
            <w:hideMark/>
          </w:tcPr>
          <w:p w14:paraId="78408911" w14:textId="5F4E1CBC" w:rsidR="004D0F52" w:rsidRPr="00862CD8" w:rsidRDefault="004D0F52" w:rsidP="004D0F52">
            <w:pPr>
              <w:jc w:val="right"/>
              <w:rPr>
                <w:rFonts w:eastAsia="Times New Roman"/>
                <w:color w:val="C00000"/>
                <w:sz w:val="18"/>
                <w:szCs w:val="18"/>
              </w:rPr>
            </w:pPr>
            <w:r w:rsidRPr="00862CD8">
              <w:rPr>
                <w:color w:val="C00000"/>
                <w:sz w:val="18"/>
                <w:szCs w:val="18"/>
              </w:rPr>
              <w:t>7.0%</w:t>
            </w:r>
          </w:p>
        </w:tc>
      </w:tr>
      <w:tr w:rsidR="004D0F52" w:rsidRPr="00B07EF5" w14:paraId="36EE1E9C" w14:textId="77777777" w:rsidTr="00EA6765">
        <w:trPr>
          <w:trHeight w:val="402"/>
        </w:trPr>
        <w:tc>
          <w:tcPr>
            <w:tcW w:w="5800" w:type="dxa"/>
            <w:tcBorders>
              <w:top w:val="nil"/>
              <w:left w:val="single" w:sz="4" w:space="0" w:color="auto"/>
              <w:bottom w:val="single" w:sz="4" w:space="0" w:color="BFBFBF"/>
              <w:right w:val="single" w:sz="4" w:space="0" w:color="000000"/>
            </w:tcBorders>
            <w:noWrap/>
            <w:vAlign w:val="center"/>
            <w:hideMark/>
          </w:tcPr>
          <w:p w14:paraId="06CC973B"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Household with 1+ person with activity limitation</w:t>
            </w:r>
          </w:p>
        </w:tc>
        <w:tc>
          <w:tcPr>
            <w:tcW w:w="1183" w:type="dxa"/>
            <w:tcBorders>
              <w:top w:val="nil"/>
              <w:left w:val="nil"/>
              <w:bottom w:val="single" w:sz="4" w:space="0" w:color="BFBFBF"/>
              <w:right w:val="single" w:sz="4" w:space="0" w:color="BFBFBF"/>
            </w:tcBorders>
            <w:noWrap/>
            <w:vAlign w:val="center"/>
            <w:hideMark/>
          </w:tcPr>
          <w:p w14:paraId="71D26AED" w14:textId="72534097" w:rsidR="004D0F52" w:rsidRPr="00862CD8" w:rsidRDefault="004D0F52" w:rsidP="004D0F52">
            <w:pPr>
              <w:jc w:val="right"/>
              <w:rPr>
                <w:rFonts w:eastAsia="Times New Roman"/>
                <w:color w:val="C00000"/>
                <w:sz w:val="18"/>
                <w:szCs w:val="18"/>
              </w:rPr>
            </w:pPr>
            <w:r w:rsidRPr="00862CD8">
              <w:rPr>
                <w:color w:val="C00000"/>
                <w:sz w:val="18"/>
                <w:szCs w:val="18"/>
              </w:rPr>
              <w:t>4.1%</w:t>
            </w:r>
          </w:p>
        </w:tc>
        <w:tc>
          <w:tcPr>
            <w:tcW w:w="1183" w:type="dxa"/>
            <w:tcBorders>
              <w:top w:val="nil"/>
              <w:left w:val="nil"/>
              <w:bottom w:val="single" w:sz="4" w:space="0" w:color="BFBFBF"/>
              <w:right w:val="single" w:sz="4" w:space="0" w:color="BFBFBF"/>
            </w:tcBorders>
            <w:noWrap/>
            <w:vAlign w:val="center"/>
            <w:hideMark/>
          </w:tcPr>
          <w:p w14:paraId="305D04A7" w14:textId="3B5884A0" w:rsidR="004D0F52" w:rsidRPr="00862CD8" w:rsidRDefault="004D0F52" w:rsidP="004D0F52">
            <w:pPr>
              <w:jc w:val="right"/>
              <w:rPr>
                <w:rFonts w:eastAsia="Times New Roman"/>
                <w:color w:val="C00000"/>
                <w:sz w:val="18"/>
                <w:szCs w:val="18"/>
              </w:rPr>
            </w:pPr>
            <w:r w:rsidRPr="00862CD8">
              <w:rPr>
                <w:color w:val="C00000"/>
                <w:sz w:val="18"/>
                <w:szCs w:val="18"/>
              </w:rPr>
              <w:t>3.1%</w:t>
            </w:r>
          </w:p>
        </w:tc>
        <w:tc>
          <w:tcPr>
            <w:tcW w:w="1184" w:type="dxa"/>
            <w:tcBorders>
              <w:top w:val="nil"/>
              <w:left w:val="nil"/>
              <w:bottom w:val="single" w:sz="4" w:space="0" w:color="BFBFBF"/>
              <w:right w:val="single" w:sz="4" w:space="0" w:color="auto"/>
            </w:tcBorders>
            <w:noWrap/>
            <w:vAlign w:val="center"/>
            <w:hideMark/>
          </w:tcPr>
          <w:p w14:paraId="7B884C90" w14:textId="5E1FD1A8" w:rsidR="004D0F52" w:rsidRPr="00862CD8" w:rsidRDefault="004D0F52" w:rsidP="004D0F52">
            <w:pPr>
              <w:jc w:val="right"/>
              <w:rPr>
                <w:rFonts w:eastAsia="Times New Roman"/>
                <w:color w:val="C00000"/>
                <w:sz w:val="18"/>
                <w:szCs w:val="18"/>
              </w:rPr>
            </w:pPr>
            <w:r w:rsidRPr="00862CD8">
              <w:rPr>
                <w:color w:val="C00000"/>
                <w:sz w:val="18"/>
                <w:szCs w:val="18"/>
              </w:rPr>
              <w:t>3.8%</w:t>
            </w:r>
          </w:p>
        </w:tc>
      </w:tr>
      <w:tr w:rsidR="004D0F52" w:rsidRPr="00B07EF5" w14:paraId="09BF5892"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68190888"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lastRenderedPageBreak/>
              <w:t>Household with 1+ person with mental health related activity limitation</w:t>
            </w:r>
          </w:p>
        </w:tc>
        <w:tc>
          <w:tcPr>
            <w:tcW w:w="1183" w:type="dxa"/>
            <w:tcBorders>
              <w:top w:val="nil"/>
              <w:left w:val="nil"/>
              <w:bottom w:val="single" w:sz="4" w:space="0" w:color="BFBFBF"/>
              <w:right w:val="single" w:sz="4" w:space="0" w:color="BFBFBF"/>
            </w:tcBorders>
            <w:shd w:val="clear" w:color="000000" w:fill="F2F2F2"/>
            <w:noWrap/>
            <w:vAlign w:val="center"/>
            <w:hideMark/>
          </w:tcPr>
          <w:p w14:paraId="23693CA6" w14:textId="746ED289" w:rsidR="004D0F52" w:rsidRPr="00862CD8" w:rsidRDefault="004D0F52" w:rsidP="004D0F52">
            <w:pPr>
              <w:jc w:val="right"/>
              <w:rPr>
                <w:rFonts w:eastAsia="Times New Roman"/>
                <w:color w:val="C00000"/>
                <w:sz w:val="18"/>
                <w:szCs w:val="18"/>
              </w:rPr>
            </w:pPr>
            <w:r w:rsidRPr="00862CD8">
              <w:rPr>
                <w:color w:val="C00000"/>
                <w:sz w:val="18"/>
                <w:szCs w:val="18"/>
              </w:rPr>
              <w:t>7.9%</w:t>
            </w:r>
          </w:p>
        </w:tc>
        <w:tc>
          <w:tcPr>
            <w:tcW w:w="1183" w:type="dxa"/>
            <w:tcBorders>
              <w:top w:val="nil"/>
              <w:left w:val="nil"/>
              <w:bottom w:val="single" w:sz="4" w:space="0" w:color="BFBFBF"/>
              <w:right w:val="single" w:sz="4" w:space="0" w:color="BFBFBF"/>
            </w:tcBorders>
            <w:shd w:val="clear" w:color="000000" w:fill="F2F2F2"/>
            <w:noWrap/>
            <w:vAlign w:val="center"/>
            <w:hideMark/>
          </w:tcPr>
          <w:p w14:paraId="17486DB8" w14:textId="5B6E4415" w:rsidR="004D0F52" w:rsidRPr="00862CD8" w:rsidRDefault="004D0F52" w:rsidP="004D0F52">
            <w:pPr>
              <w:jc w:val="right"/>
              <w:rPr>
                <w:rFonts w:eastAsia="Times New Roman"/>
                <w:color w:val="C00000"/>
                <w:sz w:val="18"/>
                <w:szCs w:val="18"/>
              </w:rPr>
            </w:pPr>
            <w:r w:rsidRPr="00862CD8">
              <w:rPr>
                <w:color w:val="C00000"/>
                <w:sz w:val="18"/>
                <w:szCs w:val="18"/>
              </w:rPr>
              <w:t>4.9%</w:t>
            </w:r>
          </w:p>
        </w:tc>
        <w:tc>
          <w:tcPr>
            <w:tcW w:w="1184" w:type="dxa"/>
            <w:tcBorders>
              <w:top w:val="nil"/>
              <w:left w:val="nil"/>
              <w:bottom w:val="single" w:sz="4" w:space="0" w:color="BFBFBF"/>
              <w:right w:val="single" w:sz="4" w:space="0" w:color="auto"/>
            </w:tcBorders>
            <w:shd w:val="clear" w:color="000000" w:fill="F2F2F2"/>
            <w:noWrap/>
            <w:vAlign w:val="center"/>
            <w:hideMark/>
          </w:tcPr>
          <w:p w14:paraId="50A5F546" w14:textId="3D2B38CB" w:rsidR="004D0F52" w:rsidRPr="00862CD8" w:rsidRDefault="004D0F52" w:rsidP="004D0F52">
            <w:pPr>
              <w:jc w:val="right"/>
              <w:rPr>
                <w:rFonts w:eastAsia="Times New Roman"/>
                <w:color w:val="C00000"/>
                <w:sz w:val="18"/>
                <w:szCs w:val="18"/>
              </w:rPr>
            </w:pPr>
            <w:r w:rsidRPr="00862CD8">
              <w:rPr>
                <w:color w:val="C00000"/>
                <w:sz w:val="18"/>
                <w:szCs w:val="18"/>
              </w:rPr>
              <w:t>6.0%</w:t>
            </w:r>
          </w:p>
        </w:tc>
      </w:tr>
      <w:tr w:rsidR="004D0F52" w:rsidRPr="00B07EF5" w14:paraId="0DD26483"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0CB5A039"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Lone parent</w:t>
            </w:r>
          </w:p>
        </w:tc>
        <w:tc>
          <w:tcPr>
            <w:tcW w:w="1183" w:type="dxa"/>
            <w:tcBorders>
              <w:top w:val="nil"/>
              <w:left w:val="nil"/>
              <w:bottom w:val="single" w:sz="4" w:space="0" w:color="BFBFBF"/>
              <w:right w:val="single" w:sz="4" w:space="0" w:color="BFBFBF"/>
            </w:tcBorders>
            <w:noWrap/>
            <w:vAlign w:val="center"/>
            <w:hideMark/>
          </w:tcPr>
          <w:p w14:paraId="2ED0739D" w14:textId="1BED85D9" w:rsidR="004D0F52" w:rsidRPr="00862CD8" w:rsidRDefault="004D0F52" w:rsidP="004D0F52">
            <w:pPr>
              <w:jc w:val="right"/>
              <w:rPr>
                <w:rFonts w:eastAsia="Times New Roman"/>
                <w:color w:val="C00000"/>
                <w:sz w:val="18"/>
                <w:szCs w:val="18"/>
              </w:rPr>
            </w:pPr>
            <w:r w:rsidRPr="00862CD8">
              <w:rPr>
                <w:color w:val="C00000"/>
                <w:sz w:val="18"/>
                <w:szCs w:val="18"/>
              </w:rPr>
              <w:t>13.4%</w:t>
            </w:r>
          </w:p>
        </w:tc>
        <w:tc>
          <w:tcPr>
            <w:tcW w:w="1183" w:type="dxa"/>
            <w:tcBorders>
              <w:top w:val="nil"/>
              <w:left w:val="nil"/>
              <w:bottom w:val="single" w:sz="4" w:space="0" w:color="BFBFBF"/>
              <w:right w:val="single" w:sz="4" w:space="0" w:color="BFBFBF"/>
            </w:tcBorders>
            <w:noWrap/>
            <w:vAlign w:val="center"/>
            <w:hideMark/>
          </w:tcPr>
          <w:p w14:paraId="0DF01DC3" w14:textId="39611560" w:rsidR="004D0F52" w:rsidRPr="00862CD8" w:rsidRDefault="004D0F52" w:rsidP="004D0F52">
            <w:pPr>
              <w:jc w:val="right"/>
              <w:rPr>
                <w:rFonts w:eastAsia="Times New Roman"/>
                <w:color w:val="C00000"/>
                <w:sz w:val="18"/>
                <w:szCs w:val="18"/>
              </w:rPr>
            </w:pPr>
            <w:r w:rsidRPr="00862CD8">
              <w:rPr>
                <w:color w:val="C00000"/>
                <w:sz w:val="18"/>
                <w:szCs w:val="18"/>
              </w:rPr>
              <w:t>10.6%</w:t>
            </w:r>
          </w:p>
        </w:tc>
        <w:tc>
          <w:tcPr>
            <w:tcW w:w="1184" w:type="dxa"/>
            <w:tcBorders>
              <w:top w:val="nil"/>
              <w:left w:val="nil"/>
              <w:bottom w:val="single" w:sz="4" w:space="0" w:color="BFBFBF"/>
              <w:right w:val="single" w:sz="4" w:space="0" w:color="auto"/>
            </w:tcBorders>
            <w:noWrap/>
            <w:vAlign w:val="center"/>
            <w:hideMark/>
          </w:tcPr>
          <w:p w14:paraId="4FB27F81" w14:textId="60AA60F1" w:rsidR="004D0F52" w:rsidRPr="00862CD8" w:rsidRDefault="004D0F52" w:rsidP="004D0F52">
            <w:pPr>
              <w:jc w:val="right"/>
              <w:rPr>
                <w:rFonts w:eastAsia="Times New Roman"/>
                <w:color w:val="C00000"/>
                <w:sz w:val="18"/>
                <w:szCs w:val="18"/>
              </w:rPr>
            </w:pPr>
            <w:r w:rsidRPr="00862CD8">
              <w:rPr>
                <w:color w:val="C00000"/>
                <w:sz w:val="18"/>
                <w:szCs w:val="18"/>
              </w:rPr>
              <w:t>11.1%</w:t>
            </w:r>
          </w:p>
        </w:tc>
      </w:tr>
      <w:tr w:rsidR="004D0F52" w:rsidRPr="00B07EF5" w14:paraId="55AD6250"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5B66B79A"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Female lone parent</w:t>
            </w:r>
          </w:p>
        </w:tc>
        <w:tc>
          <w:tcPr>
            <w:tcW w:w="1183" w:type="dxa"/>
            <w:tcBorders>
              <w:top w:val="nil"/>
              <w:left w:val="nil"/>
              <w:bottom w:val="single" w:sz="4" w:space="0" w:color="BFBFBF"/>
              <w:right w:val="single" w:sz="4" w:space="0" w:color="BFBFBF"/>
            </w:tcBorders>
            <w:shd w:val="clear" w:color="000000" w:fill="F2F2F2"/>
            <w:noWrap/>
            <w:vAlign w:val="center"/>
            <w:hideMark/>
          </w:tcPr>
          <w:p w14:paraId="0E9E69C3" w14:textId="12EF3E11" w:rsidR="004D0F52" w:rsidRPr="00862CD8" w:rsidRDefault="004D0F52" w:rsidP="004D0F52">
            <w:pPr>
              <w:jc w:val="right"/>
              <w:rPr>
                <w:rFonts w:eastAsia="Times New Roman"/>
                <w:color w:val="C00000"/>
                <w:sz w:val="18"/>
                <w:szCs w:val="18"/>
              </w:rPr>
            </w:pPr>
            <w:r w:rsidRPr="00862CD8">
              <w:rPr>
                <w:color w:val="C00000"/>
                <w:sz w:val="18"/>
                <w:szCs w:val="18"/>
              </w:rPr>
              <w:t>15.0%</w:t>
            </w:r>
          </w:p>
        </w:tc>
        <w:tc>
          <w:tcPr>
            <w:tcW w:w="1183" w:type="dxa"/>
            <w:tcBorders>
              <w:top w:val="nil"/>
              <w:left w:val="nil"/>
              <w:bottom w:val="single" w:sz="4" w:space="0" w:color="BFBFBF"/>
              <w:right w:val="single" w:sz="4" w:space="0" w:color="BFBFBF"/>
            </w:tcBorders>
            <w:shd w:val="clear" w:color="000000" w:fill="F2F2F2"/>
            <w:noWrap/>
            <w:vAlign w:val="center"/>
            <w:hideMark/>
          </w:tcPr>
          <w:p w14:paraId="6E4C1702" w14:textId="758493DE" w:rsidR="004D0F52" w:rsidRPr="00862CD8" w:rsidRDefault="004D0F52" w:rsidP="004D0F52">
            <w:pPr>
              <w:jc w:val="right"/>
              <w:rPr>
                <w:rFonts w:eastAsia="Times New Roman"/>
                <w:color w:val="C00000"/>
                <w:sz w:val="18"/>
                <w:szCs w:val="18"/>
              </w:rPr>
            </w:pPr>
            <w:r w:rsidRPr="00862CD8">
              <w:rPr>
                <w:color w:val="C00000"/>
                <w:sz w:val="18"/>
                <w:szCs w:val="18"/>
              </w:rPr>
              <w:t>11.7%</w:t>
            </w:r>
          </w:p>
        </w:tc>
        <w:tc>
          <w:tcPr>
            <w:tcW w:w="1184" w:type="dxa"/>
            <w:tcBorders>
              <w:top w:val="nil"/>
              <w:left w:val="nil"/>
              <w:bottom w:val="single" w:sz="4" w:space="0" w:color="BFBFBF"/>
              <w:right w:val="single" w:sz="4" w:space="0" w:color="auto"/>
            </w:tcBorders>
            <w:shd w:val="clear" w:color="000000" w:fill="F2F2F2"/>
            <w:noWrap/>
            <w:vAlign w:val="center"/>
            <w:hideMark/>
          </w:tcPr>
          <w:p w14:paraId="781B9844" w14:textId="2C989199" w:rsidR="004D0F52" w:rsidRPr="00862CD8" w:rsidRDefault="004D0F52" w:rsidP="004D0F52">
            <w:pPr>
              <w:jc w:val="right"/>
              <w:rPr>
                <w:rFonts w:eastAsia="Times New Roman"/>
                <w:color w:val="C00000"/>
                <w:sz w:val="18"/>
                <w:szCs w:val="18"/>
              </w:rPr>
            </w:pPr>
            <w:r w:rsidRPr="00862CD8">
              <w:rPr>
                <w:color w:val="C00000"/>
                <w:sz w:val="18"/>
                <w:szCs w:val="18"/>
              </w:rPr>
              <w:t>11.5%</w:t>
            </w:r>
          </w:p>
        </w:tc>
      </w:tr>
      <w:tr w:rsidR="004D0F52" w:rsidRPr="00B07EF5" w14:paraId="3DA71F2B"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77A16968"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Women+ led household</w:t>
            </w:r>
          </w:p>
        </w:tc>
        <w:tc>
          <w:tcPr>
            <w:tcW w:w="1183" w:type="dxa"/>
            <w:tcBorders>
              <w:top w:val="nil"/>
              <w:left w:val="nil"/>
              <w:bottom w:val="single" w:sz="4" w:space="0" w:color="BFBFBF"/>
              <w:right w:val="single" w:sz="4" w:space="0" w:color="BFBFBF"/>
            </w:tcBorders>
            <w:noWrap/>
            <w:vAlign w:val="center"/>
            <w:hideMark/>
          </w:tcPr>
          <w:p w14:paraId="0655AC87" w14:textId="1A1040D8" w:rsidR="004D0F52" w:rsidRPr="00862CD8" w:rsidRDefault="004D0F52" w:rsidP="004D0F52">
            <w:pPr>
              <w:jc w:val="right"/>
              <w:rPr>
                <w:rFonts w:eastAsia="Times New Roman"/>
                <w:color w:val="C00000"/>
                <w:sz w:val="18"/>
                <w:szCs w:val="18"/>
              </w:rPr>
            </w:pPr>
            <w:r w:rsidRPr="00862CD8">
              <w:rPr>
                <w:color w:val="C00000"/>
                <w:sz w:val="18"/>
                <w:szCs w:val="18"/>
              </w:rPr>
              <w:t>11.0%</w:t>
            </w:r>
          </w:p>
        </w:tc>
        <w:tc>
          <w:tcPr>
            <w:tcW w:w="1183" w:type="dxa"/>
            <w:tcBorders>
              <w:top w:val="nil"/>
              <w:left w:val="nil"/>
              <w:bottom w:val="single" w:sz="4" w:space="0" w:color="BFBFBF"/>
              <w:right w:val="single" w:sz="4" w:space="0" w:color="BFBFBF"/>
            </w:tcBorders>
            <w:noWrap/>
            <w:vAlign w:val="center"/>
            <w:hideMark/>
          </w:tcPr>
          <w:p w14:paraId="1FC86055" w14:textId="6237F5A7" w:rsidR="004D0F52" w:rsidRPr="00862CD8" w:rsidRDefault="004D0F52" w:rsidP="004D0F52">
            <w:pPr>
              <w:jc w:val="right"/>
              <w:rPr>
                <w:rFonts w:eastAsia="Times New Roman"/>
                <w:color w:val="C00000"/>
                <w:sz w:val="18"/>
                <w:szCs w:val="18"/>
              </w:rPr>
            </w:pPr>
            <w:r w:rsidRPr="00862CD8">
              <w:rPr>
                <w:color w:val="C00000"/>
                <w:sz w:val="18"/>
                <w:szCs w:val="18"/>
              </w:rPr>
              <w:t>7.7%</w:t>
            </w:r>
          </w:p>
        </w:tc>
        <w:tc>
          <w:tcPr>
            <w:tcW w:w="1184" w:type="dxa"/>
            <w:tcBorders>
              <w:top w:val="nil"/>
              <w:left w:val="nil"/>
              <w:bottom w:val="single" w:sz="4" w:space="0" w:color="BFBFBF"/>
              <w:right w:val="single" w:sz="4" w:space="0" w:color="auto"/>
            </w:tcBorders>
            <w:noWrap/>
            <w:vAlign w:val="center"/>
            <w:hideMark/>
          </w:tcPr>
          <w:p w14:paraId="65245393" w14:textId="5162F958" w:rsidR="004D0F52" w:rsidRPr="00862CD8" w:rsidRDefault="004D0F52" w:rsidP="004D0F52">
            <w:pPr>
              <w:jc w:val="right"/>
              <w:rPr>
                <w:rFonts w:eastAsia="Times New Roman"/>
                <w:color w:val="C00000"/>
                <w:sz w:val="18"/>
                <w:szCs w:val="18"/>
              </w:rPr>
            </w:pPr>
            <w:r w:rsidRPr="00862CD8">
              <w:rPr>
                <w:color w:val="C00000"/>
                <w:sz w:val="18"/>
                <w:szCs w:val="18"/>
              </w:rPr>
              <w:t>8.7%</w:t>
            </w:r>
          </w:p>
        </w:tc>
      </w:tr>
      <w:tr w:rsidR="004D0F52" w:rsidRPr="00B07EF5" w14:paraId="7D6C17C5"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4F639C9F"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Single person</w:t>
            </w:r>
          </w:p>
        </w:tc>
        <w:tc>
          <w:tcPr>
            <w:tcW w:w="1183" w:type="dxa"/>
            <w:tcBorders>
              <w:top w:val="nil"/>
              <w:left w:val="nil"/>
              <w:bottom w:val="single" w:sz="4" w:space="0" w:color="BFBFBF"/>
              <w:right w:val="single" w:sz="4" w:space="0" w:color="BFBFBF"/>
            </w:tcBorders>
            <w:shd w:val="clear" w:color="000000" w:fill="F2F2F2"/>
            <w:noWrap/>
            <w:vAlign w:val="center"/>
            <w:hideMark/>
          </w:tcPr>
          <w:p w14:paraId="3B7C5E19" w14:textId="11E04D19" w:rsidR="004D0F52" w:rsidRPr="00862CD8" w:rsidRDefault="004D0F52" w:rsidP="004D0F52">
            <w:pPr>
              <w:jc w:val="right"/>
              <w:rPr>
                <w:rFonts w:eastAsia="Times New Roman"/>
                <w:color w:val="C00000"/>
                <w:sz w:val="18"/>
                <w:szCs w:val="18"/>
              </w:rPr>
            </w:pPr>
            <w:r w:rsidRPr="00862CD8">
              <w:rPr>
                <w:color w:val="C00000"/>
                <w:sz w:val="18"/>
                <w:szCs w:val="18"/>
              </w:rPr>
              <w:t>16.9%</w:t>
            </w:r>
          </w:p>
        </w:tc>
        <w:tc>
          <w:tcPr>
            <w:tcW w:w="1183" w:type="dxa"/>
            <w:tcBorders>
              <w:top w:val="nil"/>
              <w:left w:val="nil"/>
              <w:bottom w:val="single" w:sz="4" w:space="0" w:color="BFBFBF"/>
              <w:right w:val="single" w:sz="4" w:space="0" w:color="BFBFBF"/>
            </w:tcBorders>
            <w:shd w:val="clear" w:color="000000" w:fill="F2F2F2"/>
            <w:noWrap/>
            <w:vAlign w:val="center"/>
            <w:hideMark/>
          </w:tcPr>
          <w:p w14:paraId="2D32B2DC" w14:textId="7550A661" w:rsidR="004D0F52" w:rsidRPr="00862CD8" w:rsidRDefault="004D0F52" w:rsidP="004D0F52">
            <w:pPr>
              <w:jc w:val="right"/>
              <w:rPr>
                <w:rFonts w:eastAsia="Times New Roman"/>
                <w:color w:val="C00000"/>
                <w:sz w:val="18"/>
                <w:szCs w:val="18"/>
              </w:rPr>
            </w:pPr>
            <w:r w:rsidRPr="00862CD8">
              <w:rPr>
                <w:color w:val="C00000"/>
                <w:sz w:val="18"/>
                <w:szCs w:val="18"/>
              </w:rPr>
              <w:t>14.0%</w:t>
            </w:r>
          </w:p>
        </w:tc>
        <w:tc>
          <w:tcPr>
            <w:tcW w:w="1184" w:type="dxa"/>
            <w:tcBorders>
              <w:top w:val="nil"/>
              <w:left w:val="nil"/>
              <w:bottom w:val="single" w:sz="4" w:space="0" w:color="BFBFBF"/>
              <w:right w:val="single" w:sz="4" w:space="0" w:color="auto"/>
            </w:tcBorders>
            <w:shd w:val="clear" w:color="000000" w:fill="F2F2F2"/>
            <w:noWrap/>
            <w:vAlign w:val="center"/>
            <w:hideMark/>
          </w:tcPr>
          <w:p w14:paraId="0D046A3B" w14:textId="0813414E" w:rsidR="004D0F52" w:rsidRPr="00862CD8" w:rsidRDefault="004D0F52" w:rsidP="004D0F52">
            <w:pPr>
              <w:jc w:val="right"/>
              <w:rPr>
                <w:rFonts w:eastAsia="Times New Roman"/>
                <w:color w:val="C00000"/>
                <w:sz w:val="18"/>
                <w:szCs w:val="18"/>
              </w:rPr>
            </w:pPr>
            <w:r w:rsidRPr="00862CD8">
              <w:rPr>
                <w:color w:val="C00000"/>
                <w:sz w:val="18"/>
                <w:szCs w:val="18"/>
              </w:rPr>
              <w:t>16.6%</w:t>
            </w:r>
          </w:p>
        </w:tc>
      </w:tr>
      <w:tr w:rsidR="004D0F52" w:rsidRPr="00B07EF5" w14:paraId="48753A59"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36D8E591"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Indigenous household</w:t>
            </w:r>
          </w:p>
        </w:tc>
        <w:tc>
          <w:tcPr>
            <w:tcW w:w="1183" w:type="dxa"/>
            <w:tcBorders>
              <w:top w:val="nil"/>
              <w:left w:val="nil"/>
              <w:bottom w:val="single" w:sz="4" w:space="0" w:color="BFBFBF"/>
              <w:right w:val="single" w:sz="4" w:space="0" w:color="BFBFBF"/>
            </w:tcBorders>
            <w:noWrap/>
            <w:vAlign w:val="center"/>
            <w:hideMark/>
          </w:tcPr>
          <w:p w14:paraId="39EBAF09" w14:textId="20AF47E6" w:rsidR="004D0F52" w:rsidRPr="00862CD8" w:rsidRDefault="004D0F52" w:rsidP="004D0F52">
            <w:pPr>
              <w:jc w:val="right"/>
              <w:rPr>
                <w:rFonts w:eastAsia="Times New Roman"/>
                <w:color w:val="C00000"/>
                <w:sz w:val="18"/>
                <w:szCs w:val="18"/>
              </w:rPr>
            </w:pPr>
            <w:r w:rsidRPr="00862CD8">
              <w:rPr>
                <w:color w:val="C00000"/>
                <w:sz w:val="18"/>
                <w:szCs w:val="18"/>
              </w:rPr>
              <w:t>11.4%</w:t>
            </w:r>
          </w:p>
        </w:tc>
        <w:tc>
          <w:tcPr>
            <w:tcW w:w="1183" w:type="dxa"/>
            <w:tcBorders>
              <w:top w:val="nil"/>
              <w:left w:val="nil"/>
              <w:bottom w:val="single" w:sz="4" w:space="0" w:color="BFBFBF"/>
              <w:right w:val="single" w:sz="4" w:space="0" w:color="BFBFBF"/>
            </w:tcBorders>
            <w:noWrap/>
            <w:vAlign w:val="center"/>
            <w:hideMark/>
          </w:tcPr>
          <w:p w14:paraId="21A6D16D" w14:textId="0720711F" w:rsidR="004D0F52" w:rsidRPr="00862CD8" w:rsidRDefault="004D0F52" w:rsidP="004D0F52">
            <w:pPr>
              <w:jc w:val="right"/>
              <w:rPr>
                <w:rFonts w:eastAsia="Times New Roman"/>
                <w:color w:val="C00000"/>
                <w:sz w:val="18"/>
                <w:szCs w:val="18"/>
              </w:rPr>
            </w:pPr>
            <w:r w:rsidRPr="00862CD8">
              <w:rPr>
                <w:color w:val="C00000"/>
                <w:sz w:val="18"/>
                <w:szCs w:val="18"/>
              </w:rPr>
              <w:t>8.9%</w:t>
            </w:r>
          </w:p>
        </w:tc>
        <w:tc>
          <w:tcPr>
            <w:tcW w:w="1184" w:type="dxa"/>
            <w:tcBorders>
              <w:top w:val="nil"/>
              <w:left w:val="nil"/>
              <w:bottom w:val="single" w:sz="4" w:space="0" w:color="BFBFBF"/>
              <w:right w:val="single" w:sz="4" w:space="0" w:color="auto"/>
            </w:tcBorders>
            <w:noWrap/>
            <w:vAlign w:val="center"/>
            <w:hideMark/>
          </w:tcPr>
          <w:p w14:paraId="17BCFE51" w14:textId="613A7500" w:rsidR="004D0F52" w:rsidRPr="00862CD8" w:rsidRDefault="004D0F52" w:rsidP="004D0F52">
            <w:pPr>
              <w:jc w:val="right"/>
              <w:rPr>
                <w:rFonts w:eastAsia="Times New Roman"/>
                <w:color w:val="C00000"/>
                <w:sz w:val="18"/>
                <w:szCs w:val="18"/>
              </w:rPr>
            </w:pPr>
            <w:r w:rsidRPr="00862CD8">
              <w:rPr>
                <w:color w:val="C00000"/>
                <w:sz w:val="18"/>
                <w:szCs w:val="18"/>
              </w:rPr>
              <w:t>9.0%</w:t>
            </w:r>
          </w:p>
        </w:tc>
      </w:tr>
      <w:tr w:rsidR="004D0F52" w:rsidRPr="00B07EF5" w14:paraId="64001117"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544C48C4"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Visible minority household</w:t>
            </w:r>
          </w:p>
        </w:tc>
        <w:tc>
          <w:tcPr>
            <w:tcW w:w="1183" w:type="dxa"/>
            <w:tcBorders>
              <w:top w:val="nil"/>
              <w:left w:val="nil"/>
              <w:bottom w:val="single" w:sz="4" w:space="0" w:color="BFBFBF"/>
              <w:right w:val="single" w:sz="4" w:space="0" w:color="BFBFBF"/>
            </w:tcBorders>
            <w:shd w:val="clear" w:color="000000" w:fill="F2F2F2"/>
            <w:noWrap/>
            <w:vAlign w:val="center"/>
            <w:hideMark/>
          </w:tcPr>
          <w:p w14:paraId="0D905847" w14:textId="221849FD" w:rsidR="004D0F52" w:rsidRPr="00862CD8" w:rsidRDefault="004D0F52" w:rsidP="004D0F52">
            <w:pPr>
              <w:jc w:val="right"/>
              <w:rPr>
                <w:rFonts w:eastAsia="Times New Roman"/>
                <w:color w:val="C00000"/>
                <w:sz w:val="18"/>
                <w:szCs w:val="18"/>
              </w:rPr>
            </w:pPr>
            <w:r w:rsidRPr="00862CD8">
              <w:rPr>
                <w:color w:val="C00000"/>
                <w:sz w:val="18"/>
                <w:szCs w:val="18"/>
              </w:rPr>
              <w:t>10.6%</w:t>
            </w:r>
          </w:p>
        </w:tc>
        <w:tc>
          <w:tcPr>
            <w:tcW w:w="1183" w:type="dxa"/>
            <w:tcBorders>
              <w:top w:val="nil"/>
              <w:left w:val="nil"/>
              <w:bottom w:val="single" w:sz="4" w:space="0" w:color="BFBFBF"/>
              <w:right w:val="single" w:sz="4" w:space="0" w:color="BFBFBF"/>
            </w:tcBorders>
            <w:shd w:val="clear" w:color="000000" w:fill="F2F2F2"/>
            <w:noWrap/>
            <w:vAlign w:val="center"/>
            <w:hideMark/>
          </w:tcPr>
          <w:p w14:paraId="759763CC" w14:textId="2C554406" w:rsidR="004D0F52" w:rsidRPr="00862CD8" w:rsidRDefault="004D0F52" w:rsidP="004D0F52">
            <w:pPr>
              <w:jc w:val="right"/>
              <w:rPr>
                <w:rFonts w:eastAsia="Times New Roman"/>
                <w:color w:val="C00000"/>
                <w:sz w:val="18"/>
                <w:szCs w:val="18"/>
              </w:rPr>
            </w:pPr>
            <w:r w:rsidRPr="00862CD8">
              <w:rPr>
                <w:color w:val="C00000"/>
                <w:sz w:val="18"/>
                <w:szCs w:val="18"/>
              </w:rPr>
              <w:t>10.1%</w:t>
            </w:r>
          </w:p>
        </w:tc>
        <w:tc>
          <w:tcPr>
            <w:tcW w:w="1184" w:type="dxa"/>
            <w:tcBorders>
              <w:top w:val="nil"/>
              <w:left w:val="nil"/>
              <w:bottom w:val="single" w:sz="4" w:space="0" w:color="BFBFBF"/>
              <w:right w:val="single" w:sz="4" w:space="0" w:color="auto"/>
            </w:tcBorders>
            <w:shd w:val="clear" w:color="000000" w:fill="F2F2F2"/>
            <w:noWrap/>
            <w:vAlign w:val="center"/>
            <w:hideMark/>
          </w:tcPr>
          <w:p w14:paraId="4BDC784D" w14:textId="742EFDF7" w:rsidR="004D0F52" w:rsidRPr="00862CD8" w:rsidRDefault="004D0F52" w:rsidP="004D0F52">
            <w:pPr>
              <w:jc w:val="right"/>
              <w:rPr>
                <w:rFonts w:eastAsia="Times New Roman"/>
                <w:color w:val="C00000"/>
                <w:sz w:val="18"/>
                <w:szCs w:val="18"/>
              </w:rPr>
            </w:pPr>
            <w:r w:rsidRPr="00862CD8">
              <w:rPr>
                <w:color w:val="C00000"/>
                <w:sz w:val="18"/>
                <w:szCs w:val="18"/>
              </w:rPr>
              <w:t>9.1%</w:t>
            </w:r>
          </w:p>
        </w:tc>
      </w:tr>
      <w:tr w:rsidR="004D0F52" w:rsidRPr="00B07EF5" w14:paraId="255D77E4"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719C8781"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Immigrant led household</w:t>
            </w:r>
          </w:p>
        </w:tc>
        <w:tc>
          <w:tcPr>
            <w:tcW w:w="1183" w:type="dxa"/>
            <w:tcBorders>
              <w:top w:val="nil"/>
              <w:left w:val="nil"/>
              <w:bottom w:val="single" w:sz="4" w:space="0" w:color="BFBFBF"/>
              <w:right w:val="single" w:sz="4" w:space="0" w:color="BFBFBF"/>
            </w:tcBorders>
            <w:noWrap/>
            <w:vAlign w:val="center"/>
            <w:hideMark/>
          </w:tcPr>
          <w:p w14:paraId="1D074C23" w14:textId="133F583C" w:rsidR="004D0F52" w:rsidRPr="00862CD8" w:rsidRDefault="004D0F52" w:rsidP="004D0F52">
            <w:pPr>
              <w:jc w:val="right"/>
              <w:rPr>
                <w:rFonts w:eastAsia="Times New Roman"/>
                <w:color w:val="C00000"/>
                <w:sz w:val="18"/>
                <w:szCs w:val="18"/>
              </w:rPr>
            </w:pPr>
            <w:r w:rsidRPr="00862CD8">
              <w:rPr>
                <w:color w:val="C00000"/>
                <w:sz w:val="18"/>
                <w:szCs w:val="18"/>
              </w:rPr>
              <w:t>9.9%</w:t>
            </w:r>
          </w:p>
        </w:tc>
        <w:tc>
          <w:tcPr>
            <w:tcW w:w="1183" w:type="dxa"/>
            <w:tcBorders>
              <w:top w:val="nil"/>
              <w:left w:val="nil"/>
              <w:bottom w:val="single" w:sz="4" w:space="0" w:color="BFBFBF"/>
              <w:right w:val="single" w:sz="4" w:space="0" w:color="BFBFBF"/>
            </w:tcBorders>
            <w:noWrap/>
            <w:vAlign w:val="center"/>
            <w:hideMark/>
          </w:tcPr>
          <w:p w14:paraId="3C00A053" w14:textId="350C3BEB" w:rsidR="004D0F52" w:rsidRPr="00862CD8" w:rsidRDefault="004D0F52" w:rsidP="004D0F52">
            <w:pPr>
              <w:jc w:val="right"/>
              <w:rPr>
                <w:rFonts w:eastAsia="Times New Roman"/>
                <w:color w:val="C00000"/>
                <w:sz w:val="18"/>
                <w:szCs w:val="18"/>
              </w:rPr>
            </w:pPr>
            <w:r w:rsidRPr="00862CD8">
              <w:rPr>
                <w:color w:val="C00000"/>
                <w:sz w:val="18"/>
                <w:szCs w:val="18"/>
              </w:rPr>
              <w:t>8.7%</w:t>
            </w:r>
          </w:p>
        </w:tc>
        <w:tc>
          <w:tcPr>
            <w:tcW w:w="1184" w:type="dxa"/>
            <w:tcBorders>
              <w:top w:val="nil"/>
              <w:left w:val="nil"/>
              <w:bottom w:val="single" w:sz="4" w:space="0" w:color="BFBFBF"/>
              <w:right w:val="single" w:sz="4" w:space="0" w:color="auto"/>
            </w:tcBorders>
            <w:noWrap/>
            <w:vAlign w:val="center"/>
            <w:hideMark/>
          </w:tcPr>
          <w:p w14:paraId="7F13602C" w14:textId="50A7DE45" w:rsidR="004D0F52" w:rsidRPr="00862CD8" w:rsidRDefault="004D0F52" w:rsidP="004D0F52">
            <w:pPr>
              <w:jc w:val="right"/>
              <w:rPr>
                <w:rFonts w:eastAsia="Times New Roman"/>
                <w:color w:val="C00000"/>
                <w:sz w:val="18"/>
                <w:szCs w:val="18"/>
              </w:rPr>
            </w:pPr>
            <w:r w:rsidRPr="00862CD8">
              <w:rPr>
                <w:color w:val="C00000"/>
                <w:sz w:val="18"/>
                <w:szCs w:val="18"/>
              </w:rPr>
              <w:t>8.7%</w:t>
            </w:r>
          </w:p>
        </w:tc>
      </w:tr>
      <w:tr w:rsidR="004D0F52" w:rsidRPr="00B07EF5" w14:paraId="5ECF452F"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0DCD1BB4"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Recent immigrants (2016 to 2021) led household</w:t>
            </w:r>
          </w:p>
        </w:tc>
        <w:tc>
          <w:tcPr>
            <w:tcW w:w="1183" w:type="dxa"/>
            <w:tcBorders>
              <w:top w:val="nil"/>
              <w:left w:val="nil"/>
              <w:bottom w:val="single" w:sz="4" w:space="0" w:color="BFBFBF"/>
              <w:right w:val="single" w:sz="4" w:space="0" w:color="BFBFBF"/>
            </w:tcBorders>
            <w:shd w:val="clear" w:color="000000" w:fill="F2F2F2"/>
            <w:noWrap/>
            <w:vAlign w:val="center"/>
            <w:hideMark/>
          </w:tcPr>
          <w:p w14:paraId="10AC92DF" w14:textId="4A665D52" w:rsidR="004D0F52" w:rsidRPr="00862CD8" w:rsidRDefault="004D0F52" w:rsidP="004D0F52">
            <w:pPr>
              <w:jc w:val="right"/>
              <w:rPr>
                <w:rFonts w:eastAsia="Times New Roman"/>
                <w:color w:val="C00000"/>
                <w:sz w:val="18"/>
                <w:szCs w:val="18"/>
              </w:rPr>
            </w:pPr>
            <w:r w:rsidRPr="00862CD8">
              <w:rPr>
                <w:color w:val="C00000"/>
                <w:sz w:val="18"/>
                <w:szCs w:val="18"/>
              </w:rPr>
              <w:t>10.9%</w:t>
            </w:r>
          </w:p>
        </w:tc>
        <w:tc>
          <w:tcPr>
            <w:tcW w:w="1183" w:type="dxa"/>
            <w:tcBorders>
              <w:top w:val="nil"/>
              <w:left w:val="nil"/>
              <w:bottom w:val="single" w:sz="4" w:space="0" w:color="BFBFBF"/>
              <w:right w:val="single" w:sz="4" w:space="0" w:color="BFBFBF"/>
            </w:tcBorders>
            <w:shd w:val="clear" w:color="000000" w:fill="F2F2F2"/>
            <w:noWrap/>
            <w:vAlign w:val="center"/>
            <w:hideMark/>
          </w:tcPr>
          <w:p w14:paraId="478B3D9E" w14:textId="0F97819E" w:rsidR="004D0F52" w:rsidRPr="00862CD8" w:rsidRDefault="004D0F52" w:rsidP="004D0F52">
            <w:pPr>
              <w:jc w:val="right"/>
              <w:rPr>
                <w:rFonts w:eastAsia="Times New Roman"/>
                <w:color w:val="C00000"/>
                <w:sz w:val="18"/>
                <w:szCs w:val="18"/>
              </w:rPr>
            </w:pPr>
            <w:r w:rsidRPr="00862CD8">
              <w:rPr>
                <w:color w:val="C00000"/>
                <w:sz w:val="18"/>
                <w:szCs w:val="18"/>
              </w:rPr>
              <w:t>9.7%</w:t>
            </w:r>
          </w:p>
        </w:tc>
        <w:tc>
          <w:tcPr>
            <w:tcW w:w="1184" w:type="dxa"/>
            <w:tcBorders>
              <w:top w:val="nil"/>
              <w:left w:val="nil"/>
              <w:bottom w:val="single" w:sz="4" w:space="0" w:color="BFBFBF"/>
              <w:right w:val="single" w:sz="4" w:space="0" w:color="auto"/>
            </w:tcBorders>
            <w:shd w:val="clear" w:color="000000" w:fill="F2F2F2"/>
            <w:noWrap/>
            <w:vAlign w:val="center"/>
            <w:hideMark/>
          </w:tcPr>
          <w:p w14:paraId="43C7B09D" w14:textId="381B066A" w:rsidR="004D0F52" w:rsidRPr="00862CD8" w:rsidRDefault="004D0F52" w:rsidP="004D0F52">
            <w:pPr>
              <w:jc w:val="right"/>
              <w:rPr>
                <w:rFonts w:eastAsia="Times New Roman"/>
                <w:color w:val="C00000"/>
                <w:sz w:val="18"/>
                <w:szCs w:val="18"/>
              </w:rPr>
            </w:pPr>
            <w:r w:rsidRPr="00862CD8">
              <w:rPr>
                <w:color w:val="C00000"/>
                <w:sz w:val="18"/>
                <w:szCs w:val="18"/>
              </w:rPr>
              <w:t>9.1%</w:t>
            </w:r>
          </w:p>
        </w:tc>
      </w:tr>
      <w:tr w:rsidR="004D0F52" w:rsidRPr="00B07EF5" w14:paraId="1C9D8EFA"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509E0739"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Refugee led household</w:t>
            </w:r>
          </w:p>
        </w:tc>
        <w:tc>
          <w:tcPr>
            <w:tcW w:w="1183" w:type="dxa"/>
            <w:tcBorders>
              <w:top w:val="nil"/>
              <w:left w:val="nil"/>
              <w:bottom w:val="single" w:sz="4" w:space="0" w:color="BFBFBF"/>
              <w:right w:val="single" w:sz="4" w:space="0" w:color="BFBFBF"/>
            </w:tcBorders>
            <w:noWrap/>
            <w:vAlign w:val="center"/>
            <w:hideMark/>
          </w:tcPr>
          <w:p w14:paraId="5987E5CE" w14:textId="31889BFB" w:rsidR="004D0F52" w:rsidRPr="00862CD8" w:rsidRDefault="004D0F52" w:rsidP="004D0F52">
            <w:pPr>
              <w:jc w:val="right"/>
              <w:rPr>
                <w:rFonts w:eastAsia="Times New Roman"/>
                <w:color w:val="C00000"/>
                <w:sz w:val="18"/>
                <w:szCs w:val="18"/>
              </w:rPr>
            </w:pPr>
            <w:r w:rsidRPr="00862CD8">
              <w:rPr>
                <w:color w:val="C00000"/>
                <w:sz w:val="18"/>
                <w:szCs w:val="18"/>
              </w:rPr>
              <w:t>14.6%</w:t>
            </w:r>
          </w:p>
        </w:tc>
        <w:tc>
          <w:tcPr>
            <w:tcW w:w="1183" w:type="dxa"/>
            <w:tcBorders>
              <w:top w:val="nil"/>
              <w:left w:val="nil"/>
              <w:bottom w:val="single" w:sz="4" w:space="0" w:color="BFBFBF"/>
              <w:right w:val="single" w:sz="4" w:space="0" w:color="BFBFBF"/>
            </w:tcBorders>
            <w:noWrap/>
            <w:vAlign w:val="center"/>
            <w:hideMark/>
          </w:tcPr>
          <w:p w14:paraId="4D87F058" w14:textId="5D4AAB06" w:rsidR="004D0F52" w:rsidRPr="00862CD8" w:rsidRDefault="004D0F52" w:rsidP="004D0F52">
            <w:pPr>
              <w:jc w:val="right"/>
              <w:rPr>
                <w:rFonts w:eastAsia="Times New Roman"/>
                <w:color w:val="C00000"/>
                <w:sz w:val="18"/>
                <w:szCs w:val="18"/>
              </w:rPr>
            </w:pPr>
            <w:r w:rsidRPr="00862CD8">
              <w:rPr>
                <w:color w:val="C00000"/>
                <w:sz w:val="18"/>
                <w:szCs w:val="18"/>
              </w:rPr>
              <w:t>15.3%</w:t>
            </w:r>
          </w:p>
        </w:tc>
        <w:tc>
          <w:tcPr>
            <w:tcW w:w="1184" w:type="dxa"/>
            <w:tcBorders>
              <w:top w:val="nil"/>
              <w:left w:val="nil"/>
              <w:bottom w:val="single" w:sz="4" w:space="0" w:color="BFBFBF"/>
              <w:right w:val="single" w:sz="4" w:space="0" w:color="auto"/>
            </w:tcBorders>
            <w:noWrap/>
            <w:vAlign w:val="center"/>
            <w:hideMark/>
          </w:tcPr>
          <w:p w14:paraId="731C3802" w14:textId="700F419B" w:rsidR="004D0F52" w:rsidRPr="00862CD8" w:rsidRDefault="004D0F52" w:rsidP="004D0F52">
            <w:pPr>
              <w:jc w:val="right"/>
              <w:rPr>
                <w:rFonts w:eastAsia="Times New Roman"/>
                <w:color w:val="C00000"/>
                <w:sz w:val="18"/>
                <w:szCs w:val="18"/>
              </w:rPr>
            </w:pPr>
            <w:r w:rsidRPr="00862CD8">
              <w:rPr>
                <w:color w:val="C00000"/>
                <w:sz w:val="18"/>
                <w:szCs w:val="18"/>
              </w:rPr>
              <w:t>15.2%</w:t>
            </w:r>
          </w:p>
        </w:tc>
      </w:tr>
      <w:tr w:rsidR="004D0F52" w:rsidRPr="00B07EF5" w14:paraId="5867887E"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6382D62C"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Non-permanent resident led household</w:t>
            </w:r>
          </w:p>
        </w:tc>
        <w:tc>
          <w:tcPr>
            <w:tcW w:w="1183" w:type="dxa"/>
            <w:tcBorders>
              <w:top w:val="nil"/>
              <w:left w:val="nil"/>
              <w:bottom w:val="single" w:sz="4" w:space="0" w:color="BFBFBF"/>
              <w:right w:val="single" w:sz="4" w:space="0" w:color="BFBFBF"/>
            </w:tcBorders>
            <w:shd w:val="clear" w:color="000000" w:fill="F2F2F2"/>
            <w:noWrap/>
            <w:vAlign w:val="center"/>
            <w:hideMark/>
          </w:tcPr>
          <w:p w14:paraId="2D5F4F85" w14:textId="11DD3C61" w:rsidR="004D0F52" w:rsidRPr="00862CD8" w:rsidRDefault="004D0F52" w:rsidP="004D0F52">
            <w:pPr>
              <w:jc w:val="right"/>
              <w:rPr>
                <w:rFonts w:eastAsia="Times New Roman"/>
                <w:color w:val="C00000"/>
                <w:sz w:val="18"/>
                <w:szCs w:val="18"/>
              </w:rPr>
            </w:pPr>
            <w:r w:rsidRPr="00862CD8">
              <w:rPr>
                <w:color w:val="C00000"/>
                <w:sz w:val="18"/>
                <w:szCs w:val="18"/>
              </w:rPr>
              <w:t>12.2%</w:t>
            </w:r>
          </w:p>
        </w:tc>
        <w:tc>
          <w:tcPr>
            <w:tcW w:w="1183" w:type="dxa"/>
            <w:tcBorders>
              <w:top w:val="nil"/>
              <w:left w:val="nil"/>
              <w:bottom w:val="single" w:sz="4" w:space="0" w:color="BFBFBF"/>
              <w:right w:val="single" w:sz="4" w:space="0" w:color="BFBFBF"/>
            </w:tcBorders>
            <w:shd w:val="clear" w:color="000000" w:fill="F2F2F2"/>
            <w:noWrap/>
            <w:vAlign w:val="center"/>
            <w:hideMark/>
          </w:tcPr>
          <w:p w14:paraId="3C7A6C9F" w14:textId="2153AADE" w:rsidR="004D0F52" w:rsidRPr="00862CD8" w:rsidRDefault="004D0F52" w:rsidP="004D0F52">
            <w:pPr>
              <w:jc w:val="right"/>
              <w:rPr>
                <w:rFonts w:eastAsia="Times New Roman"/>
                <w:color w:val="C00000"/>
                <w:sz w:val="18"/>
                <w:szCs w:val="18"/>
              </w:rPr>
            </w:pPr>
            <w:r w:rsidRPr="00862CD8">
              <w:rPr>
                <w:color w:val="C00000"/>
                <w:sz w:val="18"/>
                <w:szCs w:val="18"/>
              </w:rPr>
              <w:t>12.5%</w:t>
            </w:r>
          </w:p>
        </w:tc>
        <w:tc>
          <w:tcPr>
            <w:tcW w:w="1184" w:type="dxa"/>
            <w:tcBorders>
              <w:top w:val="nil"/>
              <w:left w:val="nil"/>
              <w:bottom w:val="single" w:sz="4" w:space="0" w:color="BFBFBF"/>
              <w:right w:val="single" w:sz="4" w:space="0" w:color="auto"/>
            </w:tcBorders>
            <w:shd w:val="clear" w:color="000000" w:fill="F2F2F2"/>
            <w:noWrap/>
            <w:vAlign w:val="center"/>
            <w:hideMark/>
          </w:tcPr>
          <w:p w14:paraId="3FA5D84B" w14:textId="14A459D5" w:rsidR="004D0F52" w:rsidRPr="00862CD8" w:rsidRDefault="004D0F52" w:rsidP="004D0F52">
            <w:pPr>
              <w:jc w:val="right"/>
              <w:rPr>
                <w:rFonts w:eastAsia="Times New Roman"/>
                <w:color w:val="C00000"/>
                <w:sz w:val="18"/>
                <w:szCs w:val="18"/>
              </w:rPr>
            </w:pPr>
            <w:r w:rsidRPr="00862CD8">
              <w:rPr>
                <w:color w:val="C00000"/>
                <w:sz w:val="18"/>
                <w:szCs w:val="18"/>
              </w:rPr>
              <w:t>11.3%</w:t>
            </w:r>
          </w:p>
        </w:tc>
      </w:tr>
      <w:tr w:rsidR="004D0F52" w:rsidRPr="00B07EF5" w14:paraId="361C949B"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16EC1C0C"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Young adult (&lt;25 years old) led household</w:t>
            </w:r>
          </w:p>
        </w:tc>
        <w:tc>
          <w:tcPr>
            <w:tcW w:w="1183" w:type="dxa"/>
            <w:tcBorders>
              <w:top w:val="nil"/>
              <w:left w:val="nil"/>
              <w:bottom w:val="single" w:sz="4" w:space="0" w:color="BFBFBF"/>
              <w:right w:val="single" w:sz="4" w:space="0" w:color="BFBFBF"/>
            </w:tcBorders>
            <w:noWrap/>
            <w:vAlign w:val="center"/>
            <w:hideMark/>
          </w:tcPr>
          <w:p w14:paraId="7AFCBCC4" w14:textId="0C7BDFE3" w:rsidR="004D0F52" w:rsidRPr="00862CD8" w:rsidRDefault="004D0F52" w:rsidP="004D0F52">
            <w:pPr>
              <w:jc w:val="right"/>
              <w:rPr>
                <w:rFonts w:eastAsia="Times New Roman"/>
                <w:color w:val="C00000"/>
                <w:sz w:val="18"/>
                <w:szCs w:val="18"/>
              </w:rPr>
            </w:pPr>
            <w:r w:rsidRPr="00862CD8">
              <w:rPr>
                <w:color w:val="C00000"/>
                <w:sz w:val="18"/>
                <w:szCs w:val="18"/>
              </w:rPr>
              <w:t>7.0%</w:t>
            </w:r>
          </w:p>
        </w:tc>
        <w:tc>
          <w:tcPr>
            <w:tcW w:w="1183" w:type="dxa"/>
            <w:tcBorders>
              <w:top w:val="nil"/>
              <w:left w:val="nil"/>
              <w:bottom w:val="single" w:sz="4" w:space="0" w:color="BFBFBF"/>
              <w:right w:val="single" w:sz="4" w:space="0" w:color="BFBFBF"/>
            </w:tcBorders>
            <w:noWrap/>
            <w:vAlign w:val="center"/>
            <w:hideMark/>
          </w:tcPr>
          <w:p w14:paraId="4CE2A530" w14:textId="0E7D34C2" w:rsidR="004D0F52" w:rsidRPr="00862CD8" w:rsidRDefault="004D0F52" w:rsidP="004D0F52">
            <w:pPr>
              <w:jc w:val="right"/>
              <w:rPr>
                <w:rFonts w:eastAsia="Times New Roman"/>
                <w:color w:val="C00000"/>
                <w:sz w:val="18"/>
                <w:szCs w:val="18"/>
              </w:rPr>
            </w:pPr>
            <w:r w:rsidRPr="00862CD8">
              <w:rPr>
                <w:color w:val="C00000"/>
                <w:sz w:val="18"/>
                <w:szCs w:val="18"/>
              </w:rPr>
              <w:t>6.9%</w:t>
            </w:r>
          </w:p>
        </w:tc>
        <w:tc>
          <w:tcPr>
            <w:tcW w:w="1184" w:type="dxa"/>
            <w:tcBorders>
              <w:top w:val="nil"/>
              <w:left w:val="nil"/>
              <w:bottom w:val="single" w:sz="4" w:space="0" w:color="BFBFBF"/>
              <w:right w:val="single" w:sz="4" w:space="0" w:color="auto"/>
            </w:tcBorders>
            <w:noWrap/>
            <w:vAlign w:val="center"/>
            <w:hideMark/>
          </w:tcPr>
          <w:p w14:paraId="2DE7F130" w14:textId="492055D7" w:rsidR="004D0F52" w:rsidRPr="00862CD8" w:rsidRDefault="004D0F52" w:rsidP="004D0F52">
            <w:pPr>
              <w:jc w:val="right"/>
              <w:rPr>
                <w:rFonts w:eastAsia="Times New Roman"/>
                <w:color w:val="C00000"/>
                <w:sz w:val="18"/>
                <w:szCs w:val="18"/>
              </w:rPr>
            </w:pPr>
            <w:r w:rsidRPr="00862CD8">
              <w:rPr>
                <w:color w:val="C00000"/>
                <w:sz w:val="18"/>
                <w:szCs w:val="18"/>
              </w:rPr>
              <w:t>7.6%</w:t>
            </w:r>
          </w:p>
        </w:tc>
      </w:tr>
      <w:tr w:rsidR="004D0F52" w:rsidRPr="00B07EF5" w14:paraId="2310109C"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017DD3CE"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Senior (65+ years old) led household</w:t>
            </w:r>
          </w:p>
        </w:tc>
        <w:tc>
          <w:tcPr>
            <w:tcW w:w="1183" w:type="dxa"/>
            <w:tcBorders>
              <w:top w:val="nil"/>
              <w:left w:val="nil"/>
              <w:bottom w:val="single" w:sz="4" w:space="0" w:color="BFBFBF"/>
              <w:right w:val="single" w:sz="4" w:space="0" w:color="BFBFBF"/>
            </w:tcBorders>
            <w:shd w:val="clear" w:color="000000" w:fill="F2F2F2"/>
            <w:noWrap/>
            <w:vAlign w:val="center"/>
            <w:hideMark/>
          </w:tcPr>
          <w:p w14:paraId="533342FA" w14:textId="5E7C481F" w:rsidR="004D0F52" w:rsidRPr="00862CD8" w:rsidRDefault="004D0F52" w:rsidP="004D0F52">
            <w:pPr>
              <w:jc w:val="right"/>
              <w:rPr>
                <w:rFonts w:eastAsia="Times New Roman"/>
                <w:color w:val="C00000"/>
                <w:sz w:val="18"/>
                <w:szCs w:val="18"/>
              </w:rPr>
            </w:pPr>
            <w:r w:rsidRPr="00862CD8">
              <w:rPr>
                <w:color w:val="C00000"/>
                <w:sz w:val="18"/>
                <w:szCs w:val="18"/>
              </w:rPr>
              <w:t>10.4%</w:t>
            </w:r>
          </w:p>
        </w:tc>
        <w:tc>
          <w:tcPr>
            <w:tcW w:w="1183" w:type="dxa"/>
            <w:tcBorders>
              <w:top w:val="nil"/>
              <w:left w:val="nil"/>
              <w:bottom w:val="single" w:sz="4" w:space="0" w:color="BFBFBF"/>
              <w:right w:val="single" w:sz="4" w:space="0" w:color="BFBFBF"/>
            </w:tcBorders>
            <w:shd w:val="clear" w:color="000000" w:fill="F2F2F2"/>
            <w:noWrap/>
            <w:vAlign w:val="center"/>
            <w:hideMark/>
          </w:tcPr>
          <w:p w14:paraId="709D530D" w14:textId="32755CF2" w:rsidR="004D0F52" w:rsidRPr="00862CD8" w:rsidRDefault="004D0F52" w:rsidP="004D0F52">
            <w:pPr>
              <w:jc w:val="right"/>
              <w:rPr>
                <w:rFonts w:eastAsia="Times New Roman"/>
                <w:color w:val="C00000"/>
                <w:sz w:val="18"/>
                <w:szCs w:val="18"/>
              </w:rPr>
            </w:pPr>
            <w:r w:rsidRPr="00862CD8">
              <w:rPr>
                <w:color w:val="C00000"/>
                <w:sz w:val="18"/>
                <w:szCs w:val="18"/>
              </w:rPr>
              <w:t>7.2%</w:t>
            </w:r>
          </w:p>
        </w:tc>
        <w:tc>
          <w:tcPr>
            <w:tcW w:w="1184" w:type="dxa"/>
            <w:tcBorders>
              <w:top w:val="nil"/>
              <w:left w:val="nil"/>
              <w:bottom w:val="single" w:sz="4" w:space="0" w:color="BFBFBF"/>
              <w:right w:val="single" w:sz="4" w:space="0" w:color="auto"/>
            </w:tcBorders>
            <w:shd w:val="clear" w:color="000000" w:fill="F2F2F2"/>
            <w:noWrap/>
            <w:vAlign w:val="center"/>
            <w:hideMark/>
          </w:tcPr>
          <w:p w14:paraId="5E88040B" w14:textId="2B9A5738" w:rsidR="004D0F52" w:rsidRPr="00862CD8" w:rsidRDefault="004D0F52" w:rsidP="004D0F52">
            <w:pPr>
              <w:jc w:val="right"/>
              <w:rPr>
                <w:rFonts w:eastAsia="Times New Roman"/>
                <w:color w:val="C00000"/>
                <w:sz w:val="18"/>
                <w:szCs w:val="18"/>
              </w:rPr>
            </w:pPr>
            <w:r w:rsidRPr="00862CD8">
              <w:rPr>
                <w:color w:val="C00000"/>
                <w:sz w:val="18"/>
                <w:szCs w:val="18"/>
              </w:rPr>
              <w:t>8.1%</w:t>
            </w:r>
          </w:p>
        </w:tc>
      </w:tr>
      <w:tr w:rsidR="004D0F52" w:rsidRPr="00B07EF5" w14:paraId="350A3645"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3A59F8C1"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Elderly (85+ years old) led household</w:t>
            </w:r>
          </w:p>
        </w:tc>
        <w:tc>
          <w:tcPr>
            <w:tcW w:w="1183" w:type="dxa"/>
            <w:tcBorders>
              <w:top w:val="nil"/>
              <w:left w:val="nil"/>
              <w:bottom w:val="single" w:sz="4" w:space="0" w:color="BFBFBF"/>
              <w:right w:val="single" w:sz="4" w:space="0" w:color="BFBFBF"/>
            </w:tcBorders>
            <w:noWrap/>
            <w:vAlign w:val="center"/>
            <w:hideMark/>
          </w:tcPr>
          <w:p w14:paraId="28A8D3EA" w14:textId="302F3455" w:rsidR="004D0F52" w:rsidRPr="00862CD8" w:rsidRDefault="004D0F52" w:rsidP="004D0F52">
            <w:pPr>
              <w:jc w:val="right"/>
              <w:rPr>
                <w:rFonts w:eastAsia="Times New Roman"/>
                <w:color w:val="C00000"/>
                <w:sz w:val="18"/>
                <w:szCs w:val="18"/>
              </w:rPr>
            </w:pPr>
            <w:r w:rsidRPr="00862CD8">
              <w:rPr>
                <w:color w:val="C00000"/>
                <w:sz w:val="18"/>
                <w:szCs w:val="18"/>
              </w:rPr>
              <w:t>12.9%</w:t>
            </w:r>
          </w:p>
        </w:tc>
        <w:tc>
          <w:tcPr>
            <w:tcW w:w="1183" w:type="dxa"/>
            <w:tcBorders>
              <w:top w:val="nil"/>
              <w:left w:val="nil"/>
              <w:bottom w:val="single" w:sz="4" w:space="0" w:color="BFBFBF"/>
              <w:right w:val="single" w:sz="4" w:space="0" w:color="BFBFBF"/>
            </w:tcBorders>
            <w:noWrap/>
            <w:vAlign w:val="center"/>
            <w:hideMark/>
          </w:tcPr>
          <w:p w14:paraId="6FD67CA4" w14:textId="3AF4ED77" w:rsidR="004D0F52" w:rsidRPr="00862CD8" w:rsidRDefault="004D0F52" w:rsidP="004D0F52">
            <w:pPr>
              <w:jc w:val="right"/>
              <w:rPr>
                <w:rFonts w:eastAsia="Times New Roman"/>
                <w:color w:val="C00000"/>
                <w:sz w:val="18"/>
                <w:szCs w:val="18"/>
              </w:rPr>
            </w:pPr>
            <w:r w:rsidRPr="00862CD8">
              <w:rPr>
                <w:color w:val="C00000"/>
                <w:sz w:val="18"/>
                <w:szCs w:val="18"/>
              </w:rPr>
              <w:t>12.2%</w:t>
            </w:r>
          </w:p>
        </w:tc>
        <w:tc>
          <w:tcPr>
            <w:tcW w:w="1184" w:type="dxa"/>
            <w:tcBorders>
              <w:top w:val="nil"/>
              <w:left w:val="nil"/>
              <w:bottom w:val="single" w:sz="4" w:space="0" w:color="BFBFBF"/>
              <w:right w:val="single" w:sz="4" w:space="0" w:color="auto"/>
            </w:tcBorders>
            <w:noWrap/>
            <w:vAlign w:val="center"/>
            <w:hideMark/>
          </w:tcPr>
          <w:p w14:paraId="1278881B" w14:textId="70684F63" w:rsidR="004D0F52" w:rsidRPr="00862CD8" w:rsidRDefault="004D0F52" w:rsidP="004D0F52">
            <w:pPr>
              <w:jc w:val="right"/>
              <w:rPr>
                <w:rFonts w:eastAsia="Times New Roman"/>
                <w:color w:val="C00000"/>
                <w:sz w:val="18"/>
                <w:szCs w:val="18"/>
              </w:rPr>
            </w:pPr>
            <w:r w:rsidRPr="00862CD8">
              <w:rPr>
                <w:color w:val="C00000"/>
                <w:sz w:val="18"/>
                <w:szCs w:val="18"/>
              </w:rPr>
              <w:t>14.6%</w:t>
            </w:r>
          </w:p>
        </w:tc>
      </w:tr>
      <w:tr w:rsidR="004D0F52" w:rsidRPr="00B07EF5" w14:paraId="391E34E0"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63D0D353"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Household with gender diverse persons</w:t>
            </w:r>
          </w:p>
        </w:tc>
        <w:tc>
          <w:tcPr>
            <w:tcW w:w="1183" w:type="dxa"/>
            <w:tcBorders>
              <w:top w:val="nil"/>
              <w:left w:val="nil"/>
              <w:bottom w:val="single" w:sz="4" w:space="0" w:color="BFBFBF"/>
              <w:right w:val="single" w:sz="4" w:space="0" w:color="BFBFBF"/>
            </w:tcBorders>
            <w:shd w:val="clear" w:color="000000" w:fill="F2F2F2"/>
            <w:noWrap/>
            <w:vAlign w:val="center"/>
            <w:hideMark/>
          </w:tcPr>
          <w:p w14:paraId="5D480452" w14:textId="469DFCE0" w:rsidR="004D0F52" w:rsidRPr="00862CD8" w:rsidRDefault="004D0F52" w:rsidP="004D0F52">
            <w:pPr>
              <w:jc w:val="right"/>
              <w:rPr>
                <w:rFonts w:eastAsia="Times New Roman"/>
                <w:color w:val="C00000"/>
                <w:sz w:val="18"/>
                <w:szCs w:val="18"/>
              </w:rPr>
            </w:pPr>
            <w:r w:rsidRPr="00862CD8">
              <w:rPr>
                <w:color w:val="C00000"/>
                <w:sz w:val="18"/>
                <w:szCs w:val="18"/>
              </w:rPr>
              <w:t>x</w:t>
            </w:r>
          </w:p>
        </w:tc>
        <w:tc>
          <w:tcPr>
            <w:tcW w:w="1183" w:type="dxa"/>
            <w:tcBorders>
              <w:top w:val="nil"/>
              <w:left w:val="nil"/>
              <w:bottom w:val="single" w:sz="4" w:space="0" w:color="BFBFBF"/>
              <w:right w:val="single" w:sz="4" w:space="0" w:color="BFBFBF"/>
            </w:tcBorders>
            <w:shd w:val="clear" w:color="000000" w:fill="F2F2F2"/>
            <w:noWrap/>
            <w:vAlign w:val="center"/>
            <w:hideMark/>
          </w:tcPr>
          <w:p w14:paraId="2EDAB095" w14:textId="76AE98E0" w:rsidR="004D0F52" w:rsidRPr="00862CD8" w:rsidRDefault="004D0F52" w:rsidP="004D0F52">
            <w:pPr>
              <w:jc w:val="right"/>
              <w:rPr>
                <w:rFonts w:eastAsia="Times New Roman"/>
                <w:color w:val="C00000"/>
                <w:sz w:val="18"/>
                <w:szCs w:val="18"/>
              </w:rPr>
            </w:pPr>
            <w:r w:rsidRPr="00862CD8">
              <w:rPr>
                <w:color w:val="C00000"/>
                <w:sz w:val="18"/>
                <w:szCs w:val="18"/>
              </w:rPr>
              <w:t>x</w:t>
            </w:r>
          </w:p>
        </w:tc>
        <w:tc>
          <w:tcPr>
            <w:tcW w:w="1184" w:type="dxa"/>
            <w:tcBorders>
              <w:top w:val="nil"/>
              <w:left w:val="nil"/>
              <w:bottom w:val="single" w:sz="4" w:space="0" w:color="BFBFBF"/>
              <w:right w:val="single" w:sz="4" w:space="0" w:color="auto"/>
            </w:tcBorders>
            <w:shd w:val="clear" w:color="000000" w:fill="F2F2F2"/>
            <w:noWrap/>
            <w:vAlign w:val="center"/>
            <w:hideMark/>
          </w:tcPr>
          <w:p w14:paraId="16B50219" w14:textId="60C19171" w:rsidR="004D0F52" w:rsidRPr="00862CD8" w:rsidRDefault="004D0F52" w:rsidP="004D0F52">
            <w:pPr>
              <w:jc w:val="right"/>
              <w:rPr>
                <w:rFonts w:eastAsia="Times New Roman"/>
                <w:color w:val="C00000"/>
                <w:sz w:val="18"/>
                <w:szCs w:val="18"/>
              </w:rPr>
            </w:pPr>
            <w:r w:rsidRPr="00862CD8">
              <w:rPr>
                <w:color w:val="C00000"/>
                <w:sz w:val="18"/>
                <w:szCs w:val="18"/>
              </w:rPr>
              <w:t>6.1%</w:t>
            </w:r>
          </w:p>
        </w:tc>
      </w:tr>
      <w:tr w:rsidR="004D0F52" w:rsidRPr="00B07EF5" w14:paraId="638D3C01" w14:textId="77777777" w:rsidTr="00EA6765">
        <w:trPr>
          <w:trHeight w:val="402"/>
        </w:trPr>
        <w:tc>
          <w:tcPr>
            <w:tcW w:w="5800" w:type="dxa"/>
            <w:tcBorders>
              <w:top w:val="single" w:sz="4" w:space="0" w:color="BFBFBF"/>
              <w:left w:val="single" w:sz="4" w:space="0" w:color="auto"/>
              <w:bottom w:val="single" w:sz="4" w:space="0" w:color="BFBFBF"/>
              <w:right w:val="single" w:sz="4" w:space="0" w:color="000000"/>
            </w:tcBorders>
            <w:noWrap/>
            <w:vAlign w:val="center"/>
            <w:hideMark/>
          </w:tcPr>
          <w:p w14:paraId="56DF4D44"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Households living in poverty</w:t>
            </w:r>
          </w:p>
        </w:tc>
        <w:tc>
          <w:tcPr>
            <w:tcW w:w="1183" w:type="dxa"/>
            <w:tcBorders>
              <w:top w:val="nil"/>
              <w:left w:val="nil"/>
              <w:bottom w:val="single" w:sz="4" w:space="0" w:color="BFBFBF"/>
              <w:right w:val="single" w:sz="4" w:space="0" w:color="BFBFBF"/>
            </w:tcBorders>
            <w:noWrap/>
            <w:vAlign w:val="center"/>
            <w:hideMark/>
          </w:tcPr>
          <w:p w14:paraId="4FA40604" w14:textId="74F6E11A" w:rsidR="004D0F52" w:rsidRPr="00862CD8" w:rsidRDefault="004D0F52" w:rsidP="004D0F52">
            <w:pPr>
              <w:jc w:val="right"/>
              <w:rPr>
                <w:rFonts w:eastAsia="Times New Roman"/>
                <w:color w:val="C00000"/>
                <w:sz w:val="18"/>
                <w:szCs w:val="18"/>
              </w:rPr>
            </w:pPr>
            <w:r w:rsidRPr="00862CD8">
              <w:rPr>
                <w:color w:val="C00000"/>
                <w:sz w:val="18"/>
                <w:szCs w:val="18"/>
              </w:rPr>
              <w:t>54.0%</w:t>
            </w:r>
          </w:p>
        </w:tc>
        <w:tc>
          <w:tcPr>
            <w:tcW w:w="1183" w:type="dxa"/>
            <w:tcBorders>
              <w:top w:val="nil"/>
              <w:left w:val="nil"/>
              <w:bottom w:val="single" w:sz="4" w:space="0" w:color="BFBFBF"/>
              <w:right w:val="single" w:sz="4" w:space="0" w:color="BFBFBF"/>
            </w:tcBorders>
            <w:noWrap/>
            <w:vAlign w:val="center"/>
            <w:hideMark/>
          </w:tcPr>
          <w:p w14:paraId="628798E6" w14:textId="6A37D7B0" w:rsidR="004D0F52" w:rsidRPr="00862CD8" w:rsidRDefault="004D0F52" w:rsidP="004D0F52">
            <w:pPr>
              <w:jc w:val="right"/>
              <w:rPr>
                <w:rFonts w:eastAsia="Times New Roman"/>
                <w:color w:val="C00000"/>
                <w:sz w:val="18"/>
                <w:szCs w:val="18"/>
              </w:rPr>
            </w:pPr>
            <w:r w:rsidRPr="00862CD8">
              <w:rPr>
                <w:color w:val="C00000"/>
                <w:sz w:val="18"/>
                <w:szCs w:val="18"/>
              </w:rPr>
              <w:t>52.2%</w:t>
            </w:r>
          </w:p>
        </w:tc>
        <w:tc>
          <w:tcPr>
            <w:tcW w:w="1184" w:type="dxa"/>
            <w:tcBorders>
              <w:top w:val="nil"/>
              <w:left w:val="nil"/>
              <w:bottom w:val="single" w:sz="4" w:space="0" w:color="BFBFBF"/>
              <w:right w:val="single" w:sz="4" w:space="0" w:color="auto"/>
            </w:tcBorders>
            <w:noWrap/>
            <w:vAlign w:val="center"/>
            <w:hideMark/>
          </w:tcPr>
          <w:p w14:paraId="07019A68" w14:textId="5844507C" w:rsidR="004D0F52" w:rsidRPr="00862CD8" w:rsidRDefault="004D0F52" w:rsidP="004D0F52">
            <w:pPr>
              <w:jc w:val="right"/>
              <w:rPr>
                <w:rFonts w:eastAsia="Times New Roman"/>
                <w:color w:val="C00000"/>
                <w:sz w:val="18"/>
                <w:szCs w:val="18"/>
              </w:rPr>
            </w:pPr>
            <w:r w:rsidRPr="00862CD8">
              <w:rPr>
                <w:color w:val="C00000"/>
                <w:sz w:val="18"/>
                <w:szCs w:val="18"/>
              </w:rPr>
              <w:t>52.8%</w:t>
            </w:r>
          </w:p>
        </w:tc>
      </w:tr>
      <w:tr w:rsidR="004D0F52" w:rsidRPr="00B07EF5" w14:paraId="1B7AE62C" w14:textId="77777777" w:rsidTr="00EA6765">
        <w:trPr>
          <w:trHeight w:val="402"/>
        </w:trPr>
        <w:tc>
          <w:tcPr>
            <w:tcW w:w="5800"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3C43E35B" w14:textId="77777777" w:rsidR="004D0F52" w:rsidRPr="00B07EF5" w:rsidRDefault="004D0F52" w:rsidP="004D0F52">
            <w:pPr>
              <w:rPr>
                <w:rFonts w:eastAsia="Times New Roman"/>
                <w:color w:val="000000"/>
                <w:sz w:val="18"/>
                <w:szCs w:val="18"/>
              </w:rPr>
            </w:pPr>
            <w:r w:rsidRPr="00B07EF5">
              <w:rPr>
                <w:rFonts w:eastAsia="Times New Roman"/>
                <w:color w:val="000000"/>
                <w:sz w:val="18"/>
                <w:szCs w:val="18"/>
              </w:rPr>
              <w:t>Veteran led household</w:t>
            </w:r>
          </w:p>
        </w:tc>
        <w:tc>
          <w:tcPr>
            <w:tcW w:w="1183" w:type="dxa"/>
            <w:tcBorders>
              <w:top w:val="nil"/>
              <w:left w:val="nil"/>
              <w:bottom w:val="single" w:sz="4" w:space="0" w:color="auto"/>
              <w:right w:val="single" w:sz="4" w:space="0" w:color="BFBFBF"/>
            </w:tcBorders>
            <w:shd w:val="clear" w:color="000000" w:fill="F2F2F2"/>
            <w:noWrap/>
            <w:vAlign w:val="center"/>
            <w:hideMark/>
          </w:tcPr>
          <w:p w14:paraId="1375F09B" w14:textId="0C16A259" w:rsidR="004D0F52" w:rsidRPr="00862CD8" w:rsidRDefault="004D0F52" w:rsidP="004D0F52">
            <w:pPr>
              <w:jc w:val="right"/>
              <w:rPr>
                <w:rFonts w:eastAsia="Times New Roman"/>
                <w:color w:val="C00000"/>
                <w:sz w:val="18"/>
                <w:szCs w:val="18"/>
              </w:rPr>
            </w:pPr>
            <w:r w:rsidRPr="00862CD8">
              <w:rPr>
                <w:color w:val="C00000"/>
                <w:sz w:val="18"/>
                <w:szCs w:val="18"/>
              </w:rPr>
              <w:t>7.1%</w:t>
            </w:r>
          </w:p>
        </w:tc>
        <w:tc>
          <w:tcPr>
            <w:tcW w:w="1183" w:type="dxa"/>
            <w:tcBorders>
              <w:top w:val="nil"/>
              <w:left w:val="nil"/>
              <w:bottom w:val="single" w:sz="4" w:space="0" w:color="auto"/>
              <w:right w:val="single" w:sz="4" w:space="0" w:color="BFBFBF"/>
            </w:tcBorders>
            <w:shd w:val="clear" w:color="000000" w:fill="F2F2F2"/>
            <w:noWrap/>
            <w:vAlign w:val="center"/>
            <w:hideMark/>
          </w:tcPr>
          <w:p w14:paraId="2E9C15EB" w14:textId="632B044D" w:rsidR="004D0F52" w:rsidRPr="00862CD8" w:rsidRDefault="004D0F52" w:rsidP="004D0F52">
            <w:pPr>
              <w:jc w:val="right"/>
              <w:rPr>
                <w:rFonts w:eastAsia="Times New Roman"/>
                <w:color w:val="C00000"/>
                <w:sz w:val="18"/>
                <w:szCs w:val="18"/>
              </w:rPr>
            </w:pPr>
            <w:r w:rsidRPr="00862CD8">
              <w:rPr>
                <w:color w:val="C00000"/>
                <w:sz w:val="18"/>
                <w:szCs w:val="18"/>
              </w:rPr>
              <w:t>4.2%</w:t>
            </w:r>
          </w:p>
        </w:tc>
        <w:tc>
          <w:tcPr>
            <w:tcW w:w="1184" w:type="dxa"/>
            <w:tcBorders>
              <w:top w:val="nil"/>
              <w:left w:val="nil"/>
              <w:bottom w:val="single" w:sz="4" w:space="0" w:color="auto"/>
              <w:right w:val="single" w:sz="4" w:space="0" w:color="auto"/>
            </w:tcBorders>
            <w:shd w:val="clear" w:color="000000" w:fill="F2F2F2"/>
            <w:noWrap/>
            <w:vAlign w:val="center"/>
            <w:hideMark/>
          </w:tcPr>
          <w:p w14:paraId="3501A746" w14:textId="2CAD95A6" w:rsidR="004D0F52" w:rsidRPr="00862CD8" w:rsidRDefault="004D0F52" w:rsidP="004D0F52">
            <w:pPr>
              <w:jc w:val="right"/>
              <w:rPr>
                <w:rFonts w:eastAsia="Times New Roman"/>
                <w:color w:val="C00000"/>
                <w:sz w:val="18"/>
                <w:szCs w:val="18"/>
              </w:rPr>
            </w:pPr>
            <w:r w:rsidRPr="00862CD8">
              <w:rPr>
                <w:color w:val="C00000"/>
                <w:sz w:val="18"/>
                <w:szCs w:val="18"/>
              </w:rPr>
              <w:t>5.2%</w:t>
            </w:r>
          </w:p>
        </w:tc>
      </w:tr>
    </w:tbl>
    <w:p w14:paraId="489194BA" w14:textId="08033624" w:rsidR="00234CEA" w:rsidRDefault="00237141" w:rsidP="004A30FD">
      <w:pPr>
        <w:pStyle w:val="Source"/>
      </w:pPr>
      <w:r>
        <w:t xml:space="preserve">Source: </w:t>
      </w:r>
      <w:r w:rsidR="00BA508B">
        <w:t xml:space="preserve">derived from Statistics Canada Table </w:t>
      </w:r>
      <w:r w:rsidR="00BB4ACB" w:rsidRPr="00BB4ACB">
        <w:t>98</w:t>
      </w:r>
      <w:r w:rsidR="00BB4ACB">
        <w:t>-</w:t>
      </w:r>
      <w:r w:rsidR="00BB4ACB" w:rsidRPr="00BB4ACB">
        <w:t>10</w:t>
      </w:r>
      <w:r w:rsidR="00BB4ACB">
        <w:t>-</w:t>
      </w:r>
      <w:r w:rsidR="00BB4ACB" w:rsidRPr="00BB4ACB">
        <w:t>0624</w:t>
      </w:r>
      <w:r w:rsidR="00BB4ACB">
        <w:t xml:space="preserve"> </w:t>
      </w:r>
      <w:r w:rsidR="004A30FD">
        <w:t>and Housing Assessment Resource Tools (HART)</w:t>
      </w:r>
      <w:r w:rsidR="004A30FD">
        <w:rPr>
          <w:rStyle w:val="FootnoteReference"/>
        </w:rPr>
        <w:footnoteReference w:id="9"/>
      </w:r>
    </w:p>
    <w:p w14:paraId="637947A0" w14:textId="77777777" w:rsidR="00234CEA" w:rsidRDefault="00234CEA" w:rsidP="00417A34"/>
    <w:p w14:paraId="09E5A7B6" w14:textId="05E15D11" w:rsidR="00A8459A" w:rsidRDefault="00A8459A" w:rsidP="00A8459A">
      <w:pPr>
        <w:jc w:val="both"/>
      </w:pPr>
      <w:r>
        <w:t>Lone-parent households, single-person households, and households living in poverty typically record the highest core housing need rates; their local rates relative to the provincial norm indicate whether these already-vulnerable groups face compounded disadvantage in the local market.</w:t>
      </w:r>
    </w:p>
    <w:p w14:paraId="793DE769" w14:textId="77777777" w:rsidR="00A8459A" w:rsidRDefault="00A8459A" w:rsidP="00A8459A">
      <w:pPr>
        <w:jc w:val="both"/>
      </w:pPr>
    </w:p>
    <w:p w14:paraId="4A5F9828" w14:textId="77777777" w:rsidR="00A8459A" w:rsidRDefault="00A8459A" w:rsidP="00A8459A">
      <w:pPr>
        <w:jc w:val="both"/>
      </w:pPr>
      <w:r>
        <w:t>Elevated rates among recent immigrants, refugees, and non-permanent resident households may indicate barriers to accessing appropriate, affordable housing, including discrimination, credit history constraints, language barriers, or unfamiliarity with local housing systems.</w:t>
      </w:r>
    </w:p>
    <w:p w14:paraId="753EE298" w14:textId="77777777" w:rsidR="00A8459A" w:rsidRDefault="00A8459A" w:rsidP="00A8459A">
      <w:pPr>
        <w:jc w:val="both"/>
      </w:pPr>
    </w:p>
    <w:p w14:paraId="505D025C" w14:textId="0D75706C" w:rsidR="00A8459A" w:rsidRDefault="00A8459A" w:rsidP="00A8459A">
      <w:pPr>
        <w:jc w:val="both"/>
      </w:pPr>
      <w:r>
        <w:t xml:space="preserve">Where Indigenous household core housing need rates exceed the community-wide average, culturally appropriate housing models, land security provisions, and targeted investment may warrant consideration as part of </w:t>
      </w:r>
      <w:r w:rsidR="00F2232F">
        <w:t xml:space="preserve">a </w:t>
      </w:r>
      <w:r>
        <w:t>policy response.</w:t>
      </w:r>
    </w:p>
    <w:p w14:paraId="6038DA0C" w14:textId="77777777" w:rsidR="00A8459A" w:rsidRDefault="00A8459A" w:rsidP="00A8459A">
      <w:pPr>
        <w:jc w:val="both"/>
      </w:pPr>
    </w:p>
    <w:p w14:paraId="1B30565F" w14:textId="11BE3150" w:rsidR="00A8459A" w:rsidRDefault="00A8459A" w:rsidP="00A8459A">
      <w:pPr>
        <w:jc w:val="both"/>
      </w:pPr>
      <w:r>
        <w:t xml:space="preserve">Households with one or more persons with disabilities or activity limitations often face both income constraints and specific suitability requirements, such as accessibility and proximity to services, that the private market </w:t>
      </w:r>
      <w:r w:rsidR="00F2232F">
        <w:t xml:space="preserve">may </w:t>
      </w:r>
      <w:r>
        <w:t>not reliably provide.</w:t>
      </w:r>
    </w:p>
    <w:p w14:paraId="47BF8CC7" w14:textId="77777777" w:rsidR="00A8459A" w:rsidRDefault="00A8459A" w:rsidP="00A8459A">
      <w:pPr>
        <w:jc w:val="both"/>
      </w:pPr>
    </w:p>
    <w:p w14:paraId="4114DA75" w14:textId="4876790B" w:rsidR="00C450CC" w:rsidRDefault="00F96649" w:rsidP="00A8459A">
      <w:pPr>
        <w:jc w:val="both"/>
      </w:pPr>
      <w:r>
        <w:t>G</w:t>
      </w:r>
      <w:r w:rsidR="00A8459A">
        <w:t>roups showing near-average core housing need rates locally can still represent urgent need in absolute terms, or may face qualitative barriers not captured by the core housing need definition.</w:t>
      </w:r>
    </w:p>
    <w:p w14:paraId="7FB3559D" w14:textId="77777777" w:rsidR="00A8459A" w:rsidRDefault="00A8459A" w:rsidP="00A8459A"/>
    <w:p w14:paraId="307748F3" w14:textId="2D43E091" w:rsidR="00FE6955" w:rsidRPr="002C4691" w:rsidRDefault="00FE6955" w:rsidP="00FE6955">
      <w:pPr>
        <w:pStyle w:val="Heading2"/>
      </w:pPr>
      <w:bookmarkStart w:id="79" w:name="_Toc223686653"/>
      <w:bookmarkStart w:id="80" w:name="_Toc237355951"/>
      <w:r w:rsidRPr="002C4691">
        <w:t>HOMELESSNESS</w:t>
      </w:r>
      <w:bookmarkEnd w:id="79"/>
      <w:bookmarkEnd w:id="80"/>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00000"/>
        <w:tblLook w:val="04A0" w:firstRow="1" w:lastRow="0" w:firstColumn="1" w:lastColumn="0" w:noHBand="0" w:noVBand="1"/>
      </w:tblPr>
      <w:tblGrid>
        <w:gridCol w:w="9350"/>
      </w:tblGrid>
      <w:tr w:rsidR="00F469BA" w14:paraId="414E8349" w14:textId="77777777" w:rsidTr="0089603C">
        <w:trPr>
          <w:trHeight w:val="1133"/>
        </w:trPr>
        <w:tc>
          <w:tcPr>
            <w:tcW w:w="9350" w:type="dxa"/>
            <w:shd w:val="clear" w:color="auto" w:fill="C00000"/>
            <w:vAlign w:val="center"/>
          </w:tcPr>
          <w:bookmarkEnd w:id="69"/>
          <w:p w14:paraId="65E946D0" w14:textId="2618BAF9" w:rsidR="00F469BA" w:rsidRDefault="0089603C" w:rsidP="009A4107">
            <w:pPr>
              <w:jc w:val="center"/>
            </w:pPr>
            <w:r>
              <w:t xml:space="preserve">Homelessness data is only available for Prince Edward Island as the pilot geography. </w:t>
            </w:r>
            <w:r w:rsidR="00F469BA">
              <w:t xml:space="preserve">Data in this section </w:t>
            </w:r>
            <w:r w:rsidR="00F450BA">
              <w:t xml:space="preserve">should be completed by the user, as a national dataset is not readily available for broad template production. Users can </w:t>
            </w:r>
            <w:r w:rsidR="00AB0760">
              <w:t>update or amend this section as is appropriate for the content available to them.</w:t>
            </w:r>
          </w:p>
        </w:tc>
      </w:tr>
    </w:tbl>
    <w:p w14:paraId="7C0F6CAB" w14:textId="77777777" w:rsidR="00F469BA" w:rsidRDefault="00F469BA" w:rsidP="00F469BA">
      <w:pPr>
        <w:jc w:val="both"/>
      </w:pPr>
    </w:p>
    <w:p w14:paraId="0AAA1BC6" w14:textId="1B4CB101" w:rsidR="00D43CE8" w:rsidRDefault="00D43CE8" w:rsidP="00D43CE8">
      <w:pPr>
        <w:jc w:val="both"/>
      </w:pPr>
      <w:r>
        <w:t xml:space="preserve">Homelessness represents the most acute expression of housing system failure. It is the point at which a household's inability to secure adequate, stable, and affordable housing results in the complete loss of permanent shelter. It marks the </w:t>
      </w:r>
      <w:r w:rsidR="00A555D4">
        <w:t>traditional</w:t>
      </w:r>
      <w:r>
        <w:t xml:space="preserve"> end of the housing continuum and carries well-documented consequences for physical and mental health, employment, family stability, and long-term economic participation.</w:t>
      </w:r>
      <w:r w:rsidR="00CD21E4">
        <w:t xml:space="preserve"> Current policy approaches and best practices, as reflected in federal homelessness strategies, recognize that while </w:t>
      </w:r>
      <w:r w:rsidR="00E362E3">
        <w:t>homelessness may not be entirely preventable in all circumstances, experiences of homelessness should be rare, brief, and non-recurring</w:t>
      </w:r>
      <w:r w:rsidR="0024562E">
        <w:t>.</w:t>
      </w:r>
      <w:r w:rsidR="00E42D60">
        <w:rPr>
          <w:rStyle w:val="FootnoteReference"/>
        </w:rPr>
        <w:footnoteReference w:id="10"/>
      </w:r>
      <w:r w:rsidR="00E362E3">
        <w:t xml:space="preserve"> This framing emphasizes that individuals </w:t>
      </w:r>
      <w:r w:rsidR="002D694B">
        <w:t xml:space="preserve">should be supported and enabled to exit homelessness quickly and not return, rather than becoming entrenched in chronic or periodic experiences of housing loss. </w:t>
      </w:r>
    </w:p>
    <w:p w14:paraId="4C6426AD" w14:textId="77777777" w:rsidR="00D43CE8" w:rsidRDefault="00D43CE8" w:rsidP="00D43CE8">
      <w:pPr>
        <w:jc w:val="both"/>
      </w:pPr>
    </w:p>
    <w:p w14:paraId="3AF838BF" w14:textId="2228F082" w:rsidR="00D43CE8" w:rsidRDefault="00D43CE8" w:rsidP="00D43CE8">
      <w:pPr>
        <w:jc w:val="both"/>
      </w:pPr>
      <w:r>
        <w:t xml:space="preserve">Interpreting homelessness data requires careful attention to its limitations. Point-in-time counts and administrative sources such as </w:t>
      </w:r>
      <w:r w:rsidR="00053FBC">
        <w:t>the Homeless Individuals and Families Information System (</w:t>
      </w:r>
      <w:r>
        <w:t>HIFIS</w:t>
      </w:r>
      <w:r w:rsidR="00053FBC">
        <w:t>)</w:t>
      </w:r>
      <w:r>
        <w:t xml:space="preserve"> capture only individuals in contact with shelter systems or service providers at a specific moment, </w:t>
      </w:r>
      <w:r w:rsidR="000E0003">
        <w:t>leading to an undercount of</w:t>
      </w:r>
      <w:r>
        <w:t xml:space="preserve"> the true homeless population. Local counts are further constrained by the geographic concentration of homeless-serving infrastructure</w:t>
      </w:r>
      <w:r w:rsidR="001A279F">
        <w:t>.</w:t>
      </w:r>
      <w:r>
        <w:t xml:space="preserve"> </w:t>
      </w:r>
      <w:r w:rsidR="001A279F">
        <w:t>I</w:t>
      </w:r>
      <w:r>
        <w:t xml:space="preserve">ndividuals tend to migrate toward areas with shelters and support services, meaning communities with limited local services may appear to have low homeless populations simply because residents must travel elsewhere to access support. </w:t>
      </w:r>
      <w:r w:rsidR="00FA1C8B">
        <w:t>Broader geographic</w:t>
      </w:r>
      <w:r>
        <w:t xml:space="preserve"> data generally provide</w:t>
      </w:r>
      <w:r w:rsidR="00330D5C">
        <w:t>s</w:t>
      </w:r>
      <w:r>
        <w:t xml:space="preserve"> a more reliable picture of the scale of homelessness than local counts alone.</w:t>
      </w:r>
    </w:p>
    <w:p w14:paraId="7D5CA099" w14:textId="77777777" w:rsidR="00D43CE8" w:rsidRDefault="00D43CE8" w:rsidP="00D43CE8">
      <w:pPr>
        <w:jc w:val="both"/>
      </w:pPr>
    </w:p>
    <w:p w14:paraId="5FA5CB9B" w14:textId="54D4AE30" w:rsidR="00D43CE8" w:rsidRDefault="00D43CE8" w:rsidP="00D43CE8">
      <w:pPr>
        <w:jc w:val="both"/>
      </w:pPr>
      <w:r>
        <w:t>Hidden homelessness</w:t>
      </w:r>
      <w:r w:rsidR="00A00068">
        <w:t xml:space="preserve"> (e.g.,</w:t>
      </w:r>
      <w:r>
        <w:t xml:space="preserve"> individuals temporarily staying with friends or family, couch-surfing, or living in overcrowded arrangements due to lack of stable housing</w:t>
      </w:r>
      <w:r w:rsidR="00A00068">
        <w:t>)</w:t>
      </w:r>
      <w:r>
        <w:t xml:space="preserve"> does not appear in administrative data system</w:t>
      </w:r>
      <w:r w:rsidR="00A00068">
        <w:t>s</w:t>
      </w:r>
      <w:r>
        <w:t>. The 2013 State of Homelessness in Canada</w:t>
      </w:r>
      <w:r w:rsidR="00B975A0">
        <w:rPr>
          <w:rStyle w:val="FootnoteReference"/>
        </w:rPr>
        <w:footnoteReference w:id="11"/>
      </w:r>
      <w:r>
        <w:t xml:space="preserve"> estimated approximately </w:t>
      </w:r>
      <w:r w:rsidR="00492E6C">
        <w:t>three</w:t>
      </w:r>
      <w:r>
        <w:t xml:space="preserve"> hidden homeless </w:t>
      </w:r>
      <w:r w:rsidR="00492E6C">
        <w:t>persons</w:t>
      </w:r>
      <w:r>
        <w:t xml:space="preserve"> for every one </w:t>
      </w:r>
      <w:r w:rsidR="00492E6C">
        <w:t xml:space="preserve">visible or sheltered </w:t>
      </w:r>
      <w:r>
        <w:t>person, implying that point-in-time counts represent a substantial undercount of total housing loss.</w:t>
      </w:r>
    </w:p>
    <w:p w14:paraId="7CEF01CD" w14:textId="77777777" w:rsidR="00D43CE8" w:rsidRDefault="00D43CE8" w:rsidP="00D43CE8">
      <w:pPr>
        <w:jc w:val="both"/>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5"/>
        <w:gridCol w:w="8005"/>
      </w:tblGrid>
      <w:tr w:rsidR="00F10D68" w:rsidRPr="00500457" w14:paraId="5503F21B" w14:textId="77777777" w:rsidTr="009A4107">
        <w:trPr>
          <w:trHeight w:val="360"/>
          <w:tblHeader/>
        </w:trPr>
        <w:tc>
          <w:tcPr>
            <w:tcW w:w="1345" w:type="dxa"/>
            <w:shd w:val="clear" w:color="auto" w:fill="5F2ADF" w:themeFill="accent4" w:themeFillTint="80"/>
            <w:vAlign w:val="center"/>
          </w:tcPr>
          <w:p w14:paraId="76378DB0" w14:textId="6F55E41E" w:rsidR="00F10D68" w:rsidRPr="003A2EA5" w:rsidRDefault="00CC38DC" w:rsidP="009A4107">
            <w:pPr>
              <w:rPr>
                <w:color w:val="FFFFFF" w:themeColor="background1"/>
                <w:sz w:val="20"/>
                <w:szCs w:val="20"/>
              </w:rPr>
            </w:pPr>
            <w:r>
              <w:rPr>
                <w:color w:val="FFFFFF" w:themeColor="background1"/>
                <w:sz w:val="20"/>
                <w:szCs w:val="20"/>
              </w:rPr>
              <w:t>Question</w:t>
            </w:r>
          </w:p>
        </w:tc>
        <w:tc>
          <w:tcPr>
            <w:tcW w:w="8005" w:type="dxa"/>
            <w:shd w:val="clear" w:color="auto" w:fill="5F2ADF" w:themeFill="accent4" w:themeFillTint="80"/>
            <w:vAlign w:val="center"/>
          </w:tcPr>
          <w:p w14:paraId="4C4382F6" w14:textId="77777777" w:rsidR="00F10D68" w:rsidRPr="003A2EA5" w:rsidRDefault="00F10D68" w:rsidP="009A4107">
            <w:pPr>
              <w:rPr>
                <w:color w:val="FFFFFF" w:themeColor="background1"/>
                <w:sz w:val="20"/>
                <w:szCs w:val="20"/>
              </w:rPr>
            </w:pPr>
            <w:r w:rsidRPr="003A2EA5">
              <w:rPr>
                <w:color w:val="FFFFFF" w:themeColor="background1"/>
                <w:sz w:val="20"/>
                <w:szCs w:val="20"/>
              </w:rPr>
              <w:t>Federal template question</w:t>
            </w:r>
            <w:r>
              <w:rPr>
                <w:color w:val="FFFFFF" w:themeColor="background1"/>
                <w:sz w:val="20"/>
                <w:szCs w:val="20"/>
              </w:rPr>
              <w:t xml:space="preserve"> to complete</w:t>
            </w:r>
          </w:p>
        </w:tc>
      </w:tr>
      <w:tr w:rsidR="00F10D68" w:rsidRPr="00500457" w14:paraId="05F51C13" w14:textId="77777777" w:rsidTr="00F10D68">
        <w:trPr>
          <w:trHeight w:val="935"/>
        </w:trPr>
        <w:tc>
          <w:tcPr>
            <w:tcW w:w="1345" w:type="dxa"/>
            <w:shd w:val="clear" w:color="auto" w:fill="DED3F8" w:themeFill="accent4" w:themeFillTint="1A"/>
            <w:vAlign w:val="center"/>
          </w:tcPr>
          <w:p w14:paraId="136BCE60" w14:textId="3E081FF8" w:rsidR="00F10D68" w:rsidRPr="00500457" w:rsidRDefault="00F10D68" w:rsidP="009A4107">
            <w:pPr>
              <w:rPr>
                <w:sz w:val="20"/>
                <w:szCs w:val="20"/>
              </w:rPr>
            </w:pPr>
            <w:r>
              <w:rPr>
                <w:sz w:val="20"/>
                <w:szCs w:val="20"/>
              </w:rPr>
              <w:t>4.2</w:t>
            </w:r>
          </w:p>
        </w:tc>
        <w:tc>
          <w:tcPr>
            <w:tcW w:w="8005" w:type="dxa"/>
            <w:shd w:val="clear" w:color="auto" w:fill="DED3F8" w:themeFill="accent4" w:themeFillTint="1A"/>
            <w:vAlign w:val="center"/>
          </w:tcPr>
          <w:p w14:paraId="29D9072D" w14:textId="09285D0E" w:rsidR="00F10D68" w:rsidRPr="00500457" w:rsidRDefault="00F10D68" w:rsidP="009A4107">
            <w:pPr>
              <w:rPr>
                <w:sz w:val="20"/>
                <w:szCs w:val="20"/>
              </w:rPr>
            </w:pPr>
            <w:r w:rsidRPr="00F10D68">
              <w:rPr>
                <w:sz w:val="20"/>
                <w:szCs w:val="20"/>
              </w:rPr>
              <w:t>Please describe the incidence and severity of homelessness in your community, or territory and its communities, including an estimated number of individuals and/or families experiencing homelessness (hidden, visible, chronic, episodic, etc.).</w:t>
            </w:r>
          </w:p>
        </w:tc>
      </w:tr>
      <w:tr w:rsidR="00F10D68" w:rsidRPr="00500457" w14:paraId="7EB2A845" w14:textId="77777777" w:rsidTr="00F10D68">
        <w:trPr>
          <w:trHeight w:val="962"/>
        </w:trPr>
        <w:tc>
          <w:tcPr>
            <w:tcW w:w="1345" w:type="dxa"/>
            <w:shd w:val="clear" w:color="auto" w:fill="DED3F8" w:themeFill="accent4" w:themeFillTint="1A"/>
            <w:vAlign w:val="center"/>
          </w:tcPr>
          <w:p w14:paraId="2742A666" w14:textId="77B78BAF" w:rsidR="00F10D68" w:rsidRDefault="00F10D68" w:rsidP="009A4107">
            <w:pPr>
              <w:rPr>
                <w:sz w:val="20"/>
                <w:szCs w:val="20"/>
              </w:rPr>
            </w:pPr>
            <w:r>
              <w:rPr>
                <w:sz w:val="20"/>
                <w:szCs w:val="20"/>
              </w:rPr>
              <w:lastRenderedPageBreak/>
              <w:t>4.3</w:t>
            </w:r>
          </w:p>
        </w:tc>
        <w:tc>
          <w:tcPr>
            <w:tcW w:w="8005" w:type="dxa"/>
            <w:shd w:val="clear" w:color="auto" w:fill="DED3F8" w:themeFill="accent4" w:themeFillTint="1A"/>
            <w:vAlign w:val="center"/>
          </w:tcPr>
          <w:p w14:paraId="42F651F3" w14:textId="3D5E6B5F" w:rsidR="00F10D68" w:rsidRPr="00B05605" w:rsidRDefault="00F10D68" w:rsidP="009A4107">
            <w:pPr>
              <w:rPr>
                <w:sz w:val="20"/>
                <w:szCs w:val="20"/>
              </w:rPr>
            </w:pPr>
            <w:r w:rsidRPr="00F10D68">
              <w:rPr>
                <w:sz w:val="20"/>
                <w:szCs w:val="20"/>
              </w:rPr>
              <w:t>Please describe local factors that are believed to contribute to homelessness in your community, or territory and its communities (e.g., effects of natural disasters, lack of economic opportunity, mental health and addictions issues, etc.).</w:t>
            </w:r>
          </w:p>
        </w:tc>
      </w:tr>
      <w:tr w:rsidR="00F10D68" w:rsidRPr="00500457" w14:paraId="041D1ED2" w14:textId="77777777" w:rsidTr="00A175AF">
        <w:trPr>
          <w:trHeight w:val="1160"/>
        </w:trPr>
        <w:tc>
          <w:tcPr>
            <w:tcW w:w="1345" w:type="dxa"/>
            <w:shd w:val="clear" w:color="auto" w:fill="DED3F8" w:themeFill="accent4" w:themeFillTint="1A"/>
            <w:vAlign w:val="center"/>
          </w:tcPr>
          <w:p w14:paraId="48972942" w14:textId="174B6506" w:rsidR="00F10D68" w:rsidRDefault="00F10D68" w:rsidP="009A4107">
            <w:pPr>
              <w:rPr>
                <w:sz w:val="20"/>
                <w:szCs w:val="20"/>
              </w:rPr>
            </w:pPr>
            <w:r>
              <w:rPr>
                <w:sz w:val="20"/>
                <w:szCs w:val="20"/>
              </w:rPr>
              <w:t>4.4</w:t>
            </w:r>
          </w:p>
        </w:tc>
        <w:tc>
          <w:tcPr>
            <w:tcW w:w="8005" w:type="dxa"/>
            <w:shd w:val="clear" w:color="auto" w:fill="DED3F8" w:themeFill="accent4" w:themeFillTint="1A"/>
            <w:vAlign w:val="center"/>
          </w:tcPr>
          <w:p w14:paraId="6A16B4A5" w14:textId="0DC07870" w:rsidR="00F10D68" w:rsidRPr="00F10D68" w:rsidRDefault="00F10D68" w:rsidP="009A4107">
            <w:pPr>
              <w:rPr>
                <w:sz w:val="20"/>
                <w:szCs w:val="20"/>
              </w:rPr>
            </w:pPr>
            <w:r w:rsidRPr="00F10D68">
              <w:rPr>
                <w:sz w:val="20"/>
                <w:szCs w:val="20"/>
              </w:rPr>
              <w:t xml:space="preserve">Please identify temporary and emergency relief resources available for </w:t>
            </w:r>
            <w:proofErr w:type="gramStart"/>
            <w:r w:rsidRPr="00F10D68">
              <w:rPr>
                <w:sz w:val="20"/>
                <w:szCs w:val="20"/>
              </w:rPr>
              <w:t>individuals</w:t>
            </w:r>
            <w:proofErr w:type="gramEnd"/>
            <w:r w:rsidRPr="00F10D68">
              <w:rPr>
                <w:sz w:val="20"/>
                <w:szCs w:val="20"/>
              </w:rPr>
              <w:t xml:space="preserve"> experiencing homelessness in your community, or territory and its communities (e.g., number of shelter beds, resource centres, number of transitional beds available). If possible, please indicate whether capacity levels are commensurate with need. </w:t>
            </w:r>
          </w:p>
        </w:tc>
      </w:tr>
    </w:tbl>
    <w:p w14:paraId="0A7E78E8" w14:textId="77777777" w:rsidR="00F10D68" w:rsidRDefault="00F10D68" w:rsidP="00D43CE8">
      <w:pPr>
        <w:jc w:val="both"/>
      </w:pPr>
    </w:p>
    <w:p w14:paraId="358D3C20" w14:textId="7EB03DF7" w:rsidR="00BD4359" w:rsidRDefault="009C3F24" w:rsidP="00D43CE8">
      <w:pPr>
        <w:jc w:val="both"/>
      </w:pPr>
      <w:r w:rsidRPr="009C3F24">
        <w:rPr>
          <w:rStyle w:val="Figure-textChar"/>
        </w:rPr>
        <w:fldChar w:fldCharType="begin"/>
      </w:r>
      <w:r w:rsidRPr="009C3F24">
        <w:rPr>
          <w:rStyle w:val="Figure-textChar"/>
        </w:rPr>
        <w:instrText xml:space="preserve"> REF _Ref228195493 \h </w:instrText>
      </w:r>
      <w:r>
        <w:rPr>
          <w:rStyle w:val="Figure-textChar"/>
        </w:rPr>
        <w:instrText xml:space="preserve"> \* MERGEFORMAT </w:instrText>
      </w:r>
      <w:r w:rsidRPr="009C3F24">
        <w:rPr>
          <w:rStyle w:val="Figure-textChar"/>
        </w:rPr>
      </w:r>
      <w:r w:rsidRPr="009C3F24">
        <w:rPr>
          <w:rStyle w:val="Figure-textChar"/>
        </w:rPr>
        <w:fldChar w:fldCharType="separate"/>
      </w:r>
      <w:r w:rsidR="00CA6116" w:rsidRPr="00CA6116">
        <w:rPr>
          <w:rStyle w:val="Figure-textChar"/>
        </w:rPr>
        <w:t>Table 7.4</w:t>
      </w:r>
      <w:r w:rsidRPr="009C3F24">
        <w:rPr>
          <w:rStyle w:val="Figure-textChar"/>
        </w:rPr>
        <w:fldChar w:fldCharType="end"/>
      </w:r>
      <w:r w:rsidR="00D43CE8">
        <w:t xml:space="preserve"> presents a summary of available homelessness data, including total individuals experiencing homelessness, the share experiencing chronic homelessness, demographic characteristics, and </w:t>
      </w:r>
      <w:r w:rsidR="00FC7740">
        <w:t>regional</w:t>
      </w:r>
      <w:r w:rsidR="00D43CE8">
        <w:t xml:space="preserve"> distribution.</w:t>
      </w:r>
    </w:p>
    <w:p w14:paraId="3E7EA50C" w14:textId="77777777" w:rsidR="00D43CE8" w:rsidRDefault="00D43CE8" w:rsidP="00D43CE8"/>
    <w:p w14:paraId="7D9BF562" w14:textId="682948D0" w:rsidR="00BD4359" w:rsidRDefault="00BD4359" w:rsidP="00BD4359">
      <w:pPr>
        <w:pStyle w:val="Caption"/>
      </w:pPr>
      <w:bookmarkStart w:id="81" w:name="_Ref228195493"/>
      <w:r>
        <w:t xml:space="preserve">Table </w:t>
      </w:r>
      <w:fldSimple w:instr=" STYLEREF 1 \s ">
        <w:r w:rsidR="005E459C">
          <w:rPr>
            <w:noProof/>
          </w:rPr>
          <w:t>7</w:t>
        </w:r>
      </w:fldSimple>
      <w:r>
        <w:t>.</w:t>
      </w:r>
      <w:fldSimple w:instr=" SEQ Table \* ARABIC \s 1 ">
        <w:r w:rsidR="005E459C">
          <w:rPr>
            <w:noProof/>
          </w:rPr>
          <w:t>4</w:t>
        </w:r>
      </w:fldSimple>
      <w:bookmarkEnd w:id="81"/>
      <w:r>
        <w:t>: Summary of provincial</w:t>
      </w:r>
      <w:r w:rsidR="00FD25A8">
        <w:t xml:space="preserve"> [for PEI]</w:t>
      </w:r>
      <w:r>
        <w:t xml:space="preserve"> homelessness data and characteristics, </w:t>
      </w:r>
      <w:r w:rsidR="004D565B">
        <w:t>February</w:t>
      </w:r>
      <w:r>
        <w:t xml:space="preserve"> </w:t>
      </w:r>
      <w:r w:rsidR="004D565B">
        <w:t>2026</w:t>
      </w:r>
      <w:r w:rsidR="00FD25A8">
        <w:t xml:space="preserve"> [for PEI]</w:t>
      </w:r>
    </w:p>
    <w:tbl>
      <w:tblPr>
        <w:tblW w:w="9355" w:type="dxa"/>
        <w:tblLayout w:type="fixed"/>
        <w:tblLook w:val="04A0" w:firstRow="1" w:lastRow="0" w:firstColumn="1" w:lastColumn="0" w:noHBand="0" w:noVBand="1"/>
      </w:tblPr>
      <w:tblGrid>
        <w:gridCol w:w="6295"/>
        <w:gridCol w:w="1530"/>
        <w:gridCol w:w="1530"/>
      </w:tblGrid>
      <w:tr w:rsidR="00D301B9" w:rsidRPr="00D301B9" w14:paraId="5F5D9AB3" w14:textId="77777777" w:rsidTr="003C59F9">
        <w:trPr>
          <w:trHeight w:val="737"/>
        </w:trPr>
        <w:tc>
          <w:tcPr>
            <w:tcW w:w="629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0AE36BCC" w14:textId="77777777" w:rsidR="00D301B9" w:rsidRPr="00D301B9" w:rsidRDefault="00D301B9" w:rsidP="00D301B9">
            <w:pPr>
              <w:rPr>
                <w:rFonts w:eastAsia="Times New Roman"/>
                <w:color w:val="FFFFFF"/>
                <w:sz w:val="18"/>
                <w:szCs w:val="18"/>
              </w:rPr>
            </w:pPr>
            <w:r w:rsidRPr="00D301B9">
              <w:rPr>
                <w:rFonts w:eastAsia="Times New Roman"/>
                <w:color w:val="FFFFFF"/>
                <w:sz w:val="18"/>
                <w:szCs w:val="18"/>
              </w:rPr>
              <w:t>Characteristic</w:t>
            </w:r>
          </w:p>
        </w:tc>
        <w:tc>
          <w:tcPr>
            <w:tcW w:w="1530" w:type="dxa"/>
            <w:tcBorders>
              <w:top w:val="single" w:sz="4" w:space="0" w:color="auto"/>
              <w:left w:val="single" w:sz="4" w:space="0" w:color="auto"/>
              <w:bottom w:val="single" w:sz="4" w:space="0" w:color="auto"/>
              <w:right w:val="single" w:sz="4" w:space="0" w:color="BFBFBF"/>
            </w:tcBorders>
            <w:shd w:val="clear" w:color="auto" w:fill="42618C" w:themeFill="accent3"/>
            <w:vAlign w:val="center"/>
            <w:hideMark/>
          </w:tcPr>
          <w:p w14:paraId="51AB34FE" w14:textId="77777777" w:rsidR="00D301B9" w:rsidRPr="00D301B9" w:rsidRDefault="00D301B9" w:rsidP="00D301B9">
            <w:pPr>
              <w:jc w:val="right"/>
              <w:rPr>
                <w:rFonts w:eastAsia="Times New Roman"/>
                <w:color w:val="FFFFFF"/>
                <w:sz w:val="18"/>
                <w:szCs w:val="18"/>
              </w:rPr>
            </w:pPr>
            <w:r w:rsidRPr="00D301B9">
              <w:rPr>
                <w:rFonts w:eastAsia="Times New Roman"/>
                <w:color w:val="FFFFFF"/>
                <w:sz w:val="18"/>
                <w:szCs w:val="18"/>
              </w:rPr>
              <w:t>Total people</w:t>
            </w:r>
          </w:p>
        </w:tc>
        <w:tc>
          <w:tcPr>
            <w:tcW w:w="1530" w:type="dxa"/>
            <w:tcBorders>
              <w:top w:val="single" w:sz="4" w:space="0" w:color="auto"/>
              <w:left w:val="nil"/>
              <w:bottom w:val="single" w:sz="4" w:space="0" w:color="auto"/>
              <w:right w:val="single" w:sz="4" w:space="0" w:color="auto"/>
            </w:tcBorders>
            <w:shd w:val="clear" w:color="auto" w:fill="42618C" w:themeFill="accent3"/>
            <w:vAlign w:val="center"/>
            <w:hideMark/>
          </w:tcPr>
          <w:p w14:paraId="301CE3D8" w14:textId="77777777" w:rsidR="00D301B9" w:rsidRPr="00D301B9" w:rsidRDefault="00D301B9" w:rsidP="00D301B9">
            <w:pPr>
              <w:jc w:val="right"/>
              <w:rPr>
                <w:rFonts w:eastAsia="Times New Roman"/>
                <w:color w:val="FFFFFF"/>
                <w:sz w:val="18"/>
                <w:szCs w:val="18"/>
              </w:rPr>
            </w:pPr>
            <w:r w:rsidRPr="00D301B9">
              <w:rPr>
                <w:rFonts w:eastAsia="Times New Roman"/>
                <w:color w:val="FFFFFF"/>
                <w:sz w:val="18"/>
                <w:szCs w:val="18"/>
              </w:rPr>
              <w:t>Percent of total experiencing homelessness</w:t>
            </w:r>
          </w:p>
        </w:tc>
      </w:tr>
      <w:tr w:rsidR="00D301B9" w:rsidRPr="00D301B9" w14:paraId="07F1DCB9" w14:textId="77777777" w:rsidTr="00D301B9">
        <w:trPr>
          <w:trHeight w:val="402"/>
        </w:trPr>
        <w:tc>
          <w:tcPr>
            <w:tcW w:w="6295" w:type="dxa"/>
            <w:tcBorders>
              <w:top w:val="nil"/>
              <w:left w:val="single" w:sz="4" w:space="0" w:color="auto"/>
              <w:bottom w:val="single" w:sz="4" w:space="0" w:color="auto"/>
              <w:right w:val="single" w:sz="4" w:space="0" w:color="auto"/>
            </w:tcBorders>
            <w:shd w:val="clear" w:color="000000" w:fill="F2F2F2"/>
            <w:noWrap/>
            <w:vAlign w:val="center"/>
            <w:hideMark/>
          </w:tcPr>
          <w:p w14:paraId="2504BEF0"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Individuals experiencing homelessness</w:t>
            </w:r>
          </w:p>
        </w:tc>
        <w:tc>
          <w:tcPr>
            <w:tcW w:w="1530" w:type="dxa"/>
            <w:tcBorders>
              <w:top w:val="nil"/>
              <w:left w:val="nil"/>
              <w:bottom w:val="single" w:sz="4" w:space="0" w:color="auto"/>
              <w:right w:val="single" w:sz="4" w:space="0" w:color="BFBFBF"/>
            </w:tcBorders>
            <w:shd w:val="clear" w:color="000000" w:fill="F2F2F2"/>
            <w:noWrap/>
            <w:vAlign w:val="center"/>
            <w:hideMark/>
          </w:tcPr>
          <w:p w14:paraId="421DC4F8"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210</w:t>
            </w:r>
          </w:p>
        </w:tc>
        <w:tc>
          <w:tcPr>
            <w:tcW w:w="1530" w:type="dxa"/>
            <w:tcBorders>
              <w:top w:val="nil"/>
              <w:left w:val="nil"/>
              <w:bottom w:val="single" w:sz="4" w:space="0" w:color="auto"/>
              <w:right w:val="single" w:sz="4" w:space="0" w:color="auto"/>
            </w:tcBorders>
            <w:shd w:val="clear" w:color="000000" w:fill="F2F2F2"/>
            <w:noWrap/>
            <w:vAlign w:val="center"/>
            <w:hideMark/>
          </w:tcPr>
          <w:p w14:paraId="0B1A3863"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100.0%</w:t>
            </w:r>
          </w:p>
        </w:tc>
      </w:tr>
      <w:tr w:rsidR="00D301B9" w:rsidRPr="00D301B9" w14:paraId="4B8CD2C8" w14:textId="77777777" w:rsidTr="00D301B9">
        <w:trPr>
          <w:trHeight w:val="402"/>
        </w:trPr>
        <w:tc>
          <w:tcPr>
            <w:tcW w:w="6295" w:type="dxa"/>
            <w:tcBorders>
              <w:top w:val="nil"/>
              <w:left w:val="single" w:sz="4" w:space="0" w:color="auto"/>
              <w:bottom w:val="single" w:sz="4" w:space="0" w:color="BFBFBF"/>
              <w:right w:val="single" w:sz="4" w:space="0" w:color="auto"/>
            </w:tcBorders>
            <w:noWrap/>
            <w:vAlign w:val="center"/>
            <w:hideMark/>
          </w:tcPr>
          <w:p w14:paraId="64AD65DE"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Individuals experiencing chronic homelessness</w:t>
            </w:r>
          </w:p>
        </w:tc>
        <w:tc>
          <w:tcPr>
            <w:tcW w:w="1530" w:type="dxa"/>
            <w:tcBorders>
              <w:top w:val="nil"/>
              <w:left w:val="nil"/>
              <w:bottom w:val="single" w:sz="4" w:space="0" w:color="BFBFBF"/>
              <w:right w:val="single" w:sz="4" w:space="0" w:color="BFBFBF"/>
            </w:tcBorders>
            <w:noWrap/>
            <w:vAlign w:val="center"/>
            <w:hideMark/>
          </w:tcPr>
          <w:p w14:paraId="6B29EC7B"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104</w:t>
            </w:r>
          </w:p>
        </w:tc>
        <w:tc>
          <w:tcPr>
            <w:tcW w:w="1530" w:type="dxa"/>
            <w:tcBorders>
              <w:top w:val="nil"/>
              <w:left w:val="nil"/>
              <w:bottom w:val="single" w:sz="4" w:space="0" w:color="BFBFBF"/>
              <w:right w:val="single" w:sz="4" w:space="0" w:color="auto"/>
            </w:tcBorders>
            <w:noWrap/>
            <w:vAlign w:val="center"/>
            <w:hideMark/>
          </w:tcPr>
          <w:p w14:paraId="42622E08"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49.5%</w:t>
            </w:r>
          </w:p>
        </w:tc>
      </w:tr>
      <w:tr w:rsidR="00D301B9" w:rsidRPr="00D301B9" w14:paraId="1A710E78" w14:textId="77777777" w:rsidTr="00D301B9">
        <w:trPr>
          <w:trHeight w:val="402"/>
        </w:trPr>
        <w:tc>
          <w:tcPr>
            <w:tcW w:w="6295" w:type="dxa"/>
            <w:tcBorders>
              <w:top w:val="nil"/>
              <w:left w:val="single" w:sz="4" w:space="0" w:color="auto"/>
              <w:bottom w:val="single" w:sz="4" w:space="0" w:color="auto"/>
              <w:right w:val="single" w:sz="4" w:space="0" w:color="auto"/>
            </w:tcBorders>
            <w:shd w:val="clear" w:color="000000" w:fill="F2F2F2"/>
            <w:noWrap/>
            <w:vAlign w:val="center"/>
            <w:hideMark/>
          </w:tcPr>
          <w:p w14:paraId="747F0F61"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Individuals housed through coordinated approach (cumulative)</w:t>
            </w:r>
          </w:p>
        </w:tc>
        <w:tc>
          <w:tcPr>
            <w:tcW w:w="1530" w:type="dxa"/>
            <w:tcBorders>
              <w:top w:val="nil"/>
              <w:left w:val="nil"/>
              <w:bottom w:val="single" w:sz="4" w:space="0" w:color="auto"/>
              <w:right w:val="single" w:sz="4" w:space="0" w:color="BFBFBF"/>
            </w:tcBorders>
            <w:shd w:val="clear" w:color="000000" w:fill="F2F2F2"/>
            <w:noWrap/>
            <w:vAlign w:val="center"/>
            <w:hideMark/>
          </w:tcPr>
          <w:p w14:paraId="497DFC71"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72</w:t>
            </w:r>
          </w:p>
        </w:tc>
        <w:tc>
          <w:tcPr>
            <w:tcW w:w="1530" w:type="dxa"/>
            <w:tcBorders>
              <w:top w:val="nil"/>
              <w:left w:val="nil"/>
              <w:bottom w:val="single" w:sz="4" w:space="0" w:color="auto"/>
              <w:right w:val="single" w:sz="4" w:space="0" w:color="auto"/>
            </w:tcBorders>
            <w:shd w:val="clear" w:color="000000" w:fill="F2F2F2"/>
            <w:noWrap/>
            <w:vAlign w:val="center"/>
            <w:hideMark/>
          </w:tcPr>
          <w:p w14:paraId="014A4CCD"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34.3%</w:t>
            </w:r>
          </w:p>
        </w:tc>
      </w:tr>
      <w:tr w:rsidR="00D301B9" w:rsidRPr="00D301B9" w14:paraId="5091B057" w14:textId="77777777" w:rsidTr="00D301B9">
        <w:trPr>
          <w:trHeight w:val="402"/>
        </w:trPr>
        <w:tc>
          <w:tcPr>
            <w:tcW w:w="6295" w:type="dxa"/>
            <w:tcBorders>
              <w:top w:val="nil"/>
              <w:left w:val="single" w:sz="4" w:space="0" w:color="auto"/>
              <w:bottom w:val="single" w:sz="4" w:space="0" w:color="BFBFBF"/>
              <w:right w:val="single" w:sz="4" w:space="0" w:color="auto"/>
            </w:tcBorders>
            <w:noWrap/>
            <w:vAlign w:val="center"/>
            <w:hideMark/>
          </w:tcPr>
          <w:p w14:paraId="7E44DBB2"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Single persons</w:t>
            </w:r>
          </w:p>
        </w:tc>
        <w:tc>
          <w:tcPr>
            <w:tcW w:w="1530" w:type="dxa"/>
            <w:tcBorders>
              <w:top w:val="nil"/>
              <w:left w:val="nil"/>
              <w:bottom w:val="single" w:sz="4" w:space="0" w:color="BFBFBF"/>
              <w:right w:val="single" w:sz="4" w:space="0" w:color="BFBFBF"/>
            </w:tcBorders>
            <w:noWrap/>
            <w:vAlign w:val="center"/>
            <w:hideMark/>
          </w:tcPr>
          <w:p w14:paraId="32AD39A8"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184</w:t>
            </w:r>
          </w:p>
        </w:tc>
        <w:tc>
          <w:tcPr>
            <w:tcW w:w="1530" w:type="dxa"/>
            <w:tcBorders>
              <w:top w:val="nil"/>
              <w:left w:val="nil"/>
              <w:bottom w:val="single" w:sz="4" w:space="0" w:color="BFBFBF"/>
              <w:right w:val="single" w:sz="4" w:space="0" w:color="auto"/>
            </w:tcBorders>
            <w:noWrap/>
            <w:vAlign w:val="center"/>
            <w:hideMark/>
          </w:tcPr>
          <w:p w14:paraId="3A89B92C"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87.6%</w:t>
            </w:r>
          </w:p>
        </w:tc>
      </w:tr>
      <w:tr w:rsidR="00D301B9" w:rsidRPr="00D301B9" w14:paraId="57074C48" w14:textId="77777777" w:rsidTr="00D301B9">
        <w:trPr>
          <w:trHeight w:val="402"/>
        </w:trPr>
        <w:tc>
          <w:tcPr>
            <w:tcW w:w="6295" w:type="dxa"/>
            <w:tcBorders>
              <w:top w:val="nil"/>
              <w:left w:val="single" w:sz="4" w:space="0" w:color="auto"/>
              <w:bottom w:val="single" w:sz="4" w:space="0" w:color="BFBFBF"/>
              <w:right w:val="single" w:sz="4" w:space="0" w:color="auto"/>
            </w:tcBorders>
            <w:shd w:val="clear" w:color="000000" w:fill="F2F2F2"/>
            <w:noWrap/>
            <w:vAlign w:val="center"/>
            <w:hideMark/>
          </w:tcPr>
          <w:p w14:paraId="0026CDE7"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Male</w:t>
            </w:r>
          </w:p>
        </w:tc>
        <w:tc>
          <w:tcPr>
            <w:tcW w:w="1530" w:type="dxa"/>
            <w:tcBorders>
              <w:top w:val="nil"/>
              <w:left w:val="nil"/>
              <w:bottom w:val="single" w:sz="4" w:space="0" w:color="BFBFBF"/>
              <w:right w:val="single" w:sz="4" w:space="0" w:color="BFBFBF"/>
            </w:tcBorders>
            <w:shd w:val="clear" w:color="000000" w:fill="F2F2F2"/>
            <w:noWrap/>
            <w:vAlign w:val="center"/>
            <w:hideMark/>
          </w:tcPr>
          <w:p w14:paraId="6BB5D7A7"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148</w:t>
            </w:r>
          </w:p>
        </w:tc>
        <w:tc>
          <w:tcPr>
            <w:tcW w:w="1530" w:type="dxa"/>
            <w:tcBorders>
              <w:top w:val="nil"/>
              <w:left w:val="nil"/>
              <w:bottom w:val="single" w:sz="4" w:space="0" w:color="BFBFBF"/>
              <w:right w:val="single" w:sz="4" w:space="0" w:color="auto"/>
            </w:tcBorders>
            <w:shd w:val="clear" w:color="000000" w:fill="F2F2F2"/>
            <w:noWrap/>
            <w:vAlign w:val="center"/>
            <w:hideMark/>
          </w:tcPr>
          <w:p w14:paraId="3A1F1F7A"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70.3%</w:t>
            </w:r>
          </w:p>
        </w:tc>
      </w:tr>
      <w:tr w:rsidR="00D301B9" w:rsidRPr="00D301B9" w14:paraId="201A15AB" w14:textId="77777777" w:rsidTr="00D301B9">
        <w:trPr>
          <w:trHeight w:val="402"/>
        </w:trPr>
        <w:tc>
          <w:tcPr>
            <w:tcW w:w="6295" w:type="dxa"/>
            <w:tcBorders>
              <w:top w:val="nil"/>
              <w:left w:val="single" w:sz="4" w:space="0" w:color="auto"/>
              <w:bottom w:val="single" w:sz="4" w:space="0" w:color="BFBFBF"/>
              <w:right w:val="single" w:sz="4" w:space="0" w:color="auto"/>
            </w:tcBorders>
            <w:noWrap/>
            <w:vAlign w:val="center"/>
            <w:hideMark/>
          </w:tcPr>
          <w:p w14:paraId="4E065281"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Female</w:t>
            </w:r>
          </w:p>
        </w:tc>
        <w:tc>
          <w:tcPr>
            <w:tcW w:w="1530" w:type="dxa"/>
            <w:tcBorders>
              <w:top w:val="nil"/>
              <w:left w:val="nil"/>
              <w:bottom w:val="single" w:sz="4" w:space="0" w:color="BFBFBF"/>
              <w:right w:val="single" w:sz="4" w:space="0" w:color="BFBFBF"/>
            </w:tcBorders>
            <w:shd w:val="clear" w:color="000000" w:fill="FFFFFF"/>
            <w:noWrap/>
            <w:vAlign w:val="center"/>
            <w:hideMark/>
          </w:tcPr>
          <w:p w14:paraId="6397EB5D"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60</w:t>
            </w:r>
          </w:p>
        </w:tc>
        <w:tc>
          <w:tcPr>
            <w:tcW w:w="1530" w:type="dxa"/>
            <w:tcBorders>
              <w:top w:val="nil"/>
              <w:left w:val="nil"/>
              <w:bottom w:val="single" w:sz="4" w:space="0" w:color="BFBFBF"/>
              <w:right w:val="single" w:sz="4" w:space="0" w:color="auto"/>
            </w:tcBorders>
            <w:noWrap/>
            <w:vAlign w:val="center"/>
            <w:hideMark/>
          </w:tcPr>
          <w:p w14:paraId="562D3A15"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28.4%</w:t>
            </w:r>
          </w:p>
        </w:tc>
      </w:tr>
      <w:tr w:rsidR="00D301B9" w:rsidRPr="00D301B9" w14:paraId="70D2F654" w14:textId="77777777" w:rsidTr="00D301B9">
        <w:trPr>
          <w:trHeight w:val="402"/>
        </w:trPr>
        <w:tc>
          <w:tcPr>
            <w:tcW w:w="6295" w:type="dxa"/>
            <w:tcBorders>
              <w:top w:val="nil"/>
              <w:left w:val="single" w:sz="4" w:space="0" w:color="auto"/>
              <w:bottom w:val="single" w:sz="4" w:space="0" w:color="BFBFBF"/>
              <w:right w:val="single" w:sz="4" w:space="0" w:color="auto"/>
            </w:tcBorders>
            <w:shd w:val="clear" w:color="000000" w:fill="F2F2F2"/>
            <w:noWrap/>
            <w:vAlign w:val="center"/>
            <w:hideMark/>
          </w:tcPr>
          <w:p w14:paraId="23BDF307"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Non-binary</w:t>
            </w:r>
          </w:p>
        </w:tc>
        <w:tc>
          <w:tcPr>
            <w:tcW w:w="1530" w:type="dxa"/>
            <w:tcBorders>
              <w:top w:val="nil"/>
              <w:left w:val="nil"/>
              <w:bottom w:val="single" w:sz="4" w:space="0" w:color="BFBFBF"/>
              <w:right w:val="single" w:sz="4" w:space="0" w:color="BFBFBF"/>
            </w:tcBorders>
            <w:shd w:val="clear" w:color="000000" w:fill="F2F2F2"/>
            <w:noWrap/>
            <w:vAlign w:val="center"/>
            <w:hideMark/>
          </w:tcPr>
          <w:p w14:paraId="492105F8"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3</w:t>
            </w:r>
          </w:p>
        </w:tc>
        <w:tc>
          <w:tcPr>
            <w:tcW w:w="1530" w:type="dxa"/>
            <w:tcBorders>
              <w:top w:val="nil"/>
              <w:left w:val="nil"/>
              <w:bottom w:val="single" w:sz="4" w:space="0" w:color="BFBFBF"/>
              <w:right w:val="single" w:sz="4" w:space="0" w:color="auto"/>
            </w:tcBorders>
            <w:shd w:val="clear" w:color="000000" w:fill="F2F2F2"/>
            <w:noWrap/>
            <w:vAlign w:val="center"/>
            <w:hideMark/>
          </w:tcPr>
          <w:p w14:paraId="12EEDE4D"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1.3%</w:t>
            </w:r>
          </w:p>
        </w:tc>
      </w:tr>
      <w:tr w:rsidR="00D301B9" w:rsidRPr="00D301B9" w14:paraId="68C4195A" w14:textId="77777777" w:rsidTr="00D301B9">
        <w:trPr>
          <w:trHeight w:val="402"/>
        </w:trPr>
        <w:tc>
          <w:tcPr>
            <w:tcW w:w="6295" w:type="dxa"/>
            <w:tcBorders>
              <w:top w:val="nil"/>
              <w:left w:val="single" w:sz="4" w:space="0" w:color="auto"/>
              <w:bottom w:val="single" w:sz="4" w:space="0" w:color="BFBFBF"/>
              <w:right w:val="single" w:sz="4" w:space="0" w:color="auto"/>
            </w:tcBorders>
            <w:shd w:val="clear" w:color="000000" w:fill="FFFFFF"/>
            <w:noWrap/>
            <w:vAlign w:val="center"/>
            <w:hideMark/>
          </w:tcPr>
          <w:p w14:paraId="6840E3DB"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Indigenous identifying persons</w:t>
            </w:r>
          </w:p>
        </w:tc>
        <w:tc>
          <w:tcPr>
            <w:tcW w:w="1530" w:type="dxa"/>
            <w:tcBorders>
              <w:top w:val="nil"/>
              <w:left w:val="nil"/>
              <w:bottom w:val="single" w:sz="4" w:space="0" w:color="BFBFBF"/>
              <w:right w:val="single" w:sz="4" w:space="0" w:color="BFBFBF"/>
            </w:tcBorders>
            <w:shd w:val="clear" w:color="000000" w:fill="FFFFFF"/>
            <w:noWrap/>
            <w:vAlign w:val="center"/>
            <w:hideMark/>
          </w:tcPr>
          <w:p w14:paraId="1C7245C4"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27</w:t>
            </w:r>
          </w:p>
        </w:tc>
        <w:tc>
          <w:tcPr>
            <w:tcW w:w="1530" w:type="dxa"/>
            <w:tcBorders>
              <w:top w:val="nil"/>
              <w:left w:val="nil"/>
              <w:bottom w:val="single" w:sz="4" w:space="0" w:color="BFBFBF"/>
              <w:right w:val="single" w:sz="4" w:space="0" w:color="auto"/>
            </w:tcBorders>
            <w:shd w:val="clear" w:color="000000" w:fill="FFFFFF"/>
            <w:noWrap/>
            <w:vAlign w:val="center"/>
            <w:hideMark/>
          </w:tcPr>
          <w:p w14:paraId="66EB37AF"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12.9%</w:t>
            </w:r>
          </w:p>
        </w:tc>
      </w:tr>
      <w:tr w:rsidR="00D301B9" w:rsidRPr="00D301B9" w14:paraId="442B8D1C" w14:textId="77777777" w:rsidTr="00D301B9">
        <w:trPr>
          <w:trHeight w:val="402"/>
        </w:trPr>
        <w:tc>
          <w:tcPr>
            <w:tcW w:w="6295" w:type="dxa"/>
            <w:tcBorders>
              <w:top w:val="nil"/>
              <w:left w:val="single" w:sz="4" w:space="0" w:color="auto"/>
              <w:bottom w:val="single" w:sz="4" w:space="0" w:color="BFBFBF"/>
              <w:right w:val="single" w:sz="4" w:space="0" w:color="auto"/>
            </w:tcBorders>
            <w:shd w:val="clear" w:color="000000" w:fill="F2F2F2"/>
            <w:noWrap/>
            <w:vAlign w:val="center"/>
            <w:hideMark/>
          </w:tcPr>
          <w:p w14:paraId="460D774C"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Veterans</w:t>
            </w:r>
          </w:p>
        </w:tc>
        <w:tc>
          <w:tcPr>
            <w:tcW w:w="1530" w:type="dxa"/>
            <w:tcBorders>
              <w:top w:val="nil"/>
              <w:left w:val="nil"/>
              <w:bottom w:val="single" w:sz="4" w:space="0" w:color="BFBFBF"/>
              <w:right w:val="single" w:sz="4" w:space="0" w:color="BFBFBF"/>
            </w:tcBorders>
            <w:shd w:val="clear" w:color="000000" w:fill="F2F2F2"/>
            <w:noWrap/>
            <w:vAlign w:val="center"/>
            <w:hideMark/>
          </w:tcPr>
          <w:p w14:paraId="0DA68424"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5</w:t>
            </w:r>
          </w:p>
        </w:tc>
        <w:tc>
          <w:tcPr>
            <w:tcW w:w="1530" w:type="dxa"/>
            <w:tcBorders>
              <w:top w:val="nil"/>
              <w:left w:val="nil"/>
              <w:bottom w:val="single" w:sz="4" w:space="0" w:color="BFBFBF"/>
              <w:right w:val="single" w:sz="4" w:space="0" w:color="auto"/>
            </w:tcBorders>
            <w:shd w:val="clear" w:color="000000" w:fill="F2F2F2"/>
            <w:noWrap/>
            <w:vAlign w:val="center"/>
            <w:hideMark/>
          </w:tcPr>
          <w:p w14:paraId="48281146"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2.4%</w:t>
            </w:r>
          </w:p>
        </w:tc>
      </w:tr>
      <w:tr w:rsidR="00D301B9" w:rsidRPr="00D301B9" w14:paraId="7B565391" w14:textId="77777777" w:rsidTr="00D301B9">
        <w:trPr>
          <w:trHeight w:val="402"/>
        </w:trPr>
        <w:tc>
          <w:tcPr>
            <w:tcW w:w="6295" w:type="dxa"/>
            <w:tcBorders>
              <w:top w:val="nil"/>
              <w:left w:val="single" w:sz="4" w:space="0" w:color="auto"/>
              <w:bottom w:val="single" w:sz="4" w:space="0" w:color="auto"/>
              <w:right w:val="single" w:sz="4" w:space="0" w:color="auto"/>
            </w:tcBorders>
            <w:shd w:val="clear" w:color="000000" w:fill="FFFFFF"/>
            <w:noWrap/>
            <w:vAlign w:val="center"/>
            <w:hideMark/>
          </w:tcPr>
          <w:p w14:paraId="55D14D7A" w14:textId="77777777" w:rsidR="00D301B9" w:rsidRPr="00D301B9" w:rsidRDefault="00D301B9" w:rsidP="00D301B9">
            <w:pPr>
              <w:rPr>
                <w:rFonts w:eastAsia="Times New Roman"/>
                <w:color w:val="000000"/>
                <w:sz w:val="18"/>
                <w:szCs w:val="18"/>
              </w:rPr>
            </w:pPr>
            <w:r w:rsidRPr="00D301B9">
              <w:rPr>
                <w:rFonts w:eastAsia="Times New Roman"/>
                <w:color w:val="000000"/>
                <w:sz w:val="18"/>
                <w:szCs w:val="18"/>
              </w:rPr>
              <w:t>Non-citizens</w:t>
            </w:r>
          </w:p>
        </w:tc>
        <w:tc>
          <w:tcPr>
            <w:tcW w:w="1530" w:type="dxa"/>
            <w:tcBorders>
              <w:top w:val="nil"/>
              <w:left w:val="nil"/>
              <w:bottom w:val="single" w:sz="4" w:space="0" w:color="auto"/>
              <w:right w:val="single" w:sz="4" w:space="0" w:color="BFBFBF"/>
            </w:tcBorders>
            <w:shd w:val="clear" w:color="000000" w:fill="FFFFFF"/>
            <w:noWrap/>
            <w:vAlign w:val="center"/>
            <w:hideMark/>
          </w:tcPr>
          <w:p w14:paraId="59962726"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5</w:t>
            </w:r>
          </w:p>
        </w:tc>
        <w:tc>
          <w:tcPr>
            <w:tcW w:w="1530" w:type="dxa"/>
            <w:tcBorders>
              <w:top w:val="nil"/>
              <w:left w:val="nil"/>
              <w:bottom w:val="single" w:sz="4" w:space="0" w:color="auto"/>
              <w:right w:val="single" w:sz="4" w:space="0" w:color="auto"/>
            </w:tcBorders>
            <w:shd w:val="clear" w:color="000000" w:fill="FFFFFF"/>
            <w:noWrap/>
            <w:vAlign w:val="center"/>
            <w:hideMark/>
          </w:tcPr>
          <w:p w14:paraId="7068B0DF" w14:textId="77777777" w:rsidR="00D301B9" w:rsidRPr="00862CD8" w:rsidRDefault="00D301B9" w:rsidP="00D301B9">
            <w:pPr>
              <w:jc w:val="right"/>
              <w:rPr>
                <w:rFonts w:eastAsia="Times New Roman"/>
                <w:color w:val="C00000"/>
                <w:sz w:val="18"/>
                <w:szCs w:val="18"/>
              </w:rPr>
            </w:pPr>
            <w:r w:rsidRPr="00862CD8">
              <w:rPr>
                <w:rFonts w:eastAsia="Times New Roman"/>
                <w:color w:val="C00000"/>
                <w:sz w:val="18"/>
                <w:szCs w:val="18"/>
              </w:rPr>
              <w:t>2.4%</w:t>
            </w:r>
          </w:p>
        </w:tc>
      </w:tr>
    </w:tbl>
    <w:p w14:paraId="57DC0362" w14:textId="390F9621" w:rsidR="004D6426" w:rsidRDefault="00BD4359" w:rsidP="002546E5">
      <w:pPr>
        <w:pStyle w:val="Source"/>
      </w:pPr>
      <w:r>
        <w:t xml:space="preserve">Source: </w:t>
      </w:r>
      <w:r w:rsidR="00477A4D">
        <w:t xml:space="preserve">For PEI - </w:t>
      </w:r>
      <w:r w:rsidR="00E33D40">
        <w:t>Homeless Individuals and Families Information System</w:t>
      </w:r>
      <w:r w:rsidR="002546E5">
        <w:t xml:space="preserve"> via John Howard Society of Prince Edward Island</w:t>
      </w:r>
      <w:r w:rsidR="000B2B5D">
        <w:t>, for elsewhere – to be determined</w:t>
      </w:r>
    </w:p>
    <w:p w14:paraId="619BEBE4" w14:textId="77777777" w:rsidR="00735973" w:rsidRDefault="00735973" w:rsidP="00735973">
      <w:pPr>
        <w:jc w:val="both"/>
      </w:pPr>
    </w:p>
    <w:p w14:paraId="03C41145" w14:textId="7B16404B" w:rsidR="00735973" w:rsidRDefault="00735973" w:rsidP="00735973">
      <w:pPr>
        <w:jc w:val="both"/>
      </w:pPr>
      <w:r>
        <w:t xml:space="preserve">The share of individuals experiencing chronic homelessness (defined as those who have experienced homelessness for six months or more in the past year, or on three or more occasions) is among the most policy-relevant figures. A high chronic share relative to the total indicates that a substantial portion of the homeless population is not cycling through homelessness episodically but is entrenched in it. </w:t>
      </w:r>
    </w:p>
    <w:p w14:paraId="0EBF9AA0" w14:textId="77777777" w:rsidR="00735973" w:rsidRDefault="00735973" w:rsidP="00735973">
      <w:pPr>
        <w:jc w:val="both"/>
      </w:pPr>
    </w:p>
    <w:p w14:paraId="07B6C4E2" w14:textId="08020DD4" w:rsidR="006E7EBA" w:rsidRPr="003D3CEF" w:rsidRDefault="00735973" w:rsidP="00735973">
      <w:pPr>
        <w:jc w:val="both"/>
      </w:pPr>
      <w:r>
        <w:t xml:space="preserve">The demographic composition of the homeless population </w:t>
      </w:r>
      <w:r w:rsidR="0009301F">
        <w:t>(</w:t>
      </w:r>
      <w:r>
        <w:t>including the shares of single persons, Indigenous-identifying individuals, veterans, and non-citizens</w:t>
      </w:r>
      <w:r w:rsidR="0009301F">
        <w:t>)</w:t>
      </w:r>
      <w:r>
        <w:t xml:space="preserve"> should be read against the same groups' shares of the total population and their </w:t>
      </w:r>
      <w:r w:rsidR="0009301F">
        <w:t xml:space="preserve">reported </w:t>
      </w:r>
      <w:r>
        <w:t>core housing need rates</w:t>
      </w:r>
      <w:r w:rsidR="0009301F">
        <w:t xml:space="preserve"> (where available)</w:t>
      </w:r>
      <w:r>
        <w:t xml:space="preserve">. Overrepresentation of any group in the homeless population relative to their population share </w:t>
      </w:r>
      <w:r w:rsidR="003D3CEF">
        <w:t xml:space="preserve">may </w:t>
      </w:r>
      <w:r>
        <w:t>signal</w:t>
      </w:r>
      <w:r w:rsidR="003D3CEF">
        <w:t xml:space="preserve"> that not</w:t>
      </w:r>
      <w:r>
        <w:t xml:space="preserve"> only are these groups at elevated risk of housing need, but the systems </w:t>
      </w:r>
      <w:r>
        <w:lastRenderedPageBreak/>
        <w:t xml:space="preserve">intended to prevent homelessness </w:t>
      </w:r>
      <w:r w:rsidR="003D3CEF">
        <w:t>(</w:t>
      </w:r>
      <w:r>
        <w:t>including non-market supply, income support programs, and targeted housing services</w:t>
      </w:r>
      <w:r w:rsidR="003D3CEF">
        <w:t>)</w:t>
      </w:r>
      <w:r>
        <w:t xml:space="preserve"> </w:t>
      </w:r>
      <w:r w:rsidR="003D3CEF">
        <w:t>may not be</w:t>
      </w:r>
      <w:r>
        <w:t xml:space="preserve"> reaching them.</w:t>
      </w:r>
      <w:r w:rsidR="006E7EBA">
        <w:br w:type="page"/>
      </w:r>
    </w:p>
    <w:p w14:paraId="635527D9" w14:textId="54A637C8" w:rsidR="0043538E" w:rsidRDefault="004608FD" w:rsidP="00072A93">
      <w:pPr>
        <w:pStyle w:val="Heading1"/>
      </w:pPr>
      <w:bookmarkStart w:id="82" w:name="_Toc223686654"/>
      <w:bookmarkStart w:id="83" w:name="_Toc237355952"/>
      <w:r>
        <w:lastRenderedPageBreak/>
        <w:t>PROJECTED NEEDS</w:t>
      </w:r>
      <w:bookmarkEnd w:id="82"/>
      <w:bookmarkEnd w:id="83"/>
    </w:p>
    <w:p w14:paraId="0D9CA7AF" w14:textId="77777777" w:rsidR="003717CE" w:rsidRDefault="003717CE" w:rsidP="003717CE">
      <w:pPr>
        <w:jc w:val="both"/>
      </w:pPr>
    </w:p>
    <w:p w14:paraId="0976BE3D" w14:textId="14BAF1A3" w:rsidR="009F0FF5" w:rsidRDefault="009F0FF5" w:rsidP="009F0FF5">
      <w:pPr>
        <w:jc w:val="both"/>
      </w:pPr>
      <w:r>
        <w:t>This section translates current housing conditions and demographic analysis into forward-looking estimates of housing demand, household formation, and unit requirements over a projection horizon of 10 years.</w:t>
      </w:r>
      <w:r w:rsidR="007617DC">
        <w:t xml:space="preserve"> </w:t>
      </w:r>
      <w:r w:rsidR="006B13DF">
        <w:t xml:space="preserve">Projection methodologies are </w:t>
      </w:r>
    </w:p>
    <w:p w14:paraId="01402981" w14:textId="77777777" w:rsidR="009F0FF5" w:rsidRDefault="009F0FF5" w:rsidP="009F0FF5">
      <w:pPr>
        <w:jc w:val="both"/>
      </w:pPr>
    </w:p>
    <w:p w14:paraId="5F293BB7" w14:textId="17B948E8" w:rsidR="00152A5E" w:rsidRDefault="009F0FF5" w:rsidP="009F0FF5">
      <w:pPr>
        <w:jc w:val="both"/>
      </w:pPr>
      <w:r>
        <w:t xml:space="preserve">A housing needs assessment that documents only current conditions is of limited value for planning purposes; it is the projection of future need that drives </w:t>
      </w:r>
      <w:r w:rsidR="00E73643">
        <w:t>planning</w:t>
      </w:r>
      <w:r>
        <w:t xml:space="preserve"> </w:t>
      </w:r>
      <w:r w:rsidR="00E73643">
        <w:t>policy</w:t>
      </w:r>
      <w:r>
        <w:t xml:space="preserve">, capital budgeting, and funding applications. Federal program requirements under the </w:t>
      </w:r>
      <w:r w:rsidR="0066194B">
        <w:t>BCSF</w:t>
      </w:r>
      <w:r>
        <w:t xml:space="preserve"> and HAF explicitly include projected housing need as a required component of an HNA, reflecting the understanding that addressing Canada's housing challenges requires anticipating demand, not merely responding to it after the fact.</w:t>
      </w:r>
    </w:p>
    <w:p w14:paraId="174B3311" w14:textId="77777777" w:rsidR="009F0FF5" w:rsidRDefault="009F0FF5" w:rsidP="009F0FF5">
      <w:pPr>
        <w:jc w:val="both"/>
      </w:pPr>
    </w:p>
    <w:p w14:paraId="7960A923" w14:textId="07DE79FC" w:rsidR="0043538E" w:rsidRDefault="004608FD">
      <w:pPr>
        <w:pStyle w:val="Heading2"/>
      </w:pPr>
      <w:bookmarkStart w:id="84" w:name="_Toc223686655"/>
      <w:bookmarkStart w:id="85" w:name="_Toc237355953"/>
      <w:r>
        <w:t>POPULATION PROJECTIONS</w:t>
      </w:r>
      <w:bookmarkEnd w:id="84"/>
      <w:bookmarkEnd w:id="85"/>
    </w:p>
    <w:p w14:paraId="1AA0395E" w14:textId="1944C5BB" w:rsidR="00784E3F" w:rsidRDefault="000A2E10" w:rsidP="00152A5E">
      <w:pPr>
        <w:jc w:val="both"/>
      </w:pPr>
      <w:r w:rsidRPr="000A2E10">
        <w:t>This section presents estimates of future population derived from Statistics Canada demographic projections. Population projections are the starting point for all downstream housing demand analysis. Because housing is a durable good that lasts decades, decisions about what is built today will shape community outcomes for generations.</w:t>
      </w:r>
    </w:p>
    <w:p w14:paraId="4465830A" w14:textId="77777777" w:rsidR="000A2E10" w:rsidRDefault="000A2E10" w:rsidP="00152A5E">
      <w:pPr>
        <w:jc w:val="both"/>
      </w:pPr>
    </w:p>
    <w:p w14:paraId="279A4629" w14:textId="44C52022" w:rsidR="00784E3F" w:rsidRDefault="00784E3F" w:rsidP="00152A5E">
      <w:pPr>
        <w:jc w:val="both"/>
      </w:pPr>
      <w:r w:rsidRPr="00784E3F">
        <w:rPr>
          <w:rStyle w:val="Figure-textChar"/>
        </w:rPr>
        <w:fldChar w:fldCharType="begin"/>
      </w:r>
      <w:r w:rsidRPr="00784E3F">
        <w:rPr>
          <w:rStyle w:val="Figure-textChar"/>
        </w:rPr>
        <w:instrText xml:space="preserve"> REF _Ref223277013 \h </w:instrText>
      </w:r>
      <w:r>
        <w:rPr>
          <w:rStyle w:val="Figure-textChar"/>
        </w:rPr>
        <w:instrText xml:space="preserve"> \* MERGEFORMAT </w:instrText>
      </w:r>
      <w:r w:rsidRPr="00784E3F">
        <w:rPr>
          <w:rStyle w:val="Figure-textChar"/>
        </w:rPr>
      </w:r>
      <w:r w:rsidRPr="00784E3F">
        <w:rPr>
          <w:rStyle w:val="Figure-textChar"/>
        </w:rPr>
        <w:fldChar w:fldCharType="separate"/>
      </w:r>
      <w:r w:rsidR="00CA6116" w:rsidRPr="00CA6116">
        <w:rPr>
          <w:rStyle w:val="Figure-textChar"/>
        </w:rPr>
        <w:t>Figure 8.1</w:t>
      </w:r>
      <w:r w:rsidRPr="00784E3F">
        <w:rPr>
          <w:rStyle w:val="Figure-textChar"/>
        </w:rPr>
        <w:fldChar w:fldCharType="end"/>
      </w:r>
      <w:r w:rsidRPr="00784E3F">
        <w:t xml:space="preserve"> </w:t>
      </w:r>
      <w:r w:rsidR="00780DA6" w:rsidRPr="00780DA6">
        <w:t>presents a range of population projection scenarios for the community over the next ten years, drawn from Statistics Canada demographic modelling, establishing the envelope of possible future growth or decline within which housing demand will evolve.</w:t>
      </w:r>
    </w:p>
    <w:p w14:paraId="5200B9C5" w14:textId="77777777" w:rsidR="00970589" w:rsidRDefault="00970589" w:rsidP="00152A5E"/>
    <w:p w14:paraId="62102F35" w14:textId="4A4CDC1D" w:rsidR="00646788" w:rsidRDefault="00646788" w:rsidP="00646788">
      <w:pPr>
        <w:pStyle w:val="Caption"/>
      </w:pPr>
      <w:bookmarkStart w:id="86" w:name="_Ref223277013"/>
      <w:r>
        <w:t xml:space="preserve">Figure </w:t>
      </w:r>
      <w:fldSimple w:instr=" STYLEREF 1 \s ">
        <w:r w:rsidR="005E459C">
          <w:rPr>
            <w:noProof/>
          </w:rPr>
          <w:t>8</w:t>
        </w:r>
      </w:fldSimple>
      <w:r w:rsidR="00542115">
        <w:t>.</w:t>
      </w:r>
      <w:fldSimple w:instr=" SEQ Figure \* ARABIC \s 1 ">
        <w:r w:rsidR="005E459C">
          <w:rPr>
            <w:noProof/>
          </w:rPr>
          <w:t>1</w:t>
        </w:r>
      </w:fldSimple>
      <w:bookmarkEnd w:id="86"/>
      <w:r>
        <w:t>: Range of anticipated total population over next 10 years</w:t>
      </w:r>
    </w:p>
    <w:p w14:paraId="383F4EBE" w14:textId="69649ABC" w:rsidR="00970589" w:rsidRDefault="00C743AF" w:rsidP="00152A5E">
      <w:r>
        <w:rPr>
          <w:noProof/>
        </w:rPr>
        <w:drawing>
          <wp:inline distT="0" distB="0" distL="0" distR="0" wp14:anchorId="53911847" wp14:editId="045A52D0">
            <wp:extent cx="5916706" cy="2743202"/>
            <wp:effectExtent l="0" t="0" r="8255" b="0"/>
            <wp:docPr id="910724690" name="Chart 1">
              <a:extLst xmlns:a="http://schemas.openxmlformats.org/drawingml/2006/main">
                <a:ext uri="{FF2B5EF4-FFF2-40B4-BE49-F238E27FC236}">
                  <a16:creationId xmlns:a16="http://schemas.microsoft.com/office/drawing/2014/main" id="{8A357DEB-A631-4D39-B147-01B29BD4D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2CF7C8" w14:textId="485FF902" w:rsidR="00646788" w:rsidRDefault="00646788" w:rsidP="00E71FDD">
      <w:pPr>
        <w:pStyle w:val="Source"/>
      </w:pPr>
      <w:r>
        <w:t xml:space="preserve">Source: Statistics Canada Tables </w:t>
      </w:r>
      <w:r w:rsidRPr="00441BA3">
        <w:t>17-10-0155</w:t>
      </w:r>
      <w:r>
        <w:t xml:space="preserve"> and </w:t>
      </w:r>
      <w:r w:rsidR="00E71FDD" w:rsidRPr="00E71FDD">
        <w:t>17</w:t>
      </w:r>
      <w:r w:rsidR="00E71FDD">
        <w:t>-</w:t>
      </w:r>
      <w:r w:rsidR="00E71FDD" w:rsidRPr="00E71FDD">
        <w:t>10</w:t>
      </w:r>
      <w:r w:rsidR="00E71FDD">
        <w:t>-</w:t>
      </w:r>
      <w:r w:rsidR="00E71FDD" w:rsidRPr="00E71FDD">
        <w:t>0162</w:t>
      </w:r>
    </w:p>
    <w:p w14:paraId="3475FA1C" w14:textId="77777777" w:rsidR="00970589" w:rsidRDefault="00970589" w:rsidP="00152A5E"/>
    <w:p w14:paraId="0A2B15E0" w14:textId="77777777" w:rsidR="00670E7D" w:rsidRDefault="00670E7D" w:rsidP="00670E7D">
      <w:pPr>
        <w:jc w:val="both"/>
      </w:pPr>
      <w:r>
        <w:t xml:space="preserve">The spread between low and high projection scenarios reflects genuine uncertainty in how key demographic drivers, namely migration, fertility, and mortality, will evolve. Communities that have recently experienced rapid growth should not assume high-scenario trajectories will continue, as </w:t>
      </w:r>
      <w:r>
        <w:lastRenderedPageBreak/>
        <w:t>housing unaffordability itself can dampen in-migration and suppress household formation, creating a self-limiting dynamic on demand.</w:t>
      </w:r>
    </w:p>
    <w:p w14:paraId="27367887" w14:textId="77777777" w:rsidR="00670E7D" w:rsidRDefault="00670E7D" w:rsidP="00670E7D">
      <w:pPr>
        <w:jc w:val="both"/>
      </w:pPr>
    </w:p>
    <w:p w14:paraId="31F2DD03" w14:textId="77777777" w:rsidR="00670E7D" w:rsidRDefault="00670E7D" w:rsidP="00670E7D">
      <w:pPr>
        <w:jc w:val="both"/>
      </w:pPr>
      <w:r>
        <w:t>Where local projections diverge meaningfully from regional or provincial trajectories, the causes of that divergence should be examined, as they will shape the nature and timing of housing demand and may require a tailored supply response.</w:t>
      </w:r>
    </w:p>
    <w:p w14:paraId="655C64BB" w14:textId="77777777" w:rsidR="00670E7D" w:rsidRDefault="00670E7D" w:rsidP="00670E7D">
      <w:pPr>
        <w:jc w:val="both"/>
      </w:pPr>
    </w:p>
    <w:p w14:paraId="028A0C63" w14:textId="4D157D21" w:rsidR="00D16095" w:rsidRDefault="00670E7D" w:rsidP="00670E7D">
      <w:pPr>
        <w:jc w:val="both"/>
      </w:pPr>
      <w:r>
        <w:t>The figure and accompanying table below break down projected population change by age group, enabling readers to anticipate how the community's demographic composition may shift over the projection horizon under a medium growth scenario.</w:t>
      </w:r>
    </w:p>
    <w:p w14:paraId="5DB55661" w14:textId="77777777" w:rsidR="00670E7D" w:rsidRDefault="00670E7D" w:rsidP="00670E7D"/>
    <w:p w14:paraId="502B8841" w14:textId="5FFADBDA" w:rsidR="006D75F4" w:rsidRDefault="006D75F4" w:rsidP="006D75F4">
      <w:pPr>
        <w:pStyle w:val="Caption"/>
      </w:pPr>
      <w:r>
        <w:t xml:space="preserve">Table </w:t>
      </w:r>
      <w:fldSimple w:instr=" STYLEREF 1 \s ">
        <w:r w:rsidR="005E459C">
          <w:rPr>
            <w:noProof/>
          </w:rPr>
          <w:t>8</w:t>
        </w:r>
      </w:fldSimple>
      <w:r w:rsidR="00BD4359">
        <w:t>.</w:t>
      </w:r>
      <w:fldSimple w:instr=" SEQ Table \* ARABIC \s 1 ">
        <w:r w:rsidR="005E459C">
          <w:rPr>
            <w:noProof/>
          </w:rPr>
          <w:t>1</w:t>
        </w:r>
      </w:fldSimple>
      <w:r>
        <w:t xml:space="preserve">: </w:t>
      </w:r>
      <w:r w:rsidRPr="00E41F46">
        <w:t>Anticipated population by age group over next 10 years, medium growth scenario</w:t>
      </w:r>
    </w:p>
    <w:tbl>
      <w:tblPr>
        <w:tblW w:w="9355" w:type="dxa"/>
        <w:tblLayout w:type="fixed"/>
        <w:tblLook w:val="04A0" w:firstRow="1" w:lastRow="0" w:firstColumn="1" w:lastColumn="0" w:noHBand="0" w:noVBand="1"/>
      </w:tblPr>
      <w:tblGrid>
        <w:gridCol w:w="1320"/>
        <w:gridCol w:w="1004"/>
        <w:gridCol w:w="1004"/>
        <w:gridCol w:w="1005"/>
        <w:gridCol w:w="1004"/>
        <w:gridCol w:w="1004"/>
        <w:gridCol w:w="1005"/>
        <w:gridCol w:w="1004"/>
        <w:gridCol w:w="1005"/>
      </w:tblGrid>
      <w:tr w:rsidR="00D16095" w:rsidRPr="00D16095" w14:paraId="4B8C4D43" w14:textId="77777777" w:rsidTr="003C59F9">
        <w:trPr>
          <w:trHeight w:val="402"/>
          <w:tblHeader/>
        </w:trPr>
        <w:tc>
          <w:tcPr>
            <w:tcW w:w="132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42F22F97" w14:textId="77777777" w:rsidR="00D16095" w:rsidRPr="00D16095" w:rsidRDefault="00D16095" w:rsidP="0008487E">
            <w:pPr>
              <w:rPr>
                <w:rFonts w:eastAsia="Times New Roman"/>
                <w:color w:val="FFFFFF"/>
                <w:sz w:val="18"/>
                <w:szCs w:val="18"/>
              </w:rPr>
            </w:pPr>
            <w:r w:rsidRPr="00D16095">
              <w:rPr>
                <w:rFonts w:eastAsia="Times New Roman"/>
                <w:color w:val="FFFFFF"/>
                <w:sz w:val="18"/>
                <w:szCs w:val="18"/>
              </w:rPr>
              <w:t> </w:t>
            </w:r>
          </w:p>
        </w:tc>
        <w:tc>
          <w:tcPr>
            <w:tcW w:w="100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0187CAF"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Total</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67434B2"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0 to 14</w:t>
            </w:r>
          </w:p>
        </w:tc>
        <w:tc>
          <w:tcPr>
            <w:tcW w:w="100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3165273"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15 to 24</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A65F20D"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25 to 34</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403A241"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35 to 54</w:t>
            </w:r>
          </w:p>
        </w:tc>
        <w:tc>
          <w:tcPr>
            <w:tcW w:w="100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A748709"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55 to 64</w:t>
            </w:r>
          </w:p>
        </w:tc>
        <w:tc>
          <w:tcPr>
            <w:tcW w:w="10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36D1B91"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65 to 84</w:t>
            </w:r>
          </w:p>
        </w:tc>
        <w:tc>
          <w:tcPr>
            <w:tcW w:w="1005"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1BC76577" w14:textId="77777777" w:rsidR="00D16095" w:rsidRPr="00D16095" w:rsidRDefault="00D16095" w:rsidP="0008487E">
            <w:pPr>
              <w:jc w:val="right"/>
              <w:rPr>
                <w:rFonts w:eastAsia="Times New Roman"/>
                <w:color w:val="FFFFFF"/>
                <w:sz w:val="18"/>
                <w:szCs w:val="18"/>
              </w:rPr>
            </w:pPr>
            <w:r w:rsidRPr="00D16095">
              <w:rPr>
                <w:rFonts w:eastAsia="Times New Roman"/>
                <w:color w:val="FFFFFF"/>
                <w:sz w:val="18"/>
                <w:szCs w:val="18"/>
              </w:rPr>
              <w:t>85+</w:t>
            </w:r>
          </w:p>
        </w:tc>
      </w:tr>
      <w:tr w:rsidR="00D16095" w:rsidRPr="00D16095" w14:paraId="325D7274" w14:textId="77777777" w:rsidTr="003C59F9">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607CE4AC" w14:textId="77777777" w:rsidR="00D16095" w:rsidRPr="00D16095" w:rsidRDefault="00D16095" w:rsidP="0008487E">
            <w:pPr>
              <w:rPr>
                <w:rFonts w:eastAsia="Times New Roman"/>
                <w:color w:val="000000"/>
                <w:sz w:val="18"/>
                <w:szCs w:val="18"/>
              </w:rPr>
            </w:pPr>
            <w:r w:rsidRPr="00D16095">
              <w:rPr>
                <w:rFonts w:eastAsia="Times New Roman"/>
                <w:color w:val="000000"/>
                <w:sz w:val="18"/>
                <w:szCs w:val="18"/>
              </w:rPr>
              <w:t>Local population</w:t>
            </w:r>
          </w:p>
        </w:tc>
      </w:tr>
      <w:tr w:rsidR="00D16095" w:rsidRPr="00D16095" w14:paraId="4CACD878" w14:textId="77777777" w:rsidTr="0008487E">
        <w:trPr>
          <w:trHeight w:val="402"/>
        </w:trPr>
        <w:tc>
          <w:tcPr>
            <w:tcW w:w="1320" w:type="dxa"/>
            <w:tcBorders>
              <w:top w:val="nil"/>
              <w:left w:val="single" w:sz="4" w:space="0" w:color="auto"/>
              <w:bottom w:val="single" w:sz="4" w:space="0" w:color="BFBFBF"/>
              <w:right w:val="single" w:sz="4" w:space="0" w:color="auto"/>
            </w:tcBorders>
            <w:shd w:val="clear" w:color="000000" w:fill="F2F2F2"/>
            <w:noWrap/>
            <w:vAlign w:val="center"/>
            <w:hideMark/>
          </w:tcPr>
          <w:p w14:paraId="45FC890F" w14:textId="77777777" w:rsidR="00D16095" w:rsidRPr="00D16095" w:rsidRDefault="00D16095" w:rsidP="0008487E">
            <w:pPr>
              <w:rPr>
                <w:rFonts w:eastAsia="Times New Roman"/>
                <w:color w:val="0D0D0D"/>
                <w:sz w:val="18"/>
                <w:szCs w:val="18"/>
              </w:rPr>
            </w:pPr>
            <w:r w:rsidRPr="00D16095">
              <w:rPr>
                <w:rFonts w:eastAsia="Times New Roman"/>
                <w:color w:val="0D0D0D"/>
                <w:sz w:val="18"/>
                <w:szCs w:val="18"/>
              </w:rPr>
              <w:t>2035 total</w:t>
            </w:r>
          </w:p>
        </w:tc>
        <w:tc>
          <w:tcPr>
            <w:tcW w:w="1004" w:type="dxa"/>
            <w:tcBorders>
              <w:top w:val="nil"/>
              <w:left w:val="nil"/>
              <w:bottom w:val="single" w:sz="4" w:space="0" w:color="BFBFBF"/>
              <w:right w:val="single" w:sz="4" w:space="0" w:color="auto"/>
            </w:tcBorders>
            <w:shd w:val="clear" w:color="000000" w:fill="F2F2F2"/>
            <w:noWrap/>
            <w:vAlign w:val="center"/>
            <w:hideMark/>
          </w:tcPr>
          <w:p w14:paraId="0422D1C7"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53,870</w:t>
            </w:r>
          </w:p>
        </w:tc>
        <w:tc>
          <w:tcPr>
            <w:tcW w:w="1004" w:type="dxa"/>
            <w:tcBorders>
              <w:top w:val="nil"/>
              <w:left w:val="nil"/>
              <w:bottom w:val="single" w:sz="4" w:space="0" w:color="BFBFBF"/>
              <w:right w:val="single" w:sz="4" w:space="0" w:color="BFBFBF"/>
            </w:tcBorders>
            <w:shd w:val="clear" w:color="000000" w:fill="F2F2F2"/>
            <w:noWrap/>
            <w:vAlign w:val="center"/>
            <w:hideMark/>
          </w:tcPr>
          <w:p w14:paraId="46D68427"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5,555</w:t>
            </w:r>
          </w:p>
        </w:tc>
        <w:tc>
          <w:tcPr>
            <w:tcW w:w="1005" w:type="dxa"/>
            <w:tcBorders>
              <w:top w:val="nil"/>
              <w:left w:val="nil"/>
              <w:bottom w:val="single" w:sz="4" w:space="0" w:color="BFBFBF"/>
              <w:right w:val="single" w:sz="4" w:space="0" w:color="BFBFBF"/>
            </w:tcBorders>
            <w:shd w:val="clear" w:color="000000" w:fill="F2F2F2"/>
            <w:noWrap/>
            <w:vAlign w:val="center"/>
            <w:hideMark/>
          </w:tcPr>
          <w:p w14:paraId="2E98A33C"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7,930</w:t>
            </w:r>
          </w:p>
        </w:tc>
        <w:tc>
          <w:tcPr>
            <w:tcW w:w="1004" w:type="dxa"/>
            <w:tcBorders>
              <w:top w:val="nil"/>
              <w:left w:val="nil"/>
              <w:bottom w:val="single" w:sz="4" w:space="0" w:color="BFBFBF"/>
              <w:right w:val="single" w:sz="4" w:space="0" w:color="BFBFBF"/>
            </w:tcBorders>
            <w:shd w:val="clear" w:color="000000" w:fill="F2F2F2"/>
            <w:noWrap/>
            <w:vAlign w:val="center"/>
            <w:hideMark/>
          </w:tcPr>
          <w:p w14:paraId="30BB112F"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10,135</w:t>
            </w:r>
          </w:p>
        </w:tc>
        <w:tc>
          <w:tcPr>
            <w:tcW w:w="1004" w:type="dxa"/>
            <w:tcBorders>
              <w:top w:val="nil"/>
              <w:left w:val="nil"/>
              <w:bottom w:val="single" w:sz="4" w:space="0" w:color="BFBFBF"/>
              <w:right w:val="single" w:sz="4" w:space="0" w:color="BFBFBF"/>
            </w:tcBorders>
            <w:shd w:val="clear" w:color="000000" w:fill="F2F2F2"/>
            <w:noWrap/>
            <w:vAlign w:val="center"/>
            <w:hideMark/>
          </w:tcPr>
          <w:p w14:paraId="138F107E"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14,380</w:t>
            </w:r>
          </w:p>
        </w:tc>
        <w:tc>
          <w:tcPr>
            <w:tcW w:w="1005" w:type="dxa"/>
            <w:tcBorders>
              <w:top w:val="nil"/>
              <w:left w:val="nil"/>
              <w:bottom w:val="single" w:sz="4" w:space="0" w:color="BFBFBF"/>
              <w:right w:val="single" w:sz="4" w:space="0" w:color="BFBFBF"/>
            </w:tcBorders>
            <w:shd w:val="clear" w:color="000000" w:fill="F2F2F2"/>
            <w:noWrap/>
            <w:vAlign w:val="center"/>
            <w:hideMark/>
          </w:tcPr>
          <w:p w14:paraId="72787222"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4,450</w:t>
            </w:r>
          </w:p>
        </w:tc>
        <w:tc>
          <w:tcPr>
            <w:tcW w:w="1004" w:type="dxa"/>
            <w:tcBorders>
              <w:top w:val="nil"/>
              <w:left w:val="nil"/>
              <w:bottom w:val="single" w:sz="4" w:space="0" w:color="BFBFBF"/>
              <w:right w:val="single" w:sz="4" w:space="0" w:color="BFBFBF"/>
            </w:tcBorders>
            <w:shd w:val="clear" w:color="000000" w:fill="F2F2F2"/>
            <w:noWrap/>
            <w:vAlign w:val="center"/>
            <w:hideMark/>
          </w:tcPr>
          <w:p w14:paraId="11BF83AE"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9,290</w:t>
            </w:r>
          </w:p>
        </w:tc>
        <w:tc>
          <w:tcPr>
            <w:tcW w:w="1005" w:type="dxa"/>
            <w:tcBorders>
              <w:top w:val="nil"/>
              <w:left w:val="nil"/>
              <w:bottom w:val="single" w:sz="4" w:space="0" w:color="BFBFBF"/>
              <w:right w:val="single" w:sz="4" w:space="0" w:color="auto"/>
            </w:tcBorders>
            <w:shd w:val="clear" w:color="000000" w:fill="F2F2F2"/>
            <w:noWrap/>
            <w:vAlign w:val="center"/>
            <w:hideMark/>
          </w:tcPr>
          <w:p w14:paraId="7B2B7177"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2,130</w:t>
            </w:r>
          </w:p>
        </w:tc>
      </w:tr>
      <w:tr w:rsidR="00D16095" w:rsidRPr="00D16095" w14:paraId="1A858287" w14:textId="77777777" w:rsidTr="0008487E">
        <w:trPr>
          <w:trHeight w:val="402"/>
        </w:trPr>
        <w:tc>
          <w:tcPr>
            <w:tcW w:w="1320" w:type="dxa"/>
            <w:tcBorders>
              <w:top w:val="nil"/>
              <w:left w:val="single" w:sz="4" w:space="0" w:color="auto"/>
              <w:bottom w:val="single" w:sz="4" w:space="0" w:color="auto"/>
              <w:right w:val="single" w:sz="4" w:space="0" w:color="auto"/>
            </w:tcBorders>
            <w:shd w:val="clear" w:color="000000" w:fill="FFFFFF"/>
            <w:vAlign w:val="center"/>
            <w:hideMark/>
          </w:tcPr>
          <w:p w14:paraId="1DF93F59" w14:textId="77777777" w:rsidR="00D16095" w:rsidRPr="00D16095" w:rsidRDefault="00D16095" w:rsidP="0008487E">
            <w:pPr>
              <w:rPr>
                <w:rFonts w:eastAsia="Times New Roman"/>
                <w:color w:val="0D0D0D"/>
                <w:sz w:val="18"/>
                <w:szCs w:val="18"/>
              </w:rPr>
            </w:pPr>
            <w:r w:rsidRPr="00D16095">
              <w:rPr>
                <w:rFonts w:eastAsia="Times New Roman"/>
                <w:color w:val="0D0D0D"/>
                <w:sz w:val="18"/>
                <w:szCs w:val="18"/>
              </w:rPr>
              <w:t>Since 2025</w:t>
            </w:r>
          </w:p>
        </w:tc>
        <w:tc>
          <w:tcPr>
            <w:tcW w:w="1004" w:type="dxa"/>
            <w:tcBorders>
              <w:top w:val="nil"/>
              <w:left w:val="nil"/>
              <w:bottom w:val="single" w:sz="4" w:space="0" w:color="auto"/>
              <w:right w:val="single" w:sz="4" w:space="0" w:color="auto"/>
            </w:tcBorders>
            <w:shd w:val="clear" w:color="000000" w:fill="FFFFFF"/>
            <w:noWrap/>
            <w:vAlign w:val="center"/>
            <w:hideMark/>
          </w:tcPr>
          <w:p w14:paraId="7E00054E"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+12%</w:t>
            </w:r>
          </w:p>
        </w:tc>
        <w:tc>
          <w:tcPr>
            <w:tcW w:w="1004" w:type="dxa"/>
            <w:tcBorders>
              <w:top w:val="nil"/>
              <w:left w:val="nil"/>
              <w:bottom w:val="single" w:sz="4" w:space="0" w:color="auto"/>
              <w:right w:val="single" w:sz="4" w:space="0" w:color="BFBFBF"/>
            </w:tcBorders>
            <w:shd w:val="clear" w:color="000000" w:fill="FFFFFF"/>
            <w:noWrap/>
            <w:vAlign w:val="center"/>
            <w:hideMark/>
          </w:tcPr>
          <w:p w14:paraId="61D88894"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w:t>
            </w:r>
          </w:p>
        </w:tc>
        <w:tc>
          <w:tcPr>
            <w:tcW w:w="1005" w:type="dxa"/>
            <w:tcBorders>
              <w:top w:val="nil"/>
              <w:left w:val="nil"/>
              <w:bottom w:val="single" w:sz="4" w:space="0" w:color="auto"/>
              <w:right w:val="single" w:sz="4" w:space="0" w:color="BFBFBF"/>
            </w:tcBorders>
            <w:shd w:val="clear" w:color="000000" w:fill="FFFFFF"/>
            <w:noWrap/>
            <w:vAlign w:val="center"/>
            <w:hideMark/>
          </w:tcPr>
          <w:p w14:paraId="4AFC90B9"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-6%</w:t>
            </w:r>
          </w:p>
        </w:tc>
        <w:tc>
          <w:tcPr>
            <w:tcW w:w="1004" w:type="dxa"/>
            <w:tcBorders>
              <w:top w:val="nil"/>
              <w:left w:val="nil"/>
              <w:bottom w:val="single" w:sz="4" w:space="0" w:color="auto"/>
              <w:right w:val="single" w:sz="4" w:space="0" w:color="BFBFBF"/>
            </w:tcBorders>
            <w:shd w:val="clear" w:color="000000" w:fill="FFFFFF"/>
            <w:noWrap/>
            <w:vAlign w:val="center"/>
            <w:hideMark/>
          </w:tcPr>
          <w:p w14:paraId="5648E5D1"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+14%</w:t>
            </w:r>
          </w:p>
        </w:tc>
        <w:tc>
          <w:tcPr>
            <w:tcW w:w="1004" w:type="dxa"/>
            <w:tcBorders>
              <w:top w:val="nil"/>
              <w:left w:val="nil"/>
              <w:bottom w:val="single" w:sz="4" w:space="0" w:color="auto"/>
              <w:right w:val="single" w:sz="4" w:space="0" w:color="BFBFBF"/>
            </w:tcBorders>
            <w:shd w:val="clear" w:color="000000" w:fill="FFFFFF"/>
            <w:noWrap/>
            <w:vAlign w:val="center"/>
            <w:hideMark/>
          </w:tcPr>
          <w:p w14:paraId="45A5703F"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+33%</w:t>
            </w:r>
          </w:p>
        </w:tc>
        <w:tc>
          <w:tcPr>
            <w:tcW w:w="1005" w:type="dxa"/>
            <w:tcBorders>
              <w:top w:val="nil"/>
              <w:left w:val="nil"/>
              <w:bottom w:val="single" w:sz="4" w:space="0" w:color="auto"/>
              <w:right w:val="single" w:sz="4" w:space="0" w:color="BFBFBF"/>
            </w:tcBorders>
            <w:shd w:val="clear" w:color="000000" w:fill="FFFFFF"/>
            <w:noWrap/>
            <w:vAlign w:val="center"/>
            <w:hideMark/>
          </w:tcPr>
          <w:p w14:paraId="76CFFB3F"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-10%</w:t>
            </w:r>
          </w:p>
        </w:tc>
        <w:tc>
          <w:tcPr>
            <w:tcW w:w="1004" w:type="dxa"/>
            <w:tcBorders>
              <w:top w:val="nil"/>
              <w:left w:val="nil"/>
              <w:bottom w:val="single" w:sz="4" w:space="0" w:color="auto"/>
              <w:right w:val="single" w:sz="4" w:space="0" w:color="BFBFBF"/>
            </w:tcBorders>
            <w:shd w:val="clear" w:color="000000" w:fill="FFFFFF"/>
            <w:noWrap/>
            <w:vAlign w:val="center"/>
            <w:hideMark/>
          </w:tcPr>
          <w:p w14:paraId="23E6A257"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+13%</w:t>
            </w:r>
          </w:p>
        </w:tc>
        <w:tc>
          <w:tcPr>
            <w:tcW w:w="1005" w:type="dxa"/>
            <w:tcBorders>
              <w:top w:val="nil"/>
              <w:left w:val="nil"/>
              <w:bottom w:val="single" w:sz="4" w:space="0" w:color="auto"/>
              <w:right w:val="single" w:sz="4" w:space="0" w:color="auto"/>
            </w:tcBorders>
            <w:shd w:val="clear" w:color="000000" w:fill="FFFFFF"/>
            <w:noWrap/>
            <w:vAlign w:val="center"/>
            <w:hideMark/>
          </w:tcPr>
          <w:p w14:paraId="61EEA039"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+56%</w:t>
            </w:r>
          </w:p>
        </w:tc>
      </w:tr>
      <w:tr w:rsidR="00D16095" w:rsidRPr="00D16095" w14:paraId="3A8BCFC0" w14:textId="77777777" w:rsidTr="003C59F9">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0EED2407" w14:textId="77777777" w:rsidR="00D16095" w:rsidRPr="00D16095" w:rsidRDefault="00D16095" w:rsidP="0008487E">
            <w:pPr>
              <w:rPr>
                <w:rFonts w:eastAsia="Times New Roman"/>
                <w:color w:val="000000"/>
                <w:sz w:val="18"/>
                <w:szCs w:val="18"/>
              </w:rPr>
            </w:pPr>
            <w:r w:rsidRPr="00D16095">
              <w:rPr>
                <w:rFonts w:eastAsia="Times New Roman"/>
                <w:color w:val="000000"/>
                <w:sz w:val="18"/>
                <w:szCs w:val="18"/>
              </w:rPr>
              <w:t>Higher level geography rates of change by age group (2025 to 2035)</w:t>
            </w:r>
          </w:p>
        </w:tc>
      </w:tr>
      <w:tr w:rsidR="00D16095" w:rsidRPr="00D16095" w14:paraId="2504B0C9" w14:textId="77777777" w:rsidTr="0008487E">
        <w:trPr>
          <w:trHeight w:val="402"/>
        </w:trPr>
        <w:tc>
          <w:tcPr>
            <w:tcW w:w="1320" w:type="dxa"/>
            <w:tcBorders>
              <w:top w:val="single" w:sz="4" w:space="0" w:color="BFBFBF"/>
              <w:left w:val="single" w:sz="4" w:space="0" w:color="auto"/>
              <w:bottom w:val="single" w:sz="4" w:space="0" w:color="BFBFBF"/>
              <w:right w:val="single" w:sz="4" w:space="0" w:color="auto"/>
            </w:tcBorders>
            <w:shd w:val="clear" w:color="000000" w:fill="F2F2F2"/>
            <w:noWrap/>
            <w:vAlign w:val="center"/>
            <w:hideMark/>
          </w:tcPr>
          <w:p w14:paraId="20ADBCDD" w14:textId="77777777" w:rsidR="00D16095" w:rsidRPr="00D16095" w:rsidRDefault="00D16095" w:rsidP="0008487E">
            <w:pPr>
              <w:rPr>
                <w:rFonts w:eastAsia="Times New Roman"/>
                <w:color w:val="0D0D0D"/>
                <w:sz w:val="18"/>
                <w:szCs w:val="18"/>
              </w:rPr>
            </w:pPr>
            <w:r w:rsidRPr="00D16095">
              <w:rPr>
                <w:rFonts w:eastAsia="Times New Roman"/>
                <w:color w:val="0D0D0D"/>
                <w:sz w:val="18"/>
                <w:szCs w:val="18"/>
              </w:rPr>
              <w:t>Region</w:t>
            </w:r>
          </w:p>
        </w:tc>
        <w:tc>
          <w:tcPr>
            <w:tcW w:w="1004" w:type="dxa"/>
            <w:tcBorders>
              <w:top w:val="single" w:sz="4" w:space="0" w:color="BFBFBF"/>
              <w:left w:val="nil"/>
              <w:bottom w:val="single" w:sz="4" w:space="0" w:color="BFBFBF"/>
              <w:right w:val="single" w:sz="4" w:space="0" w:color="auto"/>
            </w:tcBorders>
            <w:shd w:val="clear" w:color="000000" w:fill="F2F2F2"/>
            <w:noWrap/>
            <w:vAlign w:val="center"/>
            <w:hideMark/>
          </w:tcPr>
          <w:p w14:paraId="44332208"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+12%</w:t>
            </w:r>
          </w:p>
        </w:tc>
        <w:tc>
          <w:tcPr>
            <w:tcW w:w="1004" w:type="dxa"/>
            <w:tcBorders>
              <w:top w:val="single" w:sz="4" w:space="0" w:color="BFBFBF"/>
              <w:left w:val="nil"/>
              <w:bottom w:val="single" w:sz="4" w:space="0" w:color="BFBFBF"/>
              <w:right w:val="single" w:sz="4" w:space="0" w:color="BFBFBF"/>
            </w:tcBorders>
            <w:shd w:val="clear" w:color="000000" w:fill="F2F2F2"/>
            <w:noWrap/>
            <w:vAlign w:val="center"/>
            <w:hideMark/>
          </w:tcPr>
          <w:p w14:paraId="78AD6C23"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w:t>
            </w:r>
          </w:p>
        </w:tc>
        <w:tc>
          <w:tcPr>
            <w:tcW w:w="1005" w:type="dxa"/>
            <w:tcBorders>
              <w:top w:val="single" w:sz="4" w:space="0" w:color="BFBFBF"/>
              <w:left w:val="nil"/>
              <w:bottom w:val="single" w:sz="4" w:space="0" w:color="BFBFBF"/>
              <w:right w:val="single" w:sz="4" w:space="0" w:color="BFBFBF"/>
            </w:tcBorders>
            <w:shd w:val="clear" w:color="000000" w:fill="F2F2F2"/>
            <w:noWrap/>
            <w:vAlign w:val="center"/>
            <w:hideMark/>
          </w:tcPr>
          <w:p w14:paraId="301A75C0"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w:t>
            </w:r>
          </w:p>
        </w:tc>
        <w:tc>
          <w:tcPr>
            <w:tcW w:w="1004" w:type="dxa"/>
            <w:tcBorders>
              <w:top w:val="single" w:sz="4" w:space="0" w:color="BFBFBF"/>
              <w:left w:val="nil"/>
              <w:bottom w:val="single" w:sz="4" w:space="0" w:color="BFBFBF"/>
              <w:right w:val="single" w:sz="4" w:space="0" w:color="BFBFBF"/>
            </w:tcBorders>
            <w:shd w:val="clear" w:color="000000" w:fill="F2F2F2"/>
            <w:noWrap/>
            <w:vAlign w:val="center"/>
            <w:hideMark/>
          </w:tcPr>
          <w:p w14:paraId="0224041F"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+8%</w:t>
            </w:r>
          </w:p>
        </w:tc>
        <w:tc>
          <w:tcPr>
            <w:tcW w:w="1004" w:type="dxa"/>
            <w:tcBorders>
              <w:top w:val="single" w:sz="4" w:space="0" w:color="BFBFBF"/>
              <w:left w:val="nil"/>
              <w:bottom w:val="single" w:sz="4" w:space="0" w:color="BFBFBF"/>
              <w:right w:val="single" w:sz="4" w:space="0" w:color="BFBFBF"/>
            </w:tcBorders>
            <w:shd w:val="clear" w:color="000000" w:fill="F2F2F2"/>
            <w:noWrap/>
            <w:vAlign w:val="center"/>
            <w:hideMark/>
          </w:tcPr>
          <w:p w14:paraId="3ABEC3AC"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+28%</w:t>
            </w:r>
          </w:p>
        </w:tc>
        <w:tc>
          <w:tcPr>
            <w:tcW w:w="1005" w:type="dxa"/>
            <w:tcBorders>
              <w:top w:val="single" w:sz="4" w:space="0" w:color="BFBFBF"/>
              <w:left w:val="nil"/>
              <w:bottom w:val="single" w:sz="4" w:space="0" w:color="BFBFBF"/>
              <w:right w:val="single" w:sz="4" w:space="0" w:color="BFBFBF"/>
            </w:tcBorders>
            <w:shd w:val="clear" w:color="000000" w:fill="F2F2F2"/>
            <w:noWrap/>
            <w:vAlign w:val="center"/>
            <w:hideMark/>
          </w:tcPr>
          <w:p w14:paraId="43656FFC"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-5%</w:t>
            </w:r>
          </w:p>
        </w:tc>
        <w:tc>
          <w:tcPr>
            <w:tcW w:w="1004" w:type="dxa"/>
            <w:tcBorders>
              <w:top w:val="single" w:sz="4" w:space="0" w:color="BFBFBF"/>
              <w:left w:val="nil"/>
              <w:bottom w:val="single" w:sz="4" w:space="0" w:color="BFBFBF"/>
              <w:right w:val="single" w:sz="4" w:space="0" w:color="BFBFBF"/>
            </w:tcBorders>
            <w:shd w:val="clear" w:color="000000" w:fill="F2F2F2"/>
            <w:noWrap/>
            <w:vAlign w:val="center"/>
            <w:hideMark/>
          </w:tcPr>
          <w:p w14:paraId="2585E081"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+18%</w:t>
            </w:r>
          </w:p>
        </w:tc>
        <w:tc>
          <w:tcPr>
            <w:tcW w:w="1005" w:type="dxa"/>
            <w:tcBorders>
              <w:top w:val="single" w:sz="4" w:space="0" w:color="BFBFBF"/>
              <w:left w:val="nil"/>
              <w:bottom w:val="single" w:sz="4" w:space="0" w:color="BFBFBF"/>
              <w:right w:val="single" w:sz="4" w:space="0" w:color="auto"/>
            </w:tcBorders>
            <w:shd w:val="clear" w:color="000000" w:fill="F2F2F2"/>
            <w:noWrap/>
            <w:vAlign w:val="center"/>
            <w:hideMark/>
          </w:tcPr>
          <w:p w14:paraId="1C02730E"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+67%</w:t>
            </w:r>
          </w:p>
        </w:tc>
      </w:tr>
      <w:tr w:rsidR="00D16095" w:rsidRPr="00D16095" w14:paraId="05DECD06" w14:textId="77777777" w:rsidTr="0008487E">
        <w:trPr>
          <w:trHeight w:val="402"/>
        </w:trPr>
        <w:tc>
          <w:tcPr>
            <w:tcW w:w="1320" w:type="dxa"/>
            <w:tcBorders>
              <w:top w:val="nil"/>
              <w:left w:val="single" w:sz="4" w:space="0" w:color="auto"/>
              <w:bottom w:val="single" w:sz="4" w:space="0" w:color="auto"/>
              <w:right w:val="single" w:sz="4" w:space="0" w:color="auto"/>
            </w:tcBorders>
            <w:shd w:val="clear" w:color="000000" w:fill="FFFFFF"/>
            <w:noWrap/>
            <w:vAlign w:val="center"/>
            <w:hideMark/>
          </w:tcPr>
          <w:p w14:paraId="3FFEDA8C" w14:textId="77777777" w:rsidR="00D16095" w:rsidRPr="00D16095" w:rsidRDefault="00D16095" w:rsidP="0008487E">
            <w:pPr>
              <w:rPr>
                <w:rFonts w:eastAsia="Times New Roman"/>
                <w:color w:val="0D0D0D"/>
                <w:sz w:val="18"/>
                <w:szCs w:val="18"/>
              </w:rPr>
            </w:pPr>
            <w:r w:rsidRPr="00D16095">
              <w:rPr>
                <w:rFonts w:eastAsia="Times New Roman"/>
                <w:color w:val="0D0D0D"/>
                <w:sz w:val="18"/>
                <w:szCs w:val="18"/>
              </w:rPr>
              <w:t>Province</w:t>
            </w:r>
          </w:p>
        </w:tc>
        <w:tc>
          <w:tcPr>
            <w:tcW w:w="1004" w:type="dxa"/>
            <w:tcBorders>
              <w:top w:val="nil"/>
              <w:left w:val="nil"/>
              <w:bottom w:val="single" w:sz="4" w:space="0" w:color="auto"/>
              <w:right w:val="single" w:sz="4" w:space="0" w:color="auto"/>
            </w:tcBorders>
            <w:shd w:val="clear" w:color="000000" w:fill="FFFFFF"/>
            <w:noWrap/>
            <w:vAlign w:val="center"/>
            <w:hideMark/>
          </w:tcPr>
          <w:p w14:paraId="2F130A4C"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+11%</w:t>
            </w:r>
          </w:p>
        </w:tc>
        <w:tc>
          <w:tcPr>
            <w:tcW w:w="1004" w:type="dxa"/>
            <w:tcBorders>
              <w:top w:val="nil"/>
              <w:left w:val="nil"/>
              <w:bottom w:val="single" w:sz="4" w:space="0" w:color="auto"/>
              <w:right w:val="single" w:sz="4" w:space="0" w:color="BFBFBF"/>
            </w:tcBorders>
            <w:shd w:val="clear" w:color="000000" w:fill="FFFFFF"/>
            <w:noWrap/>
            <w:vAlign w:val="center"/>
            <w:hideMark/>
          </w:tcPr>
          <w:p w14:paraId="087ECC7F"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+3%</w:t>
            </w:r>
          </w:p>
        </w:tc>
        <w:tc>
          <w:tcPr>
            <w:tcW w:w="1005" w:type="dxa"/>
            <w:tcBorders>
              <w:top w:val="nil"/>
              <w:left w:val="nil"/>
              <w:bottom w:val="single" w:sz="4" w:space="0" w:color="auto"/>
              <w:right w:val="single" w:sz="4" w:space="0" w:color="BFBFBF"/>
            </w:tcBorders>
            <w:shd w:val="clear" w:color="000000" w:fill="FFFFFF"/>
            <w:noWrap/>
            <w:vAlign w:val="center"/>
            <w:hideMark/>
          </w:tcPr>
          <w:p w14:paraId="0377D12C"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w:t>
            </w:r>
          </w:p>
        </w:tc>
        <w:tc>
          <w:tcPr>
            <w:tcW w:w="1004" w:type="dxa"/>
            <w:tcBorders>
              <w:top w:val="nil"/>
              <w:left w:val="nil"/>
              <w:bottom w:val="single" w:sz="4" w:space="0" w:color="auto"/>
              <w:right w:val="single" w:sz="4" w:space="0" w:color="BFBFBF"/>
            </w:tcBorders>
            <w:shd w:val="clear" w:color="000000" w:fill="FFFFFF"/>
            <w:noWrap/>
            <w:vAlign w:val="center"/>
            <w:hideMark/>
          </w:tcPr>
          <w:p w14:paraId="26A03ED5"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+3%</w:t>
            </w:r>
          </w:p>
        </w:tc>
        <w:tc>
          <w:tcPr>
            <w:tcW w:w="1004" w:type="dxa"/>
            <w:tcBorders>
              <w:top w:val="nil"/>
              <w:left w:val="nil"/>
              <w:bottom w:val="single" w:sz="4" w:space="0" w:color="auto"/>
              <w:right w:val="single" w:sz="4" w:space="0" w:color="BFBFBF"/>
            </w:tcBorders>
            <w:shd w:val="clear" w:color="000000" w:fill="FFFFFF"/>
            <w:noWrap/>
            <w:vAlign w:val="center"/>
            <w:hideMark/>
          </w:tcPr>
          <w:p w14:paraId="6C972D8B"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+24%</w:t>
            </w:r>
          </w:p>
        </w:tc>
        <w:tc>
          <w:tcPr>
            <w:tcW w:w="1005" w:type="dxa"/>
            <w:tcBorders>
              <w:top w:val="nil"/>
              <w:left w:val="nil"/>
              <w:bottom w:val="single" w:sz="4" w:space="0" w:color="auto"/>
              <w:right w:val="single" w:sz="4" w:space="0" w:color="BFBFBF"/>
            </w:tcBorders>
            <w:shd w:val="clear" w:color="000000" w:fill="FFFFFF"/>
            <w:noWrap/>
            <w:vAlign w:val="center"/>
            <w:hideMark/>
          </w:tcPr>
          <w:p w14:paraId="7EBB283A"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-7%</w:t>
            </w:r>
          </w:p>
        </w:tc>
        <w:tc>
          <w:tcPr>
            <w:tcW w:w="1004" w:type="dxa"/>
            <w:tcBorders>
              <w:top w:val="nil"/>
              <w:left w:val="nil"/>
              <w:bottom w:val="single" w:sz="4" w:space="0" w:color="auto"/>
              <w:right w:val="single" w:sz="4" w:space="0" w:color="BFBFBF"/>
            </w:tcBorders>
            <w:shd w:val="clear" w:color="000000" w:fill="FFFFFF"/>
            <w:noWrap/>
            <w:vAlign w:val="center"/>
            <w:hideMark/>
          </w:tcPr>
          <w:p w14:paraId="6D03274A"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+18%</w:t>
            </w:r>
          </w:p>
        </w:tc>
        <w:tc>
          <w:tcPr>
            <w:tcW w:w="1005" w:type="dxa"/>
            <w:tcBorders>
              <w:top w:val="nil"/>
              <w:left w:val="nil"/>
              <w:bottom w:val="single" w:sz="4" w:space="0" w:color="auto"/>
              <w:right w:val="single" w:sz="4" w:space="0" w:color="auto"/>
            </w:tcBorders>
            <w:shd w:val="clear" w:color="000000" w:fill="FFFFFF"/>
            <w:noWrap/>
            <w:vAlign w:val="center"/>
            <w:hideMark/>
          </w:tcPr>
          <w:p w14:paraId="2D072337" w14:textId="77777777" w:rsidR="00D16095" w:rsidRPr="00862CD8" w:rsidRDefault="00D16095" w:rsidP="0008487E">
            <w:pPr>
              <w:jc w:val="right"/>
              <w:rPr>
                <w:rFonts w:eastAsia="Times New Roman"/>
                <w:color w:val="C00000"/>
                <w:sz w:val="18"/>
                <w:szCs w:val="18"/>
              </w:rPr>
            </w:pPr>
            <w:r w:rsidRPr="00862CD8">
              <w:rPr>
                <w:rFonts w:eastAsia="Times New Roman"/>
                <w:color w:val="C00000"/>
                <w:sz w:val="18"/>
                <w:szCs w:val="18"/>
              </w:rPr>
              <w:t>+68%</w:t>
            </w:r>
          </w:p>
        </w:tc>
      </w:tr>
    </w:tbl>
    <w:p w14:paraId="353CE9F8" w14:textId="58F293EF" w:rsidR="00D16095" w:rsidRDefault="00D16095" w:rsidP="00D16095">
      <w:pPr>
        <w:pStyle w:val="Source"/>
      </w:pPr>
      <w:r>
        <w:t xml:space="preserve">Source: Statistics Canada Table </w:t>
      </w:r>
      <w:r w:rsidRPr="00E71FDD">
        <w:t>17</w:t>
      </w:r>
      <w:r>
        <w:t>-</w:t>
      </w:r>
      <w:r w:rsidRPr="00E71FDD">
        <w:t>10</w:t>
      </w:r>
      <w:r>
        <w:t>-</w:t>
      </w:r>
      <w:r w:rsidRPr="00E71FDD">
        <w:t>0162</w:t>
      </w:r>
    </w:p>
    <w:p w14:paraId="5DC13871" w14:textId="77777777" w:rsidR="00616728" w:rsidRDefault="00616728" w:rsidP="00616728">
      <w:pPr>
        <w:jc w:val="both"/>
      </w:pPr>
    </w:p>
    <w:p w14:paraId="0E8BAD30" w14:textId="77777777" w:rsidR="0053228B" w:rsidRDefault="0053228B" w:rsidP="0053228B">
      <w:pPr>
        <w:jc w:val="both"/>
      </w:pPr>
      <w:r>
        <w:t>Growth concentrated in the 65+ age groups signals rising demand for age-appropriate, accessible, and supportive housing options, including independent living apartments, assisted living, and long-term care, well ahead of when this demand will peak. Substantial growth in the 25-to-34 age group, historically the prime household formation age, points to heightened near-term demand for entry-level rental and ownership housing, and may indicate a community that is successfully attracting young workers.</w:t>
      </w:r>
    </w:p>
    <w:p w14:paraId="0F5013BB" w14:textId="77777777" w:rsidR="0053228B" w:rsidRDefault="0053228B" w:rsidP="0053228B">
      <w:pPr>
        <w:jc w:val="both"/>
      </w:pPr>
    </w:p>
    <w:p w14:paraId="5397BA2E" w14:textId="6EAFCD3A" w:rsidR="00B73062" w:rsidRDefault="0053228B" w:rsidP="0053228B">
      <w:pPr>
        <w:jc w:val="both"/>
      </w:pPr>
      <w:r>
        <w:t xml:space="preserve">A shrinking working-age population relative to provincial trends may signal out-migration driven by economic or housing cost factors, with implications for both the labour market capacity to build new housing and the household income base supporting affordability. Where local age-cohort growth rates differ meaningfully from regional or provincial rates, migration patterns and local economic conditions are likely </w:t>
      </w:r>
      <w:r w:rsidR="001D7CD1">
        <w:t>shaping</w:t>
      </w:r>
      <w:r>
        <w:t xml:space="preserve"> </w:t>
      </w:r>
      <w:r w:rsidR="00417354">
        <w:t>local demographics</w:t>
      </w:r>
      <w:r w:rsidR="00BD6353">
        <w:t>.</w:t>
      </w:r>
    </w:p>
    <w:p w14:paraId="1988C2AF" w14:textId="77777777" w:rsidR="0053228B" w:rsidRDefault="0053228B" w:rsidP="0053228B">
      <w:pPr>
        <w:jc w:val="both"/>
      </w:pPr>
    </w:p>
    <w:p w14:paraId="16A09891" w14:textId="2175A410" w:rsidR="0043538E" w:rsidRDefault="004608FD">
      <w:pPr>
        <w:pStyle w:val="Heading2"/>
      </w:pPr>
      <w:bookmarkStart w:id="87" w:name="_Toc223686656"/>
      <w:bookmarkStart w:id="88" w:name="_Toc237355954"/>
      <w:r>
        <w:t>HOUSING PROJECTIONS</w:t>
      </w:r>
      <w:bookmarkEnd w:id="87"/>
      <w:bookmarkEnd w:id="88"/>
    </w:p>
    <w:p w14:paraId="017A85F4" w14:textId="77777777" w:rsidR="00294410" w:rsidRDefault="00294410" w:rsidP="00294410">
      <w:pPr>
        <w:jc w:val="both"/>
      </w:pPr>
      <w:r>
        <w:t>This section translates household projections into estimates of new housing unit requirements by bedroom count, structural type, tenure, and affordability level, comparing projected demand against past development trends such as permit activity to anticipate potential supply gaps.</w:t>
      </w:r>
    </w:p>
    <w:p w14:paraId="19F0BBF0" w14:textId="77777777" w:rsidR="00294410" w:rsidRDefault="00294410" w:rsidP="00294410">
      <w:pPr>
        <w:jc w:val="both"/>
      </w:pPr>
    </w:p>
    <w:p w14:paraId="43333A32" w14:textId="5E847105" w:rsidR="004A0905" w:rsidRDefault="00294410" w:rsidP="00294410">
      <w:pPr>
        <w:jc w:val="both"/>
      </w:pPr>
      <w:r>
        <w:t>Housing projections represent the culmination of the assessment's analytical work: the translation of demographic and economic trends into a statement of how many homes, of what type and at what price points, the community may need to build.</w:t>
      </w:r>
    </w:p>
    <w:p w14:paraId="709D52F5" w14:textId="77777777" w:rsidR="00294410" w:rsidRDefault="00294410" w:rsidP="00294410">
      <w:pPr>
        <w:jc w:val="both"/>
      </w:pPr>
    </w:p>
    <w:p w14:paraId="503E0909" w14:textId="1B247B44" w:rsidR="004A0905" w:rsidRDefault="004A0905" w:rsidP="004A0905">
      <w:pPr>
        <w:pStyle w:val="Heading3"/>
      </w:pPr>
      <w:r>
        <w:lastRenderedPageBreak/>
        <w:t>Annual Dwelling Demand</w:t>
      </w:r>
    </w:p>
    <w:p w14:paraId="529062F6" w14:textId="638A7D09" w:rsidR="00616728" w:rsidRDefault="005E49DF" w:rsidP="009916D0">
      <w:pPr>
        <w:jc w:val="both"/>
      </w:pPr>
      <w:r w:rsidRPr="009916D0">
        <w:rPr>
          <w:rStyle w:val="Figure-textChar"/>
        </w:rPr>
        <w:fldChar w:fldCharType="begin"/>
      </w:r>
      <w:r w:rsidRPr="009916D0">
        <w:rPr>
          <w:rStyle w:val="Figure-textChar"/>
        </w:rPr>
        <w:instrText xml:space="preserve"> REF _Ref223277250 \h </w:instrText>
      </w:r>
      <w:r w:rsidR="009916D0">
        <w:rPr>
          <w:rStyle w:val="Figure-textChar"/>
        </w:rPr>
        <w:instrText xml:space="preserve"> \* MERGEFORMAT </w:instrText>
      </w:r>
      <w:r w:rsidRPr="009916D0">
        <w:rPr>
          <w:rStyle w:val="Figure-textChar"/>
        </w:rPr>
      </w:r>
      <w:r w:rsidRPr="009916D0">
        <w:rPr>
          <w:rStyle w:val="Figure-textChar"/>
        </w:rPr>
        <w:fldChar w:fldCharType="separate"/>
      </w:r>
      <w:r w:rsidR="00CA6116" w:rsidRPr="00CA6116">
        <w:rPr>
          <w:rStyle w:val="Figure-textChar"/>
        </w:rPr>
        <w:t>Figure 8.2</w:t>
      </w:r>
      <w:r w:rsidRPr="009916D0">
        <w:rPr>
          <w:rStyle w:val="Figure-textChar"/>
        </w:rPr>
        <w:fldChar w:fldCharType="end"/>
      </w:r>
      <w:r w:rsidRPr="005E49DF">
        <w:t xml:space="preserve"> </w:t>
      </w:r>
      <w:r w:rsidR="005561D6" w:rsidRPr="005561D6">
        <w:t>illustrates the projected cumulative gap between housing demand and supply over the projection horizon, assuming recent construction trends from permitting data continue, providing a forward-looking indicator of whether the community is on a path toward deepening housing stress or possible stabilization.</w:t>
      </w:r>
      <w:r w:rsidR="00864A20">
        <w:t xml:space="preserve"> The gap begins with an estimated shortage in 2025, which </w:t>
      </w:r>
      <w:r w:rsidR="001D4BFE">
        <w:t xml:space="preserve">considers </w:t>
      </w:r>
      <w:r w:rsidR="00B00543">
        <w:t>household suppression, activity between 2021 and 2025, and other elements described in the methodology.</w:t>
      </w:r>
    </w:p>
    <w:p w14:paraId="49E85230" w14:textId="77777777" w:rsidR="005E49DF" w:rsidRDefault="005E49DF" w:rsidP="00616728"/>
    <w:p w14:paraId="69AD2529" w14:textId="15C42176" w:rsidR="002F3C8D" w:rsidRDefault="002F3C8D" w:rsidP="002F3C8D">
      <w:pPr>
        <w:pStyle w:val="Caption"/>
      </w:pPr>
      <w:bookmarkStart w:id="89" w:name="_Ref223277250"/>
      <w:r>
        <w:t xml:space="preserve">Figure </w:t>
      </w:r>
      <w:fldSimple w:instr=" STYLEREF 1 \s ">
        <w:r w:rsidR="005E459C">
          <w:rPr>
            <w:noProof/>
          </w:rPr>
          <w:t>8</w:t>
        </w:r>
      </w:fldSimple>
      <w:r w:rsidR="00542115">
        <w:t>.</w:t>
      </w:r>
      <w:fldSimple w:instr=" SEQ Figure \* ARABIC \s 1 ">
        <w:r w:rsidR="005E459C">
          <w:rPr>
            <w:noProof/>
          </w:rPr>
          <w:t>2</w:t>
        </w:r>
      </w:fldSimple>
      <w:bookmarkEnd w:id="89"/>
      <w:r>
        <w:t>: Anticipated running dwelling shortage</w:t>
      </w:r>
      <w:r w:rsidR="0067099C">
        <w:t>*</w:t>
      </w:r>
    </w:p>
    <w:p w14:paraId="0F21E901" w14:textId="0F1A5371" w:rsidR="00E37EB9" w:rsidRDefault="00485187" w:rsidP="00616728">
      <w:r w:rsidRPr="003C59F9">
        <w:rPr>
          <w:noProof/>
          <w:shd w:val="clear" w:color="auto" w:fill="FFB838" w:themeFill="accent5" w:themeFillTint="99"/>
        </w:rPr>
        <w:drawing>
          <wp:inline distT="0" distB="0" distL="0" distR="0" wp14:anchorId="7FFFC3D4" wp14:editId="0813E7E9">
            <wp:extent cx="5943600" cy="2513330"/>
            <wp:effectExtent l="0" t="0" r="0" b="1270"/>
            <wp:docPr id="1962562911" name="Chart 1">
              <a:extLst xmlns:a="http://schemas.openxmlformats.org/drawingml/2006/main">
                <a:ext uri="{FF2B5EF4-FFF2-40B4-BE49-F238E27FC236}">
                  <a16:creationId xmlns:a16="http://schemas.microsoft.com/office/drawing/2014/main" id="{C59D6B8A-B11D-48A6-872C-A8408C06C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37C12E5" w14:textId="397C78CD" w:rsidR="0067099C" w:rsidRDefault="0067099C" w:rsidP="002F3C8D">
      <w:pPr>
        <w:pStyle w:val="Source"/>
      </w:pPr>
      <w:r>
        <w:t xml:space="preserve">* Note that should </w:t>
      </w:r>
      <w:r w:rsidR="008403D1">
        <w:t>cumulative construction exceed the running shortage</w:t>
      </w:r>
      <w:r w:rsidR="009B164F">
        <w:t xml:space="preserve"> (</w:t>
      </w:r>
      <w:r w:rsidR="00E90EA9">
        <w:t>thus creating</w:t>
      </w:r>
      <w:r w:rsidR="009B164F">
        <w:t xml:space="preserve"> a surplus), the shortage is noted as 0 instead of a negative number.</w:t>
      </w:r>
    </w:p>
    <w:p w14:paraId="1DFF7D41" w14:textId="1B0AEC25" w:rsidR="002F3C8D" w:rsidRDefault="002F3C8D" w:rsidP="002F3C8D">
      <w:pPr>
        <w:pStyle w:val="Source"/>
      </w:pPr>
      <w:r>
        <w:t>Source:</w:t>
      </w:r>
      <w:r w:rsidR="00D07C4A">
        <w:t xml:space="preserve"> methodology </w:t>
      </w:r>
      <w:r w:rsidR="00B96E31">
        <w:t xml:space="preserve">available </w:t>
      </w:r>
      <w:r w:rsidR="00D07C4A">
        <w:t>in</w:t>
      </w:r>
      <w:r w:rsidR="00B96E31">
        <w:t xml:space="preserve"> the HNA Blueprint</w:t>
      </w:r>
      <w:r w:rsidR="00D07C4A">
        <w:t xml:space="preserve"> </w:t>
      </w:r>
      <w:r w:rsidR="00B96E31">
        <w:t xml:space="preserve">Methodology – Projection </w:t>
      </w:r>
      <w:r w:rsidR="00767079">
        <w:t>document</w:t>
      </w:r>
    </w:p>
    <w:p w14:paraId="1A1FDF5B" w14:textId="77777777" w:rsidR="00E37EB9" w:rsidRDefault="00E37EB9" w:rsidP="00616728"/>
    <w:p w14:paraId="4B41AB60" w14:textId="77A3F024" w:rsidR="001C57E0" w:rsidRDefault="001C57E0" w:rsidP="001C57E0">
      <w:pPr>
        <w:jc w:val="both"/>
      </w:pPr>
      <w:r>
        <w:t xml:space="preserve">A widening running shortage </w:t>
      </w:r>
      <w:r w:rsidR="008427E7">
        <w:t xml:space="preserve">(i.e., </w:t>
      </w:r>
      <w:r>
        <w:t>demand consistently outpac</w:t>
      </w:r>
      <w:r w:rsidR="008427E7">
        <w:t>ing</w:t>
      </w:r>
      <w:r>
        <w:t xml:space="preserve"> supply additions</w:t>
      </w:r>
      <w:r w:rsidR="008427E7">
        <w:t>)</w:t>
      </w:r>
      <w:r>
        <w:t xml:space="preserve"> signals compounding housing stress</w:t>
      </w:r>
      <w:r w:rsidR="008427E7">
        <w:t xml:space="preserve"> where</w:t>
      </w:r>
      <w:r>
        <w:t xml:space="preserve"> each year of undersupply adds to the backlog and intensifies upward pressure on rents and prices. Even a modest annual deficit can accumulate into a notable total shortfall over a decade, particularly in smaller communities where the total housing stock is limited and incremental changes in supply have proportionally larger effects.</w:t>
      </w:r>
    </w:p>
    <w:p w14:paraId="071064EA" w14:textId="77777777" w:rsidR="001C57E0" w:rsidRDefault="001C57E0" w:rsidP="001C57E0">
      <w:pPr>
        <w:jc w:val="both"/>
      </w:pPr>
    </w:p>
    <w:p w14:paraId="776DB94E" w14:textId="31585622" w:rsidR="0043538E" w:rsidRDefault="001C57E0" w:rsidP="001C57E0">
      <w:pPr>
        <w:jc w:val="both"/>
      </w:pPr>
      <w:r>
        <w:t>A surplus or stable balance should not invite complacency if it masks mismatches between the type and price point of units demanded versus those being built. A market in overall numerical balance may still be undersupplying affordable units. Scenarios showing a projected surplus under high-supply assumptions provide evidence of what is achievable if barriers to construction are removed in a high demand environment.</w:t>
      </w:r>
    </w:p>
    <w:p w14:paraId="7DEA3204" w14:textId="77777777" w:rsidR="001C57E0" w:rsidRDefault="001C57E0" w:rsidP="001C57E0"/>
    <w:p w14:paraId="507D0DE0" w14:textId="7B6BB96A" w:rsidR="000D6A15" w:rsidRDefault="004A0905" w:rsidP="004A0905">
      <w:pPr>
        <w:pStyle w:val="Heading3"/>
      </w:pPr>
      <w:r>
        <w:t xml:space="preserve">Disaggregated Anticipated </w:t>
      </w:r>
      <w:r w:rsidR="004D3DCA">
        <w:t xml:space="preserve">Dwelling </w:t>
      </w:r>
      <w:r>
        <w:t>Demand</w:t>
      </w:r>
    </w:p>
    <w:p w14:paraId="18179296" w14:textId="202DFA3C" w:rsidR="000D6A15" w:rsidRDefault="0072031C" w:rsidP="00DD4C4B">
      <w:pPr>
        <w:jc w:val="both"/>
      </w:pPr>
      <w:r w:rsidRPr="0072031C">
        <w:rPr>
          <w:rStyle w:val="Figure-textChar"/>
        </w:rPr>
        <w:fldChar w:fldCharType="begin"/>
      </w:r>
      <w:r w:rsidRPr="0072031C">
        <w:rPr>
          <w:rStyle w:val="Figure-textChar"/>
        </w:rPr>
        <w:instrText xml:space="preserve"> REF _Ref223277906 \h </w:instrText>
      </w:r>
      <w:r>
        <w:rPr>
          <w:rStyle w:val="Figure-textChar"/>
        </w:rPr>
        <w:instrText xml:space="preserve"> \* MERGEFORMAT </w:instrText>
      </w:r>
      <w:r w:rsidRPr="0072031C">
        <w:rPr>
          <w:rStyle w:val="Figure-textChar"/>
        </w:rPr>
      </w:r>
      <w:r w:rsidRPr="0072031C">
        <w:rPr>
          <w:rStyle w:val="Figure-textChar"/>
        </w:rPr>
        <w:fldChar w:fldCharType="separate"/>
      </w:r>
      <w:r w:rsidR="00CA6116" w:rsidRPr="00CA6116">
        <w:rPr>
          <w:rStyle w:val="Figure-textChar"/>
        </w:rPr>
        <w:t>Table 8.2</w:t>
      </w:r>
      <w:r w:rsidRPr="0072031C">
        <w:rPr>
          <w:rStyle w:val="Figure-textChar"/>
        </w:rPr>
        <w:fldChar w:fldCharType="end"/>
      </w:r>
      <w:r w:rsidR="00DD4C4B" w:rsidRPr="00DD4C4B">
        <w:t xml:space="preserve"> </w:t>
      </w:r>
      <w:r w:rsidR="00204535" w:rsidRPr="00204535">
        <w:t>disaggregates projected housing demand by dwelling size and tenure, providing an indication of what types of new units the community may need and in what proportions over the projection horizon.</w:t>
      </w:r>
    </w:p>
    <w:p w14:paraId="6041641C" w14:textId="77777777" w:rsidR="009F6739" w:rsidRDefault="009F6739" w:rsidP="00DD4C4B">
      <w:pPr>
        <w:jc w:val="both"/>
      </w:pPr>
    </w:p>
    <w:p w14:paraId="15930070" w14:textId="1F4C9790" w:rsidR="000D307D" w:rsidRDefault="000D307D" w:rsidP="000D307D">
      <w:pPr>
        <w:pStyle w:val="Caption"/>
      </w:pPr>
      <w:bookmarkStart w:id="90" w:name="_Ref223277906"/>
      <w:r>
        <w:lastRenderedPageBreak/>
        <w:t xml:space="preserve">Table </w:t>
      </w:r>
      <w:fldSimple w:instr=" STYLEREF 1 \s ">
        <w:r w:rsidR="005E459C">
          <w:rPr>
            <w:noProof/>
          </w:rPr>
          <w:t>8</w:t>
        </w:r>
      </w:fldSimple>
      <w:r w:rsidR="00BD4359">
        <w:t>.</w:t>
      </w:r>
      <w:fldSimple w:instr=" SEQ Table \* ARABIC \s 1 ">
        <w:r w:rsidR="005E459C">
          <w:rPr>
            <w:noProof/>
          </w:rPr>
          <w:t>2</w:t>
        </w:r>
      </w:fldSimple>
      <w:bookmarkEnd w:id="90"/>
      <w:r>
        <w:t xml:space="preserve">: Anticipated new dwellings demand </w:t>
      </w:r>
      <w:r w:rsidR="00F01B37">
        <w:t xml:space="preserve">by </w:t>
      </w:r>
      <w:r w:rsidR="00925D8B">
        <w:t xml:space="preserve">dwelling size, </w:t>
      </w:r>
      <w:r>
        <w:t>over next 10 years</w:t>
      </w:r>
    </w:p>
    <w:tbl>
      <w:tblPr>
        <w:tblW w:w="9355" w:type="dxa"/>
        <w:tblLayout w:type="fixed"/>
        <w:tblLook w:val="04A0" w:firstRow="1" w:lastRow="0" w:firstColumn="1" w:lastColumn="0" w:noHBand="0" w:noVBand="1"/>
      </w:tblPr>
      <w:tblGrid>
        <w:gridCol w:w="1926"/>
        <w:gridCol w:w="1238"/>
        <w:gridCol w:w="1238"/>
        <w:gridCol w:w="1238"/>
        <w:gridCol w:w="1238"/>
        <w:gridCol w:w="1238"/>
        <w:gridCol w:w="1239"/>
      </w:tblGrid>
      <w:tr w:rsidR="000D6A15" w:rsidRPr="000D6A15" w14:paraId="443DE44E" w14:textId="77777777" w:rsidTr="003C59F9">
        <w:trPr>
          <w:trHeight w:val="390"/>
          <w:tblHeader/>
        </w:trPr>
        <w:tc>
          <w:tcPr>
            <w:tcW w:w="1926" w:type="dxa"/>
            <w:tcBorders>
              <w:top w:val="nil"/>
              <w:left w:val="nil"/>
              <w:bottom w:val="single" w:sz="4" w:space="0" w:color="auto"/>
              <w:right w:val="nil"/>
            </w:tcBorders>
            <w:noWrap/>
            <w:vAlign w:val="bottom"/>
            <w:hideMark/>
          </w:tcPr>
          <w:p w14:paraId="6C402122" w14:textId="77777777" w:rsidR="000D6A15" w:rsidRPr="000D6A15" w:rsidRDefault="000D6A15" w:rsidP="000D6A15">
            <w:pPr>
              <w:rPr>
                <w:rFonts w:ascii="Times New Roman" w:eastAsia="Times New Roman" w:hAnsi="Times New Roman" w:cs="Times New Roman"/>
                <w:sz w:val="24"/>
                <w:szCs w:val="24"/>
              </w:rPr>
            </w:pPr>
          </w:p>
        </w:tc>
        <w:tc>
          <w:tcPr>
            <w:tcW w:w="2476"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7343FF13" w14:textId="77777777" w:rsidR="000D6A15" w:rsidRPr="000D6A15" w:rsidRDefault="000D6A15" w:rsidP="000D6A15">
            <w:pPr>
              <w:jc w:val="center"/>
              <w:rPr>
                <w:rFonts w:eastAsia="Times New Roman"/>
                <w:color w:val="FFFFFF"/>
                <w:sz w:val="18"/>
                <w:szCs w:val="18"/>
              </w:rPr>
            </w:pPr>
            <w:r w:rsidRPr="000D6A15">
              <w:rPr>
                <w:rFonts w:eastAsia="Times New Roman"/>
                <w:color w:val="FFFFFF"/>
                <w:sz w:val="18"/>
                <w:szCs w:val="18"/>
              </w:rPr>
              <w:t>Total dwellings</w:t>
            </w:r>
          </w:p>
        </w:tc>
        <w:tc>
          <w:tcPr>
            <w:tcW w:w="2476"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129D6122" w14:textId="77777777" w:rsidR="000D6A15" w:rsidRPr="000D6A15" w:rsidRDefault="000D6A15" w:rsidP="000D6A15">
            <w:pPr>
              <w:jc w:val="center"/>
              <w:rPr>
                <w:rFonts w:eastAsia="Times New Roman"/>
                <w:color w:val="FFFFFF"/>
                <w:sz w:val="18"/>
                <w:szCs w:val="18"/>
              </w:rPr>
            </w:pPr>
            <w:r w:rsidRPr="000D6A15">
              <w:rPr>
                <w:rFonts w:eastAsia="Times New Roman"/>
                <w:color w:val="FFFFFF"/>
                <w:sz w:val="18"/>
                <w:szCs w:val="18"/>
              </w:rPr>
              <w:t>Owned dwellings</w:t>
            </w:r>
          </w:p>
        </w:tc>
        <w:tc>
          <w:tcPr>
            <w:tcW w:w="2477"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3AA4181D" w14:textId="77777777" w:rsidR="000D6A15" w:rsidRPr="000D6A15" w:rsidRDefault="000D6A15" w:rsidP="000D6A15">
            <w:pPr>
              <w:jc w:val="center"/>
              <w:rPr>
                <w:rFonts w:eastAsia="Times New Roman"/>
                <w:color w:val="FFFFFF"/>
                <w:sz w:val="18"/>
                <w:szCs w:val="18"/>
              </w:rPr>
            </w:pPr>
            <w:r w:rsidRPr="000D6A15">
              <w:rPr>
                <w:rFonts w:eastAsia="Times New Roman"/>
                <w:color w:val="FFFFFF"/>
                <w:sz w:val="18"/>
                <w:szCs w:val="18"/>
              </w:rPr>
              <w:t>Rented dwellings</w:t>
            </w:r>
          </w:p>
        </w:tc>
      </w:tr>
      <w:tr w:rsidR="000D6A15" w:rsidRPr="000D6A15" w14:paraId="03584C8C" w14:textId="77777777" w:rsidTr="003C59F9">
        <w:trPr>
          <w:trHeight w:val="390"/>
          <w:tblHeader/>
        </w:trPr>
        <w:tc>
          <w:tcPr>
            <w:tcW w:w="1926"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156C6106" w14:textId="77777777" w:rsidR="000D6A15" w:rsidRPr="000D6A15" w:rsidRDefault="000D6A15" w:rsidP="000D6A15">
            <w:pPr>
              <w:rPr>
                <w:rFonts w:eastAsia="Times New Roman"/>
                <w:color w:val="FFFFFF"/>
                <w:sz w:val="18"/>
                <w:szCs w:val="18"/>
              </w:rPr>
            </w:pPr>
            <w:r w:rsidRPr="000D6A15">
              <w:rPr>
                <w:rFonts w:eastAsia="Times New Roman"/>
                <w:color w:val="FFFFFF"/>
                <w:sz w:val="18"/>
                <w:szCs w:val="18"/>
              </w:rPr>
              <w:t>Dwelling size</w:t>
            </w:r>
          </w:p>
        </w:tc>
        <w:tc>
          <w:tcPr>
            <w:tcW w:w="1238" w:type="dxa"/>
            <w:tcBorders>
              <w:top w:val="single" w:sz="4" w:space="0" w:color="auto"/>
              <w:left w:val="single" w:sz="4" w:space="0" w:color="auto"/>
              <w:bottom w:val="single" w:sz="4" w:space="0" w:color="auto"/>
              <w:right w:val="single" w:sz="4" w:space="0" w:color="BFBFBF"/>
            </w:tcBorders>
            <w:shd w:val="clear" w:color="auto" w:fill="CFD9E3" w:themeFill="accent1"/>
            <w:noWrap/>
            <w:vAlign w:val="center"/>
            <w:hideMark/>
          </w:tcPr>
          <w:p w14:paraId="79D2F11A" w14:textId="77777777" w:rsidR="000D6A15" w:rsidRPr="000D6A15" w:rsidRDefault="000D6A15" w:rsidP="000D6A15">
            <w:pPr>
              <w:jc w:val="right"/>
              <w:rPr>
                <w:rFonts w:eastAsia="Times New Roman"/>
                <w:color w:val="000000"/>
                <w:sz w:val="18"/>
                <w:szCs w:val="18"/>
              </w:rPr>
            </w:pPr>
            <w:r w:rsidRPr="000D6A15">
              <w:rPr>
                <w:rFonts w:eastAsia="Times New Roman"/>
                <w:color w:val="000000"/>
                <w:sz w:val="18"/>
                <w:szCs w:val="18"/>
              </w:rPr>
              <w:t>by 2035</w:t>
            </w:r>
          </w:p>
        </w:tc>
        <w:tc>
          <w:tcPr>
            <w:tcW w:w="1238"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2C786F0D" w14:textId="77777777" w:rsidR="000D6A15" w:rsidRPr="000D6A15" w:rsidRDefault="000D6A15" w:rsidP="000D6A15">
            <w:pPr>
              <w:jc w:val="right"/>
              <w:rPr>
                <w:rFonts w:eastAsia="Times New Roman"/>
                <w:color w:val="000000"/>
                <w:sz w:val="18"/>
                <w:szCs w:val="18"/>
              </w:rPr>
            </w:pPr>
            <w:r w:rsidRPr="000D6A15">
              <w:rPr>
                <w:rFonts w:eastAsia="Times New Roman"/>
                <w:color w:val="000000"/>
                <w:sz w:val="18"/>
                <w:szCs w:val="18"/>
              </w:rPr>
              <w:t>share</w:t>
            </w:r>
          </w:p>
        </w:tc>
        <w:tc>
          <w:tcPr>
            <w:tcW w:w="1238" w:type="dxa"/>
            <w:tcBorders>
              <w:top w:val="single" w:sz="4" w:space="0" w:color="auto"/>
              <w:left w:val="nil"/>
              <w:bottom w:val="single" w:sz="4" w:space="0" w:color="auto"/>
              <w:right w:val="single" w:sz="4" w:space="0" w:color="BFBFBF"/>
            </w:tcBorders>
            <w:shd w:val="clear" w:color="auto" w:fill="CFD9E3" w:themeFill="accent1"/>
            <w:noWrap/>
            <w:vAlign w:val="center"/>
            <w:hideMark/>
          </w:tcPr>
          <w:p w14:paraId="23492243" w14:textId="77777777" w:rsidR="000D6A15" w:rsidRPr="000D6A15" w:rsidRDefault="000D6A15" w:rsidP="000D6A15">
            <w:pPr>
              <w:jc w:val="right"/>
              <w:rPr>
                <w:rFonts w:eastAsia="Times New Roman"/>
                <w:color w:val="000000"/>
                <w:sz w:val="18"/>
                <w:szCs w:val="18"/>
              </w:rPr>
            </w:pPr>
            <w:r w:rsidRPr="000D6A15">
              <w:rPr>
                <w:rFonts w:eastAsia="Times New Roman"/>
                <w:color w:val="000000"/>
                <w:sz w:val="18"/>
                <w:szCs w:val="18"/>
              </w:rPr>
              <w:t>by 2035</w:t>
            </w:r>
          </w:p>
        </w:tc>
        <w:tc>
          <w:tcPr>
            <w:tcW w:w="1238"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47B42454" w14:textId="77777777" w:rsidR="000D6A15" w:rsidRPr="000D6A15" w:rsidRDefault="000D6A15" w:rsidP="000D6A15">
            <w:pPr>
              <w:jc w:val="right"/>
              <w:rPr>
                <w:rFonts w:eastAsia="Times New Roman"/>
                <w:color w:val="000000"/>
                <w:sz w:val="18"/>
                <w:szCs w:val="18"/>
              </w:rPr>
            </w:pPr>
            <w:r w:rsidRPr="000D6A15">
              <w:rPr>
                <w:rFonts w:eastAsia="Times New Roman"/>
                <w:color w:val="000000"/>
                <w:sz w:val="18"/>
                <w:szCs w:val="18"/>
              </w:rPr>
              <w:t>share</w:t>
            </w:r>
          </w:p>
        </w:tc>
        <w:tc>
          <w:tcPr>
            <w:tcW w:w="1238" w:type="dxa"/>
            <w:tcBorders>
              <w:top w:val="single" w:sz="4" w:space="0" w:color="auto"/>
              <w:left w:val="nil"/>
              <w:bottom w:val="single" w:sz="4" w:space="0" w:color="auto"/>
              <w:right w:val="single" w:sz="4" w:space="0" w:color="BFBFBF"/>
            </w:tcBorders>
            <w:shd w:val="clear" w:color="auto" w:fill="CFD9E3" w:themeFill="accent1"/>
            <w:noWrap/>
            <w:vAlign w:val="center"/>
            <w:hideMark/>
          </w:tcPr>
          <w:p w14:paraId="64E28900" w14:textId="77777777" w:rsidR="000D6A15" w:rsidRPr="000D6A15" w:rsidRDefault="000D6A15" w:rsidP="000D6A15">
            <w:pPr>
              <w:jc w:val="right"/>
              <w:rPr>
                <w:rFonts w:eastAsia="Times New Roman"/>
                <w:color w:val="000000"/>
                <w:sz w:val="18"/>
                <w:szCs w:val="18"/>
              </w:rPr>
            </w:pPr>
            <w:r w:rsidRPr="000D6A15">
              <w:rPr>
                <w:rFonts w:eastAsia="Times New Roman"/>
                <w:color w:val="000000"/>
                <w:sz w:val="18"/>
                <w:szCs w:val="18"/>
              </w:rPr>
              <w:t>by 2035</w:t>
            </w:r>
          </w:p>
        </w:tc>
        <w:tc>
          <w:tcPr>
            <w:tcW w:w="1239"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61AEA0B6" w14:textId="77777777" w:rsidR="000D6A15" w:rsidRPr="000D6A15" w:rsidRDefault="000D6A15" w:rsidP="000D6A15">
            <w:pPr>
              <w:jc w:val="right"/>
              <w:rPr>
                <w:rFonts w:eastAsia="Times New Roman"/>
                <w:color w:val="000000"/>
                <w:sz w:val="18"/>
                <w:szCs w:val="18"/>
              </w:rPr>
            </w:pPr>
            <w:r w:rsidRPr="000D6A15">
              <w:rPr>
                <w:rFonts w:eastAsia="Times New Roman"/>
                <w:color w:val="000000"/>
                <w:sz w:val="18"/>
                <w:szCs w:val="18"/>
              </w:rPr>
              <w:t>share</w:t>
            </w:r>
          </w:p>
        </w:tc>
      </w:tr>
      <w:tr w:rsidR="000D6A15" w:rsidRPr="000D6A15" w14:paraId="31AC9DD1" w14:textId="77777777" w:rsidTr="0051743A">
        <w:trPr>
          <w:trHeight w:val="390"/>
        </w:trPr>
        <w:tc>
          <w:tcPr>
            <w:tcW w:w="1926" w:type="dxa"/>
            <w:tcBorders>
              <w:top w:val="single" w:sz="4" w:space="0" w:color="auto"/>
              <w:left w:val="single" w:sz="4" w:space="0" w:color="auto"/>
              <w:bottom w:val="single" w:sz="4" w:space="0" w:color="BFBFBF"/>
              <w:right w:val="nil"/>
            </w:tcBorders>
            <w:shd w:val="clear" w:color="000000" w:fill="F2F2F2"/>
            <w:noWrap/>
            <w:vAlign w:val="center"/>
            <w:hideMark/>
          </w:tcPr>
          <w:p w14:paraId="6D7D55F2" w14:textId="77777777" w:rsidR="000D6A15" w:rsidRPr="000D6A15" w:rsidRDefault="000D6A15" w:rsidP="000D6A15">
            <w:pPr>
              <w:rPr>
                <w:rFonts w:eastAsia="Times New Roman"/>
                <w:color w:val="000000"/>
                <w:sz w:val="18"/>
                <w:szCs w:val="18"/>
              </w:rPr>
            </w:pPr>
            <w:r w:rsidRPr="000D6A15">
              <w:rPr>
                <w:rFonts w:eastAsia="Times New Roman"/>
                <w:color w:val="000000"/>
                <w:sz w:val="18"/>
                <w:szCs w:val="18"/>
              </w:rPr>
              <w:t>Studio</w:t>
            </w:r>
          </w:p>
        </w:tc>
        <w:tc>
          <w:tcPr>
            <w:tcW w:w="1238" w:type="dxa"/>
            <w:tcBorders>
              <w:top w:val="single" w:sz="4" w:space="0" w:color="auto"/>
              <w:left w:val="single" w:sz="4" w:space="0" w:color="auto"/>
              <w:bottom w:val="single" w:sz="4" w:space="0" w:color="BFBFBF"/>
              <w:right w:val="single" w:sz="4" w:space="0" w:color="BFBFBF"/>
            </w:tcBorders>
            <w:shd w:val="clear" w:color="000000" w:fill="F2F2F2"/>
            <w:noWrap/>
            <w:vAlign w:val="center"/>
            <w:hideMark/>
          </w:tcPr>
          <w:p w14:paraId="7C5722DD"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25</w:t>
            </w:r>
          </w:p>
        </w:tc>
        <w:tc>
          <w:tcPr>
            <w:tcW w:w="1238" w:type="dxa"/>
            <w:tcBorders>
              <w:top w:val="single" w:sz="4" w:space="0" w:color="auto"/>
              <w:left w:val="nil"/>
              <w:bottom w:val="single" w:sz="4" w:space="0" w:color="BFBFBF"/>
              <w:right w:val="single" w:sz="4" w:space="0" w:color="auto"/>
            </w:tcBorders>
            <w:shd w:val="clear" w:color="000000" w:fill="F2F2F2"/>
            <w:noWrap/>
            <w:vAlign w:val="center"/>
            <w:hideMark/>
          </w:tcPr>
          <w:p w14:paraId="35E18587"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0%</w:t>
            </w:r>
          </w:p>
        </w:tc>
        <w:tc>
          <w:tcPr>
            <w:tcW w:w="1238" w:type="dxa"/>
            <w:tcBorders>
              <w:top w:val="single" w:sz="4" w:space="0" w:color="auto"/>
              <w:left w:val="nil"/>
              <w:bottom w:val="single" w:sz="4" w:space="0" w:color="BFBFBF"/>
              <w:right w:val="single" w:sz="4" w:space="0" w:color="BFBFBF"/>
            </w:tcBorders>
            <w:shd w:val="clear" w:color="000000" w:fill="F2F2F2"/>
            <w:noWrap/>
            <w:vAlign w:val="center"/>
            <w:hideMark/>
          </w:tcPr>
          <w:p w14:paraId="27CC4EA8"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0</w:t>
            </w:r>
          </w:p>
        </w:tc>
        <w:tc>
          <w:tcPr>
            <w:tcW w:w="1238" w:type="dxa"/>
            <w:tcBorders>
              <w:top w:val="single" w:sz="4" w:space="0" w:color="auto"/>
              <w:left w:val="nil"/>
              <w:bottom w:val="single" w:sz="4" w:space="0" w:color="BFBFBF"/>
              <w:right w:val="single" w:sz="4" w:space="0" w:color="auto"/>
            </w:tcBorders>
            <w:shd w:val="clear" w:color="000000" w:fill="F2F2F2"/>
            <w:noWrap/>
            <w:vAlign w:val="center"/>
            <w:hideMark/>
          </w:tcPr>
          <w:p w14:paraId="63F248DD"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0%</w:t>
            </w:r>
          </w:p>
        </w:tc>
        <w:tc>
          <w:tcPr>
            <w:tcW w:w="1238" w:type="dxa"/>
            <w:tcBorders>
              <w:top w:val="single" w:sz="4" w:space="0" w:color="auto"/>
              <w:left w:val="nil"/>
              <w:bottom w:val="single" w:sz="4" w:space="0" w:color="BFBFBF"/>
              <w:right w:val="single" w:sz="4" w:space="0" w:color="BFBFBF"/>
            </w:tcBorders>
            <w:shd w:val="clear" w:color="000000" w:fill="F2F2F2"/>
            <w:noWrap/>
            <w:vAlign w:val="center"/>
            <w:hideMark/>
          </w:tcPr>
          <w:p w14:paraId="60E22B36"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25</w:t>
            </w:r>
          </w:p>
        </w:tc>
        <w:tc>
          <w:tcPr>
            <w:tcW w:w="1239" w:type="dxa"/>
            <w:tcBorders>
              <w:top w:val="single" w:sz="4" w:space="0" w:color="auto"/>
              <w:left w:val="nil"/>
              <w:bottom w:val="single" w:sz="4" w:space="0" w:color="BFBFBF"/>
              <w:right w:val="single" w:sz="4" w:space="0" w:color="auto"/>
            </w:tcBorders>
            <w:shd w:val="clear" w:color="000000" w:fill="F2F2F2"/>
            <w:noWrap/>
            <w:vAlign w:val="center"/>
            <w:hideMark/>
          </w:tcPr>
          <w:p w14:paraId="5FA0AA28"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w:t>
            </w:r>
          </w:p>
        </w:tc>
      </w:tr>
      <w:tr w:rsidR="000D6A15" w:rsidRPr="000D6A15" w14:paraId="5DDC9D12" w14:textId="77777777" w:rsidTr="000D6A15">
        <w:trPr>
          <w:trHeight w:val="390"/>
        </w:trPr>
        <w:tc>
          <w:tcPr>
            <w:tcW w:w="1926" w:type="dxa"/>
            <w:tcBorders>
              <w:top w:val="nil"/>
              <w:left w:val="single" w:sz="4" w:space="0" w:color="auto"/>
              <w:bottom w:val="single" w:sz="4" w:space="0" w:color="BFBFBF"/>
              <w:right w:val="nil"/>
            </w:tcBorders>
            <w:shd w:val="clear" w:color="000000" w:fill="FFFFFF"/>
            <w:noWrap/>
            <w:vAlign w:val="center"/>
            <w:hideMark/>
          </w:tcPr>
          <w:p w14:paraId="462F3A3C" w14:textId="77777777" w:rsidR="000D6A15" w:rsidRPr="000D6A15" w:rsidRDefault="000D6A15" w:rsidP="000D6A15">
            <w:pPr>
              <w:rPr>
                <w:rFonts w:eastAsia="Times New Roman"/>
                <w:color w:val="000000"/>
                <w:sz w:val="18"/>
                <w:szCs w:val="18"/>
              </w:rPr>
            </w:pPr>
            <w:r w:rsidRPr="000D6A15">
              <w:rPr>
                <w:rFonts w:eastAsia="Times New Roman"/>
                <w:color w:val="000000"/>
                <w:sz w:val="18"/>
                <w:szCs w:val="18"/>
              </w:rPr>
              <w:t>1-bedroom</w:t>
            </w:r>
          </w:p>
        </w:tc>
        <w:tc>
          <w:tcPr>
            <w:tcW w:w="1238" w:type="dxa"/>
            <w:tcBorders>
              <w:top w:val="nil"/>
              <w:left w:val="single" w:sz="4" w:space="0" w:color="auto"/>
              <w:bottom w:val="single" w:sz="4" w:space="0" w:color="BFBFBF"/>
              <w:right w:val="single" w:sz="4" w:space="0" w:color="BFBFBF"/>
            </w:tcBorders>
            <w:shd w:val="clear" w:color="000000" w:fill="FFFFFF"/>
            <w:noWrap/>
            <w:vAlign w:val="center"/>
            <w:hideMark/>
          </w:tcPr>
          <w:p w14:paraId="1CD9EB70"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715</w:t>
            </w:r>
          </w:p>
        </w:tc>
        <w:tc>
          <w:tcPr>
            <w:tcW w:w="1238" w:type="dxa"/>
            <w:tcBorders>
              <w:top w:val="nil"/>
              <w:left w:val="nil"/>
              <w:bottom w:val="single" w:sz="4" w:space="0" w:color="BFBFBF"/>
              <w:right w:val="single" w:sz="4" w:space="0" w:color="auto"/>
            </w:tcBorders>
            <w:shd w:val="clear" w:color="000000" w:fill="FFFFFF"/>
            <w:noWrap/>
            <w:vAlign w:val="center"/>
            <w:hideMark/>
          </w:tcPr>
          <w:p w14:paraId="6F29E0C8"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13%</w:t>
            </w:r>
          </w:p>
        </w:tc>
        <w:tc>
          <w:tcPr>
            <w:tcW w:w="1238" w:type="dxa"/>
            <w:tcBorders>
              <w:top w:val="nil"/>
              <w:left w:val="nil"/>
              <w:bottom w:val="single" w:sz="4" w:space="0" w:color="BFBFBF"/>
              <w:right w:val="single" w:sz="4" w:space="0" w:color="BFBFBF"/>
            </w:tcBorders>
            <w:shd w:val="clear" w:color="000000" w:fill="FFFFFF"/>
            <w:noWrap/>
            <w:vAlign w:val="center"/>
            <w:hideMark/>
          </w:tcPr>
          <w:p w14:paraId="34A1423B"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40</w:t>
            </w:r>
          </w:p>
        </w:tc>
        <w:tc>
          <w:tcPr>
            <w:tcW w:w="1238" w:type="dxa"/>
            <w:tcBorders>
              <w:top w:val="nil"/>
              <w:left w:val="nil"/>
              <w:bottom w:val="single" w:sz="4" w:space="0" w:color="BFBFBF"/>
              <w:right w:val="single" w:sz="4" w:space="0" w:color="auto"/>
            </w:tcBorders>
            <w:shd w:val="clear" w:color="000000" w:fill="FFFFFF"/>
            <w:noWrap/>
            <w:vAlign w:val="center"/>
            <w:hideMark/>
          </w:tcPr>
          <w:p w14:paraId="2976A8BA"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2%</w:t>
            </w:r>
          </w:p>
        </w:tc>
        <w:tc>
          <w:tcPr>
            <w:tcW w:w="1238" w:type="dxa"/>
            <w:tcBorders>
              <w:top w:val="nil"/>
              <w:left w:val="nil"/>
              <w:bottom w:val="single" w:sz="4" w:space="0" w:color="BFBFBF"/>
              <w:right w:val="single" w:sz="4" w:space="0" w:color="BFBFBF"/>
            </w:tcBorders>
            <w:shd w:val="clear" w:color="000000" w:fill="FFFFFF"/>
            <w:noWrap/>
            <w:vAlign w:val="center"/>
            <w:hideMark/>
          </w:tcPr>
          <w:p w14:paraId="4833B280"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680</w:t>
            </w:r>
          </w:p>
        </w:tc>
        <w:tc>
          <w:tcPr>
            <w:tcW w:w="1239" w:type="dxa"/>
            <w:tcBorders>
              <w:top w:val="nil"/>
              <w:left w:val="nil"/>
              <w:bottom w:val="single" w:sz="4" w:space="0" w:color="BFBFBF"/>
              <w:right w:val="single" w:sz="4" w:space="0" w:color="auto"/>
            </w:tcBorders>
            <w:shd w:val="clear" w:color="000000" w:fill="FFFFFF"/>
            <w:noWrap/>
            <w:vAlign w:val="center"/>
            <w:hideMark/>
          </w:tcPr>
          <w:p w14:paraId="0253A48E"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23%</w:t>
            </w:r>
          </w:p>
        </w:tc>
      </w:tr>
      <w:tr w:rsidR="000D6A15" w:rsidRPr="000D6A15" w14:paraId="4C587728" w14:textId="77777777" w:rsidTr="000D6A15">
        <w:trPr>
          <w:trHeight w:val="390"/>
        </w:trPr>
        <w:tc>
          <w:tcPr>
            <w:tcW w:w="1926" w:type="dxa"/>
            <w:tcBorders>
              <w:top w:val="nil"/>
              <w:left w:val="single" w:sz="4" w:space="0" w:color="auto"/>
              <w:bottom w:val="single" w:sz="4" w:space="0" w:color="BFBFBF"/>
              <w:right w:val="nil"/>
            </w:tcBorders>
            <w:shd w:val="clear" w:color="000000" w:fill="F2F2F2"/>
            <w:vAlign w:val="center"/>
            <w:hideMark/>
          </w:tcPr>
          <w:p w14:paraId="7382B24D" w14:textId="77777777" w:rsidR="000D6A15" w:rsidRPr="000D6A15" w:rsidRDefault="000D6A15" w:rsidP="000D6A15">
            <w:pPr>
              <w:rPr>
                <w:rFonts w:eastAsia="Times New Roman"/>
                <w:color w:val="000000"/>
                <w:sz w:val="18"/>
                <w:szCs w:val="18"/>
              </w:rPr>
            </w:pPr>
            <w:r w:rsidRPr="000D6A15">
              <w:rPr>
                <w:rFonts w:eastAsia="Times New Roman"/>
                <w:color w:val="000000"/>
                <w:sz w:val="18"/>
                <w:szCs w:val="18"/>
              </w:rPr>
              <w:t>2-bedroom</w:t>
            </w:r>
          </w:p>
        </w:tc>
        <w:tc>
          <w:tcPr>
            <w:tcW w:w="1238" w:type="dxa"/>
            <w:tcBorders>
              <w:top w:val="nil"/>
              <w:left w:val="single" w:sz="4" w:space="0" w:color="auto"/>
              <w:bottom w:val="single" w:sz="4" w:space="0" w:color="BFBFBF"/>
              <w:right w:val="single" w:sz="4" w:space="0" w:color="BFBFBF"/>
            </w:tcBorders>
            <w:shd w:val="clear" w:color="000000" w:fill="F2F2F2"/>
            <w:noWrap/>
            <w:vAlign w:val="center"/>
            <w:hideMark/>
          </w:tcPr>
          <w:p w14:paraId="77FF20FE"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1,725</w:t>
            </w:r>
          </w:p>
        </w:tc>
        <w:tc>
          <w:tcPr>
            <w:tcW w:w="1238" w:type="dxa"/>
            <w:tcBorders>
              <w:top w:val="nil"/>
              <w:left w:val="nil"/>
              <w:bottom w:val="single" w:sz="4" w:space="0" w:color="BFBFBF"/>
              <w:right w:val="single" w:sz="4" w:space="0" w:color="auto"/>
            </w:tcBorders>
            <w:shd w:val="clear" w:color="000000" w:fill="F2F2F2"/>
            <w:noWrap/>
            <w:vAlign w:val="center"/>
            <w:hideMark/>
          </w:tcPr>
          <w:p w14:paraId="11A19534"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32%</w:t>
            </w:r>
          </w:p>
        </w:tc>
        <w:tc>
          <w:tcPr>
            <w:tcW w:w="1238" w:type="dxa"/>
            <w:tcBorders>
              <w:top w:val="nil"/>
              <w:left w:val="nil"/>
              <w:bottom w:val="single" w:sz="4" w:space="0" w:color="BFBFBF"/>
              <w:right w:val="single" w:sz="4" w:space="0" w:color="BFBFBF"/>
            </w:tcBorders>
            <w:shd w:val="clear" w:color="000000" w:fill="F2F2F2"/>
            <w:noWrap/>
            <w:vAlign w:val="center"/>
            <w:hideMark/>
          </w:tcPr>
          <w:p w14:paraId="7EE5B923"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275</w:t>
            </w:r>
          </w:p>
        </w:tc>
        <w:tc>
          <w:tcPr>
            <w:tcW w:w="1238" w:type="dxa"/>
            <w:tcBorders>
              <w:top w:val="nil"/>
              <w:left w:val="nil"/>
              <w:bottom w:val="single" w:sz="4" w:space="0" w:color="BFBFBF"/>
              <w:right w:val="single" w:sz="4" w:space="0" w:color="auto"/>
            </w:tcBorders>
            <w:shd w:val="clear" w:color="000000" w:fill="F2F2F2"/>
            <w:noWrap/>
            <w:vAlign w:val="center"/>
            <w:hideMark/>
          </w:tcPr>
          <w:p w14:paraId="4DFC7E55"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12%</w:t>
            </w:r>
          </w:p>
        </w:tc>
        <w:tc>
          <w:tcPr>
            <w:tcW w:w="1238" w:type="dxa"/>
            <w:tcBorders>
              <w:top w:val="nil"/>
              <w:left w:val="nil"/>
              <w:bottom w:val="single" w:sz="4" w:space="0" w:color="BFBFBF"/>
              <w:right w:val="single" w:sz="4" w:space="0" w:color="BFBFBF"/>
            </w:tcBorders>
            <w:shd w:val="clear" w:color="000000" w:fill="F2F2F2"/>
            <w:noWrap/>
            <w:vAlign w:val="center"/>
            <w:hideMark/>
          </w:tcPr>
          <w:p w14:paraId="6A875E37"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1,455</w:t>
            </w:r>
          </w:p>
        </w:tc>
        <w:tc>
          <w:tcPr>
            <w:tcW w:w="1239" w:type="dxa"/>
            <w:tcBorders>
              <w:top w:val="nil"/>
              <w:left w:val="nil"/>
              <w:bottom w:val="single" w:sz="4" w:space="0" w:color="BFBFBF"/>
              <w:right w:val="single" w:sz="4" w:space="0" w:color="auto"/>
            </w:tcBorders>
            <w:shd w:val="clear" w:color="000000" w:fill="F2F2F2"/>
            <w:noWrap/>
            <w:vAlign w:val="center"/>
            <w:hideMark/>
          </w:tcPr>
          <w:p w14:paraId="66364DED"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48%</w:t>
            </w:r>
          </w:p>
        </w:tc>
      </w:tr>
      <w:tr w:rsidR="000D6A15" w:rsidRPr="000D6A15" w14:paraId="671D7B18" w14:textId="77777777" w:rsidTr="000D6A15">
        <w:trPr>
          <w:trHeight w:val="390"/>
        </w:trPr>
        <w:tc>
          <w:tcPr>
            <w:tcW w:w="1926" w:type="dxa"/>
            <w:tcBorders>
              <w:top w:val="nil"/>
              <w:left w:val="single" w:sz="4" w:space="0" w:color="auto"/>
              <w:bottom w:val="single" w:sz="4" w:space="0" w:color="BFBFBF"/>
              <w:right w:val="nil"/>
            </w:tcBorders>
            <w:shd w:val="clear" w:color="000000" w:fill="FFFFFF"/>
            <w:vAlign w:val="center"/>
            <w:hideMark/>
          </w:tcPr>
          <w:p w14:paraId="78E00F3F" w14:textId="77777777" w:rsidR="000D6A15" w:rsidRPr="000D6A15" w:rsidRDefault="000D6A15" w:rsidP="000D6A15">
            <w:pPr>
              <w:rPr>
                <w:rFonts w:eastAsia="Times New Roman"/>
                <w:color w:val="000000"/>
                <w:sz w:val="18"/>
                <w:szCs w:val="18"/>
              </w:rPr>
            </w:pPr>
            <w:r w:rsidRPr="000D6A15">
              <w:rPr>
                <w:rFonts w:eastAsia="Times New Roman"/>
                <w:color w:val="000000"/>
                <w:sz w:val="18"/>
                <w:szCs w:val="18"/>
              </w:rPr>
              <w:t>3-bedroom</w:t>
            </w:r>
          </w:p>
        </w:tc>
        <w:tc>
          <w:tcPr>
            <w:tcW w:w="1238" w:type="dxa"/>
            <w:tcBorders>
              <w:top w:val="nil"/>
              <w:left w:val="single" w:sz="4" w:space="0" w:color="auto"/>
              <w:bottom w:val="single" w:sz="4" w:space="0" w:color="BFBFBF"/>
              <w:right w:val="single" w:sz="4" w:space="0" w:color="BFBFBF"/>
            </w:tcBorders>
            <w:shd w:val="clear" w:color="000000" w:fill="FFFFFF"/>
            <w:noWrap/>
            <w:vAlign w:val="center"/>
            <w:hideMark/>
          </w:tcPr>
          <w:p w14:paraId="46B5DC4C"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1,655</w:t>
            </w:r>
          </w:p>
        </w:tc>
        <w:tc>
          <w:tcPr>
            <w:tcW w:w="1238" w:type="dxa"/>
            <w:tcBorders>
              <w:top w:val="nil"/>
              <w:left w:val="nil"/>
              <w:bottom w:val="single" w:sz="4" w:space="0" w:color="BFBFBF"/>
              <w:right w:val="single" w:sz="4" w:space="0" w:color="auto"/>
            </w:tcBorders>
            <w:shd w:val="clear" w:color="000000" w:fill="FFFFFF"/>
            <w:noWrap/>
            <w:vAlign w:val="center"/>
            <w:hideMark/>
          </w:tcPr>
          <w:p w14:paraId="49D1258D"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31%</w:t>
            </w:r>
          </w:p>
        </w:tc>
        <w:tc>
          <w:tcPr>
            <w:tcW w:w="1238" w:type="dxa"/>
            <w:tcBorders>
              <w:top w:val="nil"/>
              <w:left w:val="nil"/>
              <w:bottom w:val="single" w:sz="4" w:space="0" w:color="BFBFBF"/>
              <w:right w:val="single" w:sz="4" w:space="0" w:color="BFBFBF"/>
            </w:tcBorders>
            <w:shd w:val="clear" w:color="000000" w:fill="FFFFFF"/>
            <w:noWrap/>
            <w:vAlign w:val="center"/>
            <w:hideMark/>
          </w:tcPr>
          <w:p w14:paraId="779A792C"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940</w:t>
            </w:r>
          </w:p>
        </w:tc>
        <w:tc>
          <w:tcPr>
            <w:tcW w:w="1238" w:type="dxa"/>
            <w:tcBorders>
              <w:top w:val="nil"/>
              <w:left w:val="nil"/>
              <w:bottom w:val="single" w:sz="4" w:space="0" w:color="BFBFBF"/>
              <w:right w:val="single" w:sz="4" w:space="0" w:color="auto"/>
            </w:tcBorders>
            <w:shd w:val="clear" w:color="000000" w:fill="FFFFFF"/>
            <w:noWrap/>
            <w:vAlign w:val="center"/>
            <w:hideMark/>
          </w:tcPr>
          <w:p w14:paraId="7C277CD9"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40%</w:t>
            </w:r>
          </w:p>
        </w:tc>
        <w:tc>
          <w:tcPr>
            <w:tcW w:w="1238" w:type="dxa"/>
            <w:tcBorders>
              <w:top w:val="nil"/>
              <w:left w:val="nil"/>
              <w:bottom w:val="single" w:sz="4" w:space="0" w:color="BFBFBF"/>
              <w:right w:val="single" w:sz="4" w:space="0" w:color="BFBFBF"/>
            </w:tcBorders>
            <w:shd w:val="clear" w:color="000000" w:fill="FFFFFF"/>
            <w:noWrap/>
            <w:vAlign w:val="center"/>
            <w:hideMark/>
          </w:tcPr>
          <w:p w14:paraId="11ED9861"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715</w:t>
            </w:r>
          </w:p>
        </w:tc>
        <w:tc>
          <w:tcPr>
            <w:tcW w:w="1239" w:type="dxa"/>
            <w:tcBorders>
              <w:top w:val="nil"/>
              <w:left w:val="nil"/>
              <w:bottom w:val="single" w:sz="4" w:space="0" w:color="BFBFBF"/>
              <w:right w:val="single" w:sz="4" w:space="0" w:color="auto"/>
            </w:tcBorders>
            <w:shd w:val="clear" w:color="000000" w:fill="FFFFFF"/>
            <w:noWrap/>
            <w:vAlign w:val="center"/>
            <w:hideMark/>
          </w:tcPr>
          <w:p w14:paraId="62FB8B57"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24%</w:t>
            </w:r>
          </w:p>
        </w:tc>
      </w:tr>
      <w:tr w:rsidR="000D6A15" w:rsidRPr="000D6A15" w14:paraId="7A67B76A" w14:textId="77777777" w:rsidTr="000D6A15">
        <w:trPr>
          <w:trHeight w:val="390"/>
        </w:trPr>
        <w:tc>
          <w:tcPr>
            <w:tcW w:w="1926" w:type="dxa"/>
            <w:tcBorders>
              <w:top w:val="nil"/>
              <w:left w:val="single" w:sz="4" w:space="0" w:color="auto"/>
              <w:bottom w:val="single" w:sz="4" w:space="0" w:color="auto"/>
              <w:right w:val="nil"/>
            </w:tcBorders>
            <w:shd w:val="clear" w:color="000000" w:fill="F2F2F2"/>
            <w:vAlign w:val="center"/>
            <w:hideMark/>
          </w:tcPr>
          <w:p w14:paraId="71083689" w14:textId="77777777" w:rsidR="000D6A15" w:rsidRPr="000D6A15" w:rsidRDefault="000D6A15" w:rsidP="000D6A15">
            <w:pPr>
              <w:rPr>
                <w:rFonts w:eastAsia="Times New Roman"/>
                <w:color w:val="000000"/>
                <w:sz w:val="18"/>
                <w:szCs w:val="18"/>
              </w:rPr>
            </w:pPr>
            <w:r w:rsidRPr="000D6A15">
              <w:rPr>
                <w:rFonts w:eastAsia="Times New Roman"/>
                <w:color w:val="000000"/>
                <w:sz w:val="18"/>
                <w:szCs w:val="18"/>
              </w:rPr>
              <w:t>4+bedroom</w:t>
            </w:r>
          </w:p>
        </w:tc>
        <w:tc>
          <w:tcPr>
            <w:tcW w:w="1238" w:type="dxa"/>
            <w:tcBorders>
              <w:top w:val="nil"/>
              <w:left w:val="single" w:sz="4" w:space="0" w:color="auto"/>
              <w:bottom w:val="single" w:sz="4" w:space="0" w:color="auto"/>
              <w:right w:val="single" w:sz="4" w:space="0" w:color="BFBFBF"/>
            </w:tcBorders>
            <w:shd w:val="clear" w:color="000000" w:fill="F2F2F2"/>
            <w:noWrap/>
            <w:vAlign w:val="center"/>
            <w:hideMark/>
          </w:tcPr>
          <w:p w14:paraId="63211868"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1,250</w:t>
            </w:r>
          </w:p>
        </w:tc>
        <w:tc>
          <w:tcPr>
            <w:tcW w:w="1238" w:type="dxa"/>
            <w:tcBorders>
              <w:top w:val="nil"/>
              <w:left w:val="nil"/>
              <w:bottom w:val="single" w:sz="4" w:space="0" w:color="auto"/>
              <w:right w:val="single" w:sz="4" w:space="0" w:color="auto"/>
            </w:tcBorders>
            <w:shd w:val="clear" w:color="000000" w:fill="F2F2F2"/>
            <w:noWrap/>
            <w:vAlign w:val="center"/>
            <w:hideMark/>
          </w:tcPr>
          <w:p w14:paraId="07B24AB1"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23%</w:t>
            </w:r>
          </w:p>
        </w:tc>
        <w:tc>
          <w:tcPr>
            <w:tcW w:w="1238" w:type="dxa"/>
            <w:tcBorders>
              <w:top w:val="nil"/>
              <w:left w:val="nil"/>
              <w:bottom w:val="single" w:sz="4" w:space="0" w:color="auto"/>
              <w:right w:val="single" w:sz="4" w:space="0" w:color="BFBFBF"/>
            </w:tcBorders>
            <w:shd w:val="clear" w:color="000000" w:fill="F2F2F2"/>
            <w:noWrap/>
            <w:vAlign w:val="center"/>
            <w:hideMark/>
          </w:tcPr>
          <w:p w14:paraId="5DE813E8"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1,105</w:t>
            </w:r>
          </w:p>
        </w:tc>
        <w:tc>
          <w:tcPr>
            <w:tcW w:w="1238" w:type="dxa"/>
            <w:tcBorders>
              <w:top w:val="nil"/>
              <w:left w:val="nil"/>
              <w:bottom w:val="single" w:sz="4" w:space="0" w:color="auto"/>
              <w:right w:val="single" w:sz="4" w:space="0" w:color="auto"/>
            </w:tcBorders>
            <w:shd w:val="clear" w:color="000000" w:fill="F2F2F2"/>
            <w:noWrap/>
            <w:vAlign w:val="center"/>
            <w:hideMark/>
          </w:tcPr>
          <w:p w14:paraId="2B50A08C"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47%</w:t>
            </w:r>
          </w:p>
        </w:tc>
        <w:tc>
          <w:tcPr>
            <w:tcW w:w="1238" w:type="dxa"/>
            <w:tcBorders>
              <w:top w:val="nil"/>
              <w:left w:val="nil"/>
              <w:bottom w:val="single" w:sz="4" w:space="0" w:color="auto"/>
              <w:right w:val="single" w:sz="4" w:space="0" w:color="BFBFBF"/>
            </w:tcBorders>
            <w:shd w:val="clear" w:color="000000" w:fill="F2F2F2"/>
            <w:noWrap/>
            <w:vAlign w:val="center"/>
            <w:hideMark/>
          </w:tcPr>
          <w:p w14:paraId="4F2BD89A"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145</w:t>
            </w:r>
          </w:p>
        </w:tc>
        <w:tc>
          <w:tcPr>
            <w:tcW w:w="1239" w:type="dxa"/>
            <w:tcBorders>
              <w:top w:val="nil"/>
              <w:left w:val="nil"/>
              <w:bottom w:val="single" w:sz="4" w:space="0" w:color="auto"/>
              <w:right w:val="single" w:sz="4" w:space="0" w:color="auto"/>
            </w:tcBorders>
            <w:shd w:val="clear" w:color="000000" w:fill="F2F2F2"/>
            <w:noWrap/>
            <w:vAlign w:val="center"/>
            <w:hideMark/>
          </w:tcPr>
          <w:p w14:paraId="60215932" w14:textId="77777777" w:rsidR="000D6A15" w:rsidRPr="00565CC0" w:rsidRDefault="000D6A15" w:rsidP="000D6A15">
            <w:pPr>
              <w:jc w:val="right"/>
              <w:rPr>
                <w:rFonts w:eastAsia="Times New Roman"/>
                <w:color w:val="C00000"/>
                <w:sz w:val="18"/>
                <w:szCs w:val="18"/>
              </w:rPr>
            </w:pPr>
            <w:r w:rsidRPr="00565CC0">
              <w:rPr>
                <w:rFonts w:eastAsia="Times New Roman"/>
                <w:color w:val="C00000"/>
                <w:sz w:val="18"/>
                <w:szCs w:val="18"/>
              </w:rPr>
              <w:t>5%</w:t>
            </w:r>
          </w:p>
        </w:tc>
      </w:tr>
    </w:tbl>
    <w:p w14:paraId="280C51F4" w14:textId="77777777" w:rsidR="00767079" w:rsidRDefault="00767079" w:rsidP="00767079">
      <w:pPr>
        <w:pStyle w:val="Source"/>
      </w:pPr>
      <w:r>
        <w:t>Source: methodology available in the HNA Blueprint Methodology – Projection document</w:t>
      </w:r>
    </w:p>
    <w:p w14:paraId="6CF4C86B" w14:textId="77777777" w:rsidR="000D6A15" w:rsidRDefault="000D6A15" w:rsidP="00DA24F7"/>
    <w:p w14:paraId="7A8BB46A" w14:textId="77777777" w:rsidR="00204535" w:rsidRDefault="00204535" w:rsidP="00204535">
      <w:pPr>
        <w:jc w:val="both"/>
      </w:pPr>
      <w:r>
        <w:t>A high share of demand concentrated in smaller unit sizes, such as one- and two-bedroom units, often reflects an aging population and growing single-person household prevalence, reinforcing the need for housing forms beyond the single-detached construction that has historically dominated Canadian suburban development. Where demand for rented one- and two-bedroom units dominates, the analysis points to a structural need for purpose-built rental supply at appropriate size and price points.</w:t>
      </w:r>
    </w:p>
    <w:p w14:paraId="1E16027E" w14:textId="77777777" w:rsidR="00204535" w:rsidRDefault="00204535" w:rsidP="00204535">
      <w:pPr>
        <w:jc w:val="both"/>
      </w:pPr>
    </w:p>
    <w:p w14:paraId="7082D08E" w14:textId="09E7037D" w:rsidR="00FB0208" w:rsidRDefault="00204535" w:rsidP="00204535">
      <w:pPr>
        <w:jc w:val="both"/>
      </w:pPr>
      <w:r>
        <w:t xml:space="preserve">A large share of expected owned units typically reflects ongoing family-formation trends and signals market demand for single-detached or alternative </w:t>
      </w:r>
      <w:r w:rsidR="00A10054">
        <w:t>ground-oriented</w:t>
      </w:r>
      <w:r>
        <w:t xml:space="preserve"> housing forms such as semi-detached homes and row houses.</w:t>
      </w:r>
    </w:p>
    <w:p w14:paraId="3B3227E7" w14:textId="77777777" w:rsidR="00204535" w:rsidRDefault="00204535" w:rsidP="00204535">
      <w:pPr>
        <w:jc w:val="both"/>
      </w:pPr>
    </w:p>
    <w:p w14:paraId="27D5AD7A" w14:textId="54BADA08" w:rsidR="00FB0208" w:rsidRDefault="00FB0208" w:rsidP="00FB0208">
      <w:pPr>
        <w:jc w:val="both"/>
      </w:pPr>
      <w:r w:rsidRPr="00FB0208">
        <w:rPr>
          <w:rStyle w:val="Figure-textChar"/>
        </w:rPr>
        <w:fldChar w:fldCharType="begin"/>
      </w:r>
      <w:r w:rsidRPr="00FB0208">
        <w:rPr>
          <w:rStyle w:val="Figure-textChar"/>
        </w:rPr>
        <w:instrText xml:space="preserve"> REF _Ref223278187 \h </w:instrText>
      </w:r>
      <w:r>
        <w:rPr>
          <w:rStyle w:val="Figure-textChar"/>
        </w:rPr>
        <w:instrText xml:space="preserve"> \* MERGEFORMAT </w:instrText>
      </w:r>
      <w:r w:rsidRPr="00FB0208">
        <w:rPr>
          <w:rStyle w:val="Figure-textChar"/>
        </w:rPr>
      </w:r>
      <w:r w:rsidRPr="00FB0208">
        <w:rPr>
          <w:rStyle w:val="Figure-textChar"/>
        </w:rPr>
        <w:fldChar w:fldCharType="separate"/>
      </w:r>
      <w:r w:rsidR="00CA6116" w:rsidRPr="00CA6116">
        <w:rPr>
          <w:rStyle w:val="Figure-textChar"/>
        </w:rPr>
        <w:t>Figure 8.3</w:t>
      </w:r>
      <w:r w:rsidRPr="00FB0208">
        <w:rPr>
          <w:rStyle w:val="Figure-textChar"/>
        </w:rPr>
        <w:fldChar w:fldCharType="end"/>
      </w:r>
      <w:r w:rsidRPr="00FB0208">
        <w:t xml:space="preserve"> </w:t>
      </w:r>
      <w:r w:rsidR="00204535" w:rsidRPr="00204535">
        <w:t>translates projected demand into estimated unit requirements by structural type, providing guidance on the potential composition of new housing supply required to meet anticipated demand</w:t>
      </w:r>
      <w:r w:rsidR="00204535">
        <w:t>.</w:t>
      </w:r>
    </w:p>
    <w:p w14:paraId="7A476A12" w14:textId="77777777" w:rsidR="0072411B" w:rsidRDefault="0072411B" w:rsidP="00DA24F7"/>
    <w:p w14:paraId="7565F4FA" w14:textId="73CCD0F0" w:rsidR="00F01B37" w:rsidRDefault="00F01B37" w:rsidP="00F01B37">
      <w:pPr>
        <w:pStyle w:val="Caption"/>
      </w:pPr>
      <w:bookmarkStart w:id="91" w:name="_Ref223278187"/>
      <w:r>
        <w:t xml:space="preserve">Figure </w:t>
      </w:r>
      <w:fldSimple w:instr=" STYLEREF 1 \s ">
        <w:r w:rsidR="005E459C">
          <w:rPr>
            <w:noProof/>
          </w:rPr>
          <w:t>8</w:t>
        </w:r>
      </w:fldSimple>
      <w:r w:rsidR="00542115">
        <w:t>.</w:t>
      </w:r>
      <w:fldSimple w:instr=" SEQ Figure \* ARABIC \s 1 ">
        <w:r w:rsidR="005E459C">
          <w:rPr>
            <w:noProof/>
          </w:rPr>
          <w:t>3</w:t>
        </w:r>
      </w:fldSimple>
      <w:bookmarkEnd w:id="91"/>
      <w:r>
        <w:t>: Anticipated new dwelling demand by dwelling type</w:t>
      </w:r>
      <w:r w:rsidR="00925D8B">
        <w:t>, over next 10 years</w:t>
      </w:r>
    </w:p>
    <w:p w14:paraId="3C206121" w14:textId="32C61869" w:rsidR="00D72DB8" w:rsidRDefault="00F01B37" w:rsidP="00DA24F7">
      <w:r w:rsidRPr="003C59F9">
        <w:rPr>
          <w:noProof/>
          <w:shd w:val="clear" w:color="auto" w:fill="006B5F" w:themeFill="accent2"/>
        </w:rPr>
        <w:drawing>
          <wp:inline distT="0" distB="0" distL="0" distR="0" wp14:anchorId="74A33614" wp14:editId="7EB48BE4">
            <wp:extent cx="5943600" cy="1750695"/>
            <wp:effectExtent l="0" t="0" r="0" b="1905"/>
            <wp:docPr id="1440202572" name="Chart 1">
              <a:extLst xmlns:a="http://schemas.openxmlformats.org/drawingml/2006/main">
                <a:ext uri="{FF2B5EF4-FFF2-40B4-BE49-F238E27FC236}">
                  <a16:creationId xmlns:a16="http://schemas.microsoft.com/office/drawing/2014/main" id="{1A31A0BD-78A9-4F38-9EF0-A44D49EA79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BB5FEA5" w14:textId="77777777" w:rsidR="00767079" w:rsidRDefault="00767079" w:rsidP="00767079">
      <w:pPr>
        <w:pStyle w:val="Source"/>
      </w:pPr>
      <w:r>
        <w:t>Source: methodology available in the HNA Blueprint Methodology – Projection document</w:t>
      </w:r>
    </w:p>
    <w:p w14:paraId="608E5718" w14:textId="77777777" w:rsidR="000D6A15" w:rsidRDefault="000D6A15" w:rsidP="00DA24F7"/>
    <w:p w14:paraId="3BF2445E" w14:textId="321A4C98" w:rsidR="002D6C62" w:rsidRDefault="00CD6AB9" w:rsidP="003A766E">
      <w:pPr>
        <w:jc w:val="both"/>
      </w:pPr>
      <w:r w:rsidRPr="00CD6AB9">
        <w:t>Even if the total number of projected units is modest, the type distribution matters</w:t>
      </w:r>
      <w:r w:rsidR="00C757B1">
        <w:t>. A</w:t>
      </w:r>
      <w:r w:rsidRPr="00CD6AB9">
        <w:t xml:space="preserve"> community that builds only single-detached housing will progressively worsen affordability for the growing share of households who cannot afford or do not require this housing form.</w:t>
      </w:r>
    </w:p>
    <w:p w14:paraId="593AD991" w14:textId="77777777" w:rsidR="00CD6AB9" w:rsidRDefault="00CD6AB9" w:rsidP="003A766E">
      <w:pPr>
        <w:jc w:val="both"/>
      </w:pPr>
    </w:p>
    <w:p w14:paraId="1E6AC0DE" w14:textId="15459944" w:rsidR="002D6C62" w:rsidRPr="00FB0208" w:rsidRDefault="002D6C62" w:rsidP="002D6C62">
      <w:pPr>
        <w:jc w:val="both"/>
      </w:pPr>
      <w:r w:rsidRPr="002054AC">
        <w:rPr>
          <w:rStyle w:val="Figure-textChar"/>
        </w:rPr>
        <w:fldChar w:fldCharType="begin"/>
      </w:r>
      <w:r w:rsidRPr="002054AC">
        <w:rPr>
          <w:rStyle w:val="Figure-textChar"/>
        </w:rPr>
        <w:instrText xml:space="preserve"> REF _Ref223278283 \h </w:instrText>
      </w:r>
      <w:r w:rsidR="002054AC">
        <w:rPr>
          <w:rStyle w:val="Figure-textChar"/>
        </w:rPr>
        <w:instrText xml:space="preserve"> \* MERGEFORMAT </w:instrText>
      </w:r>
      <w:r w:rsidRPr="002054AC">
        <w:rPr>
          <w:rStyle w:val="Figure-textChar"/>
        </w:rPr>
      </w:r>
      <w:r w:rsidRPr="002054AC">
        <w:rPr>
          <w:rStyle w:val="Figure-textChar"/>
        </w:rPr>
        <w:fldChar w:fldCharType="separate"/>
      </w:r>
      <w:r w:rsidR="00CA6116" w:rsidRPr="00CA6116">
        <w:rPr>
          <w:rStyle w:val="Figure-textChar"/>
        </w:rPr>
        <w:t>Figure 8.4</w:t>
      </w:r>
      <w:r w:rsidRPr="002054AC">
        <w:rPr>
          <w:rStyle w:val="Figure-textChar"/>
        </w:rPr>
        <w:fldChar w:fldCharType="end"/>
      </w:r>
      <w:r>
        <w:t xml:space="preserve"> </w:t>
      </w:r>
      <w:r w:rsidRPr="002D6C62">
        <w:t>p</w:t>
      </w:r>
      <w:r w:rsidR="00E63C04" w:rsidRPr="00E63C04">
        <w:t>resents estimated demand by housing price level, indicating the magnitude of construction required across market, below-market, and deeply affordable dwellings.</w:t>
      </w:r>
    </w:p>
    <w:p w14:paraId="0DC13FC4" w14:textId="77777777" w:rsidR="00E52DF2" w:rsidRDefault="00E52DF2" w:rsidP="00DA24F7"/>
    <w:p w14:paraId="2C8485D6" w14:textId="516FF394" w:rsidR="00542115" w:rsidRDefault="00542115" w:rsidP="00542115">
      <w:pPr>
        <w:pStyle w:val="Caption"/>
      </w:pPr>
      <w:bookmarkStart w:id="92" w:name="_Ref223278283"/>
      <w:r>
        <w:lastRenderedPageBreak/>
        <w:t xml:space="preserve">Figure </w:t>
      </w:r>
      <w:fldSimple w:instr=" STYLEREF 1 \s ">
        <w:r w:rsidR="005E459C">
          <w:rPr>
            <w:noProof/>
          </w:rPr>
          <w:t>8</w:t>
        </w:r>
      </w:fldSimple>
      <w:r>
        <w:t>.</w:t>
      </w:r>
      <w:fldSimple w:instr=" SEQ Figure \* ARABIC \s 1 ">
        <w:r w:rsidR="005E459C">
          <w:rPr>
            <w:noProof/>
          </w:rPr>
          <w:t>4</w:t>
        </w:r>
      </w:fldSimple>
      <w:bookmarkEnd w:id="92"/>
      <w:r>
        <w:t>:</w:t>
      </w:r>
      <w:r w:rsidR="00667EA0">
        <w:t xml:space="preserve"> </w:t>
      </w:r>
      <w:r>
        <w:t>Anticipated new dwelling demand by dwelling price level, over next 10 years</w:t>
      </w:r>
    </w:p>
    <w:p w14:paraId="3324D131" w14:textId="5EBA1179" w:rsidR="00E52DF2" w:rsidRDefault="00E52DF2" w:rsidP="00DA24F7">
      <w:r>
        <w:rPr>
          <w:noProof/>
        </w:rPr>
        <w:drawing>
          <wp:inline distT="0" distB="0" distL="0" distR="0" wp14:anchorId="233D46B2" wp14:editId="6F679725">
            <wp:extent cx="5943600" cy="2599055"/>
            <wp:effectExtent l="0" t="0" r="0" b="0"/>
            <wp:docPr id="218906229" name="Chart 1">
              <a:extLst xmlns:a="http://schemas.openxmlformats.org/drawingml/2006/main">
                <a:ext uri="{FF2B5EF4-FFF2-40B4-BE49-F238E27FC236}">
                  <a16:creationId xmlns:a16="http://schemas.microsoft.com/office/drawing/2014/main" id="{BC91C557-9D07-4C56-883F-280495050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977B9F" w14:textId="77777777" w:rsidR="00767079" w:rsidRDefault="00767079" w:rsidP="00767079">
      <w:pPr>
        <w:pStyle w:val="Source"/>
      </w:pPr>
      <w:r>
        <w:t>Source: methodology available in the HNA Blueprint Methodology – Projection document</w:t>
      </w:r>
    </w:p>
    <w:p w14:paraId="52CEF335" w14:textId="77777777" w:rsidR="00542115" w:rsidRDefault="00542115" w:rsidP="00542115"/>
    <w:p w14:paraId="08B2FB38" w14:textId="3B4FC062" w:rsidR="00E63C04" w:rsidRDefault="00E63C04" w:rsidP="00E63C04">
      <w:pPr>
        <w:jc w:val="both"/>
      </w:pPr>
      <w:r>
        <w:t xml:space="preserve">The private market will be least likely to serve demand concentrated at lower price points, such as rent levels affordable to </w:t>
      </w:r>
      <w:r w:rsidR="00BD7490">
        <w:t xml:space="preserve">very </w:t>
      </w:r>
      <w:r w:rsidR="00055EBB">
        <w:t xml:space="preserve">low- and </w:t>
      </w:r>
      <w:r w:rsidR="005E6C37">
        <w:t>low-</w:t>
      </w:r>
      <w:r>
        <w:t>income households, increasing the need for government involvement in building or funding these units.</w:t>
      </w:r>
    </w:p>
    <w:p w14:paraId="0C8FE6D0" w14:textId="77777777" w:rsidR="00E63C04" w:rsidRDefault="00E63C04" w:rsidP="00E63C04">
      <w:pPr>
        <w:jc w:val="both"/>
      </w:pPr>
    </w:p>
    <w:p w14:paraId="555C39DB" w14:textId="01953D5F" w:rsidR="00E63C04" w:rsidRDefault="00E63C04" w:rsidP="00E63C04">
      <w:pPr>
        <w:jc w:val="both"/>
      </w:pPr>
      <w:r>
        <w:t xml:space="preserve">While below-market and deeply affordable units are always a priority, </w:t>
      </w:r>
      <w:r w:rsidR="00F65F3D">
        <w:t>the case for intervention is stronger when</w:t>
      </w:r>
      <w:r>
        <w:t xml:space="preserve"> the proportion of demand at lower price levels exceeds the current affordable share of the rental market. </w:t>
      </w:r>
    </w:p>
    <w:p w14:paraId="163AA205" w14:textId="77777777" w:rsidR="00E63C04" w:rsidRDefault="00E63C04" w:rsidP="00E63C04">
      <w:pPr>
        <w:jc w:val="both"/>
      </w:pPr>
    </w:p>
    <w:p w14:paraId="476AE84F" w14:textId="5E8671A3" w:rsidR="0043538E" w:rsidRDefault="00E63C04" w:rsidP="00E63C04">
      <w:pPr>
        <w:jc w:val="both"/>
      </w:pPr>
      <w:r>
        <w:t>A community where the majority of projected demand falls in the moderate-</w:t>
      </w:r>
      <w:r w:rsidR="0088791A">
        <w:t xml:space="preserve"> </w:t>
      </w:r>
      <w:r>
        <w:t>to</w:t>
      </w:r>
      <w:r w:rsidR="0088791A">
        <w:t xml:space="preserve"> </w:t>
      </w:r>
      <w:r>
        <w:t>high</w:t>
      </w:r>
      <w:r w:rsidR="0088791A">
        <w:t>-</w:t>
      </w:r>
      <w:r>
        <w:t xml:space="preserve">income range may face the challenge of ensuring that growth in higher-income demand does not displace existing affordable units through rent increases, redevelopment, or </w:t>
      </w:r>
      <w:r w:rsidR="00604413">
        <w:t xml:space="preserve">consumption of </w:t>
      </w:r>
      <w:r w:rsidR="00595332">
        <w:t>more affordably priced units</w:t>
      </w:r>
      <w:r>
        <w:t>.</w:t>
      </w:r>
    </w:p>
    <w:p w14:paraId="55394AD7" w14:textId="77777777" w:rsidR="00E63C04" w:rsidRDefault="00E63C04" w:rsidP="00E63C04"/>
    <w:p w14:paraId="4DEEAF92" w14:textId="7A916926" w:rsidR="004A0905" w:rsidRDefault="004D3DCA" w:rsidP="004D3DCA">
      <w:pPr>
        <w:pStyle w:val="Heading3"/>
      </w:pPr>
      <w:r>
        <w:t>Demand by Household Size and Income Category</w:t>
      </w:r>
    </w:p>
    <w:p w14:paraId="216DA215" w14:textId="53E2C0DD" w:rsidR="004D3DCA" w:rsidRDefault="0046307B" w:rsidP="0046307B">
      <w:pPr>
        <w:jc w:val="both"/>
      </w:pPr>
      <w:r w:rsidRPr="0046307B">
        <w:rPr>
          <w:rStyle w:val="Figure-textChar"/>
        </w:rPr>
        <w:fldChar w:fldCharType="begin"/>
      </w:r>
      <w:r w:rsidRPr="0046307B">
        <w:rPr>
          <w:rStyle w:val="Figure-textChar"/>
        </w:rPr>
        <w:instrText xml:space="preserve"> REF _Ref223426490 \h </w:instrText>
      </w:r>
      <w:r>
        <w:rPr>
          <w:rStyle w:val="Figure-textChar"/>
        </w:rPr>
        <w:instrText xml:space="preserve"> \* MERGEFORMAT </w:instrText>
      </w:r>
      <w:r w:rsidRPr="0046307B">
        <w:rPr>
          <w:rStyle w:val="Figure-textChar"/>
        </w:rPr>
      </w:r>
      <w:r w:rsidRPr="0046307B">
        <w:rPr>
          <w:rStyle w:val="Figure-textChar"/>
        </w:rPr>
        <w:fldChar w:fldCharType="separate"/>
      </w:r>
      <w:r w:rsidR="00CA6116" w:rsidRPr="00CA6116">
        <w:rPr>
          <w:rStyle w:val="Figure-textChar"/>
        </w:rPr>
        <w:t>Table 8.3</w:t>
      </w:r>
      <w:r w:rsidRPr="0046307B">
        <w:rPr>
          <w:rStyle w:val="Figure-textChar"/>
        </w:rPr>
        <w:fldChar w:fldCharType="end"/>
      </w:r>
      <w:r w:rsidRPr="0046307B">
        <w:t xml:space="preserve"> </w:t>
      </w:r>
      <w:r w:rsidR="0090513B" w:rsidRPr="0090513B">
        <w:t>cross-tabulates projected household demand by income category and household size, providing a disaggregated view of what price points of housing the community may need to build to serve its projected population over the assessment horizon.</w:t>
      </w:r>
    </w:p>
    <w:p w14:paraId="225961F0" w14:textId="77777777" w:rsidR="0046307B" w:rsidRDefault="0046307B" w:rsidP="004D3DCA"/>
    <w:p w14:paraId="248AA063" w14:textId="2F3CE081" w:rsidR="00F60AEF" w:rsidRDefault="00F60AEF" w:rsidP="00F60AEF">
      <w:pPr>
        <w:pStyle w:val="Caption"/>
      </w:pPr>
      <w:bookmarkStart w:id="93" w:name="_Ref223426490"/>
      <w:r>
        <w:t xml:space="preserve">Table </w:t>
      </w:r>
      <w:fldSimple w:instr=" STYLEREF 1 \s ">
        <w:r w:rsidR="005E459C">
          <w:rPr>
            <w:noProof/>
          </w:rPr>
          <w:t>8</w:t>
        </w:r>
      </w:fldSimple>
      <w:r w:rsidR="00BD4359">
        <w:t>.</w:t>
      </w:r>
      <w:fldSimple w:instr=" SEQ Table \* ARABIC \s 1 ">
        <w:r w:rsidR="005E459C">
          <w:rPr>
            <w:noProof/>
          </w:rPr>
          <w:t>3</w:t>
        </w:r>
      </w:fldSimple>
      <w:bookmarkEnd w:id="93"/>
      <w:r>
        <w:t xml:space="preserve">: Anticipated dwelling demand by </w:t>
      </w:r>
      <w:r w:rsidR="00424D33">
        <w:t>household size and income category, by 2035</w:t>
      </w:r>
    </w:p>
    <w:tbl>
      <w:tblPr>
        <w:tblW w:w="9355" w:type="dxa"/>
        <w:tblLayout w:type="fixed"/>
        <w:tblLook w:val="04A0" w:firstRow="1" w:lastRow="0" w:firstColumn="1" w:lastColumn="0" w:noHBand="0" w:noVBand="1"/>
      </w:tblPr>
      <w:tblGrid>
        <w:gridCol w:w="1975"/>
        <w:gridCol w:w="1230"/>
        <w:gridCol w:w="1230"/>
        <w:gridCol w:w="1230"/>
        <w:gridCol w:w="1230"/>
        <w:gridCol w:w="1230"/>
        <w:gridCol w:w="1230"/>
      </w:tblGrid>
      <w:tr w:rsidR="00884E53" w:rsidRPr="00884E53" w14:paraId="13BDAEAF" w14:textId="77777777" w:rsidTr="003C59F9">
        <w:trPr>
          <w:trHeight w:val="402"/>
          <w:tblHeader/>
        </w:trPr>
        <w:tc>
          <w:tcPr>
            <w:tcW w:w="1975" w:type="dxa"/>
            <w:tcBorders>
              <w:top w:val="single" w:sz="4" w:space="0" w:color="auto"/>
              <w:left w:val="single" w:sz="4" w:space="0" w:color="auto"/>
              <w:bottom w:val="nil"/>
              <w:right w:val="single" w:sz="4" w:space="0" w:color="BFBFBF"/>
            </w:tcBorders>
            <w:shd w:val="clear" w:color="auto" w:fill="42618C" w:themeFill="accent3"/>
            <w:noWrap/>
            <w:vAlign w:val="center"/>
            <w:hideMark/>
          </w:tcPr>
          <w:p w14:paraId="263C2FBA" w14:textId="77777777" w:rsidR="00884E53" w:rsidRPr="00884E53" w:rsidRDefault="00884E53" w:rsidP="00884E53">
            <w:pPr>
              <w:rPr>
                <w:rFonts w:eastAsia="Times New Roman"/>
                <w:color w:val="FFFFFF"/>
                <w:sz w:val="18"/>
                <w:szCs w:val="18"/>
              </w:rPr>
            </w:pPr>
            <w:r w:rsidRPr="00884E53">
              <w:rPr>
                <w:rFonts w:eastAsia="Times New Roman"/>
                <w:color w:val="FFFFFF"/>
                <w:sz w:val="18"/>
                <w:szCs w:val="18"/>
              </w:rPr>
              <w:t>Income category</w:t>
            </w:r>
          </w:p>
        </w:tc>
        <w:tc>
          <w:tcPr>
            <w:tcW w:w="1230" w:type="dxa"/>
            <w:tcBorders>
              <w:top w:val="single" w:sz="4" w:space="0" w:color="auto"/>
              <w:left w:val="single" w:sz="4" w:space="0" w:color="auto"/>
              <w:bottom w:val="nil"/>
              <w:right w:val="single" w:sz="4" w:space="0" w:color="auto"/>
            </w:tcBorders>
            <w:shd w:val="clear" w:color="auto" w:fill="42618C" w:themeFill="accent3"/>
            <w:noWrap/>
            <w:vAlign w:val="center"/>
            <w:hideMark/>
          </w:tcPr>
          <w:p w14:paraId="6DFFBCF9" w14:textId="77777777" w:rsidR="00884E53" w:rsidRPr="00884E53" w:rsidRDefault="00884E53" w:rsidP="00884E53">
            <w:pPr>
              <w:jc w:val="right"/>
              <w:rPr>
                <w:rFonts w:eastAsia="Times New Roman"/>
                <w:color w:val="FFFFFF"/>
                <w:sz w:val="18"/>
                <w:szCs w:val="18"/>
              </w:rPr>
            </w:pPr>
            <w:r w:rsidRPr="00884E53">
              <w:rPr>
                <w:rFonts w:eastAsia="Times New Roman"/>
                <w:color w:val="FFFFFF"/>
                <w:sz w:val="18"/>
                <w:szCs w:val="18"/>
              </w:rPr>
              <w:t>Total</w:t>
            </w:r>
          </w:p>
        </w:tc>
        <w:tc>
          <w:tcPr>
            <w:tcW w:w="1230" w:type="dxa"/>
            <w:tcBorders>
              <w:top w:val="nil"/>
              <w:left w:val="nil"/>
              <w:bottom w:val="nil"/>
              <w:right w:val="single" w:sz="4" w:space="0" w:color="BFBFBF"/>
            </w:tcBorders>
            <w:shd w:val="clear" w:color="auto" w:fill="42618C" w:themeFill="accent3"/>
            <w:noWrap/>
            <w:vAlign w:val="center"/>
            <w:hideMark/>
          </w:tcPr>
          <w:p w14:paraId="07018476" w14:textId="77777777" w:rsidR="00884E53" w:rsidRPr="00884E53" w:rsidRDefault="00884E53" w:rsidP="00884E53">
            <w:pPr>
              <w:jc w:val="right"/>
              <w:rPr>
                <w:rFonts w:eastAsia="Times New Roman"/>
                <w:color w:val="FFFFFF"/>
                <w:sz w:val="18"/>
                <w:szCs w:val="18"/>
              </w:rPr>
            </w:pPr>
            <w:r w:rsidRPr="00884E53">
              <w:rPr>
                <w:rFonts w:eastAsia="Times New Roman"/>
                <w:color w:val="FFFFFF"/>
                <w:sz w:val="18"/>
                <w:szCs w:val="18"/>
              </w:rPr>
              <w:t>1 person HH</w:t>
            </w:r>
          </w:p>
        </w:tc>
        <w:tc>
          <w:tcPr>
            <w:tcW w:w="1230" w:type="dxa"/>
            <w:tcBorders>
              <w:top w:val="nil"/>
              <w:left w:val="nil"/>
              <w:bottom w:val="nil"/>
              <w:right w:val="single" w:sz="4" w:space="0" w:color="BFBFBF"/>
            </w:tcBorders>
            <w:shd w:val="clear" w:color="auto" w:fill="42618C" w:themeFill="accent3"/>
            <w:noWrap/>
            <w:vAlign w:val="center"/>
            <w:hideMark/>
          </w:tcPr>
          <w:p w14:paraId="60435AD6" w14:textId="77777777" w:rsidR="00884E53" w:rsidRPr="00884E53" w:rsidRDefault="00884E53" w:rsidP="00884E53">
            <w:pPr>
              <w:jc w:val="right"/>
              <w:rPr>
                <w:rFonts w:eastAsia="Times New Roman"/>
                <w:color w:val="FFFFFF"/>
                <w:sz w:val="18"/>
                <w:szCs w:val="18"/>
              </w:rPr>
            </w:pPr>
            <w:r w:rsidRPr="00884E53">
              <w:rPr>
                <w:rFonts w:eastAsia="Times New Roman"/>
                <w:color w:val="FFFFFF"/>
                <w:sz w:val="18"/>
                <w:szCs w:val="18"/>
              </w:rPr>
              <w:t>2 person HH</w:t>
            </w:r>
          </w:p>
        </w:tc>
        <w:tc>
          <w:tcPr>
            <w:tcW w:w="1230" w:type="dxa"/>
            <w:tcBorders>
              <w:top w:val="nil"/>
              <w:left w:val="nil"/>
              <w:bottom w:val="nil"/>
              <w:right w:val="single" w:sz="4" w:space="0" w:color="BFBFBF"/>
            </w:tcBorders>
            <w:shd w:val="clear" w:color="auto" w:fill="42618C" w:themeFill="accent3"/>
            <w:noWrap/>
            <w:vAlign w:val="center"/>
            <w:hideMark/>
          </w:tcPr>
          <w:p w14:paraId="1300B7E2" w14:textId="77777777" w:rsidR="00884E53" w:rsidRPr="00884E53" w:rsidRDefault="00884E53" w:rsidP="00884E53">
            <w:pPr>
              <w:jc w:val="right"/>
              <w:rPr>
                <w:rFonts w:eastAsia="Times New Roman"/>
                <w:color w:val="FFFFFF"/>
                <w:sz w:val="18"/>
                <w:szCs w:val="18"/>
              </w:rPr>
            </w:pPr>
            <w:r w:rsidRPr="00884E53">
              <w:rPr>
                <w:rFonts w:eastAsia="Times New Roman"/>
                <w:color w:val="FFFFFF"/>
                <w:sz w:val="18"/>
                <w:szCs w:val="18"/>
              </w:rPr>
              <w:t>3 person HH</w:t>
            </w:r>
          </w:p>
        </w:tc>
        <w:tc>
          <w:tcPr>
            <w:tcW w:w="1230" w:type="dxa"/>
            <w:tcBorders>
              <w:top w:val="nil"/>
              <w:left w:val="nil"/>
              <w:bottom w:val="nil"/>
              <w:right w:val="single" w:sz="4" w:space="0" w:color="BFBFBF"/>
            </w:tcBorders>
            <w:shd w:val="clear" w:color="auto" w:fill="42618C" w:themeFill="accent3"/>
            <w:noWrap/>
            <w:vAlign w:val="center"/>
            <w:hideMark/>
          </w:tcPr>
          <w:p w14:paraId="1D9B2169" w14:textId="77777777" w:rsidR="00884E53" w:rsidRPr="00884E53" w:rsidRDefault="00884E53" w:rsidP="00884E53">
            <w:pPr>
              <w:jc w:val="right"/>
              <w:rPr>
                <w:rFonts w:eastAsia="Times New Roman"/>
                <w:color w:val="FFFFFF"/>
                <w:sz w:val="18"/>
                <w:szCs w:val="18"/>
              </w:rPr>
            </w:pPr>
            <w:r w:rsidRPr="00884E53">
              <w:rPr>
                <w:rFonts w:eastAsia="Times New Roman"/>
                <w:color w:val="FFFFFF"/>
                <w:sz w:val="18"/>
                <w:szCs w:val="18"/>
              </w:rPr>
              <w:t>4 person HH</w:t>
            </w:r>
          </w:p>
        </w:tc>
        <w:tc>
          <w:tcPr>
            <w:tcW w:w="1230" w:type="dxa"/>
            <w:tcBorders>
              <w:top w:val="nil"/>
              <w:left w:val="nil"/>
              <w:bottom w:val="nil"/>
              <w:right w:val="nil"/>
            </w:tcBorders>
            <w:shd w:val="clear" w:color="auto" w:fill="42618C" w:themeFill="accent3"/>
            <w:noWrap/>
            <w:vAlign w:val="center"/>
            <w:hideMark/>
          </w:tcPr>
          <w:p w14:paraId="635D777C" w14:textId="77777777" w:rsidR="00884E53" w:rsidRPr="00884E53" w:rsidRDefault="00884E53" w:rsidP="00884E53">
            <w:pPr>
              <w:jc w:val="right"/>
              <w:rPr>
                <w:rFonts w:eastAsia="Times New Roman"/>
                <w:color w:val="FFFFFF"/>
                <w:sz w:val="18"/>
                <w:szCs w:val="18"/>
              </w:rPr>
            </w:pPr>
            <w:r w:rsidRPr="00884E53">
              <w:rPr>
                <w:rFonts w:eastAsia="Times New Roman"/>
                <w:color w:val="FFFFFF"/>
                <w:sz w:val="18"/>
                <w:szCs w:val="18"/>
              </w:rPr>
              <w:t>5+ person HH</w:t>
            </w:r>
          </w:p>
        </w:tc>
      </w:tr>
      <w:tr w:rsidR="00884E53" w:rsidRPr="00884E53" w14:paraId="4C34DA27" w14:textId="77777777" w:rsidTr="00884E53">
        <w:trPr>
          <w:trHeight w:val="402"/>
        </w:trPr>
        <w:tc>
          <w:tcPr>
            <w:tcW w:w="1975" w:type="dxa"/>
            <w:tcBorders>
              <w:top w:val="single" w:sz="4" w:space="0" w:color="auto"/>
              <w:left w:val="single" w:sz="4" w:space="0" w:color="auto"/>
              <w:bottom w:val="single" w:sz="4" w:space="0" w:color="auto"/>
              <w:right w:val="nil"/>
            </w:tcBorders>
            <w:shd w:val="clear" w:color="000000" w:fill="F2F2F2"/>
            <w:noWrap/>
            <w:vAlign w:val="center"/>
            <w:hideMark/>
          </w:tcPr>
          <w:p w14:paraId="6EE332DB" w14:textId="77777777" w:rsidR="00884E53" w:rsidRPr="00884E53" w:rsidRDefault="00884E53" w:rsidP="00884E53">
            <w:pPr>
              <w:rPr>
                <w:rFonts w:eastAsia="Times New Roman"/>
                <w:color w:val="000000"/>
                <w:sz w:val="18"/>
                <w:szCs w:val="18"/>
              </w:rPr>
            </w:pPr>
            <w:r w:rsidRPr="00884E53">
              <w:rPr>
                <w:rFonts w:eastAsia="Times New Roman"/>
                <w:color w:val="000000"/>
                <w:sz w:val="18"/>
                <w:szCs w:val="18"/>
              </w:rPr>
              <w:t>Total</w:t>
            </w:r>
          </w:p>
        </w:tc>
        <w:tc>
          <w:tcPr>
            <w:tcW w:w="123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D23001C" w14:textId="6F85C309" w:rsidR="00884E53" w:rsidRPr="00565CC0" w:rsidRDefault="00AE4876" w:rsidP="00884E53">
            <w:pPr>
              <w:jc w:val="right"/>
              <w:rPr>
                <w:rFonts w:eastAsia="Times New Roman"/>
                <w:color w:val="C00000"/>
                <w:sz w:val="18"/>
                <w:szCs w:val="18"/>
              </w:rPr>
            </w:pPr>
            <w:r w:rsidRPr="00565CC0">
              <w:rPr>
                <w:color w:val="C00000"/>
                <w:sz w:val="18"/>
                <w:szCs w:val="18"/>
              </w:rPr>
              <w:t>26,065</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62C7F215" w14:textId="5B2FCA3E" w:rsidR="00884E53" w:rsidRPr="00565CC0" w:rsidRDefault="00884E53" w:rsidP="00884E53">
            <w:pPr>
              <w:jc w:val="right"/>
              <w:rPr>
                <w:rFonts w:eastAsia="Times New Roman"/>
                <w:color w:val="C00000"/>
                <w:sz w:val="18"/>
                <w:szCs w:val="18"/>
              </w:rPr>
            </w:pPr>
            <w:r w:rsidRPr="00565CC0">
              <w:rPr>
                <w:color w:val="C00000"/>
                <w:sz w:val="18"/>
                <w:szCs w:val="18"/>
              </w:rPr>
              <w:t>8,</w:t>
            </w:r>
            <w:r w:rsidR="00AE4876" w:rsidRPr="00565CC0">
              <w:rPr>
                <w:color w:val="C00000"/>
                <w:sz w:val="18"/>
                <w:szCs w:val="18"/>
              </w:rPr>
              <w:t>115</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2B9F0D83" w14:textId="5333A34D" w:rsidR="00884E53" w:rsidRPr="00565CC0" w:rsidRDefault="00AE4876" w:rsidP="00884E53">
            <w:pPr>
              <w:jc w:val="right"/>
              <w:rPr>
                <w:rFonts w:eastAsia="Times New Roman"/>
                <w:color w:val="C00000"/>
                <w:sz w:val="18"/>
                <w:szCs w:val="18"/>
              </w:rPr>
            </w:pPr>
            <w:r w:rsidRPr="00565CC0">
              <w:rPr>
                <w:color w:val="C00000"/>
                <w:sz w:val="18"/>
                <w:szCs w:val="18"/>
              </w:rPr>
              <w:t>9,825</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0FD61410" w14:textId="20FAF67B" w:rsidR="00884E53" w:rsidRPr="00565CC0" w:rsidRDefault="00884E53" w:rsidP="00884E53">
            <w:pPr>
              <w:jc w:val="right"/>
              <w:rPr>
                <w:rFonts w:eastAsia="Times New Roman"/>
                <w:color w:val="C00000"/>
                <w:sz w:val="18"/>
                <w:szCs w:val="18"/>
              </w:rPr>
            </w:pPr>
            <w:r w:rsidRPr="00565CC0">
              <w:rPr>
                <w:color w:val="C00000"/>
                <w:sz w:val="18"/>
                <w:szCs w:val="18"/>
              </w:rPr>
              <w:t>3,</w:t>
            </w:r>
            <w:r w:rsidR="00AE4876" w:rsidRPr="00565CC0">
              <w:rPr>
                <w:color w:val="C00000"/>
                <w:sz w:val="18"/>
                <w:szCs w:val="18"/>
              </w:rPr>
              <w:t>920</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22CC6981" w14:textId="4B22F60C" w:rsidR="00884E53" w:rsidRPr="00565CC0" w:rsidRDefault="00884E53" w:rsidP="00884E53">
            <w:pPr>
              <w:jc w:val="right"/>
              <w:rPr>
                <w:rFonts w:eastAsia="Times New Roman"/>
                <w:color w:val="C00000"/>
                <w:sz w:val="18"/>
                <w:szCs w:val="18"/>
              </w:rPr>
            </w:pPr>
            <w:r w:rsidRPr="00565CC0">
              <w:rPr>
                <w:color w:val="C00000"/>
                <w:sz w:val="18"/>
                <w:szCs w:val="18"/>
              </w:rPr>
              <w:t>2,</w:t>
            </w:r>
            <w:r w:rsidR="00AE4876" w:rsidRPr="00565CC0">
              <w:rPr>
                <w:color w:val="C00000"/>
                <w:sz w:val="18"/>
                <w:szCs w:val="18"/>
              </w:rPr>
              <w:t>765</w:t>
            </w:r>
          </w:p>
        </w:tc>
        <w:tc>
          <w:tcPr>
            <w:tcW w:w="1230" w:type="dxa"/>
            <w:tcBorders>
              <w:top w:val="single" w:sz="4" w:space="0" w:color="auto"/>
              <w:left w:val="nil"/>
              <w:bottom w:val="single" w:sz="4" w:space="0" w:color="auto"/>
              <w:right w:val="single" w:sz="4" w:space="0" w:color="auto"/>
            </w:tcBorders>
            <w:shd w:val="clear" w:color="000000" w:fill="F2F2F2"/>
            <w:noWrap/>
            <w:vAlign w:val="center"/>
            <w:hideMark/>
          </w:tcPr>
          <w:p w14:paraId="16F83C7A" w14:textId="77520535" w:rsidR="00884E53" w:rsidRPr="00565CC0" w:rsidRDefault="00884E53" w:rsidP="00884E53">
            <w:pPr>
              <w:jc w:val="right"/>
              <w:rPr>
                <w:rFonts w:eastAsia="Times New Roman"/>
                <w:color w:val="C00000"/>
                <w:sz w:val="18"/>
                <w:szCs w:val="18"/>
              </w:rPr>
            </w:pPr>
            <w:r w:rsidRPr="00565CC0">
              <w:rPr>
                <w:color w:val="C00000"/>
                <w:sz w:val="18"/>
                <w:szCs w:val="18"/>
              </w:rPr>
              <w:t>1,</w:t>
            </w:r>
            <w:r w:rsidR="00AE4876" w:rsidRPr="00565CC0">
              <w:rPr>
                <w:color w:val="C00000"/>
                <w:sz w:val="18"/>
                <w:szCs w:val="18"/>
              </w:rPr>
              <w:t>435</w:t>
            </w:r>
          </w:p>
        </w:tc>
      </w:tr>
      <w:tr w:rsidR="00884E53" w:rsidRPr="00884E53" w14:paraId="4CEAE214" w14:textId="77777777" w:rsidTr="00884E53">
        <w:trPr>
          <w:trHeight w:val="402"/>
        </w:trPr>
        <w:tc>
          <w:tcPr>
            <w:tcW w:w="1975" w:type="dxa"/>
            <w:tcBorders>
              <w:top w:val="nil"/>
              <w:left w:val="single" w:sz="4" w:space="0" w:color="auto"/>
              <w:bottom w:val="single" w:sz="4" w:space="0" w:color="BFBFBF"/>
              <w:right w:val="single" w:sz="4" w:space="0" w:color="BFBFBF"/>
            </w:tcBorders>
            <w:noWrap/>
            <w:vAlign w:val="center"/>
            <w:hideMark/>
          </w:tcPr>
          <w:p w14:paraId="22A1EF19" w14:textId="77777777" w:rsidR="00884E53" w:rsidRPr="00884E53" w:rsidRDefault="00884E53" w:rsidP="00884E53">
            <w:pPr>
              <w:rPr>
                <w:rFonts w:eastAsia="Times New Roman"/>
                <w:color w:val="000000"/>
                <w:sz w:val="18"/>
                <w:szCs w:val="18"/>
              </w:rPr>
            </w:pPr>
            <w:r w:rsidRPr="00884E53">
              <w:rPr>
                <w:rFonts w:eastAsia="Times New Roman"/>
                <w:color w:val="000000"/>
                <w:sz w:val="18"/>
                <w:szCs w:val="18"/>
              </w:rPr>
              <w:t>Very low</w:t>
            </w:r>
          </w:p>
        </w:tc>
        <w:tc>
          <w:tcPr>
            <w:tcW w:w="1230" w:type="dxa"/>
            <w:tcBorders>
              <w:top w:val="nil"/>
              <w:left w:val="single" w:sz="4" w:space="0" w:color="auto"/>
              <w:bottom w:val="single" w:sz="4" w:space="0" w:color="BFBFBF"/>
              <w:right w:val="single" w:sz="4" w:space="0" w:color="auto"/>
            </w:tcBorders>
            <w:noWrap/>
            <w:vAlign w:val="center"/>
            <w:hideMark/>
          </w:tcPr>
          <w:p w14:paraId="395E5F42" w14:textId="071DC2AB" w:rsidR="00884E53" w:rsidRPr="00565CC0" w:rsidRDefault="00AE4876" w:rsidP="00884E53">
            <w:pPr>
              <w:jc w:val="right"/>
              <w:rPr>
                <w:rFonts w:eastAsia="Times New Roman"/>
                <w:color w:val="C00000"/>
                <w:sz w:val="18"/>
                <w:szCs w:val="18"/>
              </w:rPr>
            </w:pPr>
            <w:r w:rsidRPr="00565CC0">
              <w:rPr>
                <w:color w:val="C00000"/>
                <w:sz w:val="18"/>
                <w:szCs w:val="18"/>
              </w:rPr>
              <w:t>705</w:t>
            </w:r>
          </w:p>
        </w:tc>
        <w:tc>
          <w:tcPr>
            <w:tcW w:w="1230" w:type="dxa"/>
            <w:tcBorders>
              <w:top w:val="nil"/>
              <w:left w:val="nil"/>
              <w:bottom w:val="single" w:sz="4" w:space="0" w:color="BFBFBF"/>
              <w:right w:val="single" w:sz="4" w:space="0" w:color="BFBFBF"/>
            </w:tcBorders>
            <w:noWrap/>
            <w:vAlign w:val="center"/>
            <w:hideMark/>
          </w:tcPr>
          <w:p w14:paraId="74794442" w14:textId="72727559" w:rsidR="00884E53" w:rsidRPr="00565CC0" w:rsidRDefault="00884E53" w:rsidP="00884E53">
            <w:pPr>
              <w:jc w:val="right"/>
              <w:rPr>
                <w:rFonts w:eastAsia="Times New Roman"/>
                <w:color w:val="C00000"/>
                <w:sz w:val="18"/>
                <w:szCs w:val="18"/>
              </w:rPr>
            </w:pPr>
            <w:r w:rsidRPr="00565CC0">
              <w:rPr>
                <w:color w:val="C00000"/>
                <w:sz w:val="18"/>
                <w:szCs w:val="18"/>
              </w:rPr>
              <w:t>385</w:t>
            </w:r>
          </w:p>
        </w:tc>
        <w:tc>
          <w:tcPr>
            <w:tcW w:w="1230" w:type="dxa"/>
            <w:tcBorders>
              <w:top w:val="nil"/>
              <w:left w:val="nil"/>
              <w:bottom w:val="single" w:sz="4" w:space="0" w:color="BFBFBF"/>
              <w:right w:val="single" w:sz="4" w:space="0" w:color="BFBFBF"/>
            </w:tcBorders>
            <w:noWrap/>
            <w:vAlign w:val="center"/>
            <w:hideMark/>
          </w:tcPr>
          <w:p w14:paraId="6B3C9DA5" w14:textId="049E49F8" w:rsidR="00884E53" w:rsidRPr="00565CC0" w:rsidRDefault="00AE4876" w:rsidP="00884E53">
            <w:pPr>
              <w:jc w:val="right"/>
              <w:rPr>
                <w:rFonts w:eastAsia="Times New Roman"/>
                <w:color w:val="C00000"/>
                <w:sz w:val="18"/>
                <w:szCs w:val="18"/>
              </w:rPr>
            </w:pPr>
            <w:r w:rsidRPr="00565CC0">
              <w:rPr>
                <w:color w:val="C00000"/>
                <w:sz w:val="18"/>
                <w:szCs w:val="18"/>
              </w:rPr>
              <w:t>210</w:t>
            </w:r>
          </w:p>
        </w:tc>
        <w:tc>
          <w:tcPr>
            <w:tcW w:w="1230" w:type="dxa"/>
            <w:tcBorders>
              <w:top w:val="nil"/>
              <w:left w:val="nil"/>
              <w:bottom w:val="single" w:sz="4" w:space="0" w:color="BFBFBF"/>
              <w:right w:val="single" w:sz="4" w:space="0" w:color="BFBFBF"/>
            </w:tcBorders>
            <w:noWrap/>
            <w:vAlign w:val="center"/>
            <w:hideMark/>
          </w:tcPr>
          <w:p w14:paraId="0F78C4F2" w14:textId="57E0D9B3" w:rsidR="00884E53" w:rsidRPr="00565CC0" w:rsidRDefault="00AE4876" w:rsidP="00884E53">
            <w:pPr>
              <w:jc w:val="right"/>
              <w:rPr>
                <w:rFonts w:eastAsia="Times New Roman"/>
                <w:color w:val="C00000"/>
                <w:sz w:val="18"/>
                <w:szCs w:val="18"/>
              </w:rPr>
            </w:pPr>
            <w:r w:rsidRPr="00565CC0">
              <w:rPr>
                <w:color w:val="C00000"/>
                <w:sz w:val="18"/>
                <w:szCs w:val="18"/>
              </w:rPr>
              <w:t>65</w:t>
            </w:r>
          </w:p>
        </w:tc>
        <w:tc>
          <w:tcPr>
            <w:tcW w:w="1230" w:type="dxa"/>
            <w:tcBorders>
              <w:top w:val="nil"/>
              <w:left w:val="nil"/>
              <w:bottom w:val="single" w:sz="4" w:space="0" w:color="BFBFBF"/>
              <w:right w:val="single" w:sz="4" w:space="0" w:color="BFBFBF"/>
            </w:tcBorders>
            <w:noWrap/>
            <w:vAlign w:val="center"/>
            <w:hideMark/>
          </w:tcPr>
          <w:p w14:paraId="27283116" w14:textId="44014642" w:rsidR="00884E53" w:rsidRPr="00565CC0" w:rsidRDefault="00AE4876" w:rsidP="00884E53">
            <w:pPr>
              <w:jc w:val="right"/>
              <w:rPr>
                <w:rFonts w:eastAsia="Times New Roman"/>
                <w:color w:val="C00000"/>
                <w:sz w:val="18"/>
                <w:szCs w:val="18"/>
              </w:rPr>
            </w:pPr>
            <w:r w:rsidRPr="00565CC0">
              <w:rPr>
                <w:color w:val="C00000"/>
                <w:sz w:val="18"/>
                <w:szCs w:val="18"/>
              </w:rPr>
              <w:t>45</w:t>
            </w:r>
          </w:p>
        </w:tc>
        <w:tc>
          <w:tcPr>
            <w:tcW w:w="1230" w:type="dxa"/>
            <w:tcBorders>
              <w:top w:val="nil"/>
              <w:left w:val="nil"/>
              <w:bottom w:val="single" w:sz="4" w:space="0" w:color="BFBFBF"/>
              <w:right w:val="single" w:sz="4" w:space="0" w:color="auto"/>
            </w:tcBorders>
            <w:noWrap/>
            <w:vAlign w:val="center"/>
            <w:hideMark/>
          </w:tcPr>
          <w:p w14:paraId="4BEFE32C" w14:textId="62F6D96A" w:rsidR="00884E53" w:rsidRPr="00565CC0" w:rsidRDefault="00884E53" w:rsidP="00884E53">
            <w:pPr>
              <w:jc w:val="right"/>
              <w:rPr>
                <w:rFonts w:eastAsia="Times New Roman"/>
                <w:color w:val="C00000"/>
                <w:sz w:val="18"/>
                <w:szCs w:val="18"/>
              </w:rPr>
            </w:pPr>
            <w:r w:rsidRPr="00565CC0">
              <w:rPr>
                <w:color w:val="C00000"/>
                <w:sz w:val="18"/>
                <w:szCs w:val="18"/>
              </w:rPr>
              <w:t>0</w:t>
            </w:r>
          </w:p>
        </w:tc>
      </w:tr>
      <w:tr w:rsidR="00884E53" w:rsidRPr="00884E53" w14:paraId="7337BF85" w14:textId="77777777" w:rsidTr="00884E53">
        <w:trPr>
          <w:trHeight w:val="402"/>
        </w:trPr>
        <w:tc>
          <w:tcPr>
            <w:tcW w:w="1975" w:type="dxa"/>
            <w:tcBorders>
              <w:top w:val="nil"/>
              <w:left w:val="single" w:sz="4" w:space="0" w:color="auto"/>
              <w:bottom w:val="single" w:sz="4" w:space="0" w:color="BFBFBF"/>
              <w:right w:val="single" w:sz="4" w:space="0" w:color="BFBFBF"/>
            </w:tcBorders>
            <w:shd w:val="clear" w:color="000000" w:fill="F2F2F2"/>
            <w:noWrap/>
            <w:vAlign w:val="center"/>
            <w:hideMark/>
          </w:tcPr>
          <w:p w14:paraId="69F003F6" w14:textId="77777777" w:rsidR="00884E53" w:rsidRPr="00884E53" w:rsidRDefault="00884E53" w:rsidP="00884E53">
            <w:pPr>
              <w:rPr>
                <w:rFonts w:eastAsia="Times New Roman"/>
                <w:color w:val="000000"/>
                <w:sz w:val="18"/>
                <w:szCs w:val="18"/>
              </w:rPr>
            </w:pPr>
            <w:r w:rsidRPr="00884E53">
              <w:rPr>
                <w:rFonts w:eastAsia="Times New Roman"/>
                <w:color w:val="000000"/>
                <w:sz w:val="18"/>
                <w:szCs w:val="18"/>
              </w:rPr>
              <w:t>Low</w:t>
            </w:r>
          </w:p>
        </w:tc>
        <w:tc>
          <w:tcPr>
            <w:tcW w:w="1230" w:type="dxa"/>
            <w:tcBorders>
              <w:top w:val="nil"/>
              <w:left w:val="single" w:sz="4" w:space="0" w:color="auto"/>
              <w:bottom w:val="single" w:sz="4" w:space="0" w:color="BFBFBF"/>
              <w:right w:val="single" w:sz="4" w:space="0" w:color="auto"/>
            </w:tcBorders>
            <w:shd w:val="clear" w:color="000000" w:fill="F2F2F2"/>
            <w:noWrap/>
            <w:vAlign w:val="center"/>
            <w:hideMark/>
          </w:tcPr>
          <w:p w14:paraId="37D4E762" w14:textId="138E7CF4" w:rsidR="00884E53" w:rsidRPr="00565CC0" w:rsidRDefault="00884E53" w:rsidP="00884E53">
            <w:pPr>
              <w:jc w:val="right"/>
              <w:rPr>
                <w:rFonts w:eastAsia="Times New Roman"/>
                <w:color w:val="C00000"/>
                <w:sz w:val="18"/>
                <w:szCs w:val="18"/>
              </w:rPr>
            </w:pPr>
            <w:r w:rsidRPr="00565CC0">
              <w:rPr>
                <w:color w:val="C00000"/>
                <w:sz w:val="18"/>
                <w:szCs w:val="18"/>
              </w:rPr>
              <w:t>4,</w:t>
            </w:r>
            <w:r w:rsidR="00AE4876" w:rsidRPr="00565CC0">
              <w:rPr>
                <w:color w:val="C00000"/>
                <w:sz w:val="18"/>
                <w:szCs w:val="18"/>
              </w:rPr>
              <w:t>130</w:t>
            </w:r>
          </w:p>
        </w:tc>
        <w:tc>
          <w:tcPr>
            <w:tcW w:w="1230" w:type="dxa"/>
            <w:tcBorders>
              <w:top w:val="nil"/>
              <w:left w:val="nil"/>
              <w:bottom w:val="single" w:sz="4" w:space="0" w:color="BFBFBF"/>
              <w:right w:val="single" w:sz="4" w:space="0" w:color="BFBFBF"/>
            </w:tcBorders>
            <w:shd w:val="clear" w:color="000000" w:fill="F2F2F2"/>
            <w:noWrap/>
            <w:vAlign w:val="center"/>
            <w:hideMark/>
          </w:tcPr>
          <w:p w14:paraId="7DBD6D78" w14:textId="5C85E00D" w:rsidR="00884E53" w:rsidRPr="00565CC0" w:rsidRDefault="00884E53" w:rsidP="00884E53">
            <w:pPr>
              <w:jc w:val="right"/>
              <w:rPr>
                <w:rFonts w:eastAsia="Times New Roman"/>
                <w:color w:val="C00000"/>
                <w:sz w:val="18"/>
                <w:szCs w:val="18"/>
              </w:rPr>
            </w:pPr>
            <w:r w:rsidRPr="00565CC0">
              <w:rPr>
                <w:color w:val="C00000"/>
                <w:sz w:val="18"/>
                <w:szCs w:val="18"/>
              </w:rPr>
              <w:t>3,285</w:t>
            </w:r>
          </w:p>
        </w:tc>
        <w:tc>
          <w:tcPr>
            <w:tcW w:w="1230" w:type="dxa"/>
            <w:tcBorders>
              <w:top w:val="nil"/>
              <w:left w:val="nil"/>
              <w:bottom w:val="single" w:sz="4" w:space="0" w:color="BFBFBF"/>
              <w:right w:val="single" w:sz="4" w:space="0" w:color="BFBFBF"/>
            </w:tcBorders>
            <w:shd w:val="clear" w:color="000000" w:fill="F2F2F2"/>
            <w:noWrap/>
            <w:vAlign w:val="center"/>
            <w:hideMark/>
          </w:tcPr>
          <w:p w14:paraId="671D90BF" w14:textId="407D7CFF" w:rsidR="00884E53" w:rsidRPr="00565CC0" w:rsidRDefault="00AE4876" w:rsidP="00884E53">
            <w:pPr>
              <w:jc w:val="right"/>
              <w:rPr>
                <w:rFonts w:eastAsia="Times New Roman"/>
                <w:color w:val="C00000"/>
                <w:sz w:val="18"/>
                <w:szCs w:val="18"/>
              </w:rPr>
            </w:pPr>
            <w:r w:rsidRPr="00565CC0">
              <w:rPr>
                <w:color w:val="C00000"/>
                <w:sz w:val="18"/>
                <w:szCs w:val="18"/>
              </w:rPr>
              <w:t>615</w:t>
            </w:r>
          </w:p>
        </w:tc>
        <w:tc>
          <w:tcPr>
            <w:tcW w:w="1230" w:type="dxa"/>
            <w:tcBorders>
              <w:top w:val="nil"/>
              <w:left w:val="nil"/>
              <w:bottom w:val="single" w:sz="4" w:space="0" w:color="BFBFBF"/>
              <w:right w:val="single" w:sz="4" w:space="0" w:color="BFBFBF"/>
            </w:tcBorders>
            <w:shd w:val="clear" w:color="000000" w:fill="F2F2F2"/>
            <w:noWrap/>
            <w:vAlign w:val="center"/>
            <w:hideMark/>
          </w:tcPr>
          <w:p w14:paraId="7446EED6" w14:textId="5DA53467" w:rsidR="00884E53" w:rsidRPr="00565CC0" w:rsidRDefault="00AE4876" w:rsidP="00884E53">
            <w:pPr>
              <w:jc w:val="right"/>
              <w:rPr>
                <w:rFonts w:eastAsia="Times New Roman"/>
                <w:color w:val="C00000"/>
                <w:sz w:val="18"/>
                <w:szCs w:val="18"/>
              </w:rPr>
            </w:pPr>
            <w:r w:rsidRPr="00565CC0">
              <w:rPr>
                <w:color w:val="C00000"/>
                <w:sz w:val="18"/>
                <w:szCs w:val="18"/>
              </w:rPr>
              <w:t>170</w:t>
            </w:r>
          </w:p>
        </w:tc>
        <w:tc>
          <w:tcPr>
            <w:tcW w:w="1230" w:type="dxa"/>
            <w:tcBorders>
              <w:top w:val="nil"/>
              <w:left w:val="nil"/>
              <w:bottom w:val="single" w:sz="4" w:space="0" w:color="BFBFBF"/>
              <w:right w:val="single" w:sz="4" w:space="0" w:color="BFBFBF"/>
            </w:tcBorders>
            <w:shd w:val="clear" w:color="000000" w:fill="F2F2F2"/>
            <w:noWrap/>
            <w:vAlign w:val="center"/>
            <w:hideMark/>
          </w:tcPr>
          <w:p w14:paraId="604586D2" w14:textId="737AB58E" w:rsidR="00884E53" w:rsidRPr="00565CC0" w:rsidRDefault="00AE4876" w:rsidP="00884E53">
            <w:pPr>
              <w:jc w:val="right"/>
              <w:rPr>
                <w:rFonts w:eastAsia="Times New Roman"/>
                <w:color w:val="C00000"/>
                <w:sz w:val="18"/>
                <w:szCs w:val="18"/>
              </w:rPr>
            </w:pPr>
            <w:r w:rsidRPr="00565CC0">
              <w:rPr>
                <w:color w:val="C00000"/>
                <w:sz w:val="18"/>
                <w:szCs w:val="18"/>
              </w:rPr>
              <w:t>60</w:t>
            </w:r>
          </w:p>
        </w:tc>
        <w:tc>
          <w:tcPr>
            <w:tcW w:w="1230" w:type="dxa"/>
            <w:tcBorders>
              <w:top w:val="nil"/>
              <w:left w:val="nil"/>
              <w:bottom w:val="single" w:sz="4" w:space="0" w:color="BFBFBF"/>
              <w:right w:val="single" w:sz="4" w:space="0" w:color="auto"/>
            </w:tcBorders>
            <w:shd w:val="clear" w:color="000000" w:fill="F2F2F2"/>
            <w:noWrap/>
            <w:vAlign w:val="center"/>
            <w:hideMark/>
          </w:tcPr>
          <w:p w14:paraId="66520286" w14:textId="5BFC754D" w:rsidR="00884E53" w:rsidRPr="00565CC0" w:rsidRDefault="00884E53" w:rsidP="00884E53">
            <w:pPr>
              <w:jc w:val="right"/>
              <w:rPr>
                <w:rFonts w:eastAsia="Times New Roman"/>
                <w:color w:val="C00000"/>
                <w:sz w:val="18"/>
                <w:szCs w:val="18"/>
              </w:rPr>
            </w:pPr>
            <w:r w:rsidRPr="00565CC0">
              <w:rPr>
                <w:color w:val="C00000"/>
                <w:sz w:val="18"/>
                <w:szCs w:val="18"/>
              </w:rPr>
              <w:t>0</w:t>
            </w:r>
          </w:p>
        </w:tc>
      </w:tr>
      <w:tr w:rsidR="00884E53" w:rsidRPr="00884E53" w14:paraId="3DF54C28" w14:textId="77777777" w:rsidTr="00884E53">
        <w:trPr>
          <w:trHeight w:val="402"/>
        </w:trPr>
        <w:tc>
          <w:tcPr>
            <w:tcW w:w="1975" w:type="dxa"/>
            <w:tcBorders>
              <w:top w:val="nil"/>
              <w:left w:val="single" w:sz="4" w:space="0" w:color="auto"/>
              <w:bottom w:val="single" w:sz="4" w:space="0" w:color="BFBFBF"/>
              <w:right w:val="single" w:sz="4" w:space="0" w:color="BFBFBF"/>
            </w:tcBorders>
            <w:noWrap/>
            <w:vAlign w:val="center"/>
            <w:hideMark/>
          </w:tcPr>
          <w:p w14:paraId="3CBB4049" w14:textId="77777777" w:rsidR="00884E53" w:rsidRPr="00884E53" w:rsidRDefault="00884E53" w:rsidP="00884E53">
            <w:pPr>
              <w:rPr>
                <w:rFonts w:eastAsia="Times New Roman"/>
                <w:color w:val="000000"/>
                <w:sz w:val="18"/>
                <w:szCs w:val="18"/>
              </w:rPr>
            </w:pPr>
            <w:r w:rsidRPr="00884E53">
              <w:rPr>
                <w:rFonts w:eastAsia="Times New Roman"/>
                <w:color w:val="000000"/>
                <w:sz w:val="18"/>
                <w:szCs w:val="18"/>
              </w:rPr>
              <w:t>Moderate</w:t>
            </w:r>
          </w:p>
        </w:tc>
        <w:tc>
          <w:tcPr>
            <w:tcW w:w="1230" w:type="dxa"/>
            <w:tcBorders>
              <w:top w:val="nil"/>
              <w:left w:val="single" w:sz="4" w:space="0" w:color="auto"/>
              <w:bottom w:val="single" w:sz="4" w:space="0" w:color="BFBFBF"/>
              <w:right w:val="single" w:sz="4" w:space="0" w:color="auto"/>
            </w:tcBorders>
            <w:noWrap/>
            <w:vAlign w:val="center"/>
            <w:hideMark/>
          </w:tcPr>
          <w:p w14:paraId="769E0ACE" w14:textId="785B70D8" w:rsidR="00884E53" w:rsidRPr="00565CC0" w:rsidRDefault="00884E53" w:rsidP="00884E53">
            <w:pPr>
              <w:jc w:val="right"/>
              <w:rPr>
                <w:rFonts w:eastAsia="Times New Roman"/>
                <w:color w:val="C00000"/>
                <w:sz w:val="18"/>
                <w:szCs w:val="18"/>
              </w:rPr>
            </w:pPr>
            <w:r w:rsidRPr="00565CC0">
              <w:rPr>
                <w:color w:val="C00000"/>
                <w:sz w:val="18"/>
                <w:szCs w:val="18"/>
              </w:rPr>
              <w:t>4,</w:t>
            </w:r>
            <w:r w:rsidR="00AE4876" w:rsidRPr="00565CC0">
              <w:rPr>
                <w:color w:val="C00000"/>
                <w:sz w:val="18"/>
                <w:szCs w:val="18"/>
              </w:rPr>
              <w:t>760</w:t>
            </w:r>
          </w:p>
        </w:tc>
        <w:tc>
          <w:tcPr>
            <w:tcW w:w="1230" w:type="dxa"/>
            <w:tcBorders>
              <w:top w:val="nil"/>
              <w:left w:val="nil"/>
              <w:bottom w:val="single" w:sz="4" w:space="0" w:color="BFBFBF"/>
              <w:right w:val="single" w:sz="4" w:space="0" w:color="BFBFBF"/>
            </w:tcBorders>
            <w:noWrap/>
            <w:vAlign w:val="center"/>
            <w:hideMark/>
          </w:tcPr>
          <w:p w14:paraId="28117C52" w14:textId="46280437" w:rsidR="00884E53" w:rsidRPr="00565CC0" w:rsidRDefault="00884E53" w:rsidP="00884E53">
            <w:pPr>
              <w:jc w:val="right"/>
              <w:rPr>
                <w:rFonts w:eastAsia="Times New Roman"/>
                <w:color w:val="C00000"/>
                <w:sz w:val="18"/>
                <w:szCs w:val="18"/>
              </w:rPr>
            </w:pPr>
            <w:r w:rsidRPr="00565CC0">
              <w:rPr>
                <w:color w:val="C00000"/>
                <w:sz w:val="18"/>
                <w:szCs w:val="18"/>
              </w:rPr>
              <w:t>2,</w:t>
            </w:r>
            <w:r w:rsidR="00AE4876" w:rsidRPr="00565CC0">
              <w:rPr>
                <w:color w:val="C00000"/>
                <w:sz w:val="18"/>
                <w:szCs w:val="18"/>
              </w:rPr>
              <w:t>310</w:t>
            </w:r>
          </w:p>
        </w:tc>
        <w:tc>
          <w:tcPr>
            <w:tcW w:w="1230" w:type="dxa"/>
            <w:tcBorders>
              <w:top w:val="nil"/>
              <w:left w:val="nil"/>
              <w:bottom w:val="single" w:sz="4" w:space="0" w:color="BFBFBF"/>
              <w:right w:val="single" w:sz="4" w:space="0" w:color="BFBFBF"/>
            </w:tcBorders>
            <w:noWrap/>
            <w:vAlign w:val="center"/>
            <w:hideMark/>
          </w:tcPr>
          <w:p w14:paraId="41DB1674" w14:textId="321A0C62" w:rsidR="00884E53" w:rsidRPr="00565CC0" w:rsidRDefault="00884E53" w:rsidP="00884E53">
            <w:pPr>
              <w:jc w:val="right"/>
              <w:rPr>
                <w:rFonts w:eastAsia="Times New Roman"/>
                <w:color w:val="C00000"/>
                <w:sz w:val="18"/>
                <w:szCs w:val="18"/>
              </w:rPr>
            </w:pPr>
            <w:r w:rsidRPr="00565CC0">
              <w:rPr>
                <w:color w:val="C00000"/>
                <w:sz w:val="18"/>
                <w:szCs w:val="18"/>
              </w:rPr>
              <w:t>1,</w:t>
            </w:r>
            <w:r w:rsidR="00AE4876" w:rsidRPr="00565CC0">
              <w:rPr>
                <w:color w:val="C00000"/>
                <w:sz w:val="18"/>
                <w:szCs w:val="18"/>
              </w:rPr>
              <w:t>645</w:t>
            </w:r>
          </w:p>
        </w:tc>
        <w:tc>
          <w:tcPr>
            <w:tcW w:w="1230" w:type="dxa"/>
            <w:tcBorders>
              <w:top w:val="nil"/>
              <w:left w:val="nil"/>
              <w:bottom w:val="single" w:sz="4" w:space="0" w:color="BFBFBF"/>
              <w:right w:val="single" w:sz="4" w:space="0" w:color="BFBFBF"/>
            </w:tcBorders>
            <w:noWrap/>
            <w:vAlign w:val="center"/>
            <w:hideMark/>
          </w:tcPr>
          <w:p w14:paraId="0CF9309E" w14:textId="0B714384" w:rsidR="00884E53" w:rsidRPr="00565CC0" w:rsidRDefault="00AE4876" w:rsidP="00884E53">
            <w:pPr>
              <w:jc w:val="right"/>
              <w:rPr>
                <w:rFonts w:eastAsia="Times New Roman"/>
                <w:color w:val="C00000"/>
                <w:sz w:val="18"/>
                <w:szCs w:val="18"/>
              </w:rPr>
            </w:pPr>
            <w:r w:rsidRPr="00565CC0">
              <w:rPr>
                <w:color w:val="C00000"/>
                <w:sz w:val="18"/>
                <w:szCs w:val="18"/>
              </w:rPr>
              <w:t>505</w:t>
            </w:r>
          </w:p>
        </w:tc>
        <w:tc>
          <w:tcPr>
            <w:tcW w:w="1230" w:type="dxa"/>
            <w:tcBorders>
              <w:top w:val="nil"/>
              <w:left w:val="nil"/>
              <w:bottom w:val="single" w:sz="4" w:space="0" w:color="BFBFBF"/>
              <w:right w:val="single" w:sz="4" w:space="0" w:color="BFBFBF"/>
            </w:tcBorders>
            <w:noWrap/>
            <w:vAlign w:val="center"/>
            <w:hideMark/>
          </w:tcPr>
          <w:p w14:paraId="4ECAD405" w14:textId="618D60BE" w:rsidR="00884E53" w:rsidRPr="00565CC0" w:rsidRDefault="00AE4876" w:rsidP="00884E53">
            <w:pPr>
              <w:jc w:val="right"/>
              <w:rPr>
                <w:rFonts w:eastAsia="Times New Roman"/>
                <w:color w:val="C00000"/>
                <w:sz w:val="18"/>
                <w:szCs w:val="18"/>
              </w:rPr>
            </w:pPr>
            <w:r w:rsidRPr="00565CC0">
              <w:rPr>
                <w:color w:val="C00000"/>
                <w:sz w:val="18"/>
                <w:szCs w:val="18"/>
              </w:rPr>
              <w:t>200</w:t>
            </w:r>
          </w:p>
        </w:tc>
        <w:tc>
          <w:tcPr>
            <w:tcW w:w="1230" w:type="dxa"/>
            <w:tcBorders>
              <w:top w:val="nil"/>
              <w:left w:val="nil"/>
              <w:bottom w:val="single" w:sz="4" w:space="0" w:color="BFBFBF"/>
              <w:right w:val="single" w:sz="4" w:space="0" w:color="auto"/>
            </w:tcBorders>
            <w:noWrap/>
            <w:vAlign w:val="center"/>
            <w:hideMark/>
          </w:tcPr>
          <w:p w14:paraId="5634AD9D" w14:textId="3317BBA4" w:rsidR="00884E53" w:rsidRPr="00565CC0" w:rsidRDefault="00AE4876" w:rsidP="00884E53">
            <w:pPr>
              <w:jc w:val="right"/>
              <w:rPr>
                <w:rFonts w:eastAsia="Times New Roman"/>
                <w:color w:val="C00000"/>
                <w:sz w:val="18"/>
                <w:szCs w:val="18"/>
              </w:rPr>
            </w:pPr>
            <w:r w:rsidRPr="00565CC0">
              <w:rPr>
                <w:color w:val="C00000"/>
                <w:sz w:val="18"/>
                <w:szCs w:val="18"/>
              </w:rPr>
              <w:t>100</w:t>
            </w:r>
          </w:p>
        </w:tc>
      </w:tr>
      <w:tr w:rsidR="00884E53" w:rsidRPr="00884E53" w14:paraId="48D0812C" w14:textId="77777777" w:rsidTr="00884E53">
        <w:trPr>
          <w:trHeight w:val="402"/>
        </w:trPr>
        <w:tc>
          <w:tcPr>
            <w:tcW w:w="1975" w:type="dxa"/>
            <w:tcBorders>
              <w:top w:val="nil"/>
              <w:left w:val="single" w:sz="4" w:space="0" w:color="auto"/>
              <w:bottom w:val="single" w:sz="4" w:space="0" w:color="BFBFBF"/>
              <w:right w:val="single" w:sz="4" w:space="0" w:color="BFBFBF"/>
            </w:tcBorders>
            <w:shd w:val="clear" w:color="000000" w:fill="F2F2F2"/>
            <w:noWrap/>
            <w:vAlign w:val="center"/>
            <w:hideMark/>
          </w:tcPr>
          <w:p w14:paraId="0677787F" w14:textId="77777777" w:rsidR="00884E53" w:rsidRPr="00884E53" w:rsidRDefault="00884E53" w:rsidP="00884E53">
            <w:pPr>
              <w:rPr>
                <w:rFonts w:eastAsia="Times New Roman"/>
                <w:color w:val="000000"/>
                <w:sz w:val="18"/>
                <w:szCs w:val="18"/>
              </w:rPr>
            </w:pPr>
            <w:r w:rsidRPr="00884E53">
              <w:rPr>
                <w:rFonts w:eastAsia="Times New Roman"/>
                <w:color w:val="000000"/>
                <w:sz w:val="18"/>
                <w:szCs w:val="18"/>
              </w:rPr>
              <w:t>Median</w:t>
            </w:r>
          </w:p>
        </w:tc>
        <w:tc>
          <w:tcPr>
            <w:tcW w:w="1230" w:type="dxa"/>
            <w:tcBorders>
              <w:top w:val="nil"/>
              <w:left w:val="single" w:sz="4" w:space="0" w:color="auto"/>
              <w:bottom w:val="single" w:sz="4" w:space="0" w:color="BFBFBF"/>
              <w:right w:val="single" w:sz="4" w:space="0" w:color="auto"/>
            </w:tcBorders>
            <w:shd w:val="clear" w:color="000000" w:fill="F2F2F2"/>
            <w:noWrap/>
            <w:vAlign w:val="center"/>
            <w:hideMark/>
          </w:tcPr>
          <w:p w14:paraId="30564B12" w14:textId="2A0ACF48" w:rsidR="00884E53" w:rsidRPr="00565CC0" w:rsidRDefault="00AE4876" w:rsidP="00884E53">
            <w:pPr>
              <w:jc w:val="right"/>
              <w:rPr>
                <w:rFonts w:eastAsia="Times New Roman"/>
                <w:color w:val="C00000"/>
                <w:sz w:val="18"/>
                <w:szCs w:val="18"/>
              </w:rPr>
            </w:pPr>
            <w:r w:rsidRPr="00565CC0">
              <w:rPr>
                <w:color w:val="C00000"/>
                <w:sz w:val="18"/>
                <w:szCs w:val="18"/>
              </w:rPr>
              <w:t>5,475</w:t>
            </w:r>
          </w:p>
        </w:tc>
        <w:tc>
          <w:tcPr>
            <w:tcW w:w="1230" w:type="dxa"/>
            <w:tcBorders>
              <w:top w:val="nil"/>
              <w:left w:val="nil"/>
              <w:bottom w:val="single" w:sz="4" w:space="0" w:color="BFBFBF"/>
              <w:right w:val="single" w:sz="4" w:space="0" w:color="BFBFBF"/>
            </w:tcBorders>
            <w:shd w:val="clear" w:color="000000" w:fill="F2F2F2"/>
            <w:noWrap/>
            <w:vAlign w:val="center"/>
            <w:hideMark/>
          </w:tcPr>
          <w:p w14:paraId="798ACE72" w14:textId="624AF1D1" w:rsidR="00884E53" w:rsidRPr="00565CC0" w:rsidRDefault="00884E53" w:rsidP="00884E53">
            <w:pPr>
              <w:jc w:val="right"/>
              <w:rPr>
                <w:rFonts w:eastAsia="Times New Roman"/>
                <w:color w:val="C00000"/>
                <w:sz w:val="18"/>
                <w:szCs w:val="18"/>
              </w:rPr>
            </w:pPr>
            <w:r w:rsidRPr="00565CC0">
              <w:rPr>
                <w:color w:val="C00000"/>
                <w:sz w:val="18"/>
                <w:szCs w:val="18"/>
              </w:rPr>
              <w:t>1,350</w:t>
            </w:r>
          </w:p>
        </w:tc>
        <w:tc>
          <w:tcPr>
            <w:tcW w:w="1230" w:type="dxa"/>
            <w:tcBorders>
              <w:top w:val="nil"/>
              <w:left w:val="nil"/>
              <w:bottom w:val="single" w:sz="4" w:space="0" w:color="BFBFBF"/>
              <w:right w:val="single" w:sz="4" w:space="0" w:color="BFBFBF"/>
            </w:tcBorders>
            <w:shd w:val="clear" w:color="000000" w:fill="F2F2F2"/>
            <w:noWrap/>
            <w:vAlign w:val="center"/>
            <w:hideMark/>
          </w:tcPr>
          <w:p w14:paraId="5D1EF49B" w14:textId="5B86A467" w:rsidR="00884E53" w:rsidRPr="00565CC0" w:rsidRDefault="00884E53" w:rsidP="00884E53">
            <w:pPr>
              <w:jc w:val="right"/>
              <w:rPr>
                <w:rFonts w:eastAsia="Times New Roman"/>
                <w:color w:val="C00000"/>
                <w:sz w:val="18"/>
                <w:szCs w:val="18"/>
              </w:rPr>
            </w:pPr>
            <w:r w:rsidRPr="00565CC0">
              <w:rPr>
                <w:color w:val="C00000"/>
                <w:sz w:val="18"/>
                <w:szCs w:val="18"/>
              </w:rPr>
              <w:t>2,</w:t>
            </w:r>
            <w:r w:rsidR="00AE4876" w:rsidRPr="00565CC0">
              <w:rPr>
                <w:color w:val="C00000"/>
                <w:sz w:val="18"/>
                <w:szCs w:val="18"/>
              </w:rPr>
              <w:t>665</w:t>
            </w:r>
          </w:p>
        </w:tc>
        <w:tc>
          <w:tcPr>
            <w:tcW w:w="1230" w:type="dxa"/>
            <w:tcBorders>
              <w:top w:val="nil"/>
              <w:left w:val="nil"/>
              <w:bottom w:val="single" w:sz="4" w:space="0" w:color="BFBFBF"/>
              <w:right w:val="single" w:sz="4" w:space="0" w:color="BFBFBF"/>
            </w:tcBorders>
            <w:shd w:val="clear" w:color="000000" w:fill="F2F2F2"/>
            <w:noWrap/>
            <w:vAlign w:val="center"/>
            <w:hideMark/>
          </w:tcPr>
          <w:p w14:paraId="079ACEA1" w14:textId="4AFD509C" w:rsidR="00884E53" w:rsidRPr="00565CC0" w:rsidRDefault="00AE4876" w:rsidP="00884E53">
            <w:pPr>
              <w:jc w:val="right"/>
              <w:rPr>
                <w:rFonts w:eastAsia="Times New Roman"/>
                <w:color w:val="C00000"/>
                <w:sz w:val="18"/>
                <w:szCs w:val="18"/>
              </w:rPr>
            </w:pPr>
            <w:r w:rsidRPr="00565CC0">
              <w:rPr>
                <w:color w:val="C00000"/>
                <w:sz w:val="18"/>
                <w:szCs w:val="18"/>
              </w:rPr>
              <w:t>870</w:t>
            </w:r>
          </w:p>
        </w:tc>
        <w:tc>
          <w:tcPr>
            <w:tcW w:w="1230" w:type="dxa"/>
            <w:tcBorders>
              <w:top w:val="nil"/>
              <w:left w:val="nil"/>
              <w:bottom w:val="single" w:sz="4" w:space="0" w:color="BFBFBF"/>
              <w:right w:val="single" w:sz="4" w:space="0" w:color="BFBFBF"/>
            </w:tcBorders>
            <w:shd w:val="clear" w:color="000000" w:fill="F2F2F2"/>
            <w:noWrap/>
            <w:vAlign w:val="center"/>
            <w:hideMark/>
          </w:tcPr>
          <w:p w14:paraId="58F5B4AD" w14:textId="6B63A612" w:rsidR="00884E53" w:rsidRPr="00565CC0" w:rsidRDefault="00AE4876" w:rsidP="00884E53">
            <w:pPr>
              <w:jc w:val="right"/>
              <w:rPr>
                <w:rFonts w:eastAsia="Times New Roman"/>
                <w:color w:val="C00000"/>
                <w:sz w:val="18"/>
                <w:szCs w:val="18"/>
              </w:rPr>
            </w:pPr>
            <w:r w:rsidRPr="00565CC0">
              <w:rPr>
                <w:color w:val="C00000"/>
                <w:sz w:val="18"/>
                <w:szCs w:val="18"/>
              </w:rPr>
              <w:t>355</w:t>
            </w:r>
          </w:p>
        </w:tc>
        <w:tc>
          <w:tcPr>
            <w:tcW w:w="1230" w:type="dxa"/>
            <w:tcBorders>
              <w:top w:val="nil"/>
              <w:left w:val="nil"/>
              <w:bottom w:val="single" w:sz="4" w:space="0" w:color="BFBFBF"/>
              <w:right w:val="single" w:sz="4" w:space="0" w:color="auto"/>
            </w:tcBorders>
            <w:shd w:val="clear" w:color="000000" w:fill="F2F2F2"/>
            <w:noWrap/>
            <w:vAlign w:val="center"/>
            <w:hideMark/>
          </w:tcPr>
          <w:p w14:paraId="652147E8" w14:textId="00CF4DE1" w:rsidR="00884E53" w:rsidRPr="00565CC0" w:rsidRDefault="00AE4876" w:rsidP="00884E53">
            <w:pPr>
              <w:jc w:val="right"/>
              <w:rPr>
                <w:rFonts w:eastAsia="Times New Roman"/>
                <w:color w:val="C00000"/>
                <w:sz w:val="18"/>
                <w:szCs w:val="18"/>
              </w:rPr>
            </w:pPr>
            <w:r w:rsidRPr="00565CC0">
              <w:rPr>
                <w:color w:val="C00000"/>
                <w:sz w:val="18"/>
                <w:szCs w:val="18"/>
              </w:rPr>
              <w:t>235</w:t>
            </w:r>
          </w:p>
        </w:tc>
      </w:tr>
      <w:tr w:rsidR="00884E53" w:rsidRPr="00884E53" w14:paraId="5DF7542D" w14:textId="77777777" w:rsidTr="00884E53">
        <w:trPr>
          <w:trHeight w:val="402"/>
        </w:trPr>
        <w:tc>
          <w:tcPr>
            <w:tcW w:w="1975" w:type="dxa"/>
            <w:tcBorders>
              <w:top w:val="nil"/>
              <w:left w:val="single" w:sz="4" w:space="0" w:color="auto"/>
              <w:bottom w:val="single" w:sz="4" w:space="0" w:color="auto"/>
              <w:right w:val="single" w:sz="4" w:space="0" w:color="BFBFBF"/>
            </w:tcBorders>
            <w:noWrap/>
            <w:vAlign w:val="center"/>
            <w:hideMark/>
          </w:tcPr>
          <w:p w14:paraId="01F8526D" w14:textId="77777777" w:rsidR="00884E53" w:rsidRPr="00884E53" w:rsidRDefault="00884E53" w:rsidP="00884E53">
            <w:pPr>
              <w:rPr>
                <w:rFonts w:eastAsia="Times New Roman"/>
                <w:color w:val="000000"/>
                <w:sz w:val="18"/>
                <w:szCs w:val="18"/>
              </w:rPr>
            </w:pPr>
            <w:r w:rsidRPr="00884E53">
              <w:rPr>
                <w:rFonts w:eastAsia="Times New Roman"/>
                <w:color w:val="000000"/>
                <w:sz w:val="18"/>
                <w:szCs w:val="18"/>
              </w:rPr>
              <w:lastRenderedPageBreak/>
              <w:t>High</w:t>
            </w:r>
          </w:p>
        </w:tc>
        <w:tc>
          <w:tcPr>
            <w:tcW w:w="1230" w:type="dxa"/>
            <w:tcBorders>
              <w:top w:val="nil"/>
              <w:left w:val="single" w:sz="4" w:space="0" w:color="auto"/>
              <w:bottom w:val="single" w:sz="4" w:space="0" w:color="auto"/>
              <w:right w:val="single" w:sz="4" w:space="0" w:color="auto"/>
            </w:tcBorders>
            <w:noWrap/>
            <w:vAlign w:val="center"/>
            <w:hideMark/>
          </w:tcPr>
          <w:p w14:paraId="2E7EC01E" w14:textId="7EFD9455" w:rsidR="00884E53" w:rsidRPr="00565CC0" w:rsidRDefault="00AE4876" w:rsidP="00884E53">
            <w:pPr>
              <w:jc w:val="right"/>
              <w:rPr>
                <w:rFonts w:eastAsia="Times New Roman"/>
                <w:color w:val="C00000"/>
                <w:sz w:val="18"/>
                <w:szCs w:val="18"/>
              </w:rPr>
            </w:pPr>
            <w:r w:rsidRPr="00565CC0">
              <w:rPr>
                <w:color w:val="C00000"/>
                <w:sz w:val="18"/>
                <w:szCs w:val="18"/>
              </w:rPr>
              <w:t>10,990</w:t>
            </w:r>
          </w:p>
        </w:tc>
        <w:tc>
          <w:tcPr>
            <w:tcW w:w="1230" w:type="dxa"/>
            <w:tcBorders>
              <w:top w:val="nil"/>
              <w:left w:val="nil"/>
              <w:bottom w:val="single" w:sz="4" w:space="0" w:color="auto"/>
              <w:right w:val="single" w:sz="4" w:space="0" w:color="BFBFBF"/>
            </w:tcBorders>
            <w:noWrap/>
            <w:vAlign w:val="center"/>
            <w:hideMark/>
          </w:tcPr>
          <w:p w14:paraId="4F9D124C" w14:textId="1DAAFAB5" w:rsidR="00884E53" w:rsidRPr="00565CC0" w:rsidRDefault="00884E53" w:rsidP="00884E53">
            <w:pPr>
              <w:jc w:val="right"/>
              <w:rPr>
                <w:rFonts w:eastAsia="Times New Roman"/>
                <w:color w:val="C00000"/>
                <w:sz w:val="18"/>
                <w:szCs w:val="18"/>
              </w:rPr>
            </w:pPr>
            <w:r w:rsidRPr="00565CC0">
              <w:rPr>
                <w:color w:val="C00000"/>
                <w:sz w:val="18"/>
                <w:szCs w:val="18"/>
              </w:rPr>
              <w:t>785</w:t>
            </w:r>
          </w:p>
        </w:tc>
        <w:tc>
          <w:tcPr>
            <w:tcW w:w="1230" w:type="dxa"/>
            <w:tcBorders>
              <w:top w:val="nil"/>
              <w:left w:val="nil"/>
              <w:bottom w:val="single" w:sz="4" w:space="0" w:color="auto"/>
              <w:right w:val="single" w:sz="4" w:space="0" w:color="BFBFBF"/>
            </w:tcBorders>
            <w:noWrap/>
            <w:vAlign w:val="center"/>
            <w:hideMark/>
          </w:tcPr>
          <w:p w14:paraId="57D3BE75" w14:textId="6E1FB50F" w:rsidR="00884E53" w:rsidRPr="00565CC0" w:rsidRDefault="00AE4876" w:rsidP="00884E53">
            <w:pPr>
              <w:jc w:val="right"/>
              <w:rPr>
                <w:rFonts w:eastAsia="Times New Roman"/>
                <w:color w:val="C00000"/>
                <w:sz w:val="18"/>
                <w:szCs w:val="18"/>
              </w:rPr>
            </w:pPr>
            <w:r w:rsidRPr="00565CC0">
              <w:rPr>
                <w:color w:val="C00000"/>
                <w:sz w:val="18"/>
                <w:szCs w:val="18"/>
              </w:rPr>
              <w:t>4,690</w:t>
            </w:r>
          </w:p>
        </w:tc>
        <w:tc>
          <w:tcPr>
            <w:tcW w:w="1230" w:type="dxa"/>
            <w:tcBorders>
              <w:top w:val="nil"/>
              <w:left w:val="nil"/>
              <w:bottom w:val="single" w:sz="4" w:space="0" w:color="auto"/>
              <w:right w:val="single" w:sz="4" w:space="0" w:color="BFBFBF"/>
            </w:tcBorders>
            <w:noWrap/>
            <w:vAlign w:val="center"/>
            <w:hideMark/>
          </w:tcPr>
          <w:p w14:paraId="713E67F7" w14:textId="1C67C5AA" w:rsidR="00884E53" w:rsidRPr="00565CC0" w:rsidRDefault="00884E53" w:rsidP="00884E53">
            <w:pPr>
              <w:jc w:val="right"/>
              <w:rPr>
                <w:rFonts w:eastAsia="Times New Roman"/>
                <w:color w:val="C00000"/>
                <w:sz w:val="18"/>
                <w:szCs w:val="18"/>
              </w:rPr>
            </w:pPr>
            <w:r w:rsidRPr="00565CC0">
              <w:rPr>
                <w:color w:val="C00000"/>
                <w:sz w:val="18"/>
                <w:szCs w:val="18"/>
              </w:rPr>
              <w:t>2,</w:t>
            </w:r>
            <w:r w:rsidR="00AE4876" w:rsidRPr="00565CC0">
              <w:rPr>
                <w:color w:val="C00000"/>
                <w:sz w:val="18"/>
                <w:szCs w:val="18"/>
              </w:rPr>
              <w:t>310</w:t>
            </w:r>
          </w:p>
        </w:tc>
        <w:tc>
          <w:tcPr>
            <w:tcW w:w="1230" w:type="dxa"/>
            <w:tcBorders>
              <w:top w:val="nil"/>
              <w:left w:val="nil"/>
              <w:bottom w:val="single" w:sz="4" w:space="0" w:color="auto"/>
              <w:right w:val="single" w:sz="4" w:space="0" w:color="BFBFBF"/>
            </w:tcBorders>
            <w:noWrap/>
            <w:vAlign w:val="center"/>
            <w:hideMark/>
          </w:tcPr>
          <w:p w14:paraId="02276A4B" w14:textId="07DA71FB" w:rsidR="00884E53" w:rsidRPr="00565CC0" w:rsidRDefault="00AE4876" w:rsidP="00884E53">
            <w:pPr>
              <w:jc w:val="right"/>
              <w:rPr>
                <w:rFonts w:eastAsia="Times New Roman"/>
                <w:color w:val="C00000"/>
                <w:sz w:val="18"/>
                <w:szCs w:val="18"/>
              </w:rPr>
            </w:pPr>
            <w:r w:rsidRPr="00565CC0">
              <w:rPr>
                <w:color w:val="C00000"/>
                <w:sz w:val="18"/>
                <w:szCs w:val="18"/>
              </w:rPr>
              <w:t>2,105</w:t>
            </w:r>
          </w:p>
        </w:tc>
        <w:tc>
          <w:tcPr>
            <w:tcW w:w="1230" w:type="dxa"/>
            <w:tcBorders>
              <w:top w:val="nil"/>
              <w:left w:val="nil"/>
              <w:bottom w:val="single" w:sz="4" w:space="0" w:color="auto"/>
              <w:right w:val="single" w:sz="4" w:space="0" w:color="auto"/>
            </w:tcBorders>
            <w:noWrap/>
            <w:vAlign w:val="center"/>
            <w:hideMark/>
          </w:tcPr>
          <w:p w14:paraId="3D256097" w14:textId="33BE483F" w:rsidR="00884E53" w:rsidRPr="00565CC0" w:rsidRDefault="00884E53" w:rsidP="00884E53">
            <w:pPr>
              <w:jc w:val="right"/>
              <w:rPr>
                <w:rFonts w:eastAsia="Times New Roman"/>
                <w:color w:val="C00000"/>
                <w:sz w:val="18"/>
                <w:szCs w:val="18"/>
              </w:rPr>
            </w:pPr>
            <w:r w:rsidRPr="00565CC0">
              <w:rPr>
                <w:color w:val="C00000"/>
                <w:sz w:val="18"/>
                <w:szCs w:val="18"/>
              </w:rPr>
              <w:t>1,</w:t>
            </w:r>
            <w:r w:rsidR="00AE4876" w:rsidRPr="00565CC0">
              <w:rPr>
                <w:color w:val="C00000"/>
                <w:sz w:val="18"/>
                <w:szCs w:val="18"/>
              </w:rPr>
              <w:t>100</w:t>
            </w:r>
          </w:p>
        </w:tc>
      </w:tr>
    </w:tbl>
    <w:p w14:paraId="46D89B5A" w14:textId="77777777" w:rsidR="00767079" w:rsidRDefault="00767079" w:rsidP="00767079">
      <w:pPr>
        <w:pStyle w:val="Source"/>
      </w:pPr>
      <w:r>
        <w:t>Source: methodology available in the HNA Blueprint Methodology – Projection document</w:t>
      </w:r>
    </w:p>
    <w:p w14:paraId="41D3BC5C" w14:textId="77777777" w:rsidR="00C1236C" w:rsidRDefault="00C1236C"/>
    <w:p w14:paraId="0A162BBE" w14:textId="644C4058" w:rsidR="008421E0" w:rsidRDefault="008421E0" w:rsidP="008421E0">
      <w:pPr>
        <w:jc w:val="both"/>
      </w:pPr>
      <w:r>
        <w:t xml:space="preserve">The intersection of very </w:t>
      </w:r>
      <w:r w:rsidR="00055EBB">
        <w:t xml:space="preserve">low- and </w:t>
      </w:r>
      <w:r w:rsidR="005E6C37">
        <w:t>low-</w:t>
      </w:r>
      <w:r>
        <w:t>income categories with smaller household sizes</w:t>
      </w:r>
      <w:r w:rsidR="0030366A">
        <w:t xml:space="preserve"> (</w:t>
      </w:r>
      <w:r>
        <w:t>particularly</w:t>
      </w:r>
      <w:r w:rsidR="0030366A">
        <w:t>,</w:t>
      </w:r>
      <w:r>
        <w:t xml:space="preserve"> one- and two-person households</w:t>
      </w:r>
      <w:r w:rsidR="0030366A">
        <w:t>)</w:t>
      </w:r>
      <w:r>
        <w:t>, represents the core of unmet housing need in most communities</w:t>
      </w:r>
      <w:r w:rsidR="0030366A">
        <w:t>; h</w:t>
      </w:r>
      <w:r>
        <w:t>ouseholds for whom market-rate housing is financially inaccessible and for whom purpose-built affordable or subsidized supply is the primary viable option. High-income demand concentrated in larger household sizes reflects the segment the private market will serve most readily. Moderate-income demand distributed across household sizes points to a potential "missing middle" challenge, where household incomes are too high for subsidy eligibility but too low to comfortably afford market prices, and for whom below-market options or alternative housing forms may be most appropriate.</w:t>
      </w:r>
    </w:p>
    <w:p w14:paraId="08885B34" w14:textId="77777777" w:rsidR="008421E0" w:rsidRDefault="008421E0" w:rsidP="008421E0">
      <w:pPr>
        <w:jc w:val="both"/>
      </w:pPr>
    </w:p>
    <w:p w14:paraId="70856B20" w14:textId="0F98D265" w:rsidR="0059791A" w:rsidRPr="0069385A" w:rsidRDefault="008421E0" w:rsidP="008421E0">
      <w:pPr>
        <w:jc w:val="both"/>
      </w:pPr>
      <w:r>
        <w:t>An important signal is the ratio of low-income to high-income demand; specifically, where low-income demand represents a disproportionately large share of total projected need relative to the current affordable share of the rental market.</w:t>
      </w:r>
    </w:p>
    <w:p w14:paraId="04CCD074" w14:textId="77777777" w:rsidR="005C171C" w:rsidRDefault="005C171C">
      <w:pPr>
        <w:rPr>
          <w:b/>
          <w:bCs/>
          <w:color w:val="CFD9E3" w:themeColor="accent1"/>
          <w:sz w:val="26"/>
          <w:szCs w:val="26"/>
        </w:rPr>
      </w:pPr>
      <w:r>
        <w:br w:type="page"/>
      </w:r>
    </w:p>
    <w:p w14:paraId="192A5212" w14:textId="31623351" w:rsidR="005C171C" w:rsidRDefault="005C171C" w:rsidP="005C171C">
      <w:pPr>
        <w:pStyle w:val="Heading1"/>
      </w:pPr>
      <w:bookmarkStart w:id="94" w:name="_Toc223686657"/>
      <w:bookmarkStart w:id="95" w:name="_Toc237355955"/>
      <w:r>
        <w:lastRenderedPageBreak/>
        <w:t xml:space="preserve">ADDITIONAL </w:t>
      </w:r>
      <w:r w:rsidR="00BD3F62">
        <w:t>MODULES</w:t>
      </w:r>
      <w:bookmarkEnd w:id="94"/>
      <w:bookmarkEnd w:id="95"/>
    </w:p>
    <w:p w14:paraId="793FD20C" w14:textId="4065B700" w:rsidR="00C1236C" w:rsidRPr="0069385A" w:rsidRDefault="00C1236C" w:rsidP="00C1236C">
      <w:pPr>
        <w:pStyle w:val="Heading2"/>
      </w:pPr>
      <w:bookmarkStart w:id="96" w:name="_Toc223686658"/>
      <w:bookmarkStart w:id="97" w:name="_Toc237355956"/>
      <w:r w:rsidRPr="0069385A">
        <w:t>REGIONAL INTEGRATION</w:t>
      </w:r>
      <w:bookmarkEnd w:id="96"/>
      <w:bookmarkEnd w:id="97"/>
    </w:p>
    <w:p w14:paraId="584A8C8E" w14:textId="13DC83C6" w:rsidR="00C83C2B" w:rsidRDefault="007D1B06" w:rsidP="00337CED">
      <w:pPr>
        <w:jc w:val="both"/>
      </w:pPr>
      <w:r w:rsidRPr="0069385A">
        <w:rPr>
          <w:rStyle w:val="Figure-textChar"/>
        </w:rPr>
        <w:fldChar w:fldCharType="begin"/>
      </w:r>
      <w:r w:rsidRPr="0069385A">
        <w:rPr>
          <w:rStyle w:val="Figure-textChar"/>
        </w:rPr>
        <w:instrText xml:space="preserve"> REF _Ref223426828 \h  \* MERGEFORMAT </w:instrText>
      </w:r>
      <w:r w:rsidRPr="0069385A">
        <w:rPr>
          <w:rStyle w:val="Figure-textChar"/>
        </w:rPr>
      </w:r>
      <w:r w:rsidRPr="0069385A">
        <w:rPr>
          <w:rStyle w:val="Figure-textChar"/>
        </w:rPr>
        <w:fldChar w:fldCharType="separate"/>
      </w:r>
      <w:r w:rsidR="00CA6116" w:rsidRPr="00CA6116">
        <w:rPr>
          <w:rStyle w:val="Figure-textChar"/>
        </w:rPr>
        <w:t>Table 9.1</w:t>
      </w:r>
      <w:r w:rsidRPr="0069385A">
        <w:rPr>
          <w:rStyle w:val="Figure-textChar"/>
        </w:rPr>
        <w:fldChar w:fldCharType="end"/>
      </w:r>
      <w:r w:rsidRPr="0069385A">
        <w:t xml:space="preserve"> </w:t>
      </w:r>
      <w:r w:rsidR="0071317E" w:rsidRPr="0069385A">
        <w:t>estimates the inward and outward housing demand pressures acting on the local community from surrounding municipalities within its regional employment area, reflecting the affordability and employment ties that cause households to seek housing across municipal boundaries.</w:t>
      </w:r>
    </w:p>
    <w:p w14:paraId="0F697EDF" w14:textId="77777777" w:rsidR="00B246C8" w:rsidRPr="0069385A" w:rsidRDefault="00B246C8" w:rsidP="00337CED">
      <w:pPr>
        <w:jc w:val="both"/>
      </w:pPr>
    </w:p>
    <w:p w14:paraId="3836ABB6" w14:textId="2BDA20EF" w:rsidR="00B246C8" w:rsidRDefault="00B246C8" w:rsidP="00B246C8">
      <w:pPr>
        <w:jc w:val="both"/>
      </w:pPr>
      <w:r w:rsidRPr="004E009D">
        <w:t xml:space="preserve">A </w:t>
      </w:r>
      <w:r w:rsidR="006D511E" w:rsidRPr="0069385A">
        <w:t>net positive local demand pressure signals that</w:t>
      </w:r>
      <w:r w:rsidR="00E70221" w:rsidRPr="0069385A">
        <w:t xml:space="preserve"> the local community </w:t>
      </w:r>
      <w:r w:rsidR="003E328B" w:rsidRPr="0069385A">
        <w:t>may be subject to increased demand (independent</w:t>
      </w:r>
      <w:r w:rsidR="003E328B">
        <w:t xml:space="preserve"> of local demographic projections) from neighbouring communities should the</w:t>
      </w:r>
      <w:r>
        <w:t xml:space="preserve"> local housing supply increase and/or prices become more affordable.</w:t>
      </w:r>
      <w:r w:rsidRPr="004E009D">
        <w:t xml:space="preserve"> </w:t>
      </w:r>
      <w:r>
        <w:t>In other words, the local market at present is either too expensive or undersupplied (or both) relative to its neighbours, and so households choose to commute</w:t>
      </w:r>
      <w:r w:rsidR="00265A2A">
        <w:t xml:space="preserve"> </w:t>
      </w:r>
      <w:r w:rsidR="009537B8">
        <w:t xml:space="preserve">further </w:t>
      </w:r>
      <w:r w:rsidR="00265A2A">
        <w:t>to their employment</w:t>
      </w:r>
      <w:r>
        <w:t xml:space="preserve"> i</w:t>
      </w:r>
      <w:r w:rsidR="00265A2A">
        <w:t>n response.</w:t>
      </w:r>
    </w:p>
    <w:p w14:paraId="64EFE3AD" w14:textId="77777777" w:rsidR="007D1B06" w:rsidRDefault="007D1B06" w:rsidP="00C1236C"/>
    <w:p w14:paraId="330BABDD" w14:textId="31012075" w:rsidR="003C6646" w:rsidRDefault="003C6646" w:rsidP="003C6646">
      <w:pPr>
        <w:pStyle w:val="Caption"/>
      </w:pPr>
      <w:bookmarkStart w:id="98" w:name="_Ref223426828"/>
      <w:r>
        <w:t xml:space="preserve">Table </w:t>
      </w:r>
      <w:fldSimple w:instr=" STYLEREF 1 \s ">
        <w:r w:rsidR="005E459C">
          <w:rPr>
            <w:noProof/>
          </w:rPr>
          <w:t>9</w:t>
        </w:r>
      </w:fldSimple>
      <w:r w:rsidR="00BD4359">
        <w:t>.</w:t>
      </w:r>
      <w:fldSimple w:instr=" SEQ Table \* ARABIC \s 1 ">
        <w:r w:rsidR="005E459C">
          <w:rPr>
            <w:noProof/>
          </w:rPr>
          <w:t>1</w:t>
        </w:r>
      </w:fldSimple>
      <w:bookmarkEnd w:id="98"/>
      <w:r>
        <w:t xml:space="preserve">: </w:t>
      </w:r>
      <w:r w:rsidR="009F3B85">
        <w:t>N</w:t>
      </w:r>
      <w:r w:rsidR="00EA7516">
        <w:t xml:space="preserve">et change to demand based on </w:t>
      </w:r>
      <w:r w:rsidR="009F3B85">
        <w:t xml:space="preserve">the </w:t>
      </w:r>
      <w:r w:rsidR="00EA7516">
        <w:t>integration of communities tied economically (via employment</w:t>
      </w:r>
      <w:r w:rsidR="00D314AF">
        <w:t xml:space="preserve"> and affordability</w:t>
      </w:r>
      <w:r w:rsidR="00EA7516">
        <w:t>)</w:t>
      </w:r>
      <w:r w:rsidR="009F3B85">
        <w:t>, 2021</w:t>
      </w:r>
      <w:r w:rsidR="00D314AF">
        <w:t xml:space="preserve"> estimates</w:t>
      </w:r>
    </w:p>
    <w:tbl>
      <w:tblPr>
        <w:tblW w:w="9350" w:type="dxa"/>
        <w:tblLayout w:type="fixed"/>
        <w:tblLook w:val="04A0" w:firstRow="1" w:lastRow="0" w:firstColumn="1" w:lastColumn="0" w:noHBand="0" w:noVBand="1"/>
      </w:tblPr>
      <w:tblGrid>
        <w:gridCol w:w="5660"/>
        <w:gridCol w:w="1230"/>
        <w:gridCol w:w="1230"/>
        <w:gridCol w:w="1230"/>
      </w:tblGrid>
      <w:tr w:rsidR="00C83C2B" w:rsidRPr="00C83C2B" w14:paraId="6BF03F17" w14:textId="77777777" w:rsidTr="003C59F9">
        <w:trPr>
          <w:trHeight w:val="512"/>
        </w:trPr>
        <w:tc>
          <w:tcPr>
            <w:tcW w:w="566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60EA630F" w14:textId="7BA9B747" w:rsidR="00C83C2B" w:rsidRPr="00C83C2B" w:rsidRDefault="009B7CD4" w:rsidP="00C83C2B">
            <w:pPr>
              <w:rPr>
                <w:rFonts w:eastAsia="Times New Roman"/>
                <w:color w:val="FFFFFF"/>
                <w:sz w:val="18"/>
                <w:szCs w:val="18"/>
              </w:rPr>
            </w:pPr>
            <w:r w:rsidRPr="009B7CD4">
              <w:rPr>
                <w:rFonts w:eastAsia="Times New Roman"/>
                <w:color w:val="FFFFFF"/>
                <w:sz w:val="18"/>
                <w:szCs w:val="18"/>
              </w:rPr>
              <w:t> </w:t>
            </w:r>
            <w:r w:rsidR="003C6646">
              <w:rPr>
                <w:rFonts w:eastAsia="Times New Roman"/>
                <w:color w:val="FFFFFF"/>
                <w:sz w:val="18"/>
                <w:szCs w:val="18"/>
              </w:rPr>
              <w:t>In</w:t>
            </w:r>
            <w:r w:rsidR="00233E41">
              <w:rPr>
                <w:rFonts w:eastAsia="Times New Roman"/>
                <w:color w:val="FFFFFF"/>
                <w:sz w:val="18"/>
                <w:szCs w:val="18"/>
              </w:rPr>
              <w:t>ward</w:t>
            </w:r>
            <w:r w:rsidR="003C6646">
              <w:rPr>
                <w:rFonts w:eastAsia="Times New Roman"/>
                <w:color w:val="FFFFFF"/>
                <w:sz w:val="18"/>
                <w:szCs w:val="18"/>
              </w:rPr>
              <w:t xml:space="preserve"> and out</w:t>
            </w:r>
            <w:r w:rsidR="00233E41">
              <w:rPr>
                <w:rFonts w:eastAsia="Times New Roman"/>
                <w:color w:val="FFFFFF"/>
                <w:sz w:val="18"/>
                <w:szCs w:val="18"/>
              </w:rPr>
              <w:t>ward</w:t>
            </w:r>
            <w:r w:rsidR="003C6646">
              <w:rPr>
                <w:rFonts w:eastAsia="Times New Roman"/>
                <w:color w:val="FFFFFF"/>
                <w:sz w:val="18"/>
                <w:szCs w:val="18"/>
              </w:rPr>
              <w:t xml:space="preserve"> household demand</w:t>
            </w:r>
            <w:r w:rsidR="00233E41">
              <w:rPr>
                <w:rFonts w:eastAsia="Times New Roman"/>
                <w:color w:val="FFFFFF"/>
                <w:sz w:val="18"/>
                <w:szCs w:val="18"/>
              </w:rPr>
              <w:t xml:space="preserve"> pressures</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AE716F6" w14:textId="77777777" w:rsidR="00C83C2B" w:rsidRPr="00C83C2B" w:rsidRDefault="00C83C2B" w:rsidP="00C83C2B">
            <w:pPr>
              <w:jc w:val="right"/>
              <w:rPr>
                <w:rFonts w:eastAsia="Times New Roman"/>
                <w:color w:val="FFFFFF"/>
                <w:sz w:val="18"/>
                <w:szCs w:val="18"/>
              </w:rPr>
            </w:pPr>
            <w:r w:rsidRPr="00C83C2B">
              <w:rPr>
                <w:rFonts w:eastAsia="Times New Roman"/>
                <w:color w:val="FFFFFF"/>
                <w:sz w:val="18"/>
                <w:szCs w:val="18"/>
              </w:rPr>
              <w:t>Total communities</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E688D0C" w14:textId="77777777" w:rsidR="00C83C2B" w:rsidRPr="00C83C2B" w:rsidRDefault="00C83C2B" w:rsidP="00C83C2B">
            <w:pPr>
              <w:jc w:val="right"/>
              <w:rPr>
                <w:rFonts w:eastAsia="Times New Roman"/>
                <w:color w:val="FFFFFF"/>
                <w:sz w:val="18"/>
                <w:szCs w:val="18"/>
              </w:rPr>
            </w:pPr>
            <w:r w:rsidRPr="00C83C2B">
              <w:rPr>
                <w:rFonts w:eastAsia="Times New Roman"/>
                <w:color w:val="FFFFFF"/>
                <w:sz w:val="18"/>
                <w:szCs w:val="18"/>
              </w:rPr>
              <w:t>Total households</w:t>
            </w:r>
          </w:p>
        </w:tc>
        <w:tc>
          <w:tcPr>
            <w:tcW w:w="123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BF7C93E" w14:textId="77777777" w:rsidR="00C83C2B" w:rsidRPr="00C83C2B" w:rsidRDefault="00C83C2B" w:rsidP="00C83C2B">
            <w:pPr>
              <w:jc w:val="right"/>
              <w:rPr>
                <w:rFonts w:eastAsia="Times New Roman"/>
                <w:color w:val="FFFFFF"/>
                <w:sz w:val="18"/>
                <w:szCs w:val="18"/>
              </w:rPr>
            </w:pPr>
            <w:r w:rsidRPr="00C83C2B">
              <w:rPr>
                <w:rFonts w:eastAsia="Times New Roman"/>
                <w:color w:val="FFFFFF"/>
                <w:sz w:val="18"/>
                <w:szCs w:val="18"/>
              </w:rPr>
              <w:t>Total dwellings</w:t>
            </w:r>
          </w:p>
        </w:tc>
      </w:tr>
      <w:tr w:rsidR="00C83C2B" w:rsidRPr="00C83C2B" w14:paraId="5F56C84D" w14:textId="77777777" w:rsidTr="00C83C2B">
        <w:trPr>
          <w:trHeight w:val="402"/>
        </w:trPr>
        <w:tc>
          <w:tcPr>
            <w:tcW w:w="5660" w:type="dxa"/>
            <w:tcBorders>
              <w:top w:val="nil"/>
              <w:left w:val="single" w:sz="4" w:space="0" w:color="auto"/>
              <w:bottom w:val="single" w:sz="4" w:space="0" w:color="BFBFBF"/>
              <w:right w:val="single" w:sz="4" w:space="0" w:color="auto"/>
            </w:tcBorders>
            <w:shd w:val="clear" w:color="000000" w:fill="F2F2F2"/>
            <w:noWrap/>
            <w:vAlign w:val="center"/>
            <w:hideMark/>
          </w:tcPr>
          <w:p w14:paraId="7AB14106" w14:textId="464AF6F2" w:rsidR="00C83C2B" w:rsidRPr="00C83C2B" w:rsidRDefault="00654F41" w:rsidP="00C83C2B">
            <w:pPr>
              <w:rPr>
                <w:rFonts w:eastAsia="Times New Roman"/>
                <w:color w:val="000000"/>
                <w:sz w:val="18"/>
                <w:szCs w:val="18"/>
              </w:rPr>
            </w:pPr>
            <w:r>
              <w:rPr>
                <w:rFonts w:eastAsia="Times New Roman"/>
                <w:color w:val="000000"/>
                <w:sz w:val="18"/>
                <w:szCs w:val="18"/>
              </w:rPr>
              <w:t>Inward</w:t>
            </w:r>
            <w:r w:rsidR="009B7CD4" w:rsidRPr="009B7CD4">
              <w:rPr>
                <w:rFonts w:eastAsia="Times New Roman"/>
                <w:color w:val="000000"/>
                <w:sz w:val="18"/>
                <w:szCs w:val="18"/>
              </w:rPr>
              <w:t xml:space="preserve"> </w:t>
            </w:r>
            <w:r w:rsidR="005E1ED7">
              <w:rPr>
                <w:rFonts w:eastAsia="Times New Roman"/>
                <w:color w:val="000000"/>
                <w:sz w:val="18"/>
                <w:szCs w:val="18"/>
              </w:rPr>
              <w:t>pressure</w:t>
            </w:r>
            <w:r w:rsidR="00C83C2B" w:rsidRPr="00C83C2B">
              <w:rPr>
                <w:rFonts w:eastAsia="Times New Roman"/>
                <w:color w:val="000000"/>
                <w:sz w:val="18"/>
                <w:szCs w:val="18"/>
              </w:rPr>
              <w:t xml:space="preserve"> from within regional employment area</w:t>
            </w:r>
          </w:p>
        </w:tc>
        <w:tc>
          <w:tcPr>
            <w:tcW w:w="1230" w:type="dxa"/>
            <w:tcBorders>
              <w:top w:val="nil"/>
              <w:left w:val="nil"/>
              <w:bottom w:val="single" w:sz="4" w:space="0" w:color="BFBFBF"/>
              <w:right w:val="single" w:sz="4" w:space="0" w:color="BFBFBF"/>
            </w:tcBorders>
            <w:shd w:val="clear" w:color="000000" w:fill="F2F2F2"/>
            <w:noWrap/>
            <w:vAlign w:val="center"/>
            <w:hideMark/>
          </w:tcPr>
          <w:p w14:paraId="7D188421"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36</w:t>
            </w:r>
          </w:p>
        </w:tc>
        <w:tc>
          <w:tcPr>
            <w:tcW w:w="1230" w:type="dxa"/>
            <w:tcBorders>
              <w:top w:val="nil"/>
              <w:left w:val="nil"/>
              <w:bottom w:val="single" w:sz="4" w:space="0" w:color="BFBFBF"/>
              <w:right w:val="single" w:sz="4" w:space="0" w:color="BFBFBF"/>
            </w:tcBorders>
            <w:shd w:val="clear" w:color="000000" w:fill="F2F2F2"/>
            <w:noWrap/>
            <w:vAlign w:val="center"/>
            <w:hideMark/>
          </w:tcPr>
          <w:p w14:paraId="3091D70E"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4,585</w:t>
            </w:r>
          </w:p>
        </w:tc>
        <w:tc>
          <w:tcPr>
            <w:tcW w:w="1230" w:type="dxa"/>
            <w:tcBorders>
              <w:top w:val="nil"/>
              <w:left w:val="nil"/>
              <w:bottom w:val="single" w:sz="4" w:space="0" w:color="BFBFBF"/>
              <w:right w:val="single" w:sz="4" w:space="0" w:color="auto"/>
            </w:tcBorders>
            <w:shd w:val="clear" w:color="000000" w:fill="F2F2F2"/>
            <w:noWrap/>
            <w:vAlign w:val="center"/>
            <w:hideMark/>
          </w:tcPr>
          <w:p w14:paraId="65F411AB"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4,900</w:t>
            </w:r>
          </w:p>
        </w:tc>
      </w:tr>
      <w:tr w:rsidR="00C83C2B" w:rsidRPr="00C83C2B" w14:paraId="0E277C1E" w14:textId="77777777" w:rsidTr="009B7CD4">
        <w:trPr>
          <w:trHeight w:val="402"/>
        </w:trPr>
        <w:tc>
          <w:tcPr>
            <w:tcW w:w="5660" w:type="dxa"/>
            <w:tcBorders>
              <w:top w:val="nil"/>
              <w:left w:val="single" w:sz="4" w:space="0" w:color="auto"/>
              <w:bottom w:val="nil"/>
              <w:right w:val="single" w:sz="4" w:space="0" w:color="auto"/>
            </w:tcBorders>
            <w:noWrap/>
            <w:vAlign w:val="center"/>
            <w:hideMark/>
          </w:tcPr>
          <w:p w14:paraId="1F4F237E" w14:textId="1EEBB63A" w:rsidR="00C83C2B" w:rsidRPr="00C83C2B" w:rsidRDefault="00654F41" w:rsidP="00C83C2B">
            <w:pPr>
              <w:rPr>
                <w:rFonts w:eastAsia="Times New Roman"/>
                <w:color w:val="000000"/>
                <w:sz w:val="18"/>
                <w:szCs w:val="18"/>
              </w:rPr>
            </w:pPr>
            <w:r>
              <w:rPr>
                <w:rFonts w:eastAsia="Times New Roman"/>
                <w:color w:val="000000"/>
                <w:sz w:val="18"/>
                <w:szCs w:val="18"/>
              </w:rPr>
              <w:t>Outward</w:t>
            </w:r>
            <w:r w:rsidR="005E1ED7">
              <w:rPr>
                <w:rFonts w:eastAsia="Times New Roman"/>
                <w:color w:val="000000"/>
                <w:sz w:val="18"/>
                <w:szCs w:val="18"/>
              </w:rPr>
              <w:t xml:space="preserve"> pressure</w:t>
            </w:r>
            <w:r w:rsidR="00C83C2B" w:rsidRPr="00C83C2B">
              <w:rPr>
                <w:rFonts w:eastAsia="Times New Roman"/>
                <w:color w:val="000000"/>
                <w:sz w:val="18"/>
                <w:szCs w:val="18"/>
              </w:rPr>
              <w:t xml:space="preserve"> to other </w:t>
            </w:r>
            <w:r>
              <w:rPr>
                <w:rFonts w:eastAsia="Times New Roman"/>
                <w:color w:val="000000"/>
                <w:sz w:val="18"/>
                <w:szCs w:val="18"/>
              </w:rPr>
              <w:t>locations</w:t>
            </w:r>
            <w:r w:rsidR="00C83C2B" w:rsidRPr="00C83C2B">
              <w:rPr>
                <w:rFonts w:eastAsia="Times New Roman"/>
                <w:color w:val="000000"/>
                <w:sz w:val="18"/>
                <w:szCs w:val="18"/>
              </w:rPr>
              <w:t xml:space="preserve"> in regional employment area</w:t>
            </w:r>
          </w:p>
        </w:tc>
        <w:tc>
          <w:tcPr>
            <w:tcW w:w="1230" w:type="dxa"/>
            <w:tcBorders>
              <w:top w:val="nil"/>
              <w:left w:val="nil"/>
              <w:bottom w:val="nil"/>
              <w:right w:val="single" w:sz="4" w:space="0" w:color="BFBFBF"/>
            </w:tcBorders>
            <w:noWrap/>
            <w:vAlign w:val="center"/>
            <w:hideMark/>
          </w:tcPr>
          <w:p w14:paraId="3A11535E"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0</w:t>
            </w:r>
          </w:p>
        </w:tc>
        <w:tc>
          <w:tcPr>
            <w:tcW w:w="1230" w:type="dxa"/>
            <w:tcBorders>
              <w:top w:val="nil"/>
              <w:left w:val="nil"/>
              <w:bottom w:val="nil"/>
              <w:right w:val="single" w:sz="4" w:space="0" w:color="BFBFBF"/>
            </w:tcBorders>
            <w:noWrap/>
            <w:vAlign w:val="center"/>
            <w:hideMark/>
          </w:tcPr>
          <w:p w14:paraId="45B818A3"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0</w:t>
            </w:r>
          </w:p>
        </w:tc>
        <w:tc>
          <w:tcPr>
            <w:tcW w:w="1230" w:type="dxa"/>
            <w:tcBorders>
              <w:top w:val="nil"/>
              <w:left w:val="nil"/>
              <w:bottom w:val="nil"/>
              <w:right w:val="single" w:sz="4" w:space="0" w:color="auto"/>
            </w:tcBorders>
            <w:noWrap/>
            <w:vAlign w:val="center"/>
            <w:hideMark/>
          </w:tcPr>
          <w:p w14:paraId="4295F6BD"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0</w:t>
            </w:r>
          </w:p>
        </w:tc>
      </w:tr>
      <w:tr w:rsidR="00C83C2B" w:rsidRPr="00C83C2B" w14:paraId="57FAFF78" w14:textId="77777777" w:rsidTr="009B7CD4">
        <w:trPr>
          <w:trHeight w:val="402"/>
        </w:trPr>
        <w:tc>
          <w:tcPr>
            <w:tcW w:w="56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D13B01" w14:textId="4FA42DF0" w:rsidR="00C83C2B" w:rsidRPr="00C83C2B" w:rsidRDefault="00C83C2B" w:rsidP="00C83C2B">
            <w:pPr>
              <w:rPr>
                <w:rFonts w:eastAsia="Times New Roman"/>
                <w:color w:val="000000"/>
                <w:sz w:val="18"/>
                <w:szCs w:val="18"/>
              </w:rPr>
            </w:pPr>
            <w:r w:rsidRPr="00C83C2B">
              <w:rPr>
                <w:rFonts w:eastAsia="Times New Roman"/>
                <w:color w:val="000000"/>
                <w:sz w:val="18"/>
                <w:szCs w:val="18"/>
              </w:rPr>
              <w:t xml:space="preserve">Net local demand </w:t>
            </w:r>
            <w:r w:rsidR="00654F41">
              <w:rPr>
                <w:rFonts w:eastAsia="Times New Roman"/>
                <w:color w:val="000000"/>
                <w:sz w:val="18"/>
                <w:szCs w:val="18"/>
              </w:rPr>
              <w:t>pressure</w:t>
            </w:r>
            <w:r w:rsidR="009B7CD4" w:rsidRPr="009B7CD4">
              <w:rPr>
                <w:rFonts w:eastAsia="Times New Roman"/>
                <w:color w:val="000000"/>
                <w:sz w:val="18"/>
                <w:szCs w:val="18"/>
              </w:rPr>
              <w:t xml:space="preserve"> </w:t>
            </w:r>
            <w:r w:rsidRPr="00C83C2B">
              <w:rPr>
                <w:rFonts w:eastAsia="Times New Roman"/>
                <w:color w:val="000000"/>
                <w:sz w:val="18"/>
                <w:szCs w:val="18"/>
              </w:rPr>
              <w:t>from regional economic relationship</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44D1605E"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36</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2F6AC92C"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4,585</w:t>
            </w:r>
          </w:p>
        </w:tc>
        <w:tc>
          <w:tcPr>
            <w:tcW w:w="1230" w:type="dxa"/>
            <w:tcBorders>
              <w:top w:val="single" w:sz="4" w:space="0" w:color="auto"/>
              <w:left w:val="nil"/>
              <w:bottom w:val="single" w:sz="4" w:space="0" w:color="auto"/>
              <w:right w:val="single" w:sz="4" w:space="0" w:color="auto"/>
            </w:tcBorders>
            <w:shd w:val="clear" w:color="000000" w:fill="F2F2F2"/>
            <w:noWrap/>
            <w:vAlign w:val="center"/>
            <w:hideMark/>
          </w:tcPr>
          <w:p w14:paraId="2EB45A5A" w14:textId="77777777" w:rsidR="00C83C2B" w:rsidRPr="00565CC0" w:rsidRDefault="00C83C2B" w:rsidP="00C83C2B">
            <w:pPr>
              <w:jc w:val="right"/>
              <w:rPr>
                <w:rFonts w:eastAsia="Times New Roman"/>
                <w:color w:val="C00000"/>
                <w:sz w:val="18"/>
                <w:szCs w:val="18"/>
              </w:rPr>
            </w:pPr>
            <w:r w:rsidRPr="00565CC0">
              <w:rPr>
                <w:rFonts w:eastAsia="Times New Roman"/>
                <w:color w:val="C00000"/>
                <w:sz w:val="18"/>
                <w:szCs w:val="18"/>
              </w:rPr>
              <w:t>4,900</w:t>
            </w:r>
          </w:p>
        </w:tc>
      </w:tr>
    </w:tbl>
    <w:p w14:paraId="5D45FBC4" w14:textId="3BAD96AA" w:rsidR="00216CC3" w:rsidRDefault="003B1E88" w:rsidP="007B59CE">
      <w:pPr>
        <w:pStyle w:val="Source"/>
      </w:pPr>
      <w:r>
        <w:t xml:space="preserve">Source: derived from Statistics Canada </w:t>
      </w:r>
      <w:r w:rsidR="00747437">
        <w:t xml:space="preserve">Tables </w:t>
      </w:r>
      <w:r w:rsidR="00747437" w:rsidRPr="00747437">
        <w:t>98</w:t>
      </w:r>
      <w:r w:rsidR="007B59CE">
        <w:t>-</w:t>
      </w:r>
      <w:r w:rsidR="00747437" w:rsidRPr="00747437">
        <w:t>10</w:t>
      </w:r>
      <w:r w:rsidR="007B59CE">
        <w:t>-</w:t>
      </w:r>
      <w:r w:rsidR="00747437" w:rsidRPr="00747437">
        <w:t>0624</w:t>
      </w:r>
      <w:r w:rsidR="00747437">
        <w:t xml:space="preserve">, </w:t>
      </w:r>
      <w:r w:rsidR="00747437" w:rsidRPr="00747437">
        <w:t>98</w:t>
      </w:r>
      <w:r w:rsidR="007B59CE">
        <w:t>-</w:t>
      </w:r>
      <w:r w:rsidR="00747437" w:rsidRPr="00747437">
        <w:t>10</w:t>
      </w:r>
      <w:r w:rsidR="007B59CE">
        <w:t>-</w:t>
      </w:r>
      <w:r w:rsidR="00747437" w:rsidRPr="00747437">
        <w:t>0002</w:t>
      </w:r>
      <w:r w:rsidR="00747437">
        <w:t xml:space="preserve">, </w:t>
      </w:r>
      <w:r w:rsidR="00747437" w:rsidRPr="00747437">
        <w:t>98</w:t>
      </w:r>
      <w:r w:rsidR="007B59CE">
        <w:t>-</w:t>
      </w:r>
      <w:r w:rsidR="00747437" w:rsidRPr="00747437">
        <w:t>10</w:t>
      </w:r>
      <w:r w:rsidR="007B59CE">
        <w:t>-</w:t>
      </w:r>
      <w:r w:rsidR="00747437" w:rsidRPr="00747437">
        <w:t>0459</w:t>
      </w:r>
      <w:r w:rsidR="00747437">
        <w:t xml:space="preserve">, and </w:t>
      </w:r>
      <w:r w:rsidR="007B59CE" w:rsidRPr="007B59CE">
        <w:t>98</w:t>
      </w:r>
      <w:r w:rsidR="007B59CE">
        <w:t>-</w:t>
      </w:r>
      <w:r w:rsidR="007B59CE" w:rsidRPr="007B59CE">
        <w:t>10</w:t>
      </w:r>
      <w:r w:rsidR="007B59CE">
        <w:t>-</w:t>
      </w:r>
      <w:r w:rsidR="007B59CE" w:rsidRPr="007B59CE">
        <w:t>0462</w:t>
      </w:r>
      <w:r>
        <w:t xml:space="preserve"> </w:t>
      </w:r>
    </w:p>
    <w:p w14:paraId="0082F49F" w14:textId="77777777" w:rsidR="003B1E88" w:rsidRDefault="003B1E88" w:rsidP="00C1236C"/>
    <w:p w14:paraId="39D6F3AD" w14:textId="1F2EB82E" w:rsidR="002E0DE1" w:rsidRDefault="00265A2A" w:rsidP="009537B8">
      <w:pPr>
        <w:jc w:val="both"/>
      </w:pPr>
      <w:r>
        <w:t xml:space="preserve">A large inward pressure figure relative to locally generated demographic demand </w:t>
      </w:r>
      <w:r w:rsidR="004C2543">
        <w:t xml:space="preserve">suggests </w:t>
      </w:r>
      <w:r>
        <w:t>that the community may need to plan for a total housing need that exceeds what its own population trends would predict</w:t>
      </w:r>
      <w:r w:rsidR="00697612">
        <w:t xml:space="preserve">. </w:t>
      </w:r>
    </w:p>
    <w:p w14:paraId="21B8CB84" w14:textId="77777777" w:rsidR="002E0DE1" w:rsidRDefault="002E0DE1" w:rsidP="009537B8">
      <w:pPr>
        <w:jc w:val="both"/>
      </w:pPr>
    </w:p>
    <w:p w14:paraId="07EE6F76" w14:textId="5E5C7D39" w:rsidR="00265A2A" w:rsidRDefault="00265A2A" w:rsidP="009537B8">
      <w:pPr>
        <w:jc w:val="both"/>
      </w:pPr>
      <w:r>
        <w:t xml:space="preserve">Outward demand pressure </w:t>
      </w:r>
      <w:r w:rsidR="00697612">
        <w:t>(</w:t>
      </w:r>
      <w:r>
        <w:t xml:space="preserve">households that may leave the local community for </w:t>
      </w:r>
      <w:r w:rsidR="00697612">
        <w:t>locations where their employment is, should conditions improve)</w:t>
      </w:r>
      <w:r>
        <w:t xml:space="preserve"> reflects the degree to which the local market </w:t>
      </w:r>
      <w:r w:rsidR="00697612">
        <w:t xml:space="preserve">may be serving </w:t>
      </w:r>
      <w:r w:rsidR="002E0DE1">
        <w:t>as a structural alternative</w:t>
      </w:r>
      <w:r>
        <w:t xml:space="preserve"> to </w:t>
      </w:r>
      <w:r w:rsidR="002E0DE1">
        <w:t>higher costs markets</w:t>
      </w:r>
      <w:r w:rsidR="001E7F4C">
        <w:t xml:space="preserve"> or as a bedroom community. Should </w:t>
      </w:r>
      <w:r w:rsidR="005F60BB">
        <w:t xml:space="preserve">the destination community continue to experience a strained housing market, this could mean increased local demand. Conversely, should </w:t>
      </w:r>
      <w:r w:rsidR="004C2543">
        <w:t>conditions</w:t>
      </w:r>
      <w:r w:rsidR="005F60BB">
        <w:t xml:space="preserve"> improve in the destination market, local demand may drop</w:t>
      </w:r>
      <w:r w:rsidR="00F2306C">
        <w:t xml:space="preserve">. </w:t>
      </w:r>
    </w:p>
    <w:p w14:paraId="0CB11068" w14:textId="40B6BD07" w:rsidR="009537B8" w:rsidRDefault="009537B8" w:rsidP="00F2306C">
      <w:pPr>
        <w:jc w:val="both"/>
      </w:pPr>
    </w:p>
    <w:p w14:paraId="016F6E58" w14:textId="5E5860AE" w:rsidR="00F2306C" w:rsidRDefault="00F2306C" w:rsidP="00F2306C">
      <w:pPr>
        <w:jc w:val="both"/>
      </w:pPr>
      <w:r w:rsidRPr="00F2306C">
        <w:rPr>
          <w:rStyle w:val="Figure-textChar"/>
        </w:rPr>
        <w:fldChar w:fldCharType="begin"/>
      </w:r>
      <w:r w:rsidRPr="00F2306C">
        <w:rPr>
          <w:rStyle w:val="Figure-textChar"/>
        </w:rPr>
        <w:instrText xml:space="preserve"> REF _Ref223427980 \h </w:instrText>
      </w:r>
      <w:r>
        <w:rPr>
          <w:rStyle w:val="Figure-textChar"/>
        </w:rPr>
        <w:instrText xml:space="preserve"> \* MERGEFORMAT </w:instrText>
      </w:r>
      <w:r w:rsidRPr="00F2306C">
        <w:rPr>
          <w:rStyle w:val="Figure-textChar"/>
        </w:rPr>
      </w:r>
      <w:r w:rsidRPr="00F2306C">
        <w:rPr>
          <w:rStyle w:val="Figure-textChar"/>
        </w:rPr>
        <w:fldChar w:fldCharType="separate"/>
      </w:r>
      <w:r w:rsidR="00CA6116" w:rsidRPr="00CA6116">
        <w:rPr>
          <w:rStyle w:val="Figure-textChar"/>
        </w:rPr>
        <w:t>Figure 9.1</w:t>
      </w:r>
      <w:r w:rsidRPr="00F2306C">
        <w:rPr>
          <w:rStyle w:val="Figure-textChar"/>
        </w:rPr>
        <w:fldChar w:fldCharType="end"/>
      </w:r>
      <w:r>
        <w:t xml:space="preserve"> </w:t>
      </w:r>
      <w:r w:rsidRPr="00F2306C">
        <w:t xml:space="preserve">illustrates how the </w:t>
      </w:r>
      <w:r>
        <w:t>incorporation</w:t>
      </w:r>
      <w:r w:rsidRPr="00F2306C">
        <w:t xml:space="preserve"> of regionally influenced demand modifies the total projected housing need over the assessment horizon, enabling a comparison of locally generated demand against the full market demand the community may need to accommodate.</w:t>
      </w:r>
    </w:p>
    <w:p w14:paraId="40584E31" w14:textId="77777777" w:rsidR="00216CC3" w:rsidRDefault="00216CC3" w:rsidP="00F2306C">
      <w:pPr>
        <w:jc w:val="both"/>
      </w:pPr>
    </w:p>
    <w:p w14:paraId="657F531D" w14:textId="0916F7CF" w:rsidR="00C20B42" w:rsidRDefault="00C20B42" w:rsidP="00C20B42">
      <w:pPr>
        <w:pStyle w:val="Caption"/>
      </w:pPr>
      <w:bookmarkStart w:id="99" w:name="_Ref223427980"/>
      <w:r>
        <w:lastRenderedPageBreak/>
        <w:t xml:space="preserve">Figure </w:t>
      </w:r>
      <w:fldSimple w:instr=" STYLEREF 1 \s ">
        <w:r w:rsidR="005E459C">
          <w:rPr>
            <w:noProof/>
          </w:rPr>
          <w:t>9</w:t>
        </w:r>
      </w:fldSimple>
      <w:r>
        <w:t>.</w:t>
      </w:r>
      <w:fldSimple w:instr=" SEQ Figure \* ARABIC \s 1 ">
        <w:r w:rsidR="005E459C">
          <w:rPr>
            <w:noProof/>
          </w:rPr>
          <w:t>1</w:t>
        </w:r>
      </w:fldSimple>
      <w:bookmarkEnd w:id="99"/>
      <w:r>
        <w:t xml:space="preserve">: Impact </w:t>
      </w:r>
      <w:r w:rsidR="00A0425B">
        <w:t>of regiona</w:t>
      </w:r>
      <w:r w:rsidR="006740CE">
        <w:t xml:space="preserve">lly influenced demand on </w:t>
      </w:r>
      <w:r w:rsidR="00A0425B">
        <w:t>anticipated overall demand</w:t>
      </w:r>
      <w:r w:rsidR="006740CE">
        <w:t xml:space="preserve"> over next 10 years</w:t>
      </w:r>
      <w:r w:rsidR="00232F1E">
        <w:t>*</w:t>
      </w:r>
    </w:p>
    <w:p w14:paraId="1E2EBDD6" w14:textId="77777777" w:rsidR="00E9459E" w:rsidRDefault="001E7BE3" w:rsidP="00C1236C">
      <w:r>
        <w:rPr>
          <w:noProof/>
        </w:rPr>
        <w:drawing>
          <wp:inline distT="0" distB="0" distL="0" distR="0" wp14:anchorId="17322572" wp14:editId="741E673E">
            <wp:extent cx="5943600" cy="2640330"/>
            <wp:effectExtent l="0" t="0" r="0" b="7620"/>
            <wp:docPr id="269363378" name="Chart 1">
              <a:extLst xmlns:a="http://schemas.openxmlformats.org/drawingml/2006/main">
                <a:ext uri="{FF2B5EF4-FFF2-40B4-BE49-F238E27FC236}">
                  <a16:creationId xmlns:a16="http://schemas.microsoft.com/office/drawing/2014/main" id="{E12EA1B2-F044-469B-9B73-151082E7E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11EB01D" w14:textId="77777777" w:rsidR="00232F1E" w:rsidRDefault="00232F1E" w:rsidP="00232F1E">
      <w:pPr>
        <w:pStyle w:val="Source"/>
      </w:pPr>
      <w:r>
        <w:t>* Note that should cumulative construction exceed the running shortage (thus creating a surplus), the shortage is noted as 0 instead of a negative number.</w:t>
      </w:r>
    </w:p>
    <w:p w14:paraId="513570D5" w14:textId="7D7BDAB1" w:rsidR="000016F7" w:rsidRDefault="000016F7" w:rsidP="000016F7">
      <w:pPr>
        <w:pStyle w:val="Source"/>
      </w:pPr>
      <w:r>
        <w:t xml:space="preserve">Source: methodology available in the </w:t>
      </w:r>
      <w:r w:rsidR="00607216">
        <w:t>HNA Blueprint Methodology – Regional Integration document</w:t>
      </w:r>
    </w:p>
    <w:p w14:paraId="20C416DD" w14:textId="77777777" w:rsidR="000A4998" w:rsidRDefault="000A4998" w:rsidP="00C1236C"/>
    <w:p w14:paraId="2BEA8172" w14:textId="60743D76" w:rsidR="006F2DC9" w:rsidRDefault="005B17E5" w:rsidP="000A4998">
      <w:pPr>
        <w:jc w:val="both"/>
      </w:pPr>
      <w:r>
        <w:t xml:space="preserve">While the calculations leading to the above are </w:t>
      </w:r>
      <w:r w:rsidR="000D5A6A">
        <w:t>simplifications of complex relationships between markets and household</w:t>
      </w:r>
      <w:r w:rsidR="00CC3868">
        <w:t>s (see methodology in Housing Needs Assessment Guidebook), w</w:t>
      </w:r>
      <w:r w:rsidR="000A4998" w:rsidRPr="000A4998">
        <w:t xml:space="preserve">here regional demand </w:t>
      </w:r>
      <w:r w:rsidR="00CC3868">
        <w:t xml:space="preserve">materially </w:t>
      </w:r>
      <w:r w:rsidR="000A4998" w:rsidRPr="000A4998">
        <w:t>adds</w:t>
      </w:r>
      <w:r w:rsidR="000A4998">
        <w:t xml:space="preserve"> or subtracts</w:t>
      </w:r>
      <w:r w:rsidR="000A4998" w:rsidRPr="000A4998">
        <w:t xml:space="preserve"> to locally projected need, </w:t>
      </w:r>
      <w:r w:rsidR="000A4998">
        <w:t>there should be consideration for regional dynamics on future demand rather than an insular perspective.</w:t>
      </w:r>
      <w:r w:rsidR="009F3AC4">
        <w:t xml:space="preserve"> </w:t>
      </w:r>
    </w:p>
    <w:p w14:paraId="3C0FD035" w14:textId="77777777" w:rsidR="006F2DC9" w:rsidRDefault="006F2DC9" w:rsidP="000A4998">
      <w:pPr>
        <w:jc w:val="both"/>
      </w:pPr>
    </w:p>
    <w:p w14:paraId="44D1C94B" w14:textId="474C81F0" w:rsidR="009847DD" w:rsidRDefault="009847DD" w:rsidP="00E920CE">
      <w:pPr>
        <w:pStyle w:val="Heading2"/>
      </w:pPr>
      <w:bookmarkStart w:id="100" w:name="_Toc237355957"/>
      <w:bookmarkStart w:id="101" w:name="_Toc223686659"/>
      <w:r>
        <w:t>TRANSPORTATION</w:t>
      </w:r>
      <w:r w:rsidR="00F60F0A">
        <w:t xml:space="preserve"> COSTS</w:t>
      </w:r>
      <w:bookmarkEnd w:id="100"/>
    </w:p>
    <w:p w14:paraId="552C158E" w14:textId="229DF85D" w:rsidR="00FD7F99" w:rsidRDefault="00247BCE" w:rsidP="00FD7F99">
      <w:pPr>
        <w:jc w:val="both"/>
      </w:pPr>
      <w:r w:rsidRPr="00247BCE">
        <w:t xml:space="preserve">The cost of housing cannot be assessed </w:t>
      </w:r>
      <w:r w:rsidR="003D57EA">
        <w:t>without the cost of</w:t>
      </w:r>
      <w:r w:rsidRPr="00247BCE">
        <w:t xml:space="preserve"> transportation, as the two are structurally linked </w:t>
      </w:r>
      <w:r w:rsidR="003D57EA">
        <w:t xml:space="preserve">to </w:t>
      </w:r>
      <w:r w:rsidRPr="00247BCE">
        <w:t>housing affordability. Households facing high housing costs in central, well-serviced locations often have lower transportation costs as a result of proximity to employment, services, and transit</w:t>
      </w:r>
      <w:r w:rsidR="00FD7F99">
        <w:t xml:space="preserve">, </w:t>
      </w:r>
      <w:r w:rsidRPr="00247BCE">
        <w:t xml:space="preserve">while households who relocate to lower-cost peripheral or rural areas frequently absorb higher transportation costs that offset a portion or all of the apparent housing savings. This </w:t>
      </w:r>
      <w:r w:rsidR="003C0459" w:rsidRPr="00247BCE">
        <w:t>trade-off</w:t>
      </w:r>
      <w:r w:rsidRPr="00247BCE">
        <w:t xml:space="preserve"> is </w:t>
      </w:r>
      <w:r w:rsidR="00DE1E01">
        <w:t>not</w:t>
      </w:r>
      <w:r w:rsidRPr="00247BCE">
        <w:t xml:space="preserve"> captured by shelter-cost-to-income ratios alone, which is </w:t>
      </w:r>
      <w:r w:rsidR="00DE1E01">
        <w:t>a</w:t>
      </w:r>
      <w:r w:rsidR="00DE1E01" w:rsidRPr="00247BCE">
        <w:t xml:space="preserve"> </w:t>
      </w:r>
      <w:r w:rsidRPr="00247BCE">
        <w:t xml:space="preserve">basis for </w:t>
      </w:r>
      <w:r w:rsidR="00DE1E01">
        <w:t xml:space="preserve">the </w:t>
      </w:r>
      <w:r w:rsidRPr="00247BCE">
        <w:t>core housing need</w:t>
      </w:r>
      <w:r w:rsidR="00DE1E01">
        <w:t xml:space="preserve"> metric</w:t>
      </w:r>
      <w:r w:rsidRPr="00247BCE">
        <w:t>, and can lead to an underestimate of the true cost burden faced by lower-income households in car-dependent communities. Understanding the combined share of income allocated to housing and transportation provides a more complete picture of household financial pressure and is particularly relevant when evaluating whether new housing supply in a given location genuinely improves affordability or simply displaces one cost burden with another.</w:t>
      </w:r>
    </w:p>
    <w:p w14:paraId="1FF0A577" w14:textId="77777777" w:rsidR="00FD7F99" w:rsidRDefault="00FD7F99" w:rsidP="00FD7F99">
      <w:pPr>
        <w:jc w:val="both"/>
      </w:pPr>
    </w:p>
    <w:p w14:paraId="2A753A8A" w14:textId="532665D4" w:rsidR="009847DD" w:rsidRDefault="00696923" w:rsidP="00FD7F99">
      <w:pPr>
        <w:jc w:val="both"/>
      </w:pPr>
      <w:r w:rsidRPr="00696923">
        <w:rPr>
          <w:rStyle w:val="Figure-textChar"/>
        </w:rPr>
        <w:fldChar w:fldCharType="begin"/>
      </w:r>
      <w:r w:rsidRPr="00696923">
        <w:rPr>
          <w:rStyle w:val="Figure-textChar"/>
        </w:rPr>
        <w:instrText xml:space="preserve"> REF _Ref224216359 \h </w:instrText>
      </w:r>
      <w:r>
        <w:rPr>
          <w:rStyle w:val="Figure-textChar"/>
        </w:rPr>
        <w:instrText xml:space="preserve"> \* MERGEFORMAT </w:instrText>
      </w:r>
      <w:r w:rsidRPr="00696923">
        <w:rPr>
          <w:rStyle w:val="Figure-textChar"/>
        </w:rPr>
      </w:r>
      <w:r w:rsidRPr="00696923">
        <w:rPr>
          <w:rStyle w:val="Figure-textChar"/>
        </w:rPr>
        <w:fldChar w:fldCharType="separate"/>
      </w:r>
      <w:r w:rsidR="00CA6116" w:rsidRPr="00CA6116">
        <w:rPr>
          <w:rStyle w:val="Figure-textChar"/>
        </w:rPr>
        <w:t>Table 9.2</w:t>
      </w:r>
      <w:r w:rsidRPr="00696923">
        <w:rPr>
          <w:rStyle w:val="Figure-textChar"/>
        </w:rPr>
        <w:fldChar w:fldCharType="end"/>
      </w:r>
      <w:r>
        <w:t xml:space="preserve"> </w:t>
      </w:r>
      <w:r w:rsidR="00247BCE" w:rsidRPr="00247BCE">
        <w:t xml:space="preserve">presents the share of household income allocated to housing alone, transportation alone, and the two combined, benchmarked against regional and provincial </w:t>
      </w:r>
      <w:r w:rsidR="00B61289">
        <w:t xml:space="preserve">weighted </w:t>
      </w:r>
      <w:r w:rsidR="00247BCE" w:rsidRPr="00247BCE">
        <w:t>averages</w:t>
      </w:r>
      <w:r>
        <w:t>.</w:t>
      </w:r>
    </w:p>
    <w:p w14:paraId="07781DD9" w14:textId="77777777" w:rsidR="00925B5C" w:rsidRDefault="00925B5C" w:rsidP="009847DD"/>
    <w:p w14:paraId="5C11901C" w14:textId="16D69DAC" w:rsidR="00050812" w:rsidRDefault="00050812" w:rsidP="00050812">
      <w:pPr>
        <w:pStyle w:val="Caption"/>
      </w:pPr>
      <w:bookmarkStart w:id="102" w:name="_Ref224216359"/>
      <w:r>
        <w:t xml:space="preserve">Table </w:t>
      </w:r>
      <w:fldSimple w:instr=" STYLEREF 1 \s ">
        <w:r w:rsidR="005E459C">
          <w:rPr>
            <w:noProof/>
          </w:rPr>
          <w:t>9</w:t>
        </w:r>
      </w:fldSimple>
      <w:r w:rsidR="00BD4359">
        <w:t>.</w:t>
      </w:r>
      <w:fldSimple w:instr=" SEQ Table \* ARABIC \s 1 ">
        <w:r w:rsidR="005E459C">
          <w:rPr>
            <w:noProof/>
          </w:rPr>
          <w:t>2</w:t>
        </w:r>
      </w:fldSimple>
      <w:bookmarkEnd w:id="102"/>
      <w:r>
        <w:t>: Share of household income allocated to housing and transportation by geography, 2024</w:t>
      </w:r>
    </w:p>
    <w:tbl>
      <w:tblPr>
        <w:tblW w:w="9360" w:type="dxa"/>
        <w:tblInd w:w="-5" w:type="dxa"/>
        <w:tblLayout w:type="fixed"/>
        <w:tblLook w:val="04A0" w:firstRow="1" w:lastRow="0" w:firstColumn="1" w:lastColumn="0" w:noHBand="0" w:noVBand="1"/>
      </w:tblPr>
      <w:tblGrid>
        <w:gridCol w:w="2520"/>
        <w:gridCol w:w="2280"/>
        <w:gridCol w:w="2280"/>
        <w:gridCol w:w="2280"/>
      </w:tblGrid>
      <w:tr w:rsidR="00C05D75" w:rsidRPr="00925B5C" w14:paraId="044A338D" w14:textId="77777777" w:rsidTr="003C59F9">
        <w:trPr>
          <w:trHeight w:val="402"/>
          <w:tblHeader/>
        </w:trPr>
        <w:tc>
          <w:tcPr>
            <w:tcW w:w="2520" w:type="dxa"/>
            <w:tcBorders>
              <w:top w:val="single" w:sz="4" w:space="0" w:color="auto"/>
              <w:left w:val="single" w:sz="4" w:space="0" w:color="auto"/>
              <w:bottom w:val="nil"/>
              <w:right w:val="nil"/>
            </w:tcBorders>
            <w:shd w:val="clear" w:color="auto" w:fill="42618C" w:themeFill="accent3"/>
            <w:noWrap/>
            <w:vAlign w:val="center"/>
            <w:hideMark/>
          </w:tcPr>
          <w:p w14:paraId="1CB3B468" w14:textId="602CECB9" w:rsidR="00925B5C" w:rsidRPr="00925B5C" w:rsidRDefault="00925B5C" w:rsidP="00925B5C">
            <w:pPr>
              <w:rPr>
                <w:rFonts w:eastAsia="Times New Roman"/>
                <w:color w:val="FFFFFF"/>
                <w:sz w:val="18"/>
                <w:szCs w:val="18"/>
              </w:rPr>
            </w:pPr>
            <w:r w:rsidRPr="00925B5C">
              <w:rPr>
                <w:rFonts w:eastAsia="Times New Roman"/>
                <w:color w:val="FFFFFF"/>
                <w:sz w:val="18"/>
                <w:szCs w:val="18"/>
              </w:rPr>
              <w:t>Percent of income spent on</w:t>
            </w:r>
            <w:r>
              <w:rPr>
                <w:rFonts w:eastAsia="Times New Roman"/>
                <w:color w:val="FFFFFF"/>
                <w:sz w:val="18"/>
                <w:szCs w:val="18"/>
              </w:rPr>
              <w:t>:</w:t>
            </w:r>
          </w:p>
        </w:tc>
        <w:tc>
          <w:tcPr>
            <w:tcW w:w="2280" w:type="dxa"/>
            <w:tcBorders>
              <w:top w:val="single" w:sz="4" w:space="0" w:color="auto"/>
              <w:left w:val="single" w:sz="4" w:space="0" w:color="auto"/>
              <w:bottom w:val="nil"/>
              <w:right w:val="single" w:sz="4" w:space="0" w:color="BFBFBF"/>
            </w:tcBorders>
            <w:shd w:val="clear" w:color="auto" w:fill="42618C" w:themeFill="accent3"/>
            <w:noWrap/>
            <w:vAlign w:val="center"/>
            <w:hideMark/>
          </w:tcPr>
          <w:p w14:paraId="351CA970" w14:textId="77777777" w:rsidR="00925B5C" w:rsidRPr="00925B5C" w:rsidRDefault="00925B5C" w:rsidP="00925B5C">
            <w:pPr>
              <w:jc w:val="right"/>
              <w:rPr>
                <w:rFonts w:eastAsia="Times New Roman"/>
                <w:color w:val="FFFFFF"/>
                <w:sz w:val="18"/>
                <w:szCs w:val="18"/>
              </w:rPr>
            </w:pPr>
            <w:r w:rsidRPr="00925B5C">
              <w:rPr>
                <w:rFonts w:eastAsia="Times New Roman"/>
                <w:color w:val="FFFFFF"/>
                <w:sz w:val="18"/>
                <w:szCs w:val="18"/>
              </w:rPr>
              <w:t>Local</w:t>
            </w:r>
          </w:p>
        </w:tc>
        <w:tc>
          <w:tcPr>
            <w:tcW w:w="2280" w:type="dxa"/>
            <w:tcBorders>
              <w:top w:val="single" w:sz="4" w:space="0" w:color="auto"/>
              <w:left w:val="nil"/>
              <w:bottom w:val="nil"/>
              <w:right w:val="single" w:sz="4" w:space="0" w:color="BFBFBF"/>
            </w:tcBorders>
            <w:shd w:val="clear" w:color="auto" w:fill="42618C" w:themeFill="accent3"/>
            <w:noWrap/>
            <w:vAlign w:val="center"/>
            <w:hideMark/>
          </w:tcPr>
          <w:p w14:paraId="279CF53F" w14:textId="77777777" w:rsidR="00925B5C" w:rsidRPr="00925B5C" w:rsidRDefault="00925B5C" w:rsidP="00925B5C">
            <w:pPr>
              <w:jc w:val="right"/>
              <w:rPr>
                <w:rFonts w:eastAsia="Times New Roman"/>
                <w:color w:val="FFFFFF"/>
                <w:sz w:val="18"/>
                <w:szCs w:val="18"/>
              </w:rPr>
            </w:pPr>
            <w:r w:rsidRPr="00925B5C">
              <w:rPr>
                <w:rFonts w:eastAsia="Times New Roman"/>
                <w:color w:val="FFFFFF"/>
                <w:sz w:val="18"/>
                <w:szCs w:val="18"/>
              </w:rPr>
              <w:t>Region</w:t>
            </w:r>
          </w:p>
        </w:tc>
        <w:tc>
          <w:tcPr>
            <w:tcW w:w="2280" w:type="dxa"/>
            <w:tcBorders>
              <w:top w:val="single" w:sz="4" w:space="0" w:color="auto"/>
              <w:left w:val="nil"/>
              <w:bottom w:val="nil"/>
              <w:right w:val="single" w:sz="4" w:space="0" w:color="auto"/>
            </w:tcBorders>
            <w:shd w:val="clear" w:color="auto" w:fill="42618C" w:themeFill="accent3"/>
            <w:noWrap/>
            <w:vAlign w:val="center"/>
            <w:hideMark/>
          </w:tcPr>
          <w:p w14:paraId="4B793745" w14:textId="77777777" w:rsidR="00925B5C" w:rsidRPr="00925B5C" w:rsidRDefault="00925B5C" w:rsidP="00925B5C">
            <w:pPr>
              <w:jc w:val="right"/>
              <w:rPr>
                <w:rFonts w:eastAsia="Times New Roman"/>
                <w:color w:val="FFFFFF"/>
                <w:sz w:val="18"/>
                <w:szCs w:val="18"/>
              </w:rPr>
            </w:pPr>
            <w:r w:rsidRPr="00925B5C">
              <w:rPr>
                <w:rFonts w:eastAsia="Times New Roman"/>
                <w:color w:val="FFFFFF"/>
                <w:sz w:val="18"/>
                <w:szCs w:val="18"/>
              </w:rPr>
              <w:t>Province</w:t>
            </w:r>
          </w:p>
        </w:tc>
      </w:tr>
      <w:tr w:rsidR="00C05D75" w:rsidRPr="00925B5C" w14:paraId="66B3A33E" w14:textId="77777777" w:rsidTr="00925B5C">
        <w:trPr>
          <w:trHeight w:val="402"/>
        </w:trPr>
        <w:tc>
          <w:tcPr>
            <w:tcW w:w="2520" w:type="dxa"/>
            <w:tcBorders>
              <w:top w:val="single" w:sz="4" w:space="0" w:color="auto"/>
              <w:left w:val="single" w:sz="4" w:space="0" w:color="auto"/>
              <w:bottom w:val="single" w:sz="4" w:space="0" w:color="auto"/>
              <w:right w:val="nil"/>
            </w:tcBorders>
            <w:shd w:val="clear" w:color="000000" w:fill="F2F2F2"/>
            <w:noWrap/>
            <w:vAlign w:val="center"/>
            <w:hideMark/>
          </w:tcPr>
          <w:p w14:paraId="2DA867C3" w14:textId="77777777" w:rsidR="00925B5C" w:rsidRPr="00925B5C" w:rsidRDefault="00925B5C" w:rsidP="00925B5C">
            <w:pPr>
              <w:rPr>
                <w:rFonts w:eastAsia="Times New Roman"/>
                <w:color w:val="0D0D0D"/>
                <w:sz w:val="18"/>
                <w:szCs w:val="18"/>
              </w:rPr>
            </w:pPr>
            <w:r w:rsidRPr="00925B5C">
              <w:rPr>
                <w:rFonts w:eastAsia="Times New Roman"/>
                <w:color w:val="0D0D0D"/>
                <w:sz w:val="18"/>
                <w:szCs w:val="18"/>
              </w:rPr>
              <w:t>Housing and transportation</w:t>
            </w:r>
          </w:p>
        </w:tc>
        <w:tc>
          <w:tcPr>
            <w:tcW w:w="2280" w:type="dxa"/>
            <w:tcBorders>
              <w:top w:val="single" w:sz="4" w:space="0" w:color="auto"/>
              <w:left w:val="single" w:sz="4" w:space="0" w:color="auto"/>
              <w:bottom w:val="single" w:sz="4" w:space="0" w:color="auto"/>
              <w:right w:val="single" w:sz="4" w:space="0" w:color="BFBFBF"/>
            </w:tcBorders>
            <w:shd w:val="clear" w:color="000000" w:fill="F2F2F2"/>
            <w:noWrap/>
            <w:vAlign w:val="center"/>
            <w:hideMark/>
          </w:tcPr>
          <w:p w14:paraId="30A17EE1"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29.8%</w:t>
            </w:r>
          </w:p>
        </w:tc>
        <w:tc>
          <w:tcPr>
            <w:tcW w:w="2280" w:type="dxa"/>
            <w:tcBorders>
              <w:top w:val="single" w:sz="4" w:space="0" w:color="auto"/>
              <w:left w:val="nil"/>
              <w:bottom w:val="single" w:sz="4" w:space="0" w:color="auto"/>
              <w:right w:val="single" w:sz="4" w:space="0" w:color="BFBFBF"/>
            </w:tcBorders>
            <w:shd w:val="clear" w:color="000000" w:fill="F2F2F2"/>
            <w:noWrap/>
            <w:vAlign w:val="center"/>
            <w:hideMark/>
          </w:tcPr>
          <w:p w14:paraId="3E8D4BD0"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26.9%</w:t>
            </w:r>
          </w:p>
        </w:tc>
        <w:tc>
          <w:tcPr>
            <w:tcW w:w="2280" w:type="dxa"/>
            <w:tcBorders>
              <w:top w:val="single" w:sz="4" w:space="0" w:color="auto"/>
              <w:left w:val="nil"/>
              <w:bottom w:val="single" w:sz="4" w:space="0" w:color="auto"/>
              <w:right w:val="single" w:sz="4" w:space="0" w:color="auto"/>
            </w:tcBorders>
            <w:shd w:val="clear" w:color="000000" w:fill="F2F2F2"/>
            <w:noWrap/>
            <w:vAlign w:val="center"/>
            <w:hideMark/>
          </w:tcPr>
          <w:p w14:paraId="4DA24EBE"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27.5%</w:t>
            </w:r>
          </w:p>
        </w:tc>
      </w:tr>
      <w:tr w:rsidR="00E15111" w:rsidRPr="00925B5C" w14:paraId="0EF1FB9F" w14:textId="77777777" w:rsidTr="00925B5C">
        <w:trPr>
          <w:trHeight w:val="402"/>
        </w:trPr>
        <w:tc>
          <w:tcPr>
            <w:tcW w:w="2520" w:type="dxa"/>
            <w:tcBorders>
              <w:top w:val="nil"/>
              <w:left w:val="single" w:sz="4" w:space="0" w:color="auto"/>
              <w:bottom w:val="single" w:sz="4" w:space="0" w:color="BFBFBF"/>
              <w:right w:val="nil"/>
            </w:tcBorders>
            <w:noWrap/>
            <w:vAlign w:val="center"/>
            <w:hideMark/>
          </w:tcPr>
          <w:p w14:paraId="148A61A9" w14:textId="77777777" w:rsidR="00925B5C" w:rsidRPr="00925B5C" w:rsidRDefault="00925B5C" w:rsidP="00925B5C">
            <w:pPr>
              <w:rPr>
                <w:rFonts w:eastAsia="Times New Roman"/>
                <w:color w:val="0D0D0D"/>
                <w:sz w:val="18"/>
                <w:szCs w:val="18"/>
              </w:rPr>
            </w:pPr>
            <w:r w:rsidRPr="00925B5C">
              <w:rPr>
                <w:rFonts w:eastAsia="Times New Roman"/>
                <w:color w:val="0D0D0D"/>
                <w:sz w:val="18"/>
                <w:szCs w:val="18"/>
              </w:rPr>
              <w:t>Housing</w:t>
            </w:r>
          </w:p>
        </w:tc>
        <w:tc>
          <w:tcPr>
            <w:tcW w:w="2280" w:type="dxa"/>
            <w:tcBorders>
              <w:top w:val="nil"/>
              <w:left w:val="single" w:sz="4" w:space="0" w:color="auto"/>
              <w:bottom w:val="single" w:sz="4" w:space="0" w:color="BFBFBF"/>
              <w:right w:val="single" w:sz="4" w:space="0" w:color="BFBFBF"/>
            </w:tcBorders>
            <w:noWrap/>
            <w:vAlign w:val="center"/>
            <w:hideMark/>
          </w:tcPr>
          <w:p w14:paraId="1BD14599"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17.0%</w:t>
            </w:r>
          </w:p>
        </w:tc>
        <w:tc>
          <w:tcPr>
            <w:tcW w:w="2280" w:type="dxa"/>
            <w:tcBorders>
              <w:top w:val="nil"/>
              <w:left w:val="nil"/>
              <w:bottom w:val="single" w:sz="4" w:space="0" w:color="BFBFBF"/>
              <w:right w:val="single" w:sz="4" w:space="0" w:color="BFBFBF"/>
            </w:tcBorders>
            <w:noWrap/>
            <w:vAlign w:val="center"/>
            <w:hideMark/>
          </w:tcPr>
          <w:p w14:paraId="4667B0B6"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15.5%</w:t>
            </w:r>
          </w:p>
        </w:tc>
        <w:tc>
          <w:tcPr>
            <w:tcW w:w="2280" w:type="dxa"/>
            <w:tcBorders>
              <w:top w:val="nil"/>
              <w:left w:val="nil"/>
              <w:bottom w:val="single" w:sz="4" w:space="0" w:color="BFBFBF"/>
              <w:right w:val="single" w:sz="4" w:space="0" w:color="auto"/>
            </w:tcBorders>
            <w:noWrap/>
            <w:vAlign w:val="center"/>
            <w:hideMark/>
          </w:tcPr>
          <w:p w14:paraId="12F2FD74"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14.4%</w:t>
            </w:r>
          </w:p>
        </w:tc>
      </w:tr>
      <w:tr w:rsidR="00C05D75" w:rsidRPr="00925B5C" w14:paraId="3610AAE9" w14:textId="77777777" w:rsidTr="00925B5C">
        <w:trPr>
          <w:trHeight w:val="402"/>
        </w:trPr>
        <w:tc>
          <w:tcPr>
            <w:tcW w:w="2520" w:type="dxa"/>
            <w:tcBorders>
              <w:top w:val="nil"/>
              <w:left w:val="single" w:sz="4" w:space="0" w:color="auto"/>
              <w:bottom w:val="single" w:sz="4" w:space="0" w:color="auto"/>
              <w:right w:val="nil"/>
            </w:tcBorders>
            <w:shd w:val="clear" w:color="000000" w:fill="F2F2F2"/>
            <w:noWrap/>
            <w:vAlign w:val="center"/>
            <w:hideMark/>
          </w:tcPr>
          <w:p w14:paraId="744ECA3E" w14:textId="77777777" w:rsidR="00925B5C" w:rsidRPr="00925B5C" w:rsidRDefault="00925B5C" w:rsidP="00925B5C">
            <w:pPr>
              <w:rPr>
                <w:rFonts w:eastAsia="Times New Roman"/>
                <w:color w:val="0D0D0D"/>
                <w:sz w:val="18"/>
                <w:szCs w:val="18"/>
              </w:rPr>
            </w:pPr>
            <w:r w:rsidRPr="00925B5C">
              <w:rPr>
                <w:rFonts w:eastAsia="Times New Roman"/>
                <w:color w:val="0D0D0D"/>
                <w:sz w:val="18"/>
                <w:szCs w:val="18"/>
              </w:rPr>
              <w:lastRenderedPageBreak/>
              <w:t>Transportation</w:t>
            </w:r>
          </w:p>
        </w:tc>
        <w:tc>
          <w:tcPr>
            <w:tcW w:w="2280" w:type="dxa"/>
            <w:tcBorders>
              <w:top w:val="nil"/>
              <w:left w:val="single" w:sz="4" w:space="0" w:color="auto"/>
              <w:bottom w:val="single" w:sz="4" w:space="0" w:color="auto"/>
              <w:right w:val="single" w:sz="4" w:space="0" w:color="BFBFBF"/>
            </w:tcBorders>
            <w:shd w:val="clear" w:color="000000" w:fill="F2F2F2"/>
            <w:noWrap/>
            <w:vAlign w:val="center"/>
            <w:hideMark/>
          </w:tcPr>
          <w:p w14:paraId="0DB1914E"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12.8%</w:t>
            </w:r>
          </w:p>
        </w:tc>
        <w:tc>
          <w:tcPr>
            <w:tcW w:w="2280" w:type="dxa"/>
            <w:tcBorders>
              <w:top w:val="nil"/>
              <w:left w:val="nil"/>
              <w:bottom w:val="single" w:sz="4" w:space="0" w:color="auto"/>
              <w:right w:val="single" w:sz="4" w:space="0" w:color="BFBFBF"/>
            </w:tcBorders>
            <w:shd w:val="clear" w:color="000000" w:fill="F2F2F2"/>
            <w:noWrap/>
            <w:vAlign w:val="center"/>
            <w:hideMark/>
          </w:tcPr>
          <w:p w14:paraId="70201CA6"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11.3%</w:t>
            </w:r>
          </w:p>
        </w:tc>
        <w:tc>
          <w:tcPr>
            <w:tcW w:w="2280" w:type="dxa"/>
            <w:tcBorders>
              <w:top w:val="nil"/>
              <w:left w:val="nil"/>
              <w:bottom w:val="single" w:sz="4" w:space="0" w:color="auto"/>
              <w:right w:val="single" w:sz="4" w:space="0" w:color="auto"/>
            </w:tcBorders>
            <w:shd w:val="clear" w:color="000000" w:fill="F2F2F2"/>
            <w:noWrap/>
            <w:vAlign w:val="center"/>
            <w:hideMark/>
          </w:tcPr>
          <w:p w14:paraId="1AF7F8CE" w14:textId="77777777" w:rsidR="00925B5C" w:rsidRPr="00934F2C" w:rsidRDefault="00925B5C" w:rsidP="00925B5C">
            <w:pPr>
              <w:jc w:val="right"/>
              <w:rPr>
                <w:rFonts w:eastAsia="Times New Roman"/>
                <w:color w:val="C00000"/>
                <w:sz w:val="18"/>
                <w:szCs w:val="18"/>
              </w:rPr>
            </w:pPr>
            <w:r w:rsidRPr="00934F2C">
              <w:rPr>
                <w:rFonts w:eastAsia="Times New Roman"/>
                <w:color w:val="C00000"/>
                <w:sz w:val="18"/>
                <w:szCs w:val="18"/>
              </w:rPr>
              <w:t>13.0%</w:t>
            </w:r>
          </w:p>
        </w:tc>
      </w:tr>
    </w:tbl>
    <w:p w14:paraId="3B37A7A0" w14:textId="010C7041" w:rsidR="009847DD" w:rsidRDefault="00050812" w:rsidP="00B92D48">
      <w:pPr>
        <w:pStyle w:val="Source"/>
      </w:pPr>
      <w:r>
        <w:t xml:space="preserve">Source: derived from </w:t>
      </w:r>
      <w:r w:rsidR="009206BD">
        <w:t xml:space="preserve">Statistics Canada Table </w:t>
      </w:r>
      <w:r w:rsidR="009206BD" w:rsidRPr="009206BD">
        <w:t>46-10-0090</w:t>
      </w:r>
    </w:p>
    <w:p w14:paraId="1ECA456B" w14:textId="77777777" w:rsidR="009847DD" w:rsidRDefault="009847DD" w:rsidP="009847DD"/>
    <w:p w14:paraId="329E1971" w14:textId="0E5ED4FD" w:rsidR="002C466A" w:rsidRDefault="002C466A" w:rsidP="002C466A">
      <w:pPr>
        <w:jc w:val="both"/>
      </w:pPr>
      <w:r w:rsidRPr="002C466A">
        <w:t>The combined housing and transportation share is the most policy-relevant figure in the table, as it captures the full cost of shelter and access that households must sustain from income. Where the local combined share exceeds regional and provincial comparators, it indicates that households are absorbing a disproportionate cost burden across both categories</w:t>
      </w:r>
      <w:r>
        <w:t>. This is</w:t>
      </w:r>
      <w:r w:rsidRPr="002C466A">
        <w:t xml:space="preserve"> a condition that compounds affordability stress beyond what housing metrics alone would reveal. The relative contribution of each component is equally informative: a high combined share driven primarily by housing points to a market access problem, while a high combined share driven primarily by transportation may reflect a spatial mismatch between where affordable housing is located and where employment and services are concentrated.</w:t>
      </w:r>
    </w:p>
    <w:p w14:paraId="00EEB1ED" w14:textId="77777777" w:rsidR="002C466A" w:rsidRDefault="002C466A" w:rsidP="002C466A">
      <w:pPr>
        <w:jc w:val="both"/>
      </w:pPr>
    </w:p>
    <w:p w14:paraId="3D9591BE" w14:textId="785C42AF" w:rsidR="00EF478C" w:rsidRDefault="00EF478C" w:rsidP="00EF478C">
      <w:pPr>
        <w:pStyle w:val="Heading2"/>
      </w:pPr>
      <w:bookmarkStart w:id="103" w:name="_Toc237355958"/>
      <w:r>
        <w:t>PUBLIC TRANSIT ACCESS</w:t>
      </w:r>
      <w:bookmarkEnd w:id="103"/>
    </w:p>
    <w:p w14:paraId="6D838E2D" w14:textId="4E9C44DB" w:rsidR="00342BBA" w:rsidRDefault="00462E8C" w:rsidP="00462E8C">
      <w:pPr>
        <w:jc w:val="both"/>
      </w:pPr>
      <w:r w:rsidRPr="00462E8C">
        <w:t xml:space="preserve">Access to public transit is a meaningful determinant of housing affordability in communities where service exists, as it directly shapes whether households can reduce or avoid vehicle ownership </w:t>
      </w:r>
      <w:r>
        <w:t>(</w:t>
      </w:r>
      <w:r w:rsidRPr="00462E8C">
        <w:t>one of the largest discretionary expenditure categories available to lower-income households</w:t>
      </w:r>
      <w:r w:rsidR="00972BFD">
        <w:t>)</w:t>
      </w:r>
      <w:r w:rsidRPr="00462E8C">
        <w:t xml:space="preserve">. </w:t>
      </w:r>
      <w:r w:rsidR="00342BBA" w:rsidRPr="00886D1D">
        <w:rPr>
          <w:rStyle w:val="Figure-textChar"/>
        </w:rPr>
        <w:fldChar w:fldCharType="begin"/>
      </w:r>
      <w:r w:rsidR="00342BBA" w:rsidRPr="00886D1D">
        <w:rPr>
          <w:rStyle w:val="Figure-textChar"/>
        </w:rPr>
        <w:instrText xml:space="preserve"> REF _Ref225762885 \h </w:instrText>
      </w:r>
      <w:r w:rsidR="00886D1D">
        <w:rPr>
          <w:rStyle w:val="Figure-textChar"/>
        </w:rPr>
        <w:instrText xml:space="preserve"> \* MERGEFORMAT </w:instrText>
      </w:r>
      <w:r w:rsidR="00342BBA" w:rsidRPr="00886D1D">
        <w:rPr>
          <w:rStyle w:val="Figure-textChar"/>
        </w:rPr>
      </w:r>
      <w:r w:rsidR="00342BBA" w:rsidRPr="00886D1D">
        <w:rPr>
          <w:rStyle w:val="Figure-textChar"/>
        </w:rPr>
        <w:fldChar w:fldCharType="separate"/>
      </w:r>
      <w:r w:rsidR="00CA6116" w:rsidRPr="00CA6116">
        <w:rPr>
          <w:rStyle w:val="Figure-textChar"/>
        </w:rPr>
        <w:t>Table 9.3</w:t>
      </w:r>
      <w:r w:rsidR="00342BBA" w:rsidRPr="00886D1D">
        <w:rPr>
          <w:rStyle w:val="Figure-textChar"/>
        </w:rPr>
        <w:fldChar w:fldCharType="end"/>
      </w:r>
      <w:r w:rsidR="00342BBA" w:rsidRPr="00342BBA">
        <w:t xml:space="preserve"> presents the share of select population groups living within 500 metres of all transit and 800 metres of high-capacity transit locally and provincially, using 2024 data from Statistics Canada.</w:t>
      </w:r>
      <w:r w:rsidR="00F44C0C">
        <w:t xml:space="preserve"> Note that provincial data only includes communities that have a regularly scheduled public transit service </w:t>
      </w:r>
      <w:r w:rsidR="00FD32D9">
        <w:t xml:space="preserve">and </w:t>
      </w:r>
      <w:r w:rsidR="003F019F">
        <w:t>where</w:t>
      </w:r>
      <w:r w:rsidR="00FD32D9">
        <w:t xml:space="preserve"> its geospatial data was available.</w:t>
      </w:r>
    </w:p>
    <w:p w14:paraId="018E34EC" w14:textId="77777777" w:rsidR="00E40D91" w:rsidRDefault="00E40D91" w:rsidP="00EF478C"/>
    <w:p w14:paraId="386F67B8" w14:textId="5B5FF954" w:rsidR="00CE781B" w:rsidRDefault="00CE781B" w:rsidP="00CE781B">
      <w:pPr>
        <w:pStyle w:val="Caption"/>
      </w:pPr>
      <w:bookmarkStart w:id="104" w:name="_Ref225762885"/>
      <w:r>
        <w:t xml:space="preserve">Table </w:t>
      </w:r>
      <w:fldSimple w:instr=" STYLEREF 1 \s ">
        <w:r w:rsidR="005E459C">
          <w:rPr>
            <w:noProof/>
          </w:rPr>
          <w:t>9</w:t>
        </w:r>
      </w:fldSimple>
      <w:r w:rsidR="00BD4359">
        <w:t>.</w:t>
      </w:r>
      <w:fldSimple w:instr=" SEQ Table \* ARABIC \s 1 ">
        <w:r w:rsidR="005E459C">
          <w:rPr>
            <w:noProof/>
          </w:rPr>
          <w:t>3</w:t>
        </w:r>
      </w:fldSimple>
      <w:bookmarkEnd w:id="104"/>
      <w:r>
        <w:t>: Share of population within select transit service areas</w:t>
      </w:r>
      <w:r w:rsidR="00BB24AD">
        <w:t>*</w:t>
      </w:r>
      <w:r w:rsidR="00664A15">
        <w:t xml:space="preserve"> by geography</w:t>
      </w:r>
      <w:r>
        <w:t>, 2024</w:t>
      </w:r>
    </w:p>
    <w:tbl>
      <w:tblPr>
        <w:tblW w:w="9355" w:type="dxa"/>
        <w:tblLayout w:type="fixed"/>
        <w:tblLook w:val="04A0" w:firstRow="1" w:lastRow="0" w:firstColumn="1" w:lastColumn="0" w:noHBand="0" w:noVBand="1"/>
      </w:tblPr>
      <w:tblGrid>
        <w:gridCol w:w="2846"/>
        <w:gridCol w:w="1627"/>
        <w:gridCol w:w="1627"/>
        <w:gridCol w:w="1627"/>
        <w:gridCol w:w="1628"/>
      </w:tblGrid>
      <w:tr w:rsidR="00EF478C" w:rsidRPr="00177E8C" w14:paraId="2484662A" w14:textId="77777777" w:rsidTr="003C59F9">
        <w:trPr>
          <w:trHeight w:val="402"/>
          <w:tblHeader/>
        </w:trPr>
        <w:tc>
          <w:tcPr>
            <w:tcW w:w="2846" w:type="dxa"/>
            <w:tcBorders>
              <w:top w:val="nil"/>
              <w:left w:val="nil"/>
              <w:bottom w:val="nil"/>
              <w:right w:val="nil"/>
            </w:tcBorders>
            <w:noWrap/>
            <w:vAlign w:val="bottom"/>
            <w:hideMark/>
          </w:tcPr>
          <w:p w14:paraId="108AF674" w14:textId="77777777" w:rsidR="00EF478C" w:rsidRPr="00177E8C" w:rsidRDefault="00EF478C" w:rsidP="00D4310B">
            <w:pPr>
              <w:rPr>
                <w:rFonts w:ascii="Times New Roman" w:eastAsia="Times New Roman" w:hAnsi="Times New Roman" w:cs="Times New Roman"/>
                <w:sz w:val="24"/>
                <w:szCs w:val="24"/>
              </w:rPr>
            </w:pPr>
          </w:p>
        </w:tc>
        <w:tc>
          <w:tcPr>
            <w:tcW w:w="3254"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3E1D6F59" w14:textId="77777777" w:rsidR="00EF478C" w:rsidRPr="00177E8C" w:rsidRDefault="00EF478C" w:rsidP="00D4310B">
            <w:pPr>
              <w:jc w:val="center"/>
              <w:rPr>
                <w:rFonts w:eastAsia="Times New Roman"/>
                <w:color w:val="FFFFFF"/>
                <w:sz w:val="18"/>
                <w:szCs w:val="18"/>
              </w:rPr>
            </w:pPr>
            <w:r w:rsidRPr="00177E8C">
              <w:rPr>
                <w:rFonts w:eastAsia="Times New Roman"/>
                <w:color w:val="FFFFFF"/>
                <w:sz w:val="18"/>
                <w:szCs w:val="18"/>
              </w:rPr>
              <w:t>Local</w:t>
            </w:r>
          </w:p>
        </w:tc>
        <w:tc>
          <w:tcPr>
            <w:tcW w:w="3255"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0A456D72" w14:textId="77777777" w:rsidR="00EF478C" w:rsidRPr="00177E8C" w:rsidRDefault="00EF478C" w:rsidP="00D4310B">
            <w:pPr>
              <w:jc w:val="center"/>
              <w:rPr>
                <w:rFonts w:eastAsia="Times New Roman"/>
                <w:color w:val="FFFFFF"/>
                <w:sz w:val="18"/>
                <w:szCs w:val="18"/>
              </w:rPr>
            </w:pPr>
            <w:r w:rsidRPr="00177E8C">
              <w:rPr>
                <w:rFonts w:eastAsia="Times New Roman"/>
                <w:color w:val="FFFFFF"/>
                <w:sz w:val="18"/>
                <w:szCs w:val="18"/>
              </w:rPr>
              <w:t>Province</w:t>
            </w:r>
          </w:p>
        </w:tc>
      </w:tr>
      <w:tr w:rsidR="00CE781B" w:rsidRPr="00177E8C" w14:paraId="3F5CA051" w14:textId="77777777" w:rsidTr="003C59F9">
        <w:trPr>
          <w:trHeight w:val="530"/>
          <w:tblHeader/>
        </w:trPr>
        <w:tc>
          <w:tcPr>
            <w:tcW w:w="2846"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06501222" w14:textId="7F9779AE" w:rsidR="00CE781B" w:rsidRPr="00177E8C" w:rsidRDefault="00CE781B" w:rsidP="00CE781B">
            <w:pPr>
              <w:rPr>
                <w:rFonts w:eastAsia="Times New Roman"/>
                <w:color w:val="FFFFFF"/>
                <w:sz w:val="18"/>
                <w:szCs w:val="18"/>
              </w:rPr>
            </w:pPr>
            <w:r w:rsidRPr="00177E8C">
              <w:rPr>
                <w:rFonts w:eastAsia="Times New Roman"/>
                <w:color w:val="FFFFFF"/>
                <w:sz w:val="18"/>
                <w:szCs w:val="18"/>
              </w:rPr>
              <w:t>Population</w:t>
            </w:r>
            <w:r w:rsidR="000727B4">
              <w:rPr>
                <w:rFonts w:eastAsia="Times New Roman"/>
                <w:color w:val="FFFFFF"/>
                <w:sz w:val="18"/>
                <w:szCs w:val="18"/>
              </w:rPr>
              <w:t xml:space="preserve"> group</w:t>
            </w:r>
          </w:p>
        </w:tc>
        <w:tc>
          <w:tcPr>
            <w:tcW w:w="1627" w:type="dxa"/>
            <w:tcBorders>
              <w:top w:val="nil"/>
              <w:left w:val="nil"/>
              <w:bottom w:val="single" w:sz="4" w:space="0" w:color="auto"/>
              <w:right w:val="single" w:sz="4" w:space="0" w:color="BFBFBF"/>
            </w:tcBorders>
            <w:shd w:val="clear" w:color="auto" w:fill="CFD9E3" w:themeFill="accent1"/>
            <w:noWrap/>
            <w:vAlign w:val="center"/>
            <w:hideMark/>
          </w:tcPr>
          <w:p w14:paraId="48D450A8" w14:textId="5E68B1C3" w:rsidR="00CE781B" w:rsidRPr="00177E8C" w:rsidRDefault="00CE781B" w:rsidP="00CE781B">
            <w:pPr>
              <w:jc w:val="right"/>
              <w:rPr>
                <w:rFonts w:eastAsia="Times New Roman"/>
                <w:sz w:val="18"/>
                <w:szCs w:val="18"/>
              </w:rPr>
            </w:pPr>
            <w:r w:rsidRPr="00177E8C">
              <w:rPr>
                <w:rFonts w:eastAsia="Times New Roman"/>
                <w:sz w:val="18"/>
                <w:szCs w:val="18"/>
              </w:rPr>
              <w:t>500m from all</w:t>
            </w:r>
            <w:r>
              <w:rPr>
                <w:rFonts w:eastAsia="Times New Roman"/>
                <w:sz w:val="18"/>
                <w:szCs w:val="18"/>
              </w:rPr>
              <w:t>*</w:t>
            </w:r>
            <w:r w:rsidR="00BB24AD">
              <w:rPr>
                <w:rFonts w:eastAsia="Times New Roman"/>
                <w:sz w:val="18"/>
                <w:szCs w:val="18"/>
              </w:rPr>
              <w:t>*</w:t>
            </w:r>
            <w:r w:rsidRPr="00177E8C">
              <w:rPr>
                <w:rFonts w:eastAsia="Times New Roman"/>
                <w:sz w:val="18"/>
                <w:szCs w:val="18"/>
              </w:rPr>
              <w:t xml:space="preserve"> transit</w:t>
            </w:r>
          </w:p>
        </w:tc>
        <w:tc>
          <w:tcPr>
            <w:tcW w:w="1627" w:type="dxa"/>
            <w:tcBorders>
              <w:top w:val="nil"/>
              <w:left w:val="nil"/>
              <w:bottom w:val="single" w:sz="4" w:space="0" w:color="auto"/>
              <w:right w:val="single" w:sz="4" w:space="0" w:color="auto"/>
            </w:tcBorders>
            <w:shd w:val="clear" w:color="auto" w:fill="CFD9E3" w:themeFill="accent1"/>
            <w:noWrap/>
            <w:vAlign w:val="center"/>
            <w:hideMark/>
          </w:tcPr>
          <w:p w14:paraId="1427209D" w14:textId="717863F2" w:rsidR="00CE781B" w:rsidRPr="00177E8C" w:rsidRDefault="00CE781B" w:rsidP="00CE781B">
            <w:pPr>
              <w:jc w:val="right"/>
              <w:rPr>
                <w:rFonts w:eastAsia="Times New Roman"/>
                <w:sz w:val="18"/>
                <w:szCs w:val="18"/>
              </w:rPr>
            </w:pPr>
            <w:r w:rsidRPr="00177E8C">
              <w:rPr>
                <w:rFonts w:eastAsia="Times New Roman"/>
                <w:sz w:val="18"/>
                <w:szCs w:val="18"/>
              </w:rPr>
              <w:t>800m from high-capacity</w:t>
            </w:r>
            <w:r w:rsidR="00BB24AD">
              <w:rPr>
                <w:rFonts w:eastAsia="Times New Roman"/>
                <w:sz w:val="18"/>
                <w:szCs w:val="18"/>
              </w:rPr>
              <w:t>*</w:t>
            </w:r>
            <w:r>
              <w:rPr>
                <w:rFonts w:eastAsia="Times New Roman"/>
                <w:sz w:val="18"/>
                <w:szCs w:val="18"/>
              </w:rPr>
              <w:t>*</w:t>
            </w:r>
            <w:r w:rsidRPr="00177E8C">
              <w:rPr>
                <w:rFonts w:eastAsia="Times New Roman"/>
                <w:sz w:val="18"/>
                <w:szCs w:val="18"/>
              </w:rPr>
              <w:t xml:space="preserve"> transit</w:t>
            </w:r>
          </w:p>
        </w:tc>
        <w:tc>
          <w:tcPr>
            <w:tcW w:w="1627" w:type="dxa"/>
            <w:tcBorders>
              <w:top w:val="nil"/>
              <w:left w:val="nil"/>
              <w:bottom w:val="single" w:sz="4" w:space="0" w:color="auto"/>
              <w:right w:val="single" w:sz="4" w:space="0" w:color="BFBFBF"/>
            </w:tcBorders>
            <w:shd w:val="clear" w:color="auto" w:fill="CFD9E3" w:themeFill="accent1"/>
            <w:noWrap/>
            <w:vAlign w:val="center"/>
            <w:hideMark/>
          </w:tcPr>
          <w:p w14:paraId="3C1AE9DF" w14:textId="329F4083" w:rsidR="00CE781B" w:rsidRPr="00177E8C" w:rsidRDefault="00CE781B" w:rsidP="00CE781B">
            <w:pPr>
              <w:jc w:val="right"/>
              <w:rPr>
                <w:rFonts w:eastAsia="Times New Roman"/>
                <w:sz w:val="18"/>
                <w:szCs w:val="18"/>
              </w:rPr>
            </w:pPr>
            <w:r w:rsidRPr="00177E8C">
              <w:rPr>
                <w:rFonts w:eastAsia="Times New Roman"/>
                <w:sz w:val="18"/>
                <w:szCs w:val="18"/>
              </w:rPr>
              <w:t>500m from all</w:t>
            </w:r>
            <w:r>
              <w:rPr>
                <w:rFonts w:eastAsia="Times New Roman"/>
                <w:sz w:val="18"/>
                <w:szCs w:val="18"/>
              </w:rPr>
              <w:t>*</w:t>
            </w:r>
            <w:r w:rsidR="00BB24AD">
              <w:rPr>
                <w:rFonts w:eastAsia="Times New Roman"/>
                <w:sz w:val="18"/>
                <w:szCs w:val="18"/>
              </w:rPr>
              <w:t>*</w:t>
            </w:r>
            <w:r w:rsidRPr="00177E8C">
              <w:rPr>
                <w:rFonts w:eastAsia="Times New Roman"/>
                <w:sz w:val="18"/>
                <w:szCs w:val="18"/>
              </w:rPr>
              <w:t xml:space="preserve"> transit</w:t>
            </w:r>
          </w:p>
        </w:tc>
        <w:tc>
          <w:tcPr>
            <w:tcW w:w="1628" w:type="dxa"/>
            <w:tcBorders>
              <w:top w:val="nil"/>
              <w:left w:val="nil"/>
              <w:bottom w:val="single" w:sz="4" w:space="0" w:color="auto"/>
              <w:right w:val="single" w:sz="4" w:space="0" w:color="auto"/>
            </w:tcBorders>
            <w:shd w:val="clear" w:color="auto" w:fill="CFD9E3" w:themeFill="accent1"/>
            <w:noWrap/>
            <w:vAlign w:val="center"/>
            <w:hideMark/>
          </w:tcPr>
          <w:p w14:paraId="6F8AEABF" w14:textId="36EFCBAD" w:rsidR="00CE781B" w:rsidRPr="00177E8C" w:rsidRDefault="00CE781B" w:rsidP="00CE781B">
            <w:pPr>
              <w:jc w:val="right"/>
              <w:rPr>
                <w:rFonts w:eastAsia="Times New Roman"/>
                <w:sz w:val="18"/>
                <w:szCs w:val="18"/>
              </w:rPr>
            </w:pPr>
            <w:r w:rsidRPr="00177E8C">
              <w:rPr>
                <w:rFonts w:eastAsia="Times New Roman"/>
                <w:sz w:val="18"/>
                <w:szCs w:val="18"/>
              </w:rPr>
              <w:t>800m from high-capacity</w:t>
            </w:r>
            <w:r>
              <w:rPr>
                <w:rFonts w:eastAsia="Times New Roman"/>
                <w:sz w:val="18"/>
                <w:szCs w:val="18"/>
              </w:rPr>
              <w:t>*</w:t>
            </w:r>
            <w:r w:rsidR="00BB24AD">
              <w:rPr>
                <w:rFonts w:eastAsia="Times New Roman"/>
                <w:sz w:val="18"/>
                <w:szCs w:val="18"/>
              </w:rPr>
              <w:t>8</w:t>
            </w:r>
            <w:r w:rsidRPr="00177E8C">
              <w:rPr>
                <w:rFonts w:eastAsia="Times New Roman"/>
                <w:sz w:val="18"/>
                <w:szCs w:val="18"/>
              </w:rPr>
              <w:t xml:space="preserve"> transit</w:t>
            </w:r>
          </w:p>
        </w:tc>
      </w:tr>
      <w:tr w:rsidR="00EF478C" w:rsidRPr="00177E8C" w14:paraId="4B08432E" w14:textId="77777777" w:rsidTr="00D4310B">
        <w:trPr>
          <w:trHeight w:val="402"/>
        </w:trPr>
        <w:tc>
          <w:tcPr>
            <w:tcW w:w="2846" w:type="dxa"/>
            <w:tcBorders>
              <w:top w:val="nil"/>
              <w:left w:val="single" w:sz="4" w:space="0" w:color="auto"/>
              <w:bottom w:val="single" w:sz="4" w:space="0" w:color="auto"/>
              <w:right w:val="single" w:sz="4" w:space="0" w:color="auto"/>
            </w:tcBorders>
            <w:shd w:val="clear" w:color="000000" w:fill="F2F2F2"/>
            <w:noWrap/>
            <w:vAlign w:val="center"/>
            <w:hideMark/>
          </w:tcPr>
          <w:p w14:paraId="5F7F11E0" w14:textId="77777777" w:rsidR="00EF478C" w:rsidRPr="00177E8C" w:rsidRDefault="00EF478C" w:rsidP="00D4310B">
            <w:pPr>
              <w:rPr>
                <w:rFonts w:eastAsia="Times New Roman"/>
                <w:color w:val="000000"/>
                <w:sz w:val="18"/>
                <w:szCs w:val="18"/>
              </w:rPr>
            </w:pPr>
            <w:r w:rsidRPr="00177E8C">
              <w:rPr>
                <w:rFonts w:eastAsia="Times New Roman"/>
                <w:color w:val="000000"/>
                <w:sz w:val="18"/>
                <w:szCs w:val="18"/>
              </w:rPr>
              <w:t>Total population</w:t>
            </w:r>
          </w:p>
        </w:tc>
        <w:tc>
          <w:tcPr>
            <w:tcW w:w="1627" w:type="dxa"/>
            <w:tcBorders>
              <w:top w:val="nil"/>
              <w:left w:val="nil"/>
              <w:bottom w:val="single" w:sz="4" w:space="0" w:color="auto"/>
              <w:right w:val="single" w:sz="4" w:space="0" w:color="BFBFBF"/>
            </w:tcBorders>
            <w:shd w:val="clear" w:color="000000" w:fill="F2F2F2"/>
            <w:noWrap/>
            <w:vAlign w:val="center"/>
            <w:hideMark/>
          </w:tcPr>
          <w:p w14:paraId="28DD9F09"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19.5%</w:t>
            </w:r>
          </w:p>
        </w:tc>
        <w:tc>
          <w:tcPr>
            <w:tcW w:w="1627" w:type="dxa"/>
            <w:tcBorders>
              <w:top w:val="nil"/>
              <w:left w:val="nil"/>
              <w:bottom w:val="single" w:sz="4" w:space="0" w:color="auto"/>
              <w:right w:val="single" w:sz="4" w:space="0" w:color="auto"/>
            </w:tcBorders>
            <w:shd w:val="clear" w:color="000000" w:fill="F2F2F2"/>
            <w:noWrap/>
            <w:vAlign w:val="center"/>
            <w:hideMark/>
          </w:tcPr>
          <w:p w14:paraId="592ADBE2"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auto"/>
              <w:right w:val="single" w:sz="4" w:space="0" w:color="BFBFBF"/>
            </w:tcBorders>
            <w:shd w:val="clear" w:color="000000" w:fill="F2F2F2"/>
            <w:noWrap/>
            <w:vAlign w:val="center"/>
            <w:hideMark/>
          </w:tcPr>
          <w:p w14:paraId="5C424F1B"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14.4%</w:t>
            </w:r>
          </w:p>
        </w:tc>
        <w:tc>
          <w:tcPr>
            <w:tcW w:w="1628" w:type="dxa"/>
            <w:tcBorders>
              <w:top w:val="nil"/>
              <w:left w:val="nil"/>
              <w:bottom w:val="single" w:sz="4" w:space="0" w:color="auto"/>
              <w:right w:val="single" w:sz="4" w:space="0" w:color="auto"/>
            </w:tcBorders>
            <w:shd w:val="clear" w:color="000000" w:fill="F2F2F2"/>
            <w:noWrap/>
            <w:vAlign w:val="center"/>
            <w:hideMark/>
          </w:tcPr>
          <w:p w14:paraId="76E1AF20" w14:textId="58B1C56D" w:rsidR="00EF478C" w:rsidRPr="00934F2C" w:rsidRDefault="00BB24AD" w:rsidP="00D4310B">
            <w:pPr>
              <w:jc w:val="right"/>
              <w:rPr>
                <w:rFonts w:eastAsia="Times New Roman"/>
                <w:color w:val="C00000"/>
                <w:sz w:val="18"/>
                <w:szCs w:val="18"/>
              </w:rPr>
            </w:pPr>
            <w:r w:rsidRPr="00934F2C">
              <w:rPr>
                <w:rFonts w:eastAsia="Times New Roman"/>
                <w:color w:val="C00000"/>
                <w:sz w:val="18"/>
                <w:szCs w:val="18"/>
              </w:rPr>
              <w:t>X</w:t>
            </w:r>
          </w:p>
        </w:tc>
      </w:tr>
      <w:tr w:rsidR="00EF478C" w:rsidRPr="00177E8C" w14:paraId="28B817C5" w14:textId="77777777" w:rsidTr="00D4310B">
        <w:trPr>
          <w:trHeight w:val="402"/>
        </w:trPr>
        <w:tc>
          <w:tcPr>
            <w:tcW w:w="2846" w:type="dxa"/>
            <w:tcBorders>
              <w:top w:val="nil"/>
              <w:left w:val="single" w:sz="4" w:space="0" w:color="auto"/>
              <w:bottom w:val="single" w:sz="4" w:space="0" w:color="BFBFBF"/>
              <w:right w:val="single" w:sz="4" w:space="0" w:color="auto"/>
            </w:tcBorders>
            <w:noWrap/>
            <w:vAlign w:val="center"/>
            <w:hideMark/>
          </w:tcPr>
          <w:p w14:paraId="17060C90" w14:textId="77777777" w:rsidR="00EF478C" w:rsidRPr="00177E8C" w:rsidRDefault="00EF478C" w:rsidP="00D4310B">
            <w:pPr>
              <w:rPr>
                <w:rFonts w:eastAsia="Times New Roman"/>
                <w:color w:val="000000"/>
                <w:sz w:val="18"/>
                <w:szCs w:val="18"/>
              </w:rPr>
            </w:pPr>
            <w:r w:rsidRPr="00177E8C">
              <w:rPr>
                <w:rFonts w:eastAsia="Times New Roman"/>
                <w:color w:val="000000"/>
                <w:sz w:val="18"/>
                <w:szCs w:val="18"/>
              </w:rPr>
              <w:t>15 to 19 year olds</w:t>
            </w:r>
          </w:p>
        </w:tc>
        <w:tc>
          <w:tcPr>
            <w:tcW w:w="1627" w:type="dxa"/>
            <w:tcBorders>
              <w:top w:val="nil"/>
              <w:left w:val="nil"/>
              <w:bottom w:val="single" w:sz="4" w:space="0" w:color="BFBFBF"/>
              <w:right w:val="single" w:sz="4" w:space="0" w:color="BFBFBF"/>
            </w:tcBorders>
            <w:noWrap/>
            <w:vAlign w:val="center"/>
            <w:hideMark/>
          </w:tcPr>
          <w:p w14:paraId="5E1CA369"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16.3%</w:t>
            </w:r>
          </w:p>
        </w:tc>
        <w:tc>
          <w:tcPr>
            <w:tcW w:w="1627" w:type="dxa"/>
            <w:tcBorders>
              <w:top w:val="nil"/>
              <w:left w:val="nil"/>
              <w:bottom w:val="single" w:sz="4" w:space="0" w:color="BFBFBF"/>
              <w:right w:val="single" w:sz="4" w:space="0" w:color="auto"/>
            </w:tcBorders>
            <w:noWrap/>
            <w:vAlign w:val="center"/>
            <w:hideMark/>
          </w:tcPr>
          <w:p w14:paraId="0BB5EEB4"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BFBFBF"/>
              <w:right w:val="single" w:sz="4" w:space="0" w:color="BFBFBF"/>
            </w:tcBorders>
            <w:noWrap/>
            <w:vAlign w:val="center"/>
            <w:hideMark/>
          </w:tcPr>
          <w:p w14:paraId="5D933705"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12.1%</w:t>
            </w:r>
          </w:p>
        </w:tc>
        <w:tc>
          <w:tcPr>
            <w:tcW w:w="1628" w:type="dxa"/>
            <w:tcBorders>
              <w:top w:val="nil"/>
              <w:left w:val="nil"/>
              <w:bottom w:val="single" w:sz="4" w:space="0" w:color="BFBFBF"/>
              <w:right w:val="single" w:sz="4" w:space="0" w:color="auto"/>
            </w:tcBorders>
            <w:noWrap/>
            <w:vAlign w:val="center"/>
            <w:hideMark/>
          </w:tcPr>
          <w:p w14:paraId="73B2AD87"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r>
      <w:tr w:rsidR="00EF478C" w:rsidRPr="00177E8C" w14:paraId="1896FF79" w14:textId="77777777" w:rsidTr="00D4310B">
        <w:trPr>
          <w:trHeight w:val="402"/>
        </w:trPr>
        <w:tc>
          <w:tcPr>
            <w:tcW w:w="2846" w:type="dxa"/>
            <w:tcBorders>
              <w:top w:val="nil"/>
              <w:left w:val="single" w:sz="4" w:space="0" w:color="auto"/>
              <w:bottom w:val="single" w:sz="4" w:space="0" w:color="BFBFBF"/>
              <w:right w:val="single" w:sz="4" w:space="0" w:color="auto"/>
            </w:tcBorders>
            <w:shd w:val="clear" w:color="000000" w:fill="F2F2F2"/>
            <w:noWrap/>
            <w:vAlign w:val="center"/>
            <w:hideMark/>
          </w:tcPr>
          <w:p w14:paraId="3974A0A1" w14:textId="77777777" w:rsidR="00EF478C" w:rsidRPr="00177E8C" w:rsidRDefault="00EF478C" w:rsidP="00D4310B">
            <w:pPr>
              <w:rPr>
                <w:rFonts w:eastAsia="Times New Roman"/>
                <w:color w:val="000000"/>
                <w:sz w:val="18"/>
                <w:szCs w:val="18"/>
              </w:rPr>
            </w:pPr>
            <w:r w:rsidRPr="00177E8C">
              <w:rPr>
                <w:rFonts w:eastAsia="Times New Roman"/>
                <w:color w:val="000000"/>
                <w:sz w:val="18"/>
                <w:szCs w:val="18"/>
              </w:rPr>
              <w:t>20 to 24 year olds</w:t>
            </w:r>
          </w:p>
        </w:tc>
        <w:tc>
          <w:tcPr>
            <w:tcW w:w="1627" w:type="dxa"/>
            <w:tcBorders>
              <w:top w:val="nil"/>
              <w:left w:val="nil"/>
              <w:bottom w:val="single" w:sz="4" w:space="0" w:color="BFBFBF"/>
              <w:right w:val="single" w:sz="4" w:space="0" w:color="BFBFBF"/>
            </w:tcBorders>
            <w:shd w:val="clear" w:color="000000" w:fill="F2F2F2"/>
            <w:noWrap/>
            <w:vAlign w:val="center"/>
            <w:hideMark/>
          </w:tcPr>
          <w:p w14:paraId="4A4325F1"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30.8%</w:t>
            </w:r>
          </w:p>
        </w:tc>
        <w:tc>
          <w:tcPr>
            <w:tcW w:w="1627" w:type="dxa"/>
            <w:tcBorders>
              <w:top w:val="nil"/>
              <w:left w:val="nil"/>
              <w:bottom w:val="single" w:sz="4" w:space="0" w:color="BFBFBF"/>
              <w:right w:val="single" w:sz="4" w:space="0" w:color="auto"/>
            </w:tcBorders>
            <w:shd w:val="clear" w:color="000000" w:fill="F2F2F2"/>
            <w:noWrap/>
            <w:vAlign w:val="center"/>
            <w:hideMark/>
          </w:tcPr>
          <w:p w14:paraId="0D136625"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BFBFBF"/>
              <w:right w:val="single" w:sz="4" w:space="0" w:color="BFBFBF"/>
            </w:tcBorders>
            <w:shd w:val="clear" w:color="000000" w:fill="F2F2F2"/>
            <w:noWrap/>
            <w:vAlign w:val="center"/>
            <w:hideMark/>
          </w:tcPr>
          <w:p w14:paraId="3C4259E1"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20.8%</w:t>
            </w:r>
          </w:p>
        </w:tc>
        <w:tc>
          <w:tcPr>
            <w:tcW w:w="1628" w:type="dxa"/>
            <w:tcBorders>
              <w:top w:val="nil"/>
              <w:left w:val="nil"/>
              <w:bottom w:val="single" w:sz="4" w:space="0" w:color="BFBFBF"/>
              <w:right w:val="single" w:sz="4" w:space="0" w:color="auto"/>
            </w:tcBorders>
            <w:shd w:val="clear" w:color="000000" w:fill="F2F2F2"/>
            <w:noWrap/>
            <w:vAlign w:val="center"/>
            <w:hideMark/>
          </w:tcPr>
          <w:p w14:paraId="587EEEAB"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r>
      <w:tr w:rsidR="00EF478C" w:rsidRPr="00177E8C" w14:paraId="6E1DB73D" w14:textId="77777777" w:rsidTr="00D4310B">
        <w:trPr>
          <w:trHeight w:val="402"/>
        </w:trPr>
        <w:tc>
          <w:tcPr>
            <w:tcW w:w="2846" w:type="dxa"/>
            <w:tcBorders>
              <w:top w:val="nil"/>
              <w:left w:val="single" w:sz="4" w:space="0" w:color="auto"/>
              <w:bottom w:val="single" w:sz="4" w:space="0" w:color="BFBFBF"/>
              <w:right w:val="single" w:sz="4" w:space="0" w:color="auto"/>
            </w:tcBorders>
            <w:noWrap/>
            <w:vAlign w:val="center"/>
            <w:hideMark/>
          </w:tcPr>
          <w:p w14:paraId="73D38744" w14:textId="47DDF08D" w:rsidR="00EF478C" w:rsidRPr="00177E8C" w:rsidRDefault="005E6C37" w:rsidP="00D4310B">
            <w:pPr>
              <w:rPr>
                <w:rFonts w:eastAsia="Times New Roman"/>
                <w:color w:val="000000"/>
                <w:sz w:val="18"/>
                <w:szCs w:val="18"/>
              </w:rPr>
            </w:pPr>
            <w:r>
              <w:rPr>
                <w:rFonts w:eastAsia="Times New Roman"/>
                <w:color w:val="000000"/>
                <w:sz w:val="18"/>
                <w:szCs w:val="18"/>
              </w:rPr>
              <w:t>Low-income</w:t>
            </w:r>
            <w:r w:rsidR="00EF478C" w:rsidRPr="00177E8C">
              <w:rPr>
                <w:rFonts w:eastAsia="Times New Roman"/>
                <w:color w:val="000000"/>
                <w:sz w:val="18"/>
                <w:szCs w:val="18"/>
              </w:rPr>
              <w:t xml:space="preserve"> persons</w:t>
            </w:r>
          </w:p>
        </w:tc>
        <w:tc>
          <w:tcPr>
            <w:tcW w:w="1627" w:type="dxa"/>
            <w:tcBorders>
              <w:top w:val="nil"/>
              <w:left w:val="nil"/>
              <w:bottom w:val="single" w:sz="4" w:space="0" w:color="BFBFBF"/>
              <w:right w:val="single" w:sz="4" w:space="0" w:color="BFBFBF"/>
            </w:tcBorders>
            <w:noWrap/>
            <w:vAlign w:val="center"/>
            <w:hideMark/>
          </w:tcPr>
          <w:p w14:paraId="14F93264"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26.9%</w:t>
            </w:r>
          </w:p>
        </w:tc>
        <w:tc>
          <w:tcPr>
            <w:tcW w:w="1627" w:type="dxa"/>
            <w:tcBorders>
              <w:top w:val="nil"/>
              <w:left w:val="nil"/>
              <w:bottom w:val="single" w:sz="4" w:space="0" w:color="BFBFBF"/>
              <w:right w:val="single" w:sz="4" w:space="0" w:color="auto"/>
            </w:tcBorders>
            <w:noWrap/>
            <w:vAlign w:val="center"/>
            <w:hideMark/>
          </w:tcPr>
          <w:p w14:paraId="370EF561"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BFBFBF"/>
              <w:right w:val="single" w:sz="4" w:space="0" w:color="BFBFBF"/>
            </w:tcBorders>
            <w:noWrap/>
            <w:vAlign w:val="center"/>
            <w:hideMark/>
          </w:tcPr>
          <w:p w14:paraId="53E855EA"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21.8%</w:t>
            </w:r>
          </w:p>
        </w:tc>
        <w:tc>
          <w:tcPr>
            <w:tcW w:w="1628" w:type="dxa"/>
            <w:tcBorders>
              <w:top w:val="nil"/>
              <w:left w:val="nil"/>
              <w:bottom w:val="single" w:sz="4" w:space="0" w:color="BFBFBF"/>
              <w:right w:val="single" w:sz="4" w:space="0" w:color="auto"/>
            </w:tcBorders>
            <w:noWrap/>
            <w:vAlign w:val="center"/>
            <w:hideMark/>
          </w:tcPr>
          <w:p w14:paraId="1334DD62"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r>
      <w:tr w:rsidR="00EF478C" w:rsidRPr="00177E8C" w14:paraId="08A1C496" w14:textId="77777777" w:rsidTr="00D4310B">
        <w:trPr>
          <w:trHeight w:val="402"/>
        </w:trPr>
        <w:tc>
          <w:tcPr>
            <w:tcW w:w="2846" w:type="dxa"/>
            <w:tcBorders>
              <w:top w:val="nil"/>
              <w:left w:val="single" w:sz="4" w:space="0" w:color="auto"/>
              <w:bottom w:val="single" w:sz="4" w:space="0" w:color="BFBFBF"/>
              <w:right w:val="single" w:sz="4" w:space="0" w:color="auto"/>
            </w:tcBorders>
            <w:shd w:val="clear" w:color="000000" w:fill="F2F2F2"/>
            <w:noWrap/>
            <w:vAlign w:val="center"/>
            <w:hideMark/>
          </w:tcPr>
          <w:p w14:paraId="050B99AC" w14:textId="77777777" w:rsidR="00EF478C" w:rsidRPr="00177E8C" w:rsidRDefault="00EF478C" w:rsidP="00D4310B">
            <w:pPr>
              <w:rPr>
                <w:rFonts w:eastAsia="Times New Roman"/>
                <w:color w:val="000000"/>
                <w:sz w:val="18"/>
                <w:szCs w:val="18"/>
              </w:rPr>
            </w:pPr>
            <w:r w:rsidRPr="00177E8C">
              <w:rPr>
                <w:rFonts w:eastAsia="Times New Roman"/>
                <w:color w:val="000000"/>
                <w:sz w:val="18"/>
                <w:szCs w:val="18"/>
              </w:rPr>
              <w:t>Renters</w:t>
            </w:r>
          </w:p>
        </w:tc>
        <w:tc>
          <w:tcPr>
            <w:tcW w:w="1627" w:type="dxa"/>
            <w:tcBorders>
              <w:top w:val="nil"/>
              <w:left w:val="nil"/>
              <w:bottom w:val="single" w:sz="4" w:space="0" w:color="BFBFBF"/>
              <w:right w:val="single" w:sz="4" w:space="0" w:color="BFBFBF"/>
            </w:tcBorders>
            <w:shd w:val="clear" w:color="000000" w:fill="F2F2F2"/>
            <w:noWrap/>
            <w:vAlign w:val="center"/>
            <w:hideMark/>
          </w:tcPr>
          <w:p w14:paraId="29130E5D"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33.4%</w:t>
            </w:r>
          </w:p>
        </w:tc>
        <w:tc>
          <w:tcPr>
            <w:tcW w:w="1627" w:type="dxa"/>
            <w:tcBorders>
              <w:top w:val="nil"/>
              <w:left w:val="nil"/>
              <w:bottom w:val="single" w:sz="4" w:space="0" w:color="BFBFBF"/>
              <w:right w:val="single" w:sz="4" w:space="0" w:color="auto"/>
            </w:tcBorders>
            <w:shd w:val="clear" w:color="000000" w:fill="F2F2F2"/>
            <w:noWrap/>
            <w:vAlign w:val="center"/>
            <w:hideMark/>
          </w:tcPr>
          <w:p w14:paraId="5B1AC613"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BFBFBF"/>
              <w:right w:val="single" w:sz="4" w:space="0" w:color="BFBFBF"/>
            </w:tcBorders>
            <w:shd w:val="clear" w:color="000000" w:fill="F2F2F2"/>
            <w:noWrap/>
            <w:vAlign w:val="center"/>
            <w:hideMark/>
          </w:tcPr>
          <w:p w14:paraId="2D2D9AE6"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31.5%</w:t>
            </w:r>
          </w:p>
        </w:tc>
        <w:tc>
          <w:tcPr>
            <w:tcW w:w="1628" w:type="dxa"/>
            <w:tcBorders>
              <w:top w:val="nil"/>
              <w:left w:val="nil"/>
              <w:bottom w:val="single" w:sz="4" w:space="0" w:color="BFBFBF"/>
              <w:right w:val="single" w:sz="4" w:space="0" w:color="auto"/>
            </w:tcBorders>
            <w:shd w:val="clear" w:color="000000" w:fill="F2F2F2"/>
            <w:noWrap/>
            <w:vAlign w:val="center"/>
            <w:hideMark/>
          </w:tcPr>
          <w:p w14:paraId="499C34C8"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r>
      <w:tr w:rsidR="00EF478C" w:rsidRPr="00177E8C" w14:paraId="4F1D27AF" w14:textId="77777777" w:rsidTr="00D4310B">
        <w:trPr>
          <w:trHeight w:val="402"/>
        </w:trPr>
        <w:tc>
          <w:tcPr>
            <w:tcW w:w="2846" w:type="dxa"/>
            <w:tcBorders>
              <w:top w:val="nil"/>
              <w:left w:val="single" w:sz="4" w:space="0" w:color="auto"/>
              <w:bottom w:val="single" w:sz="4" w:space="0" w:color="BFBFBF"/>
              <w:right w:val="single" w:sz="4" w:space="0" w:color="auto"/>
            </w:tcBorders>
            <w:noWrap/>
            <w:vAlign w:val="center"/>
            <w:hideMark/>
          </w:tcPr>
          <w:p w14:paraId="40FF5F7F" w14:textId="77777777" w:rsidR="00EF478C" w:rsidRPr="00177E8C" w:rsidRDefault="00EF478C" w:rsidP="00D4310B">
            <w:pPr>
              <w:rPr>
                <w:rFonts w:eastAsia="Times New Roman"/>
                <w:color w:val="000000"/>
                <w:sz w:val="18"/>
                <w:szCs w:val="18"/>
              </w:rPr>
            </w:pPr>
            <w:r w:rsidRPr="00177E8C">
              <w:rPr>
                <w:rFonts w:eastAsia="Times New Roman"/>
                <w:color w:val="000000"/>
                <w:sz w:val="18"/>
                <w:szCs w:val="18"/>
              </w:rPr>
              <w:t>Indigenous identifying persons</w:t>
            </w:r>
          </w:p>
        </w:tc>
        <w:tc>
          <w:tcPr>
            <w:tcW w:w="1627" w:type="dxa"/>
            <w:tcBorders>
              <w:top w:val="nil"/>
              <w:left w:val="nil"/>
              <w:bottom w:val="single" w:sz="4" w:space="0" w:color="BFBFBF"/>
              <w:right w:val="single" w:sz="4" w:space="0" w:color="BFBFBF"/>
            </w:tcBorders>
            <w:noWrap/>
            <w:vAlign w:val="center"/>
            <w:hideMark/>
          </w:tcPr>
          <w:p w14:paraId="1FFF5D09"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24.2%</w:t>
            </w:r>
          </w:p>
        </w:tc>
        <w:tc>
          <w:tcPr>
            <w:tcW w:w="1627" w:type="dxa"/>
            <w:tcBorders>
              <w:top w:val="nil"/>
              <w:left w:val="nil"/>
              <w:bottom w:val="single" w:sz="4" w:space="0" w:color="BFBFBF"/>
              <w:right w:val="single" w:sz="4" w:space="0" w:color="auto"/>
            </w:tcBorders>
            <w:noWrap/>
            <w:vAlign w:val="center"/>
            <w:hideMark/>
          </w:tcPr>
          <w:p w14:paraId="22A0EA34"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BFBFBF"/>
              <w:right w:val="single" w:sz="4" w:space="0" w:color="BFBFBF"/>
            </w:tcBorders>
            <w:noWrap/>
            <w:vAlign w:val="center"/>
            <w:hideMark/>
          </w:tcPr>
          <w:p w14:paraId="12458EC1"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17.2%</w:t>
            </w:r>
          </w:p>
        </w:tc>
        <w:tc>
          <w:tcPr>
            <w:tcW w:w="1628" w:type="dxa"/>
            <w:tcBorders>
              <w:top w:val="nil"/>
              <w:left w:val="nil"/>
              <w:bottom w:val="single" w:sz="4" w:space="0" w:color="BFBFBF"/>
              <w:right w:val="single" w:sz="4" w:space="0" w:color="auto"/>
            </w:tcBorders>
            <w:noWrap/>
            <w:vAlign w:val="center"/>
            <w:hideMark/>
          </w:tcPr>
          <w:p w14:paraId="11824EFE"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r>
      <w:tr w:rsidR="00EF478C" w:rsidRPr="00177E8C" w14:paraId="586A28B9" w14:textId="77777777" w:rsidTr="00D4310B">
        <w:trPr>
          <w:trHeight w:val="402"/>
        </w:trPr>
        <w:tc>
          <w:tcPr>
            <w:tcW w:w="2846" w:type="dxa"/>
            <w:tcBorders>
              <w:top w:val="nil"/>
              <w:left w:val="single" w:sz="4" w:space="0" w:color="auto"/>
              <w:bottom w:val="single" w:sz="4" w:space="0" w:color="BFBFBF"/>
              <w:right w:val="single" w:sz="4" w:space="0" w:color="auto"/>
            </w:tcBorders>
            <w:shd w:val="clear" w:color="000000" w:fill="F2F2F2"/>
            <w:noWrap/>
            <w:vAlign w:val="center"/>
            <w:hideMark/>
          </w:tcPr>
          <w:p w14:paraId="2C88545E" w14:textId="77777777" w:rsidR="00EF478C" w:rsidRPr="00177E8C" w:rsidRDefault="00EF478C" w:rsidP="00D4310B">
            <w:pPr>
              <w:rPr>
                <w:rFonts w:eastAsia="Times New Roman"/>
                <w:color w:val="000000"/>
                <w:sz w:val="18"/>
                <w:szCs w:val="18"/>
              </w:rPr>
            </w:pPr>
            <w:r w:rsidRPr="00177E8C">
              <w:rPr>
                <w:rFonts w:eastAsia="Times New Roman"/>
                <w:color w:val="000000"/>
                <w:sz w:val="18"/>
                <w:szCs w:val="18"/>
              </w:rPr>
              <w:t>Immigrants</w:t>
            </w:r>
          </w:p>
        </w:tc>
        <w:tc>
          <w:tcPr>
            <w:tcW w:w="1627" w:type="dxa"/>
            <w:tcBorders>
              <w:top w:val="nil"/>
              <w:left w:val="nil"/>
              <w:bottom w:val="single" w:sz="4" w:space="0" w:color="BFBFBF"/>
              <w:right w:val="single" w:sz="4" w:space="0" w:color="BFBFBF"/>
            </w:tcBorders>
            <w:shd w:val="clear" w:color="000000" w:fill="F2F2F2"/>
            <w:noWrap/>
            <w:vAlign w:val="center"/>
            <w:hideMark/>
          </w:tcPr>
          <w:p w14:paraId="0519744B"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18.4%</w:t>
            </w:r>
          </w:p>
        </w:tc>
        <w:tc>
          <w:tcPr>
            <w:tcW w:w="1627" w:type="dxa"/>
            <w:tcBorders>
              <w:top w:val="nil"/>
              <w:left w:val="nil"/>
              <w:bottom w:val="single" w:sz="4" w:space="0" w:color="BFBFBF"/>
              <w:right w:val="single" w:sz="4" w:space="0" w:color="auto"/>
            </w:tcBorders>
            <w:shd w:val="clear" w:color="000000" w:fill="F2F2F2"/>
            <w:noWrap/>
            <w:vAlign w:val="center"/>
            <w:hideMark/>
          </w:tcPr>
          <w:p w14:paraId="3C8F0211"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BFBFBF"/>
              <w:right w:val="single" w:sz="4" w:space="0" w:color="BFBFBF"/>
            </w:tcBorders>
            <w:shd w:val="clear" w:color="000000" w:fill="F2F2F2"/>
            <w:noWrap/>
            <w:vAlign w:val="center"/>
            <w:hideMark/>
          </w:tcPr>
          <w:p w14:paraId="554F0F14"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14.8%</w:t>
            </w:r>
          </w:p>
        </w:tc>
        <w:tc>
          <w:tcPr>
            <w:tcW w:w="1628" w:type="dxa"/>
            <w:tcBorders>
              <w:top w:val="nil"/>
              <w:left w:val="nil"/>
              <w:bottom w:val="single" w:sz="4" w:space="0" w:color="BFBFBF"/>
              <w:right w:val="single" w:sz="4" w:space="0" w:color="auto"/>
            </w:tcBorders>
            <w:shd w:val="clear" w:color="000000" w:fill="F2F2F2"/>
            <w:noWrap/>
            <w:vAlign w:val="center"/>
            <w:hideMark/>
          </w:tcPr>
          <w:p w14:paraId="5502685A"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r>
      <w:tr w:rsidR="00EF478C" w:rsidRPr="00177E8C" w14:paraId="767EB8E8" w14:textId="77777777" w:rsidTr="00D4310B">
        <w:trPr>
          <w:trHeight w:val="402"/>
        </w:trPr>
        <w:tc>
          <w:tcPr>
            <w:tcW w:w="2846" w:type="dxa"/>
            <w:tcBorders>
              <w:top w:val="nil"/>
              <w:left w:val="single" w:sz="4" w:space="0" w:color="auto"/>
              <w:bottom w:val="single" w:sz="4" w:space="0" w:color="auto"/>
              <w:right w:val="single" w:sz="4" w:space="0" w:color="auto"/>
            </w:tcBorders>
            <w:noWrap/>
            <w:vAlign w:val="center"/>
            <w:hideMark/>
          </w:tcPr>
          <w:p w14:paraId="7BA92DDA" w14:textId="77777777" w:rsidR="00EF478C" w:rsidRPr="00177E8C" w:rsidRDefault="00EF478C" w:rsidP="00D4310B">
            <w:pPr>
              <w:rPr>
                <w:rFonts w:eastAsia="Times New Roman"/>
                <w:color w:val="000000"/>
                <w:sz w:val="18"/>
                <w:szCs w:val="18"/>
              </w:rPr>
            </w:pPr>
            <w:r w:rsidRPr="00177E8C">
              <w:rPr>
                <w:rFonts w:eastAsia="Times New Roman"/>
                <w:color w:val="000000"/>
                <w:sz w:val="18"/>
                <w:szCs w:val="18"/>
              </w:rPr>
              <w:t>Unemployed persons</w:t>
            </w:r>
          </w:p>
        </w:tc>
        <w:tc>
          <w:tcPr>
            <w:tcW w:w="1627" w:type="dxa"/>
            <w:tcBorders>
              <w:top w:val="nil"/>
              <w:left w:val="nil"/>
              <w:bottom w:val="single" w:sz="4" w:space="0" w:color="auto"/>
              <w:right w:val="single" w:sz="4" w:space="0" w:color="BFBFBF"/>
            </w:tcBorders>
            <w:noWrap/>
            <w:vAlign w:val="center"/>
            <w:hideMark/>
          </w:tcPr>
          <w:p w14:paraId="2450EC93"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21.7%</w:t>
            </w:r>
          </w:p>
        </w:tc>
        <w:tc>
          <w:tcPr>
            <w:tcW w:w="1627" w:type="dxa"/>
            <w:tcBorders>
              <w:top w:val="nil"/>
              <w:left w:val="nil"/>
              <w:bottom w:val="single" w:sz="4" w:space="0" w:color="auto"/>
              <w:right w:val="single" w:sz="4" w:space="0" w:color="auto"/>
            </w:tcBorders>
            <w:noWrap/>
            <w:vAlign w:val="center"/>
            <w:hideMark/>
          </w:tcPr>
          <w:p w14:paraId="4F9077ED"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c>
          <w:tcPr>
            <w:tcW w:w="1627" w:type="dxa"/>
            <w:tcBorders>
              <w:top w:val="nil"/>
              <w:left w:val="nil"/>
              <w:bottom w:val="single" w:sz="4" w:space="0" w:color="auto"/>
              <w:right w:val="single" w:sz="4" w:space="0" w:color="BFBFBF"/>
            </w:tcBorders>
            <w:noWrap/>
            <w:vAlign w:val="center"/>
            <w:hideMark/>
          </w:tcPr>
          <w:p w14:paraId="7455A599"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14.9%</w:t>
            </w:r>
          </w:p>
        </w:tc>
        <w:tc>
          <w:tcPr>
            <w:tcW w:w="1628" w:type="dxa"/>
            <w:tcBorders>
              <w:top w:val="nil"/>
              <w:left w:val="nil"/>
              <w:bottom w:val="single" w:sz="4" w:space="0" w:color="auto"/>
              <w:right w:val="single" w:sz="4" w:space="0" w:color="auto"/>
            </w:tcBorders>
            <w:noWrap/>
            <w:vAlign w:val="center"/>
            <w:hideMark/>
          </w:tcPr>
          <w:p w14:paraId="14BECB02" w14:textId="77777777" w:rsidR="00EF478C" w:rsidRPr="00934F2C" w:rsidRDefault="00EF478C" w:rsidP="00D4310B">
            <w:pPr>
              <w:jc w:val="right"/>
              <w:rPr>
                <w:rFonts w:eastAsia="Times New Roman"/>
                <w:color w:val="C00000"/>
                <w:sz w:val="18"/>
                <w:szCs w:val="18"/>
              </w:rPr>
            </w:pPr>
            <w:r w:rsidRPr="00934F2C">
              <w:rPr>
                <w:rFonts w:eastAsia="Times New Roman"/>
                <w:color w:val="C00000"/>
                <w:sz w:val="18"/>
                <w:szCs w:val="18"/>
              </w:rPr>
              <w:t>x</w:t>
            </w:r>
          </w:p>
        </w:tc>
      </w:tr>
    </w:tbl>
    <w:p w14:paraId="59F76069" w14:textId="2F55165B" w:rsidR="00BB24AD" w:rsidRDefault="000727B4" w:rsidP="00A75559">
      <w:pPr>
        <w:pStyle w:val="Source"/>
      </w:pPr>
      <w:r>
        <w:t>*</w:t>
      </w:r>
      <w:r w:rsidR="00BB24AD">
        <w:t xml:space="preserve"> </w:t>
      </w:r>
      <w:r w:rsidR="00C101B5">
        <w:t>Includes only municipalities where a regularly scheduled public transit service was identified and for which geospatial data was available in the reference year.</w:t>
      </w:r>
    </w:p>
    <w:p w14:paraId="5D79DD35" w14:textId="18BBAB7D" w:rsidR="00EF478C" w:rsidRDefault="00BB24AD" w:rsidP="00A75559">
      <w:pPr>
        <w:pStyle w:val="Source"/>
      </w:pPr>
      <w:r>
        <w:t>**</w:t>
      </w:r>
      <w:r w:rsidR="000727B4">
        <w:t xml:space="preserve"> All transit includes low</w:t>
      </w:r>
      <w:r w:rsidR="008C192B">
        <w:t>- and high-capacity transit. Low-capacity includes bus, streetcar, and trolleybus. High-capacity includes subway, elevated rail, light rail, commuter train, and ferry.</w:t>
      </w:r>
    </w:p>
    <w:p w14:paraId="313764DC" w14:textId="1BC725E4" w:rsidR="008C192B" w:rsidRDefault="008C192B" w:rsidP="00A75559">
      <w:pPr>
        <w:pStyle w:val="Source"/>
      </w:pPr>
      <w:r>
        <w:t xml:space="preserve">Source: Statistics Canada Table </w:t>
      </w:r>
      <w:r w:rsidR="00A75559">
        <w:t>23-10-0313</w:t>
      </w:r>
    </w:p>
    <w:p w14:paraId="1A88DB64" w14:textId="77777777" w:rsidR="000B1CD7" w:rsidRDefault="000B1CD7" w:rsidP="000B1CD7">
      <w:pPr>
        <w:jc w:val="both"/>
      </w:pPr>
    </w:p>
    <w:p w14:paraId="5C0A5FC5" w14:textId="55BEF9FA" w:rsidR="000B1CD7" w:rsidRDefault="000B1CD7" w:rsidP="000B1CD7">
      <w:pPr>
        <w:jc w:val="both"/>
      </w:pPr>
      <w:r w:rsidRPr="00462E8C">
        <w:lastRenderedPageBreak/>
        <w:t xml:space="preserve">For population groups with limited mobility options, including renters, low-income persons, youth, immigrants, and unemployed persons, proximity to transit is not simply a convenience but a functional condition of access to employment, health services, education, and essential amenities. </w:t>
      </w:r>
    </w:p>
    <w:p w14:paraId="2B6505E3" w14:textId="77777777" w:rsidR="00CE781B" w:rsidRDefault="00CE781B" w:rsidP="002C466A">
      <w:pPr>
        <w:jc w:val="both"/>
      </w:pPr>
    </w:p>
    <w:p w14:paraId="48783FE3" w14:textId="77777777" w:rsidR="00F87010" w:rsidRDefault="00F87010" w:rsidP="00F87010">
      <w:pPr>
        <w:jc w:val="both"/>
      </w:pPr>
      <w:r w:rsidRPr="009E7FC3">
        <w:t xml:space="preserve">Where high-capacity transit data is </w:t>
      </w:r>
      <w:r>
        <w:t>unavailable</w:t>
      </w:r>
      <w:r w:rsidRPr="009E7FC3">
        <w:t xml:space="preserve">, it </w:t>
      </w:r>
      <w:r>
        <w:t xml:space="preserve">generally </w:t>
      </w:r>
      <w:r w:rsidRPr="009E7FC3">
        <w:t xml:space="preserve">indicates that the local network consists entirely of low-capacity service, such as bus routes, meaning transit-dependent households </w:t>
      </w:r>
      <w:r>
        <w:t xml:space="preserve">often </w:t>
      </w:r>
      <w:r w:rsidRPr="009E7FC3">
        <w:t xml:space="preserve">rely on a network with lower frequency, coverage, and reliability. </w:t>
      </w:r>
      <w:r>
        <w:t>Where neither high- or low-capacity transit is available, it typically signifies that the community does not have a local transit system. Exceptions do apply, specifically where geospatial data regarding said service is unavailable.</w:t>
      </w:r>
    </w:p>
    <w:p w14:paraId="5BC4E69D" w14:textId="77777777" w:rsidR="00F87010" w:rsidRDefault="00F87010" w:rsidP="002C466A">
      <w:pPr>
        <w:jc w:val="both"/>
      </w:pPr>
    </w:p>
    <w:p w14:paraId="3E85E229" w14:textId="473A8FA4" w:rsidR="00396840" w:rsidRDefault="00396840" w:rsidP="00396840">
      <w:pPr>
        <w:jc w:val="both"/>
      </w:pPr>
      <w:r>
        <w:t>Comparing local to provincial rates</w:t>
      </w:r>
      <w:r w:rsidRPr="00396840">
        <w:t xml:space="preserve"> reveals whether the community's transit network is reaching transit-dependent populations at a rate above or below the provincial norm. Where local shares exceed provincial shares for a given group, it suggests that the existing network is relatively well-positioned relative to where those populations live. This is a meaningful finding even in communities with only low-capacity service, as it indicates the network may be providing proximity coverage to a larger share of vulnerable populations than the provincial average achieves. However, proximity alone does not measure service quality, frequency, or the practical usefulness of routes, and above-average coverage shares should be interpreted alongside what is known locally about service levels and route design.</w:t>
      </w:r>
    </w:p>
    <w:p w14:paraId="6D6B9EF3" w14:textId="77777777" w:rsidR="008553A7" w:rsidRPr="00396840" w:rsidRDefault="008553A7" w:rsidP="00396840">
      <w:pPr>
        <w:jc w:val="both"/>
      </w:pPr>
    </w:p>
    <w:p w14:paraId="3FB2B4FE" w14:textId="61E5016B" w:rsidR="00396840" w:rsidRDefault="00396840" w:rsidP="002C466A">
      <w:pPr>
        <w:jc w:val="both"/>
      </w:pPr>
      <w:r w:rsidRPr="00396840">
        <w:t>The distribution of coverage across population groups also warrants attention independently of the local-provincial comparison. Where renters show notably higher transit proximity than the total population, it reflects the tendency for rental housing to concentrate in denser, more central areas that transit networks were historically designed to serv</w:t>
      </w:r>
      <w:r w:rsidR="0038764A">
        <w:t>e</w:t>
      </w:r>
      <w:r w:rsidRPr="00396840">
        <w:t xml:space="preserve">. Where other transit-dependent groups, such as low-income persons, immigrants, or unemployed persons, show proximity rates that diverge from one another or from the total population share, the pattern may reflect residential concentration driven by constrained locational choice as much as genuine network coverage. </w:t>
      </w:r>
    </w:p>
    <w:p w14:paraId="49F55AE8" w14:textId="77777777" w:rsidR="00396840" w:rsidRDefault="00396840" w:rsidP="002C466A">
      <w:pPr>
        <w:jc w:val="both"/>
      </w:pPr>
    </w:p>
    <w:p w14:paraId="31391FEA" w14:textId="618E49A6" w:rsidR="007F1116" w:rsidRDefault="009F69A9" w:rsidP="0082463C">
      <w:pPr>
        <w:pStyle w:val="Heading2"/>
      </w:pPr>
      <w:bookmarkStart w:id="105" w:name="_Toc237355959"/>
      <w:r>
        <w:t>CLIMATE CONSIDER</w:t>
      </w:r>
      <w:r w:rsidR="00BA16CE">
        <w:t>A</w:t>
      </w:r>
      <w:r>
        <w:t>TIONS</w:t>
      </w:r>
      <w:bookmarkEnd w:id="105"/>
    </w:p>
    <w:p w14:paraId="667783A3" w14:textId="293217BF" w:rsidR="00443E50" w:rsidRDefault="0016340E" w:rsidP="0016340E">
      <w:pPr>
        <w:jc w:val="both"/>
      </w:pPr>
      <w:r>
        <w:t xml:space="preserve">Housing needs cannot be assessed in isolation from environmental risk. The suitability of land for residential development, the long-term viability of existing housing stock, and the </w:t>
      </w:r>
      <w:r w:rsidR="00614EA0" w:rsidRPr="00614EA0">
        <w:t>financial security</w:t>
      </w:r>
      <w:r>
        <w:t xml:space="preserve"> of </w:t>
      </w:r>
      <w:r w:rsidR="00614EA0" w:rsidRPr="00614EA0">
        <w:t>the households that occupy it</w:t>
      </w:r>
      <w:r>
        <w:t xml:space="preserve"> are all shaped by the </w:t>
      </w:r>
      <w:r w:rsidR="00614EA0" w:rsidRPr="00614EA0">
        <w:t>climate conditions</w:t>
      </w:r>
      <w:r>
        <w:t xml:space="preserve"> present in a community</w:t>
      </w:r>
      <w:r w:rsidR="00443E50">
        <w:t xml:space="preserve"> and </w:t>
      </w:r>
      <w:r w:rsidR="00614EA0" w:rsidRPr="00614EA0">
        <w:t xml:space="preserve">how those conditions are expected to evolve over time. Locally relevant climate indices provide a baseline picture of the environmental stresses the housing stock must withstand and that residents must manage within their homes. Understanding where local conditions sit relative to the national distribution of communities allows </w:t>
      </w:r>
      <w:r w:rsidR="00614EA0">
        <w:t xml:space="preserve">for an </w:t>
      </w:r>
      <w:r w:rsidR="00614EA0" w:rsidRPr="00614EA0">
        <w:t>assess</w:t>
      </w:r>
      <w:r w:rsidR="00614EA0">
        <w:t>ment</w:t>
      </w:r>
      <w:r w:rsidR="00614EA0" w:rsidRPr="00614EA0">
        <w:t xml:space="preserve"> whether the community faces above- or below-average climate exposure, and to calibrate the urgency and type of housing-related adaptation measures accordingly.</w:t>
      </w:r>
    </w:p>
    <w:p w14:paraId="7EF60AD9" w14:textId="77777777" w:rsidR="00614EA0" w:rsidRDefault="00614EA0" w:rsidP="0016340E">
      <w:pPr>
        <w:jc w:val="both"/>
      </w:pPr>
    </w:p>
    <w:p w14:paraId="37A9E5B4" w14:textId="0473F7C0" w:rsidR="00FC406A" w:rsidRDefault="00436613" w:rsidP="0016340E">
      <w:pPr>
        <w:jc w:val="both"/>
      </w:pPr>
      <w:r w:rsidRPr="00207D1F">
        <w:rPr>
          <w:rStyle w:val="Figure-textChar"/>
        </w:rPr>
        <w:fldChar w:fldCharType="begin"/>
      </w:r>
      <w:r w:rsidRPr="00207D1F">
        <w:rPr>
          <w:rStyle w:val="Figure-textChar"/>
        </w:rPr>
        <w:instrText xml:space="preserve"> REF _Ref225868563 \h </w:instrText>
      </w:r>
      <w:r w:rsidR="00207D1F">
        <w:rPr>
          <w:rStyle w:val="Figure-textChar"/>
        </w:rPr>
        <w:instrText xml:space="preserve"> \* MERGEFORMAT </w:instrText>
      </w:r>
      <w:r w:rsidRPr="00207D1F">
        <w:rPr>
          <w:rStyle w:val="Figure-textChar"/>
        </w:rPr>
      </w:r>
      <w:r w:rsidRPr="00207D1F">
        <w:rPr>
          <w:rStyle w:val="Figure-textChar"/>
        </w:rPr>
        <w:fldChar w:fldCharType="separate"/>
      </w:r>
      <w:r w:rsidR="00CA6116" w:rsidRPr="00CA6116">
        <w:rPr>
          <w:rStyle w:val="Figure-textChar"/>
        </w:rPr>
        <w:t>Table 9.4</w:t>
      </w:r>
      <w:r w:rsidRPr="00207D1F">
        <w:rPr>
          <w:rStyle w:val="Figure-textChar"/>
        </w:rPr>
        <w:fldChar w:fldCharType="end"/>
      </w:r>
      <w:r w:rsidR="0016340E">
        <w:t xml:space="preserve"> </w:t>
      </w:r>
      <w:r w:rsidR="00E44883" w:rsidRPr="00E44883">
        <w:t xml:space="preserve">presents select local climate estimates and their corresponding national percentiles, derived from </w:t>
      </w:r>
      <w:r w:rsidR="006F2F99">
        <w:t>various Government of Canada</w:t>
      </w:r>
      <w:r w:rsidR="00E44883">
        <w:t xml:space="preserve"> climate </w:t>
      </w:r>
      <w:r w:rsidR="00111118">
        <w:t xml:space="preserve">models and </w:t>
      </w:r>
      <w:r w:rsidR="00E44883">
        <w:t>projections</w:t>
      </w:r>
      <w:r w:rsidR="00E44883" w:rsidRPr="00E44883">
        <w:t xml:space="preserve">. Variables are grouped by precipitation, heat, humidex, and cold, and include both current estimates and forward projections where </w:t>
      </w:r>
      <w:r w:rsidR="00111118">
        <w:t>appropriate</w:t>
      </w:r>
      <w:r w:rsidR="006F2F99" w:rsidRPr="006F2F99">
        <w:t xml:space="preserve">. Precipitation variables include both intensity measures </w:t>
      </w:r>
      <w:r w:rsidR="00111118">
        <w:t>(</w:t>
      </w:r>
      <w:r w:rsidR="006F2F99" w:rsidRPr="006F2F99">
        <w:t>capturing the frequency and severity of heavy rainfall events</w:t>
      </w:r>
      <w:r w:rsidR="00111118">
        <w:t>)</w:t>
      </w:r>
      <w:r w:rsidR="006F2F99" w:rsidRPr="006F2F99">
        <w:t xml:space="preserve"> and dry day measures, capturing the frequency and duration of periods without meaningful rainfall.</w:t>
      </w:r>
    </w:p>
    <w:p w14:paraId="1139817E" w14:textId="77777777" w:rsidR="00837436" w:rsidRDefault="00837436" w:rsidP="00837436">
      <w:pPr>
        <w:jc w:val="both"/>
      </w:pPr>
    </w:p>
    <w:p w14:paraId="66296AC1" w14:textId="77777777" w:rsidR="00837436" w:rsidRDefault="00837436" w:rsidP="00837436">
      <w:pPr>
        <w:jc w:val="both"/>
      </w:pPr>
      <w:r>
        <w:t xml:space="preserve">The national percentile associated with each climate variable indicates where the community sits relative to all other Canadian communities for that measure (a high percentile reflects conditions that are more intense or more frequent than most of the country, while a low percentile reflects </w:t>
      </w:r>
      <w:r>
        <w:lastRenderedPageBreak/>
        <w:t>conditions that are comparatively mild). Where projections are available for both current and future periods, the change in percentile over time reflects the rate at which exposure is changing relative to the rest of the country.</w:t>
      </w:r>
    </w:p>
    <w:p w14:paraId="033EF332" w14:textId="77777777" w:rsidR="00426B82" w:rsidRDefault="00426B82" w:rsidP="00E44883">
      <w:pPr>
        <w:jc w:val="both"/>
      </w:pPr>
    </w:p>
    <w:p w14:paraId="3E0A5F7F" w14:textId="0F35562A" w:rsidR="00942015" w:rsidRDefault="00907014" w:rsidP="00942015">
      <w:pPr>
        <w:pStyle w:val="Caption"/>
      </w:pPr>
      <w:bookmarkStart w:id="106" w:name="_Ref223877655"/>
      <w:bookmarkStart w:id="107" w:name="_Ref225868563"/>
      <w:bookmarkStart w:id="108" w:name="_Ref223877649"/>
      <w:r>
        <w:t xml:space="preserve">Table </w:t>
      </w:r>
      <w:fldSimple w:instr=" STYLEREF 1 \s ">
        <w:r w:rsidR="005E459C">
          <w:rPr>
            <w:noProof/>
          </w:rPr>
          <w:t>9</w:t>
        </w:r>
      </w:fldSimple>
      <w:r w:rsidR="00BD4359">
        <w:t>.</w:t>
      </w:r>
      <w:fldSimple w:instr=" SEQ Table \* ARABIC \s 1 ">
        <w:r w:rsidR="005E459C">
          <w:rPr>
            <w:noProof/>
          </w:rPr>
          <w:t>4</w:t>
        </w:r>
      </w:fldSimple>
      <w:bookmarkEnd w:id="106"/>
      <w:bookmarkEnd w:id="107"/>
      <w:r w:rsidR="00942015">
        <w:t>: Select local climate estimates</w:t>
      </w:r>
      <w:r w:rsidR="00071242">
        <w:t xml:space="preserve"> and national percentiles</w:t>
      </w:r>
      <w:r w:rsidR="00942015">
        <w:t xml:space="preserve"> based on </w:t>
      </w:r>
      <w:r w:rsidR="0077023E">
        <w:t>Canad</w:t>
      </w:r>
      <w:r w:rsidR="00071242">
        <w:t>i</w:t>
      </w:r>
      <w:r w:rsidR="0077023E">
        <w:t>a</w:t>
      </w:r>
      <w:r w:rsidR="00071242">
        <w:t>n</w:t>
      </w:r>
      <w:r w:rsidR="0054624E">
        <w:t xml:space="preserve"> climate data and scenarios</w:t>
      </w:r>
    </w:p>
    <w:tbl>
      <w:tblPr>
        <w:tblW w:w="9355" w:type="dxa"/>
        <w:tblLayout w:type="fixed"/>
        <w:tblLook w:val="04A0" w:firstRow="1" w:lastRow="0" w:firstColumn="1" w:lastColumn="0" w:noHBand="0" w:noVBand="1"/>
      </w:tblPr>
      <w:tblGrid>
        <w:gridCol w:w="5935"/>
        <w:gridCol w:w="1710"/>
        <w:gridCol w:w="1710"/>
      </w:tblGrid>
      <w:tr w:rsidR="00755F69" w:rsidRPr="00755F69" w14:paraId="70A0CC01" w14:textId="77777777" w:rsidTr="003C59F9">
        <w:trPr>
          <w:trHeight w:val="402"/>
          <w:tblHeader/>
        </w:trPr>
        <w:tc>
          <w:tcPr>
            <w:tcW w:w="593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7EB975D7" w14:textId="77777777" w:rsidR="00755F69" w:rsidRPr="00755F69" w:rsidRDefault="00755F69" w:rsidP="00755F69">
            <w:pPr>
              <w:rPr>
                <w:rFonts w:eastAsia="Times New Roman"/>
                <w:color w:val="FFFFFF"/>
                <w:sz w:val="18"/>
                <w:szCs w:val="18"/>
              </w:rPr>
            </w:pPr>
            <w:r w:rsidRPr="00755F69">
              <w:rPr>
                <w:rFonts w:eastAsia="Times New Roman"/>
                <w:color w:val="FFFFFF"/>
                <w:sz w:val="18"/>
                <w:szCs w:val="18"/>
              </w:rPr>
              <w:t>Variable</w:t>
            </w:r>
          </w:p>
        </w:tc>
        <w:tc>
          <w:tcPr>
            <w:tcW w:w="171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BEABF3B" w14:textId="77777777" w:rsidR="00755F69" w:rsidRPr="00755F69" w:rsidRDefault="00755F69" w:rsidP="00755F69">
            <w:pPr>
              <w:jc w:val="right"/>
              <w:rPr>
                <w:rFonts w:eastAsia="Times New Roman"/>
                <w:color w:val="FFFFFF"/>
                <w:sz w:val="18"/>
                <w:szCs w:val="18"/>
              </w:rPr>
            </w:pPr>
            <w:r w:rsidRPr="00755F69">
              <w:rPr>
                <w:rFonts w:eastAsia="Times New Roman"/>
                <w:color w:val="FFFFFF"/>
                <w:sz w:val="18"/>
                <w:szCs w:val="18"/>
              </w:rPr>
              <w:t>Value</w:t>
            </w:r>
          </w:p>
        </w:tc>
        <w:tc>
          <w:tcPr>
            <w:tcW w:w="171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7B6F34D" w14:textId="77777777" w:rsidR="00755F69" w:rsidRPr="00755F69" w:rsidRDefault="00755F69" w:rsidP="00755F69">
            <w:pPr>
              <w:jc w:val="right"/>
              <w:rPr>
                <w:rFonts w:eastAsia="Times New Roman"/>
                <w:color w:val="FFFFFF"/>
                <w:sz w:val="18"/>
                <w:szCs w:val="18"/>
              </w:rPr>
            </w:pPr>
            <w:r w:rsidRPr="00755F69">
              <w:rPr>
                <w:rFonts w:eastAsia="Times New Roman"/>
                <w:color w:val="FFFFFF"/>
                <w:sz w:val="18"/>
                <w:szCs w:val="18"/>
              </w:rPr>
              <w:t>Percentile</w:t>
            </w:r>
          </w:p>
        </w:tc>
      </w:tr>
      <w:tr w:rsidR="00755F69" w:rsidRPr="00755F69" w14:paraId="60D48CDD" w14:textId="77777777" w:rsidTr="003C59F9">
        <w:trPr>
          <w:trHeight w:val="402"/>
        </w:trPr>
        <w:tc>
          <w:tcPr>
            <w:tcW w:w="5935" w:type="dxa"/>
            <w:tcBorders>
              <w:top w:val="nil"/>
              <w:left w:val="single" w:sz="4" w:space="0" w:color="auto"/>
              <w:bottom w:val="single" w:sz="4" w:space="0" w:color="auto"/>
              <w:right w:val="nil"/>
            </w:tcBorders>
            <w:shd w:val="clear" w:color="auto" w:fill="CFD9E3" w:themeFill="accent1"/>
            <w:noWrap/>
            <w:vAlign w:val="center"/>
            <w:hideMark/>
          </w:tcPr>
          <w:p w14:paraId="63BF25F1"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Precipitation</w:t>
            </w:r>
          </w:p>
        </w:tc>
        <w:tc>
          <w:tcPr>
            <w:tcW w:w="1710" w:type="dxa"/>
            <w:tcBorders>
              <w:top w:val="nil"/>
              <w:left w:val="nil"/>
              <w:bottom w:val="single" w:sz="4" w:space="0" w:color="auto"/>
              <w:right w:val="nil"/>
            </w:tcBorders>
            <w:shd w:val="clear" w:color="auto" w:fill="CFD9E3" w:themeFill="accent1"/>
            <w:noWrap/>
            <w:vAlign w:val="center"/>
            <w:hideMark/>
          </w:tcPr>
          <w:p w14:paraId="371F77D3"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c>
          <w:tcPr>
            <w:tcW w:w="1710" w:type="dxa"/>
            <w:tcBorders>
              <w:top w:val="nil"/>
              <w:left w:val="nil"/>
              <w:bottom w:val="single" w:sz="4" w:space="0" w:color="auto"/>
              <w:right w:val="single" w:sz="4" w:space="0" w:color="auto"/>
            </w:tcBorders>
            <w:shd w:val="clear" w:color="auto" w:fill="CFD9E3" w:themeFill="accent1"/>
            <w:noWrap/>
            <w:vAlign w:val="center"/>
            <w:hideMark/>
          </w:tcPr>
          <w:p w14:paraId="4D44BB5C"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r>
      <w:tr w:rsidR="00755F69" w:rsidRPr="00755F69" w14:paraId="095C19D5"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552CEF52"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Days with 20mm+ precipitation</w:t>
            </w:r>
          </w:p>
        </w:tc>
        <w:tc>
          <w:tcPr>
            <w:tcW w:w="1710" w:type="dxa"/>
            <w:tcBorders>
              <w:top w:val="nil"/>
              <w:left w:val="nil"/>
              <w:bottom w:val="single" w:sz="4" w:space="0" w:color="BFBFBF"/>
              <w:right w:val="single" w:sz="4" w:space="0" w:color="BFBFBF"/>
            </w:tcBorders>
            <w:shd w:val="clear" w:color="000000" w:fill="F2F2F2"/>
            <w:noWrap/>
            <w:vAlign w:val="center"/>
            <w:hideMark/>
          </w:tcPr>
          <w:p w14:paraId="37E6125A"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12 days</w:t>
            </w:r>
          </w:p>
        </w:tc>
        <w:tc>
          <w:tcPr>
            <w:tcW w:w="1710" w:type="dxa"/>
            <w:tcBorders>
              <w:top w:val="nil"/>
              <w:left w:val="nil"/>
              <w:bottom w:val="single" w:sz="4" w:space="0" w:color="BFBFBF"/>
              <w:right w:val="single" w:sz="4" w:space="0" w:color="auto"/>
            </w:tcBorders>
            <w:shd w:val="clear" w:color="000000" w:fill="F2F2F2"/>
            <w:noWrap/>
            <w:vAlign w:val="center"/>
            <w:hideMark/>
          </w:tcPr>
          <w:p w14:paraId="105AE050"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88</w:t>
            </w:r>
          </w:p>
        </w:tc>
      </w:tr>
      <w:tr w:rsidR="00755F69" w:rsidRPr="00755F69" w14:paraId="4B4DA71E"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2D57BFC5"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Typical amount of rain during wet periods</w:t>
            </w:r>
          </w:p>
        </w:tc>
        <w:tc>
          <w:tcPr>
            <w:tcW w:w="1710" w:type="dxa"/>
            <w:tcBorders>
              <w:top w:val="nil"/>
              <w:left w:val="nil"/>
              <w:bottom w:val="single" w:sz="4" w:space="0" w:color="BFBFBF"/>
              <w:right w:val="single" w:sz="4" w:space="0" w:color="BFBFBF"/>
            </w:tcBorders>
            <w:shd w:val="clear" w:color="000000" w:fill="FFFFFF"/>
            <w:noWrap/>
            <w:vAlign w:val="center"/>
            <w:hideMark/>
          </w:tcPr>
          <w:p w14:paraId="1A64B5AC"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7mm</w:t>
            </w:r>
          </w:p>
        </w:tc>
        <w:tc>
          <w:tcPr>
            <w:tcW w:w="1710" w:type="dxa"/>
            <w:tcBorders>
              <w:top w:val="nil"/>
              <w:left w:val="nil"/>
              <w:bottom w:val="single" w:sz="4" w:space="0" w:color="BFBFBF"/>
              <w:right w:val="single" w:sz="4" w:space="0" w:color="auto"/>
            </w:tcBorders>
            <w:shd w:val="clear" w:color="000000" w:fill="FFFFFF"/>
            <w:noWrap/>
            <w:vAlign w:val="center"/>
            <w:hideMark/>
          </w:tcPr>
          <w:p w14:paraId="249A3771"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86</w:t>
            </w:r>
          </w:p>
        </w:tc>
      </w:tr>
      <w:tr w:rsidR="00755F69" w:rsidRPr="00755F69" w14:paraId="41E1CA04"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7D110528"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Number of days where precipitation exceeds 95% of historical values</w:t>
            </w:r>
          </w:p>
        </w:tc>
        <w:tc>
          <w:tcPr>
            <w:tcW w:w="1710" w:type="dxa"/>
            <w:tcBorders>
              <w:top w:val="nil"/>
              <w:left w:val="nil"/>
              <w:bottom w:val="single" w:sz="4" w:space="0" w:color="BFBFBF"/>
              <w:right w:val="single" w:sz="4" w:space="0" w:color="BFBFBF"/>
            </w:tcBorders>
            <w:shd w:val="clear" w:color="000000" w:fill="F2F2F2"/>
            <w:noWrap/>
            <w:vAlign w:val="center"/>
            <w:hideMark/>
          </w:tcPr>
          <w:p w14:paraId="10FFD8E1"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9 days</w:t>
            </w:r>
          </w:p>
        </w:tc>
        <w:tc>
          <w:tcPr>
            <w:tcW w:w="1710" w:type="dxa"/>
            <w:tcBorders>
              <w:top w:val="nil"/>
              <w:left w:val="nil"/>
              <w:bottom w:val="single" w:sz="4" w:space="0" w:color="BFBFBF"/>
              <w:right w:val="single" w:sz="4" w:space="0" w:color="auto"/>
            </w:tcBorders>
            <w:shd w:val="clear" w:color="000000" w:fill="F2F2F2"/>
            <w:noWrap/>
            <w:vAlign w:val="center"/>
            <w:hideMark/>
          </w:tcPr>
          <w:p w14:paraId="422FE144"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89</w:t>
            </w:r>
          </w:p>
        </w:tc>
      </w:tr>
      <w:tr w:rsidR="00755F69" w:rsidRPr="00755F69" w14:paraId="5A8CE75B"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0E0FCCE7"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Total dry days (2025)</w:t>
            </w:r>
          </w:p>
        </w:tc>
        <w:tc>
          <w:tcPr>
            <w:tcW w:w="1710" w:type="dxa"/>
            <w:tcBorders>
              <w:top w:val="nil"/>
              <w:left w:val="nil"/>
              <w:bottom w:val="single" w:sz="4" w:space="0" w:color="BFBFBF"/>
              <w:right w:val="single" w:sz="4" w:space="0" w:color="BFBFBF"/>
            </w:tcBorders>
            <w:shd w:val="clear" w:color="000000" w:fill="FFFFFF"/>
            <w:noWrap/>
            <w:vAlign w:val="center"/>
            <w:hideMark/>
          </w:tcPr>
          <w:p w14:paraId="0F347E68"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215 days</w:t>
            </w:r>
          </w:p>
        </w:tc>
        <w:tc>
          <w:tcPr>
            <w:tcW w:w="1710" w:type="dxa"/>
            <w:tcBorders>
              <w:top w:val="nil"/>
              <w:left w:val="nil"/>
              <w:bottom w:val="single" w:sz="4" w:space="0" w:color="BFBFBF"/>
              <w:right w:val="single" w:sz="4" w:space="0" w:color="auto"/>
            </w:tcBorders>
            <w:shd w:val="clear" w:color="000000" w:fill="FFFFFF"/>
            <w:noWrap/>
            <w:vAlign w:val="center"/>
            <w:hideMark/>
          </w:tcPr>
          <w:p w14:paraId="6BE21001"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32</w:t>
            </w:r>
          </w:p>
        </w:tc>
      </w:tr>
      <w:tr w:rsidR="00755F69" w:rsidRPr="00755F69" w14:paraId="35B32A2C"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6A946499"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Total dry days (2050)</w:t>
            </w:r>
          </w:p>
        </w:tc>
        <w:tc>
          <w:tcPr>
            <w:tcW w:w="1710" w:type="dxa"/>
            <w:tcBorders>
              <w:top w:val="nil"/>
              <w:left w:val="nil"/>
              <w:bottom w:val="single" w:sz="4" w:space="0" w:color="BFBFBF"/>
              <w:right w:val="single" w:sz="4" w:space="0" w:color="BFBFBF"/>
            </w:tcBorders>
            <w:shd w:val="clear" w:color="000000" w:fill="F2F2F2"/>
            <w:noWrap/>
            <w:vAlign w:val="center"/>
            <w:hideMark/>
          </w:tcPr>
          <w:p w14:paraId="59E439EA"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218 days</w:t>
            </w:r>
          </w:p>
        </w:tc>
        <w:tc>
          <w:tcPr>
            <w:tcW w:w="1710" w:type="dxa"/>
            <w:tcBorders>
              <w:top w:val="nil"/>
              <w:left w:val="nil"/>
              <w:bottom w:val="single" w:sz="4" w:space="0" w:color="BFBFBF"/>
              <w:right w:val="single" w:sz="4" w:space="0" w:color="auto"/>
            </w:tcBorders>
            <w:shd w:val="clear" w:color="000000" w:fill="F2F2F2"/>
            <w:noWrap/>
            <w:vAlign w:val="center"/>
            <w:hideMark/>
          </w:tcPr>
          <w:p w14:paraId="238EBB46"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39</w:t>
            </w:r>
          </w:p>
        </w:tc>
      </w:tr>
      <w:tr w:rsidR="00755F69" w:rsidRPr="00755F69" w14:paraId="467AF4A8"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3565A73D"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Maximum consecutive dry days (2025)</w:t>
            </w:r>
          </w:p>
        </w:tc>
        <w:tc>
          <w:tcPr>
            <w:tcW w:w="1710" w:type="dxa"/>
            <w:tcBorders>
              <w:top w:val="nil"/>
              <w:left w:val="nil"/>
              <w:bottom w:val="single" w:sz="4" w:space="0" w:color="BFBFBF"/>
              <w:right w:val="single" w:sz="4" w:space="0" w:color="BFBFBF"/>
            </w:tcBorders>
            <w:shd w:val="clear" w:color="000000" w:fill="FFFFFF"/>
            <w:noWrap/>
            <w:vAlign w:val="center"/>
            <w:hideMark/>
          </w:tcPr>
          <w:p w14:paraId="17CD8D0E"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11 days</w:t>
            </w:r>
          </w:p>
        </w:tc>
        <w:tc>
          <w:tcPr>
            <w:tcW w:w="1710" w:type="dxa"/>
            <w:tcBorders>
              <w:top w:val="nil"/>
              <w:left w:val="nil"/>
              <w:bottom w:val="single" w:sz="4" w:space="0" w:color="BFBFBF"/>
              <w:right w:val="single" w:sz="4" w:space="0" w:color="auto"/>
            </w:tcBorders>
            <w:shd w:val="clear" w:color="000000" w:fill="FFFFFF"/>
            <w:noWrap/>
            <w:vAlign w:val="center"/>
            <w:hideMark/>
          </w:tcPr>
          <w:p w14:paraId="43A906E9"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15</w:t>
            </w:r>
          </w:p>
        </w:tc>
      </w:tr>
      <w:tr w:rsidR="00755F69" w:rsidRPr="00755F69" w14:paraId="10024F61"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7608ACF7"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Maximum consecutive dry days (2050)</w:t>
            </w:r>
          </w:p>
        </w:tc>
        <w:tc>
          <w:tcPr>
            <w:tcW w:w="1710" w:type="dxa"/>
            <w:tcBorders>
              <w:top w:val="nil"/>
              <w:left w:val="nil"/>
              <w:bottom w:val="single" w:sz="4" w:space="0" w:color="BFBFBF"/>
              <w:right w:val="single" w:sz="4" w:space="0" w:color="BFBFBF"/>
            </w:tcBorders>
            <w:shd w:val="clear" w:color="000000" w:fill="F2F2F2"/>
            <w:noWrap/>
            <w:vAlign w:val="center"/>
            <w:hideMark/>
          </w:tcPr>
          <w:p w14:paraId="45E07B10"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12 days</w:t>
            </w:r>
          </w:p>
        </w:tc>
        <w:tc>
          <w:tcPr>
            <w:tcW w:w="1710" w:type="dxa"/>
            <w:tcBorders>
              <w:top w:val="nil"/>
              <w:left w:val="nil"/>
              <w:bottom w:val="single" w:sz="4" w:space="0" w:color="BFBFBF"/>
              <w:right w:val="single" w:sz="4" w:space="0" w:color="auto"/>
            </w:tcBorders>
            <w:shd w:val="clear" w:color="000000" w:fill="F2F2F2"/>
            <w:noWrap/>
            <w:vAlign w:val="center"/>
            <w:hideMark/>
          </w:tcPr>
          <w:p w14:paraId="4FDDEE0D"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31</w:t>
            </w:r>
          </w:p>
        </w:tc>
      </w:tr>
      <w:tr w:rsidR="00755F69" w:rsidRPr="00755F69" w14:paraId="2264725C" w14:textId="77777777" w:rsidTr="003C59F9">
        <w:trPr>
          <w:trHeight w:val="402"/>
        </w:trPr>
        <w:tc>
          <w:tcPr>
            <w:tcW w:w="5935" w:type="dxa"/>
            <w:tcBorders>
              <w:top w:val="single" w:sz="4" w:space="0" w:color="auto"/>
              <w:left w:val="single" w:sz="4" w:space="0" w:color="auto"/>
              <w:bottom w:val="single" w:sz="4" w:space="0" w:color="auto"/>
              <w:right w:val="nil"/>
            </w:tcBorders>
            <w:shd w:val="clear" w:color="auto" w:fill="CFD9E3" w:themeFill="accent1"/>
            <w:noWrap/>
            <w:vAlign w:val="center"/>
            <w:hideMark/>
          </w:tcPr>
          <w:p w14:paraId="43ABE9DF"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Heat</w:t>
            </w:r>
          </w:p>
        </w:tc>
        <w:tc>
          <w:tcPr>
            <w:tcW w:w="1710" w:type="dxa"/>
            <w:tcBorders>
              <w:top w:val="single" w:sz="4" w:space="0" w:color="auto"/>
              <w:left w:val="nil"/>
              <w:bottom w:val="single" w:sz="4" w:space="0" w:color="auto"/>
              <w:right w:val="nil"/>
            </w:tcBorders>
            <w:shd w:val="clear" w:color="auto" w:fill="CFD9E3" w:themeFill="accent1"/>
            <w:noWrap/>
            <w:vAlign w:val="center"/>
            <w:hideMark/>
          </w:tcPr>
          <w:p w14:paraId="3537DB3E"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c>
          <w:tcPr>
            <w:tcW w:w="1710"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3AE29B16"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r>
      <w:tr w:rsidR="00755F69" w:rsidRPr="00755F69" w14:paraId="41BDB76B"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02840553"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Days over 30 ⁰C (2025)</w:t>
            </w:r>
          </w:p>
        </w:tc>
        <w:tc>
          <w:tcPr>
            <w:tcW w:w="1710" w:type="dxa"/>
            <w:tcBorders>
              <w:top w:val="nil"/>
              <w:left w:val="nil"/>
              <w:bottom w:val="single" w:sz="4" w:space="0" w:color="BFBFBF"/>
              <w:right w:val="single" w:sz="4" w:space="0" w:color="BFBFBF"/>
            </w:tcBorders>
            <w:shd w:val="clear" w:color="000000" w:fill="F2F2F2"/>
            <w:noWrap/>
            <w:vAlign w:val="center"/>
            <w:hideMark/>
          </w:tcPr>
          <w:p w14:paraId="1DCCE2B9"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2 days</w:t>
            </w:r>
          </w:p>
        </w:tc>
        <w:tc>
          <w:tcPr>
            <w:tcW w:w="1710" w:type="dxa"/>
            <w:tcBorders>
              <w:top w:val="nil"/>
              <w:left w:val="nil"/>
              <w:bottom w:val="single" w:sz="4" w:space="0" w:color="BFBFBF"/>
              <w:right w:val="single" w:sz="4" w:space="0" w:color="auto"/>
            </w:tcBorders>
            <w:shd w:val="clear" w:color="000000" w:fill="F2F2F2"/>
            <w:noWrap/>
            <w:vAlign w:val="center"/>
            <w:hideMark/>
          </w:tcPr>
          <w:p w14:paraId="58229512"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17</w:t>
            </w:r>
          </w:p>
        </w:tc>
      </w:tr>
      <w:tr w:rsidR="00755F69" w:rsidRPr="00755F69" w14:paraId="09C19D7D"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26326295"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Days over 30 ⁰C (2050)</w:t>
            </w:r>
          </w:p>
        </w:tc>
        <w:tc>
          <w:tcPr>
            <w:tcW w:w="1710" w:type="dxa"/>
            <w:tcBorders>
              <w:top w:val="nil"/>
              <w:left w:val="nil"/>
              <w:bottom w:val="single" w:sz="4" w:space="0" w:color="BFBFBF"/>
              <w:right w:val="single" w:sz="4" w:space="0" w:color="BFBFBF"/>
            </w:tcBorders>
            <w:shd w:val="clear" w:color="000000" w:fill="FFFFFF"/>
            <w:noWrap/>
            <w:vAlign w:val="center"/>
            <w:hideMark/>
          </w:tcPr>
          <w:p w14:paraId="75FCB861"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7 days</w:t>
            </w:r>
          </w:p>
        </w:tc>
        <w:tc>
          <w:tcPr>
            <w:tcW w:w="1710" w:type="dxa"/>
            <w:tcBorders>
              <w:top w:val="nil"/>
              <w:left w:val="nil"/>
              <w:bottom w:val="single" w:sz="4" w:space="0" w:color="BFBFBF"/>
              <w:right w:val="single" w:sz="4" w:space="0" w:color="auto"/>
            </w:tcBorders>
            <w:shd w:val="clear" w:color="000000" w:fill="FFFFFF"/>
            <w:noWrap/>
            <w:vAlign w:val="center"/>
            <w:hideMark/>
          </w:tcPr>
          <w:p w14:paraId="7B3A61A9"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24</w:t>
            </w:r>
          </w:p>
        </w:tc>
      </w:tr>
      <w:tr w:rsidR="00755F69" w:rsidRPr="00755F69" w14:paraId="2785EE48" w14:textId="77777777" w:rsidTr="003C59F9">
        <w:trPr>
          <w:trHeight w:val="402"/>
        </w:trPr>
        <w:tc>
          <w:tcPr>
            <w:tcW w:w="5935" w:type="dxa"/>
            <w:tcBorders>
              <w:top w:val="single" w:sz="4" w:space="0" w:color="auto"/>
              <w:left w:val="single" w:sz="4" w:space="0" w:color="auto"/>
              <w:bottom w:val="single" w:sz="4" w:space="0" w:color="auto"/>
              <w:right w:val="nil"/>
            </w:tcBorders>
            <w:shd w:val="clear" w:color="auto" w:fill="CFD9E3" w:themeFill="accent1"/>
            <w:noWrap/>
            <w:vAlign w:val="center"/>
            <w:hideMark/>
          </w:tcPr>
          <w:p w14:paraId="63C37915"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Humidex</w:t>
            </w:r>
          </w:p>
        </w:tc>
        <w:tc>
          <w:tcPr>
            <w:tcW w:w="1710" w:type="dxa"/>
            <w:tcBorders>
              <w:top w:val="single" w:sz="4" w:space="0" w:color="auto"/>
              <w:left w:val="nil"/>
              <w:bottom w:val="single" w:sz="4" w:space="0" w:color="auto"/>
              <w:right w:val="nil"/>
            </w:tcBorders>
            <w:shd w:val="clear" w:color="auto" w:fill="CFD9E3" w:themeFill="accent1"/>
            <w:noWrap/>
            <w:vAlign w:val="center"/>
            <w:hideMark/>
          </w:tcPr>
          <w:p w14:paraId="5D090F11"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c>
          <w:tcPr>
            <w:tcW w:w="1710"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3F93E35B"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r>
      <w:tr w:rsidR="00755F69" w:rsidRPr="00755F69" w14:paraId="5872DEDF"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5812F9ED"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Days over 35 ⁰C (2025)</w:t>
            </w:r>
          </w:p>
        </w:tc>
        <w:tc>
          <w:tcPr>
            <w:tcW w:w="1710" w:type="dxa"/>
            <w:tcBorders>
              <w:top w:val="nil"/>
              <w:left w:val="nil"/>
              <w:bottom w:val="single" w:sz="4" w:space="0" w:color="BFBFBF"/>
              <w:right w:val="single" w:sz="4" w:space="0" w:color="BFBFBF"/>
            </w:tcBorders>
            <w:shd w:val="clear" w:color="000000" w:fill="F2F2F2"/>
            <w:noWrap/>
            <w:vAlign w:val="center"/>
            <w:hideMark/>
          </w:tcPr>
          <w:p w14:paraId="6B0AD4A8"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5 days</w:t>
            </w:r>
          </w:p>
        </w:tc>
        <w:tc>
          <w:tcPr>
            <w:tcW w:w="1710" w:type="dxa"/>
            <w:tcBorders>
              <w:top w:val="nil"/>
              <w:left w:val="nil"/>
              <w:bottom w:val="single" w:sz="4" w:space="0" w:color="BFBFBF"/>
              <w:right w:val="single" w:sz="4" w:space="0" w:color="auto"/>
            </w:tcBorders>
            <w:shd w:val="clear" w:color="000000" w:fill="F2F2F2"/>
            <w:noWrap/>
            <w:vAlign w:val="center"/>
            <w:hideMark/>
          </w:tcPr>
          <w:p w14:paraId="198D2FE3"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59</w:t>
            </w:r>
          </w:p>
        </w:tc>
      </w:tr>
      <w:tr w:rsidR="00755F69" w:rsidRPr="00755F69" w14:paraId="5772BC9A"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49DCEED2"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Days over 35 ⁰C (2050)</w:t>
            </w:r>
          </w:p>
        </w:tc>
        <w:tc>
          <w:tcPr>
            <w:tcW w:w="1710" w:type="dxa"/>
            <w:tcBorders>
              <w:top w:val="nil"/>
              <w:left w:val="nil"/>
              <w:bottom w:val="single" w:sz="4" w:space="0" w:color="BFBFBF"/>
              <w:right w:val="single" w:sz="4" w:space="0" w:color="BFBFBF"/>
            </w:tcBorders>
            <w:shd w:val="clear" w:color="000000" w:fill="FFFFFF"/>
            <w:noWrap/>
            <w:vAlign w:val="center"/>
            <w:hideMark/>
          </w:tcPr>
          <w:p w14:paraId="3BC2D803"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8 days</w:t>
            </w:r>
          </w:p>
        </w:tc>
        <w:tc>
          <w:tcPr>
            <w:tcW w:w="1710" w:type="dxa"/>
            <w:tcBorders>
              <w:top w:val="nil"/>
              <w:left w:val="nil"/>
              <w:bottom w:val="single" w:sz="4" w:space="0" w:color="BFBFBF"/>
              <w:right w:val="single" w:sz="4" w:space="0" w:color="auto"/>
            </w:tcBorders>
            <w:shd w:val="clear" w:color="000000" w:fill="FFFFFF"/>
            <w:noWrap/>
            <w:vAlign w:val="center"/>
            <w:hideMark/>
          </w:tcPr>
          <w:p w14:paraId="3CE5D03E"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52</w:t>
            </w:r>
          </w:p>
        </w:tc>
      </w:tr>
      <w:tr w:rsidR="00755F69" w:rsidRPr="00755F69" w14:paraId="76C7845C" w14:textId="77777777" w:rsidTr="003C59F9">
        <w:trPr>
          <w:trHeight w:val="402"/>
        </w:trPr>
        <w:tc>
          <w:tcPr>
            <w:tcW w:w="5935" w:type="dxa"/>
            <w:tcBorders>
              <w:top w:val="single" w:sz="4" w:space="0" w:color="auto"/>
              <w:left w:val="single" w:sz="4" w:space="0" w:color="auto"/>
              <w:bottom w:val="single" w:sz="4" w:space="0" w:color="auto"/>
              <w:right w:val="nil"/>
            </w:tcBorders>
            <w:shd w:val="clear" w:color="auto" w:fill="CFD9E3" w:themeFill="accent1"/>
            <w:noWrap/>
            <w:vAlign w:val="center"/>
            <w:hideMark/>
          </w:tcPr>
          <w:p w14:paraId="67BA573B"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Cold*</w:t>
            </w:r>
          </w:p>
        </w:tc>
        <w:tc>
          <w:tcPr>
            <w:tcW w:w="1710" w:type="dxa"/>
            <w:tcBorders>
              <w:top w:val="single" w:sz="4" w:space="0" w:color="auto"/>
              <w:left w:val="nil"/>
              <w:bottom w:val="single" w:sz="4" w:space="0" w:color="auto"/>
              <w:right w:val="nil"/>
            </w:tcBorders>
            <w:shd w:val="clear" w:color="auto" w:fill="CFD9E3" w:themeFill="accent1"/>
            <w:noWrap/>
            <w:vAlign w:val="center"/>
            <w:hideMark/>
          </w:tcPr>
          <w:p w14:paraId="72B152DD"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c>
          <w:tcPr>
            <w:tcW w:w="1710"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17C4DFB9"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 </w:t>
            </w:r>
          </w:p>
        </w:tc>
      </w:tr>
      <w:tr w:rsidR="00755F69" w:rsidRPr="00755F69" w14:paraId="0E6AEB59"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5F2DBA8D"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Days below -15 ⁰C</w:t>
            </w:r>
          </w:p>
        </w:tc>
        <w:tc>
          <w:tcPr>
            <w:tcW w:w="1710" w:type="dxa"/>
            <w:tcBorders>
              <w:top w:val="nil"/>
              <w:left w:val="nil"/>
              <w:bottom w:val="single" w:sz="4" w:space="0" w:color="BFBFBF"/>
              <w:right w:val="single" w:sz="4" w:space="0" w:color="BFBFBF"/>
            </w:tcBorders>
            <w:shd w:val="clear" w:color="000000" w:fill="F2F2F2"/>
            <w:noWrap/>
            <w:vAlign w:val="center"/>
            <w:hideMark/>
          </w:tcPr>
          <w:p w14:paraId="785A9A3F"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7 days</w:t>
            </w:r>
          </w:p>
        </w:tc>
        <w:tc>
          <w:tcPr>
            <w:tcW w:w="1710" w:type="dxa"/>
            <w:tcBorders>
              <w:top w:val="nil"/>
              <w:left w:val="nil"/>
              <w:bottom w:val="single" w:sz="4" w:space="0" w:color="BFBFBF"/>
              <w:right w:val="single" w:sz="4" w:space="0" w:color="auto"/>
            </w:tcBorders>
            <w:shd w:val="clear" w:color="000000" w:fill="F2F2F2"/>
            <w:noWrap/>
            <w:vAlign w:val="center"/>
            <w:hideMark/>
          </w:tcPr>
          <w:p w14:paraId="46DC59B9"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15</w:t>
            </w:r>
          </w:p>
        </w:tc>
      </w:tr>
      <w:tr w:rsidR="00755F69" w:rsidRPr="00755F69" w14:paraId="341D98BB" w14:textId="77777777" w:rsidTr="00755F69">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36D36057"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Days below -20 ⁰C</w:t>
            </w:r>
          </w:p>
        </w:tc>
        <w:tc>
          <w:tcPr>
            <w:tcW w:w="1710" w:type="dxa"/>
            <w:tcBorders>
              <w:top w:val="nil"/>
              <w:left w:val="nil"/>
              <w:bottom w:val="single" w:sz="4" w:space="0" w:color="BFBFBF"/>
              <w:right w:val="single" w:sz="4" w:space="0" w:color="BFBFBF"/>
            </w:tcBorders>
            <w:shd w:val="clear" w:color="000000" w:fill="FFFFFF"/>
            <w:noWrap/>
            <w:vAlign w:val="center"/>
            <w:hideMark/>
          </w:tcPr>
          <w:p w14:paraId="6623CD7C"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0 days</w:t>
            </w:r>
          </w:p>
        </w:tc>
        <w:tc>
          <w:tcPr>
            <w:tcW w:w="1710" w:type="dxa"/>
            <w:tcBorders>
              <w:top w:val="nil"/>
              <w:left w:val="nil"/>
              <w:bottom w:val="single" w:sz="4" w:space="0" w:color="BFBFBF"/>
              <w:right w:val="single" w:sz="4" w:space="0" w:color="auto"/>
            </w:tcBorders>
            <w:shd w:val="clear" w:color="000000" w:fill="FFFFFF"/>
            <w:noWrap/>
            <w:vAlign w:val="center"/>
            <w:hideMark/>
          </w:tcPr>
          <w:p w14:paraId="068EECC3"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12</w:t>
            </w:r>
          </w:p>
        </w:tc>
      </w:tr>
      <w:tr w:rsidR="00755F69" w:rsidRPr="00755F69" w14:paraId="033732F3" w14:textId="77777777" w:rsidTr="00755F69">
        <w:trPr>
          <w:trHeight w:val="402"/>
        </w:trPr>
        <w:tc>
          <w:tcPr>
            <w:tcW w:w="5935" w:type="dxa"/>
            <w:tcBorders>
              <w:top w:val="nil"/>
              <w:left w:val="single" w:sz="4" w:space="0" w:color="auto"/>
              <w:bottom w:val="single" w:sz="4" w:space="0" w:color="auto"/>
              <w:right w:val="single" w:sz="4" w:space="0" w:color="auto"/>
            </w:tcBorders>
            <w:shd w:val="clear" w:color="000000" w:fill="F2F2F2"/>
            <w:noWrap/>
            <w:vAlign w:val="center"/>
            <w:hideMark/>
          </w:tcPr>
          <w:p w14:paraId="6E7917FF" w14:textId="77777777" w:rsidR="00755F69" w:rsidRPr="00755F69" w:rsidRDefault="00755F69" w:rsidP="00755F69">
            <w:pPr>
              <w:rPr>
                <w:rFonts w:eastAsia="Times New Roman"/>
                <w:color w:val="000000"/>
                <w:sz w:val="18"/>
                <w:szCs w:val="18"/>
              </w:rPr>
            </w:pPr>
            <w:r w:rsidRPr="00755F69">
              <w:rPr>
                <w:rFonts w:eastAsia="Times New Roman"/>
                <w:color w:val="000000"/>
                <w:sz w:val="18"/>
                <w:szCs w:val="18"/>
              </w:rPr>
              <w:t>Icing days**</w:t>
            </w:r>
          </w:p>
        </w:tc>
        <w:tc>
          <w:tcPr>
            <w:tcW w:w="1710" w:type="dxa"/>
            <w:tcBorders>
              <w:top w:val="nil"/>
              <w:left w:val="nil"/>
              <w:bottom w:val="single" w:sz="4" w:space="0" w:color="auto"/>
              <w:right w:val="single" w:sz="4" w:space="0" w:color="BFBFBF"/>
            </w:tcBorders>
            <w:shd w:val="clear" w:color="000000" w:fill="F2F2F2"/>
            <w:noWrap/>
            <w:vAlign w:val="center"/>
            <w:hideMark/>
          </w:tcPr>
          <w:p w14:paraId="369A7837"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55</w:t>
            </w:r>
          </w:p>
        </w:tc>
        <w:tc>
          <w:tcPr>
            <w:tcW w:w="1710" w:type="dxa"/>
            <w:tcBorders>
              <w:top w:val="nil"/>
              <w:left w:val="nil"/>
              <w:bottom w:val="single" w:sz="4" w:space="0" w:color="auto"/>
              <w:right w:val="single" w:sz="4" w:space="0" w:color="auto"/>
            </w:tcBorders>
            <w:shd w:val="clear" w:color="000000" w:fill="F2F2F2"/>
            <w:noWrap/>
            <w:vAlign w:val="center"/>
            <w:hideMark/>
          </w:tcPr>
          <w:p w14:paraId="5F02A315" w14:textId="77777777" w:rsidR="00755F69" w:rsidRPr="00934F2C" w:rsidRDefault="00755F69" w:rsidP="00755F69">
            <w:pPr>
              <w:jc w:val="right"/>
              <w:rPr>
                <w:rFonts w:eastAsia="Times New Roman"/>
                <w:color w:val="C00000"/>
                <w:sz w:val="18"/>
                <w:szCs w:val="18"/>
              </w:rPr>
            </w:pPr>
            <w:r w:rsidRPr="00934F2C">
              <w:rPr>
                <w:rFonts w:eastAsia="Times New Roman"/>
                <w:color w:val="C00000"/>
                <w:sz w:val="18"/>
                <w:szCs w:val="18"/>
              </w:rPr>
              <w:t>23</w:t>
            </w:r>
          </w:p>
        </w:tc>
      </w:tr>
    </w:tbl>
    <w:p w14:paraId="7C52392F" w14:textId="3A221B7E" w:rsidR="006D3E34" w:rsidRDefault="003633A0" w:rsidP="00F47B6B">
      <w:pPr>
        <w:pStyle w:val="Source"/>
      </w:pPr>
      <w:r>
        <w:t xml:space="preserve">* Cold does not include </w:t>
      </w:r>
      <w:r w:rsidR="007E7364">
        <w:t xml:space="preserve">windchill. For some </w:t>
      </w:r>
      <w:r w:rsidR="006161CE">
        <w:t>areas</w:t>
      </w:r>
      <w:r w:rsidR="007E7364">
        <w:t xml:space="preserve">, this would make the values dramatically higher (akin to </w:t>
      </w:r>
      <w:r w:rsidR="000B3F08">
        <w:t>humidity and heat).</w:t>
      </w:r>
    </w:p>
    <w:p w14:paraId="17BD6048" w14:textId="598F4936" w:rsidR="000B3F08" w:rsidRDefault="000B3F08" w:rsidP="00F47B6B">
      <w:pPr>
        <w:pStyle w:val="Source"/>
      </w:pPr>
      <w:r>
        <w:t xml:space="preserve">** Icing days </w:t>
      </w:r>
      <w:r w:rsidR="006161CE">
        <w:t>refer</w:t>
      </w:r>
      <w:r>
        <w:t xml:space="preserve"> to days that have a maximum temperature below 0 ⁰C, or the number of days with </w:t>
      </w:r>
      <w:r w:rsidR="006161CE">
        <w:t>notable</w:t>
      </w:r>
      <w:r w:rsidR="00F47B6B">
        <w:t xml:space="preserve"> heating needs.</w:t>
      </w:r>
    </w:p>
    <w:p w14:paraId="1D3616F8" w14:textId="570BCE1C" w:rsidR="00F47B6B" w:rsidRDefault="00F47B6B" w:rsidP="00F47B6B">
      <w:pPr>
        <w:pStyle w:val="Source"/>
      </w:pPr>
      <w:r>
        <w:t>Source:</w:t>
      </w:r>
      <w:r w:rsidR="0054624E">
        <w:t>CMPIP6 statistically downscaled climate indices (</w:t>
      </w:r>
      <w:r>
        <w:t>see methodology in Housing Needs Assessment Guidebook</w:t>
      </w:r>
      <w:r w:rsidR="0054624E">
        <w:t>)</w:t>
      </w:r>
    </w:p>
    <w:p w14:paraId="2E41FC7F" w14:textId="77777777" w:rsidR="00BE77BD" w:rsidRDefault="00BE77BD" w:rsidP="00BE77BD">
      <w:pPr>
        <w:jc w:val="both"/>
      </w:pPr>
    </w:p>
    <w:p w14:paraId="2211CAEE" w14:textId="774BD649" w:rsidR="00BE77BD" w:rsidRDefault="00581F92" w:rsidP="0016340E">
      <w:pPr>
        <w:jc w:val="both"/>
      </w:pPr>
      <w:r w:rsidRPr="00581F92">
        <w:t xml:space="preserve">Precipitation indices encompass two distinct but related dimensions of climate stress. High percentiles for intensity measures </w:t>
      </w:r>
      <w:r>
        <w:t>(</w:t>
      </w:r>
      <w:r w:rsidRPr="00581F92">
        <w:t>such as days with 20mm or more of precipitation and days exceeding the 95th percentile of historical values</w:t>
      </w:r>
      <w:r>
        <w:t>)</w:t>
      </w:r>
      <w:r w:rsidRPr="00581F92">
        <w:t xml:space="preserve"> point to elevated risk of stormwater-related damage, basement flooding, and infrastructure overload during extreme events. Dry day measures capture the opposite condition</w:t>
      </w:r>
      <w:r w:rsidR="00BC4448">
        <w:t>, being</w:t>
      </w:r>
      <w:r w:rsidRPr="00581F92">
        <w:t xml:space="preserve"> the frequency and duration of periods without meaningful rainfall. Where dry day percentiles are low, the community experiences fewer and shorter dry periods than most of the country, which may limit wildfire exposure and drought stress on infrastructure but does not eliminate it. Where dry day percentiles increase between the 2025 and 2050 projections, it </w:t>
      </w:r>
      <w:r w:rsidR="00D0301B">
        <w:t>suggests</w:t>
      </w:r>
      <w:r w:rsidR="00D0301B" w:rsidRPr="00581F92">
        <w:t xml:space="preserve"> </w:t>
      </w:r>
      <w:r w:rsidRPr="00581F92">
        <w:t xml:space="preserve">a gradual shift toward longer periods without precipitation that may affect soil stability, green infrastructure, and water management demands over the </w:t>
      </w:r>
      <w:r w:rsidR="00AE0854">
        <w:t xml:space="preserve">projected </w:t>
      </w:r>
      <w:r w:rsidR="00AE0854">
        <w:lastRenderedPageBreak/>
        <w:t>period</w:t>
      </w:r>
      <w:r w:rsidRPr="00581F92">
        <w:t>. The combination of high precipitation intensity percentiles alongside low dry day percentiles is characteristic of communities with volatile precipitation regimes</w:t>
      </w:r>
      <w:r w:rsidR="00AE0854">
        <w:t xml:space="preserve"> (</w:t>
      </w:r>
      <w:r w:rsidRPr="00581F92">
        <w:t>infrequent but intense rainfall interspersed with relatively wet baseline conditions</w:t>
      </w:r>
      <w:r w:rsidR="00AE0854">
        <w:t>),</w:t>
      </w:r>
      <w:r w:rsidRPr="00581F92">
        <w:t xml:space="preserve"> a pattern with particular implications for drainage infrastructure and the flood susceptibility of the housing stock.</w:t>
      </w:r>
    </w:p>
    <w:p w14:paraId="6E7BB6CE" w14:textId="77777777" w:rsidR="00581F92" w:rsidRDefault="00581F92" w:rsidP="0016340E">
      <w:pPr>
        <w:jc w:val="both"/>
      </w:pPr>
    </w:p>
    <w:p w14:paraId="7B5B48F2" w14:textId="41BD5568" w:rsidR="00436613" w:rsidRPr="00436613" w:rsidRDefault="00436613" w:rsidP="00436613">
      <w:pPr>
        <w:jc w:val="both"/>
      </w:pPr>
      <w:r w:rsidRPr="00436613">
        <w:t xml:space="preserve">These climate conditions do not affect all residents or all dwelling types equally. </w:t>
      </w:r>
      <w:r w:rsidRPr="00436613">
        <w:rPr>
          <w:rStyle w:val="Figure-textChar"/>
        </w:rPr>
        <w:fldChar w:fldCharType="begin"/>
      </w:r>
      <w:r w:rsidRPr="00436613">
        <w:rPr>
          <w:rStyle w:val="Figure-textChar"/>
        </w:rPr>
        <w:instrText xml:space="preserve"> REF _Ref225868587 \h </w:instrText>
      </w:r>
      <w:r>
        <w:rPr>
          <w:rStyle w:val="Figure-textChar"/>
        </w:rPr>
        <w:instrText xml:space="preserve"> \* MERGEFORMAT </w:instrText>
      </w:r>
      <w:r w:rsidRPr="00436613">
        <w:rPr>
          <w:rStyle w:val="Figure-textChar"/>
        </w:rPr>
      </w:r>
      <w:r w:rsidRPr="00436613">
        <w:rPr>
          <w:rStyle w:val="Figure-textChar"/>
        </w:rPr>
        <w:fldChar w:fldCharType="separate"/>
      </w:r>
      <w:r w:rsidR="00CA6116" w:rsidRPr="00CA6116">
        <w:rPr>
          <w:rStyle w:val="Figure-textChar"/>
        </w:rPr>
        <w:t>Table 9.5</w:t>
      </w:r>
      <w:r w:rsidRPr="00436613">
        <w:rPr>
          <w:rStyle w:val="Figure-textChar"/>
        </w:rPr>
        <w:fldChar w:fldCharType="end"/>
      </w:r>
      <w:r>
        <w:t xml:space="preserve"> </w:t>
      </w:r>
      <w:r w:rsidRPr="00436613">
        <w:t xml:space="preserve">presents </w:t>
      </w:r>
      <w:r w:rsidR="00AE0854">
        <w:t>select</w:t>
      </w:r>
      <w:r w:rsidRPr="00436613">
        <w:t xml:space="preserve"> Census metrics pertaining to housing and demographic vulnerability to climate conditions.</w:t>
      </w:r>
    </w:p>
    <w:p w14:paraId="77DA7930" w14:textId="77777777" w:rsidR="00436613" w:rsidRDefault="00436613" w:rsidP="0016340E">
      <w:pPr>
        <w:jc w:val="both"/>
      </w:pPr>
    </w:p>
    <w:p w14:paraId="164ADAF1" w14:textId="08C5933C" w:rsidR="00CB78D1" w:rsidRDefault="00CB78D1" w:rsidP="00CB78D1">
      <w:pPr>
        <w:pStyle w:val="Caption"/>
      </w:pPr>
      <w:bookmarkStart w:id="109" w:name="_Ref225868587"/>
      <w:r>
        <w:t xml:space="preserve">Table </w:t>
      </w:r>
      <w:fldSimple w:instr=" STYLEREF 1 \s ">
        <w:r w:rsidR="005E459C">
          <w:rPr>
            <w:noProof/>
          </w:rPr>
          <w:t>9</w:t>
        </w:r>
      </w:fldSimple>
      <w:r w:rsidR="00BD4359">
        <w:t>.</w:t>
      </w:r>
      <w:fldSimple w:instr=" SEQ Table \* ARABIC \s 1 ">
        <w:r w:rsidR="005E459C">
          <w:rPr>
            <w:noProof/>
          </w:rPr>
          <w:t>5</w:t>
        </w:r>
      </w:fldSimple>
      <w:bookmarkEnd w:id="109"/>
      <w:r>
        <w:t>: Key Census metrics pertaining to housing and demographic vulnerability to climate conditions, 2021</w:t>
      </w:r>
    </w:p>
    <w:tbl>
      <w:tblPr>
        <w:tblW w:w="9355" w:type="dxa"/>
        <w:tblLayout w:type="fixed"/>
        <w:tblLook w:val="04A0" w:firstRow="1" w:lastRow="0" w:firstColumn="1" w:lastColumn="0" w:noHBand="0" w:noVBand="1"/>
      </w:tblPr>
      <w:tblGrid>
        <w:gridCol w:w="5935"/>
        <w:gridCol w:w="1710"/>
        <w:gridCol w:w="1710"/>
      </w:tblGrid>
      <w:tr w:rsidR="00432637" w:rsidRPr="00432637" w14:paraId="024B2176" w14:textId="77777777" w:rsidTr="003C59F9">
        <w:trPr>
          <w:trHeight w:val="402"/>
        </w:trPr>
        <w:tc>
          <w:tcPr>
            <w:tcW w:w="593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33EEAD52" w14:textId="77777777" w:rsidR="00432637" w:rsidRPr="00432637" w:rsidRDefault="00432637" w:rsidP="00432637">
            <w:pPr>
              <w:rPr>
                <w:rFonts w:eastAsia="Times New Roman"/>
                <w:color w:val="FFFFFF"/>
                <w:sz w:val="18"/>
                <w:szCs w:val="18"/>
              </w:rPr>
            </w:pPr>
            <w:r w:rsidRPr="00432637">
              <w:rPr>
                <w:rFonts w:eastAsia="Times New Roman"/>
                <w:color w:val="FFFFFF"/>
                <w:sz w:val="18"/>
                <w:szCs w:val="18"/>
              </w:rPr>
              <w:t>Variable</w:t>
            </w:r>
          </w:p>
        </w:tc>
        <w:tc>
          <w:tcPr>
            <w:tcW w:w="171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67BE327" w14:textId="77777777" w:rsidR="00432637" w:rsidRPr="00432637" w:rsidRDefault="00432637" w:rsidP="00432637">
            <w:pPr>
              <w:jc w:val="right"/>
              <w:rPr>
                <w:rFonts w:eastAsia="Times New Roman"/>
                <w:color w:val="FFFFFF"/>
                <w:sz w:val="18"/>
                <w:szCs w:val="18"/>
              </w:rPr>
            </w:pPr>
            <w:r w:rsidRPr="00432637">
              <w:rPr>
                <w:rFonts w:eastAsia="Times New Roman"/>
                <w:color w:val="FFFFFF"/>
                <w:sz w:val="18"/>
                <w:szCs w:val="18"/>
              </w:rPr>
              <w:t>Value</w:t>
            </w:r>
          </w:p>
        </w:tc>
        <w:tc>
          <w:tcPr>
            <w:tcW w:w="171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9C62A22" w14:textId="77777777" w:rsidR="00432637" w:rsidRPr="00432637" w:rsidRDefault="00432637" w:rsidP="00432637">
            <w:pPr>
              <w:jc w:val="right"/>
              <w:rPr>
                <w:rFonts w:eastAsia="Times New Roman"/>
                <w:color w:val="FFFFFF"/>
                <w:sz w:val="18"/>
                <w:szCs w:val="18"/>
              </w:rPr>
            </w:pPr>
            <w:r w:rsidRPr="00432637">
              <w:rPr>
                <w:rFonts w:eastAsia="Times New Roman"/>
                <w:color w:val="FFFFFF"/>
                <w:sz w:val="18"/>
                <w:szCs w:val="18"/>
              </w:rPr>
              <w:t>Percentile</w:t>
            </w:r>
          </w:p>
        </w:tc>
      </w:tr>
      <w:tr w:rsidR="00432637" w:rsidRPr="00432637" w14:paraId="02B9C7C1" w14:textId="77777777" w:rsidTr="00432637">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174F6DCF" w14:textId="77777777" w:rsidR="00432637" w:rsidRPr="00432637" w:rsidRDefault="00432637" w:rsidP="00432637">
            <w:pPr>
              <w:rPr>
                <w:rFonts w:eastAsia="Times New Roman"/>
                <w:color w:val="000000"/>
                <w:sz w:val="18"/>
                <w:szCs w:val="18"/>
              </w:rPr>
            </w:pPr>
            <w:r w:rsidRPr="00432637">
              <w:rPr>
                <w:rFonts w:eastAsia="Times New Roman"/>
                <w:color w:val="000000"/>
                <w:sz w:val="18"/>
                <w:szCs w:val="18"/>
              </w:rPr>
              <w:t>Share of population: 65+ year olds</w:t>
            </w:r>
          </w:p>
        </w:tc>
        <w:tc>
          <w:tcPr>
            <w:tcW w:w="1710" w:type="dxa"/>
            <w:tcBorders>
              <w:top w:val="nil"/>
              <w:left w:val="nil"/>
              <w:bottom w:val="single" w:sz="4" w:space="0" w:color="BFBFBF"/>
              <w:right w:val="single" w:sz="4" w:space="0" w:color="BFBFBF"/>
            </w:tcBorders>
            <w:shd w:val="clear" w:color="000000" w:fill="F2F2F2"/>
            <w:noWrap/>
            <w:vAlign w:val="center"/>
            <w:hideMark/>
          </w:tcPr>
          <w:p w14:paraId="5D344BAE"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21%</w:t>
            </w:r>
          </w:p>
        </w:tc>
        <w:tc>
          <w:tcPr>
            <w:tcW w:w="1710" w:type="dxa"/>
            <w:tcBorders>
              <w:top w:val="nil"/>
              <w:left w:val="nil"/>
              <w:bottom w:val="single" w:sz="4" w:space="0" w:color="BFBFBF"/>
              <w:right w:val="single" w:sz="4" w:space="0" w:color="auto"/>
            </w:tcBorders>
            <w:shd w:val="clear" w:color="000000" w:fill="F2F2F2"/>
            <w:noWrap/>
            <w:vAlign w:val="center"/>
            <w:hideMark/>
          </w:tcPr>
          <w:p w14:paraId="3A484CDF"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42</w:t>
            </w:r>
          </w:p>
        </w:tc>
      </w:tr>
      <w:tr w:rsidR="00432637" w:rsidRPr="00432637" w14:paraId="72C53A5B" w14:textId="77777777" w:rsidTr="00432637">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2C30E831" w14:textId="33689493" w:rsidR="00432637" w:rsidRPr="00432637" w:rsidRDefault="00432637" w:rsidP="00432637">
            <w:pPr>
              <w:rPr>
                <w:rFonts w:eastAsia="Times New Roman"/>
                <w:color w:val="000000"/>
                <w:sz w:val="18"/>
                <w:szCs w:val="18"/>
              </w:rPr>
            </w:pPr>
            <w:r w:rsidRPr="00432637">
              <w:rPr>
                <w:rFonts w:eastAsia="Times New Roman"/>
                <w:color w:val="000000"/>
                <w:sz w:val="18"/>
                <w:szCs w:val="18"/>
              </w:rPr>
              <w:t xml:space="preserve">Share of population in </w:t>
            </w:r>
            <w:r w:rsidR="005E6C37">
              <w:rPr>
                <w:rFonts w:eastAsia="Times New Roman"/>
                <w:color w:val="000000"/>
                <w:sz w:val="18"/>
                <w:szCs w:val="18"/>
              </w:rPr>
              <w:t>low-income</w:t>
            </w:r>
          </w:p>
        </w:tc>
        <w:tc>
          <w:tcPr>
            <w:tcW w:w="1710" w:type="dxa"/>
            <w:tcBorders>
              <w:top w:val="nil"/>
              <w:left w:val="nil"/>
              <w:bottom w:val="single" w:sz="4" w:space="0" w:color="BFBFBF"/>
              <w:right w:val="single" w:sz="4" w:space="0" w:color="BFBFBF"/>
            </w:tcBorders>
            <w:shd w:val="clear" w:color="000000" w:fill="FFFFFF"/>
            <w:noWrap/>
            <w:vAlign w:val="center"/>
            <w:hideMark/>
          </w:tcPr>
          <w:p w14:paraId="6B4878AA"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17%</w:t>
            </w:r>
          </w:p>
        </w:tc>
        <w:tc>
          <w:tcPr>
            <w:tcW w:w="1710" w:type="dxa"/>
            <w:tcBorders>
              <w:top w:val="nil"/>
              <w:left w:val="nil"/>
              <w:bottom w:val="single" w:sz="4" w:space="0" w:color="BFBFBF"/>
              <w:right w:val="single" w:sz="4" w:space="0" w:color="auto"/>
            </w:tcBorders>
            <w:shd w:val="clear" w:color="000000" w:fill="FFFFFF"/>
            <w:noWrap/>
            <w:vAlign w:val="center"/>
            <w:hideMark/>
          </w:tcPr>
          <w:p w14:paraId="564A12EF"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73</w:t>
            </w:r>
          </w:p>
        </w:tc>
      </w:tr>
      <w:tr w:rsidR="00432637" w:rsidRPr="00432637" w14:paraId="5A117750" w14:textId="77777777" w:rsidTr="00432637">
        <w:trPr>
          <w:trHeight w:val="402"/>
        </w:trPr>
        <w:tc>
          <w:tcPr>
            <w:tcW w:w="5935" w:type="dxa"/>
            <w:tcBorders>
              <w:top w:val="nil"/>
              <w:left w:val="single" w:sz="4" w:space="0" w:color="auto"/>
              <w:bottom w:val="single" w:sz="4" w:space="0" w:color="BFBFBF"/>
              <w:right w:val="single" w:sz="4" w:space="0" w:color="auto"/>
            </w:tcBorders>
            <w:shd w:val="clear" w:color="000000" w:fill="F2F2F2"/>
            <w:noWrap/>
            <w:vAlign w:val="center"/>
            <w:hideMark/>
          </w:tcPr>
          <w:p w14:paraId="135CA59B" w14:textId="4E188E2A" w:rsidR="00432637" w:rsidRPr="00432637" w:rsidRDefault="00432637" w:rsidP="00432637">
            <w:pPr>
              <w:rPr>
                <w:rFonts w:eastAsia="Times New Roman"/>
                <w:color w:val="000000"/>
                <w:sz w:val="18"/>
                <w:szCs w:val="18"/>
              </w:rPr>
            </w:pPr>
            <w:r w:rsidRPr="00432637">
              <w:rPr>
                <w:rFonts w:eastAsia="Times New Roman"/>
                <w:color w:val="000000"/>
                <w:sz w:val="18"/>
                <w:szCs w:val="18"/>
              </w:rPr>
              <w:t xml:space="preserve">Share of 65+ year olds in </w:t>
            </w:r>
            <w:r w:rsidR="005E6C37">
              <w:rPr>
                <w:rFonts w:eastAsia="Times New Roman"/>
                <w:color w:val="000000"/>
                <w:sz w:val="18"/>
                <w:szCs w:val="18"/>
              </w:rPr>
              <w:t>low-income</w:t>
            </w:r>
          </w:p>
        </w:tc>
        <w:tc>
          <w:tcPr>
            <w:tcW w:w="1710" w:type="dxa"/>
            <w:tcBorders>
              <w:top w:val="nil"/>
              <w:left w:val="nil"/>
              <w:bottom w:val="single" w:sz="4" w:space="0" w:color="BFBFBF"/>
              <w:right w:val="single" w:sz="4" w:space="0" w:color="BFBFBF"/>
            </w:tcBorders>
            <w:shd w:val="clear" w:color="000000" w:fill="F2F2F2"/>
            <w:noWrap/>
            <w:vAlign w:val="center"/>
            <w:hideMark/>
          </w:tcPr>
          <w:p w14:paraId="6449D830"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19%</w:t>
            </w:r>
          </w:p>
        </w:tc>
        <w:tc>
          <w:tcPr>
            <w:tcW w:w="1710" w:type="dxa"/>
            <w:tcBorders>
              <w:top w:val="nil"/>
              <w:left w:val="nil"/>
              <w:bottom w:val="single" w:sz="4" w:space="0" w:color="BFBFBF"/>
              <w:right w:val="single" w:sz="4" w:space="0" w:color="auto"/>
            </w:tcBorders>
            <w:shd w:val="clear" w:color="000000" w:fill="F2F2F2"/>
            <w:noWrap/>
            <w:vAlign w:val="center"/>
            <w:hideMark/>
          </w:tcPr>
          <w:p w14:paraId="7FF7A212"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46</w:t>
            </w:r>
          </w:p>
        </w:tc>
      </w:tr>
      <w:tr w:rsidR="00432637" w:rsidRPr="00432637" w14:paraId="1AA45C7D" w14:textId="77777777" w:rsidTr="00432637">
        <w:trPr>
          <w:trHeight w:val="402"/>
        </w:trPr>
        <w:tc>
          <w:tcPr>
            <w:tcW w:w="5935" w:type="dxa"/>
            <w:tcBorders>
              <w:top w:val="nil"/>
              <w:left w:val="single" w:sz="4" w:space="0" w:color="auto"/>
              <w:bottom w:val="single" w:sz="4" w:space="0" w:color="BFBFBF"/>
              <w:right w:val="single" w:sz="4" w:space="0" w:color="auto"/>
            </w:tcBorders>
            <w:shd w:val="clear" w:color="000000" w:fill="FFFFFF"/>
            <w:noWrap/>
            <w:vAlign w:val="center"/>
            <w:hideMark/>
          </w:tcPr>
          <w:p w14:paraId="6B1B0BC1" w14:textId="77777777" w:rsidR="00432637" w:rsidRPr="00432637" w:rsidRDefault="00432637" w:rsidP="00432637">
            <w:pPr>
              <w:rPr>
                <w:rFonts w:eastAsia="Times New Roman"/>
                <w:color w:val="000000"/>
                <w:sz w:val="18"/>
                <w:szCs w:val="18"/>
              </w:rPr>
            </w:pPr>
            <w:r w:rsidRPr="00432637">
              <w:rPr>
                <w:rFonts w:eastAsia="Times New Roman"/>
                <w:color w:val="000000"/>
                <w:sz w:val="18"/>
                <w:szCs w:val="18"/>
              </w:rPr>
              <w:t>Share of dwellings built in 1960 or earlier</w:t>
            </w:r>
          </w:p>
        </w:tc>
        <w:tc>
          <w:tcPr>
            <w:tcW w:w="1710" w:type="dxa"/>
            <w:tcBorders>
              <w:top w:val="nil"/>
              <w:left w:val="nil"/>
              <w:bottom w:val="single" w:sz="4" w:space="0" w:color="BFBFBF"/>
              <w:right w:val="single" w:sz="4" w:space="0" w:color="BFBFBF"/>
            </w:tcBorders>
            <w:shd w:val="clear" w:color="000000" w:fill="FFFFFF"/>
            <w:noWrap/>
            <w:vAlign w:val="center"/>
            <w:hideMark/>
          </w:tcPr>
          <w:p w14:paraId="079EE733"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21%</w:t>
            </w:r>
          </w:p>
        </w:tc>
        <w:tc>
          <w:tcPr>
            <w:tcW w:w="1710" w:type="dxa"/>
            <w:tcBorders>
              <w:top w:val="nil"/>
              <w:left w:val="nil"/>
              <w:bottom w:val="single" w:sz="4" w:space="0" w:color="BFBFBF"/>
              <w:right w:val="single" w:sz="4" w:space="0" w:color="auto"/>
            </w:tcBorders>
            <w:shd w:val="clear" w:color="000000" w:fill="FFFFFF"/>
            <w:noWrap/>
            <w:vAlign w:val="center"/>
            <w:hideMark/>
          </w:tcPr>
          <w:p w14:paraId="76183B35"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47</w:t>
            </w:r>
          </w:p>
        </w:tc>
      </w:tr>
      <w:tr w:rsidR="00432637" w:rsidRPr="00432637" w14:paraId="6BC22B10" w14:textId="77777777" w:rsidTr="00432637">
        <w:trPr>
          <w:trHeight w:val="402"/>
        </w:trPr>
        <w:tc>
          <w:tcPr>
            <w:tcW w:w="5935" w:type="dxa"/>
            <w:tcBorders>
              <w:top w:val="nil"/>
              <w:left w:val="single" w:sz="4" w:space="0" w:color="auto"/>
              <w:bottom w:val="single" w:sz="4" w:space="0" w:color="auto"/>
              <w:right w:val="single" w:sz="4" w:space="0" w:color="auto"/>
            </w:tcBorders>
            <w:shd w:val="clear" w:color="000000" w:fill="F2F2F2"/>
            <w:noWrap/>
            <w:vAlign w:val="center"/>
            <w:hideMark/>
          </w:tcPr>
          <w:p w14:paraId="2E7CE12E" w14:textId="77777777" w:rsidR="00432637" w:rsidRPr="00432637" w:rsidRDefault="00432637" w:rsidP="00432637">
            <w:pPr>
              <w:rPr>
                <w:rFonts w:eastAsia="Times New Roman"/>
                <w:color w:val="000000"/>
                <w:sz w:val="18"/>
                <w:szCs w:val="18"/>
              </w:rPr>
            </w:pPr>
            <w:r w:rsidRPr="00432637">
              <w:rPr>
                <w:rFonts w:eastAsia="Times New Roman"/>
                <w:color w:val="000000"/>
                <w:sz w:val="18"/>
                <w:szCs w:val="18"/>
              </w:rPr>
              <w:t>Share of dwellings in need of major repair</w:t>
            </w:r>
          </w:p>
        </w:tc>
        <w:tc>
          <w:tcPr>
            <w:tcW w:w="1710" w:type="dxa"/>
            <w:tcBorders>
              <w:top w:val="nil"/>
              <w:left w:val="nil"/>
              <w:bottom w:val="single" w:sz="4" w:space="0" w:color="auto"/>
              <w:right w:val="single" w:sz="4" w:space="0" w:color="BFBFBF"/>
            </w:tcBorders>
            <w:shd w:val="clear" w:color="000000" w:fill="F2F2F2"/>
            <w:noWrap/>
            <w:vAlign w:val="center"/>
            <w:hideMark/>
          </w:tcPr>
          <w:p w14:paraId="07D77D47"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6%</w:t>
            </w:r>
          </w:p>
        </w:tc>
        <w:tc>
          <w:tcPr>
            <w:tcW w:w="1710" w:type="dxa"/>
            <w:tcBorders>
              <w:top w:val="nil"/>
              <w:left w:val="nil"/>
              <w:bottom w:val="single" w:sz="4" w:space="0" w:color="auto"/>
              <w:right w:val="single" w:sz="4" w:space="0" w:color="auto"/>
            </w:tcBorders>
            <w:shd w:val="clear" w:color="000000" w:fill="F2F2F2"/>
            <w:noWrap/>
            <w:vAlign w:val="center"/>
            <w:hideMark/>
          </w:tcPr>
          <w:p w14:paraId="70EDBEEB" w14:textId="77777777" w:rsidR="00432637" w:rsidRPr="00934F2C" w:rsidRDefault="00432637" w:rsidP="00432637">
            <w:pPr>
              <w:jc w:val="right"/>
              <w:rPr>
                <w:rFonts w:eastAsia="Times New Roman"/>
                <w:color w:val="C00000"/>
                <w:sz w:val="18"/>
                <w:szCs w:val="18"/>
              </w:rPr>
            </w:pPr>
            <w:r w:rsidRPr="00934F2C">
              <w:rPr>
                <w:rFonts w:eastAsia="Times New Roman"/>
                <w:color w:val="C00000"/>
                <w:sz w:val="18"/>
                <w:szCs w:val="18"/>
              </w:rPr>
              <w:t>32</w:t>
            </w:r>
          </w:p>
        </w:tc>
      </w:tr>
    </w:tbl>
    <w:p w14:paraId="52DA9620" w14:textId="6025F86C" w:rsidR="006D3E34" w:rsidRDefault="00CB78D1" w:rsidP="00CB78D1">
      <w:pPr>
        <w:pStyle w:val="Source"/>
      </w:pPr>
      <w:r>
        <w:t>Source: Statistics Canada 2021 Census Profile</w:t>
      </w:r>
    </w:p>
    <w:p w14:paraId="62B73A9F" w14:textId="77777777" w:rsidR="00432637" w:rsidRDefault="00432637" w:rsidP="0016340E">
      <w:pPr>
        <w:jc w:val="both"/>
      </w:pPr>
    </w:p>
    <w:p w14:paraId="17726C63" w14:textId="526CBB21" w:rsidR="00317F5F" w:rsidRDefault="00DA009A" w:rsidP="00317F5F">
      <w:pPr>
        <w:jc w:val="both"/>
      </w:pPr>
      <w:r>
        <w:t>The above variables</w:t>
      </w:r>
      <w:r w:rsidR="00317F5F" w:rsidRPr="00317F5F">
        <w:t xml:space="preserve"> collectively describe the share of the local population and housing stock that </w:t>
      </w:r>
      <w:r>
        <w:t>may be</w:t>
      </w:r>
      <w:r w:rsidR="00317F5F" w:rsidRPr="00317F5F">
        <w:t xml:space="preserve"> most exposed to the climate stresses identified in the preceding table. A high national percentile for any of these measures indicates that the community has a comparatively elevated concentration of climate-vulnerable residents or dwellings relative to the rest of the country.</w:t>
      </w:r>
    </w:p>
    <w:p w14:paraId="1B2FA92A" w14:textId="77777777" w:rsidR="00DA009A" w:rsidRDefault="00DA009A" w:rsidP="00317F5F">
      <w:pPr>
        <w:jc w:val="both"/>
      </w:pPr>
    </w:p>
    <w:p w14:paraId="1BB4D075" w14:textId="36A1F838" w:rsidR="00317F5F" w:rsidRDefault="00DA009A" w:rsidP="00317F5F">
      <w:pPr>
        <w:jc w:val="both"/>
      </w:pPr>
      <w:r>
        <w:t xml:space="preserve">For instance, seniors (particularly, </w:t>
      </w:r>
      <w:r w:rsidR="00317F5F" w:rsidRPr="00317F5F">
        <w:t xml:space="preserve">those with </w:t>
      </w:r>
      <w:r w:rsidR="005E6C37">
        <w:t xml:space="preserve">low </w:t>
      </w:r>
      <w:r w:rsidR="00317F5F" w:rsidRPr="00317F5F">
        <w:t>incomes</w:t>
      </w:r>
      <w:r>
        <w:t>)</w:t>
      </w:r>
      <w:r w:rsidR="00317F5F" w:rsidRPr="00317F5F">
        <w:t xml:space="preserve"> are among the population groups most directly affected by heat and humidex conditions, as older adults are physiologically less able to regulate body temperature when conditions are extreme. Where the senior population share and the share of seniors in </w:t>
      </w:r>
      <w:r w:rsidR="005E6C37">
        <w:t>low income</w:t>
      </w:r>
      <w:r w:rsidR="00317F5F" w:rsidRPr="00317F5F">
        <w:t xml:space="preserve"> are both elevated, heat-related housing risk is compounded</w:t>
      </w:r>
      <w:r w:rsidR="00ED28A5">
        <w:t>.</w:t>
      </w:r>
      <w:r w:rsidR="00317F5F" w:rsidRPr="00317F5F">
        <w:t xml:space="preserve"> </w:t>
      </w:r>
      <w:r w:rsidR="00ED28A5">
        <w:t>T</w:t>
      </w:r>
      <w:r w:rsidR="00317F5F" w:rsidRPr="00317F5F">
        <w:t xml:space="preserve">he households most exposed are also those </w:t>
      </w:r>
      <w:r w:rsidR="00ED28A5">
        <w:t xml:space="preserve">often </w:t>
      </w:r>
      <w:r w:rsidR="00317F5F" w:rsidRPr="00317F5F">
        <w:t>with the fewest resources to respond. The share of the population in low income more broadly reflects reduced adaptive capacity across all climate stressors, including the ability to maintain, insulate, cool, or repair a dwelling in response to changing conditions.</w:t>
      </w:r>
    </w:p>
    <w:p w14:paraId="6C433724" w14:textId="77777777" w:rsidR="00BA787E" w:rsidRPr="00317F5F" w:rsidRDefault="00BA787E" w:rsidP="00317F5F">
      <w:pPr>
        <w:jc w:val="both"/>
      </w:pPr>
    </w:p>
    <w:p w14:paraId="02ADDEB7" w14:textId="7EBC5BB9" w:rsidR="00317F5F" w:rsidRPr="00317F5F" w:rsidRDefault="00317F5F" w:rsidP="00317F5F">
      <w:pPr>
        <w:jc w:val="both"/>
      </w:pPr>
      <w:r w:rsidRPr="00317F5F">
        <w:t>Dwelling age and repair condition are structural indicators of climate resilience in the housing stock itself. Dwellings built in 1960 or earlier were typically constructed before modern insulation standards and may perform poorly under both heat and cold stress, resulting in higher energy costs and greater discomfort or health risk for occupants. Dwellings in need of major repair may be particularly vulnerable to the physical effects of precipitation intensity, freeze-thaw cycles, and moisture infiltration. Where the share of older or poorly maintained dwellings is at or above the national median</w:t>
      </w:r>
      <w:r w:rsidR="00ED28A5">
        <w:t xml:space="preserve"> (i.e., 50</w:t>
      </w:r>
      <w:r w:rsidR="00ED28A5" w:rsidRPr="003C59F9">
        <w:rPr>
          <w:vertAlign w:val="superscript"/>
        </w:rPr>
        <w:t>th</w:t>
      </w:r>
      <w:r w:rsidR="00ED28A5">
        <w:t xml:space="preserve"> percentile)</w:t>
      </w:r>
      <w:r w:rsidRPr="00317F5F">
        <w:t>, the community faces a stock-level adaptation challenge alongside the demographic one</w:t>
      </w:r>
      <w:r w:rsidR="00735246">
        <w:t>. T</w:t>
      </w:r>
      <w:r w:rsidRPr="00317F5F">
        <w:t xml:space="preserve">he households most likely to occupy these dwellings are disproportionately lower-income </w:t>
      </w:r>
      <w:r w:rsidR="00735246">
        <w:t>households</w:t>
      </w:r>
      <w:r w:rsidRPr="00317F5F">
        <w:t xml:space="preserve"> with limited </w:t>
      </w:r>
      <w:r w:rsidR="00E17B66" w:rsidRPr="00317F5F">
        <w:t>option</w:t>
      </w:r>
      <w:r w:rsidR="00E17B66">
        <w:t>s</w:t>
      </w:r>
      <w:r w:rsidRPr="00317F5F">
        <w:t xml:space="preserve"> when conditions deteriorate.</w:t>
      </w:r>
    </w:p>
    <w:p w14:paraId="5DC7AF74" w14:textId="77777777" w:rsidR="00317F5F" w:rsidRDefault="00317F5F" w:rsidP="0016340E">
      <w:pPr>
        <w:jc w:val="both"/>
      </w:pPr>
    </w:p>
    <w:p w14:paraId="7C97B1BA" w14:textId="31C3EEAF" w:rsidR="00FC2483" w:rsidRDefault="00FC2483" w:rsidP="00FC2483">
      <w:pPr>
        <w:jc w:val="both"/>
      </w:pPr>
      <w:r w:rsidRPr="00FC2483">
        <w:t>One of the most direct physical expressions of precipitation intensity is flood susceptibility</w:t>
      </w:r>
      <w:r>
        <w:t>, or</w:t>
      </w:r>
      <w:r w:rsidRPr="00FC2483">
        <w:t xml:space="preserve"> the degree to which the land underlying the local housing stock is prone to inundation. </w:t>
      </w:r>
      <w:r w:rsidR="008B7F7F" w:rsidRPr="008B7F7F">
        <w:rPr>
          <w:rStyle w:val="Figure-textChar"/>
        </w:rPr>
        <w:fldChar w:fldCharType="begin"/>
      </w:r>
      <w:r w:rsidR="008B7F7F" w:rsidRPr="008B7F7F">
        <w:rPr>
          <w:rStyle w:val="Figure-textChar"/>
        </w:rPr>
        <w:instrText xml:space="preserve"> REF _Ref228270979 \h </w:instrText>
      </w:r>
      <w:r w:rsidR="008B7F7F">
        <w:rPr>
          <w:rStyle w:val="Figure-textChar"/>
        </w:rPr>
        <w:instrText xml:space="preserve"> \* MERGEFORMAT </w:instrText>
      </w:r>
      <w:r w:rsidR="008B7F7F" w:rsidRPr="008B7F7F">
        <w:rPr>
          <w:rStyle w:val="Figure-textChar"/>
        </w:rPr>
      </w:r>
      <w:r w:rsidR="008B7F7F" w:rsidRPr="008B7F7F">
        <w:rPr>
          <w:rStyle w:val="Figure-textChar"/>
        </w:rPr>
        <w:fldChar w:fldCharType="separate"/>
      </w:r>
      <w:r w:rsidR="00CA6116" w:rsidRPr="00CA6116">
        <w:rPr>
          <w:rStyle w:val="Figure-textChar"/>
        </w:rPr>
        <w:t>Table 9.6</w:t>
      </w:r>
      <w:r w:rsidR="008B7F7F" w:rsidRPr="008B7F7F">
        <w:rPr>
          <w:rStyle w:val="Figure-textChar"/>
        </w:rPr>
        <w:fldChar w:fldCharType="end"/>
      </w:r>
      <w:r w:rsidRPr="00FC2483">
        <w:t xml:space="preserve"> presents </w:t>
      </w:r>
      <w:proofErr w:type="gramStart"/>
      <w:r w:rsidRPr="00FC2483">
        <w:t>estimates</w:t>
      </w:r>
      <w:proofErr w:type="gramEnd"/>
      <w:r w:rsidRPr="00FC2483">
        <w:t xml:space="preserve"> of the shares of local </w:t>
      </w:r>
      <w:r w:rsidR="009A7892">
        <w:t>buildings</w:t>
      </w:r>
      <w:r w:rsidRPr="00FC2483">
        <w:t>, dwelling</w:t>
      </w:r>
      <w:r w:rsidR="009A7892">
        <w:t xml:space="preserve"> units</w:t>
      </w:r>
      <w:r w:rsidRPr="00FC2483">
        <w:t>, and population subject to moderate and high flood susceptibility, benchmarked against the region and province.</w:t>
      </w:r>
    </w:p>
    <w:p w14:paraId="0C38CC8B" w14:textId="77777777" w:rsidR="00FC2483" w:rsidRPr="00FC2483" w:rsidRDefault="00FC2483" w:rsidP="00FC2483">
      <w:pPr>
        <w:jc w:val="both"/>
      </w:pPr>
    </w:p>
    <w:p w14:paraId="628A2175" w14:textId="77777777" w:rsidR="00FC2483" w:rsidRPr="00FC2483" w:rsidRDefault="00FC2483" w:rsidP="00FC2483">
      <w:pPr>
        <w:jc w:val="both"/>
      </w:pPr>
      <w:r w:rsidRPr="00FC2483">
        <w:t>Estimates are derived using Statistics Canada 2021 Census data and Natural Resources Canada's Flood Susceptibility Index (FSI), a national geospatial dataset produced by the Canada Centre for Mapping and Earth Observation. The FSI was developed using machine learning algorithms trained on Canada's historical flood record, with the objective of generating a national flood susceptibility layer across a geographically large, diverse, and data-sparse country. Because the index captures relative susceptibility rather than absolute flood probability, values are best interpreted against regional and provincial comparators rather than as precise risk assessments for individual properties.</w:t>
      </w:r>
    </w:p>
    <w:p w14:paraId="2F916467" w14:textId="77777777" w:rsidR="00432637" w:rsidRDefault="00432637" w:rsidP="0016340E">
      <w:pPr>
        <w:jc w:val="both"/>
      </w:pPr>
    </w:p>
    <w:p w14:paraId="0F20EB79" w14:textId="0F2C97AA" w:rsidR="00907014" w:rsidRDefault="00907014" w:rsidP="00907014">
      <w:pPr>
        <w:pStyle w:val="Caption"/>
      </w:pPr>
      <w:bookmarkStart w:id="110" w:name="_Ref228270979"/>
      <w:r>
        <w:t xml:space="preserve">Table </w:t>
      </w:r>
      <w:fldSimple w:instr=" STYLEREF 1 \s ">
        <w:r w:rsidR="005E459C">
          <w:rPr>
            <w:noProof/>
          </w:rPr>
          <w:t>9</w:t>
        </w:r>
      </w:fldSimple>
      <w:r w:rsidR="00BD4359">
        <w:t>.</w:t>
      </w:r>
      <w:fldSimple w:instr=" SEQ Table \* ARABIC \s 1 ">
        <w:r w:rsidR="005E459C">
          <w:rPr>
            <w:noProof/>
          </w:rPr>
          <w:t>6</w:t>
        </w:r>
      </w:fldSimple>
      <w:bookmarkEnd w:id="110"/>
      <w:r>
        <w:t xml:space="preserve">: Estimated share of </w:t>
      </w:r>
      <w:r w:rsidR="001E4F7F">
        <w:t>buildings</w:t>
      </w:r>
      <w:r>
        <w:t>, dwelling</w:t>
      </w:r>
      <w:r w:rsidR="001E4F7F">
        <w:t xml:space="preserve"> units</w:t>
      </w:r>
      <w:r>
        <w:t>, and people subject to moderate and high susceptibility to flooding</w:t>
      </w:r>
      <w:bookmarkEnd w:id="108"/>
    </w:p>
    <w:tbl>
      <w:tblPr>
        <w:tblW w:w="9355" w:type="dxa"/>
        <w:tblLayout w:type="fixed"/>
        <w:tblLook w:val="04A0" w:firstRow="1" w:lastRow="0" w:firstColumn="1" w:lastColumn="0" w:noHBand="0" w:noVBand="1"/>
      </w:tblPr>
      <w:tblGrid>
        <w:gridCol w:w="2495"/>
        <w:gridCol w:w="1143"/>
        <w:gridCol w:w="1143"/>
        <w:gridCol w:w="1144"/>
        <w:gridCol w:w="1143"/>
        <w:gridCol w:w="1143"/>
        <w:gridCol w:w="1144"/>
      </w:tblGrid>
      <w:tr w:rsidR="00972D04" w:rsidRPr="00972D04" w14:paraId="592F4D20" w14:textId="77777777" w:rsidTr="003C59F9">
        <w:trPr>
          <w:trHeight w:val="402"/>
          <w:tblHeader/>
        </w:trPr>
        <w:tc>
          <w:tcPr>
            <w:tcW w:w="2495" w:type="dxa"/>
            <w:tcBorders>
              <w:top w:val="nil"/>
              <w:left w:val="nil"/>
              <w:bottom w:val="nil"/>
              <w:right w:val="nil"/>
            </w:tcBorders>
            <w:noWrap/>
            <w:vAlign w:val="bottom"/>
            <w:hideMark/>
          </w:tcPr>
          <w:p w14:paraId="666D9589" w14:textId="77777777" w:rsidR="00972D04" w:rsidRPr="00972D04" w:rsidRDefault="00972D04" w:rsidP="000648A7">
            <w:pPr>
              <w:rPr>
                <w:rFonts w:ascii="Times New Roman" w:eastAsia="Times New Roman" w:hAnsi="Times New Roman" w:cs="Times New Roman"/>
                <w:sz w:val="24"/>
                <w:szCs w:val="24"/>
              </w:rPr>
            </w:pPr>
          </w:p>
        </w:tc>
        <w:tc>
          <w:tcPr>
            <w:tcW w:w="2286"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150E8A2E" w14:textId="77777777" w:rsidR="00972D04" w:rsidRPr="00972D04" w:rsidRDefault="00972D04" w:rsidP="000648A7">
            <w:pPr>
              <w:jc w:val="center"/>
              <w:rPr>
                <w:rFonts w:eastAsia="Times New Roman"/>
                <w:color w:val="FFFFFF"/>
                <w:sz w:val="18"/>
                <w:szCs w:val="18"/>
              </w:rPr>
            </w:pPr>
            <w:r w:rsidRPr="00972D04">
              <w:rPr>
                <w:rFonts w:eastAsia="Times New Roman"/>
                <w:color w:val="FFFFFF"/>
                <w:sz w:val="18"/>
                <w:szCs w:val="18"/>
              </w:rPr>
              <w:t>Local</w:t>
            </w:r>
          </w:p>
        </w:tc>
        <w:tc>
          <w:tcPr>
            <w:tcW w:w="2287"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69D7BF48" w14:textId="77777777" w:rsidR="00972D04" w:rsidRPr="00972D04" w:rsidRDefault="00972D04" w:rsidP="000648A7">
            <w:pPr>
              <w:jc w:val="center"/>
              <w:rPr>
                <w:rFonts w:eastAsia="Times New Roman"/>
                <w:color w:val="FFFFFF"/>
                <w:sz w:val="18"/>
                <w:szCs w:val="18"/>
              </w:rPr>
            </w:pPr>
            <w:r w:rsidRPr="00972D04">
              <w:rPr>
                <w:rFonts w:eastAsia="Times New Roman"/>
                <w:color w:val="FFFFFF"/>
                <w:sz w:val="18"/>
                <w:szCs w:val="18"/>
              </w:rPr>
              <w:t>Region</w:t>
            </w:r>
          </w:p>
        </w:tc>
        <w:tc>
          <w:tcPr>
            <w:tcW w:w="2287"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14D20C51" w14:textId="77777777" w:rsidR="00972D04" w:rsidRPr="00972D04" w:rsidRDefault="00972D04" w:rsidP="000648A7">
            <w:pPr>
              <w:jc w:val="center"/>
              <w:rPr>
                <w:rFonts w:eastAsia="Times New Roman"/>
                <w:color w:val="FFFFFF"/>
                <w:sz w:val="18"/>
                <w:szCs w:val="18"/>
              </w:rPr>
            </w:pPr>
            <w:r w:rsidRPr="00972D04">
              <w:rPr>
                <w:rFonts w:eastAsia="Times New Roman"/>
                <w:color w:val="FFFFFF"/>
                <w:sz w:val="18"/>
                <w:szCs w:val="18"/>
              </w:rPr>
              <w:t>Province</w:t>
            </w:r>
          </w:p>
        </w:tc>
      </w:tr>
      <w:tr w:rsidR="00972D04" w:rsidRPr="00972D04" w14:paraId="3BCC5F76" w14:textId="77777777" w:rsidTr="003C59F9">
        <w:trPr>
          <w:trHeight w:val="402"/>
          <w:tblHeader/>
        </w:trPr>
        <w:tc>
          <w:tcPr>
            <w:tcW w:w="249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06AEAC54" w14:textId="77777777" w:rsidR="00972D04" w:rsidRPr="00972D04" w:rsidRDefault="00972D04" w:rsidP="000648A7">
            <w:pPr>
              <w:rPr>
                <w:rFonts w:eastAsia="Times New Roman"/>
                <w:color w:val="FFFFFF"/>
                <w:sz w:val="18"/>
                <w:szCs w:val="18"/>
              </w:rPr>
            </w:pPr>
            <w:r w:rsidRPr="00972D04">
              <w:rPr>
                <w:rFonts w:eastAsia="Times New Roman"/>
                <w:color w:val="FFFFFF"/>
                <w:sz w:val="18"/>
                <w:szCs w:val="18"/>
              </w:rPr>
              <w:t>Variable</w:t>
            </w:r>
          </w:p>
        </w:tc>
        <w:tc>
          <w:tcPr>
            <w:tcW w:w="1143" w:type="dxa"/>
            <w:tcBorders>
              <w:top w:val="nil"/>
              <w:left w:val="nil"/>
              <w:bottom w:val="single" w:sz="4" w:space="0" w:color="auto"/>
              <w:right w:val="single" w:sz="4" w:space="0" w:color="BFBFBF"/>
            </w:tcBorders>
            <w:shd w:val="clear" w:color="auto" w:fill="CFD9E3" w:themeFill="accent1"/>
            <w:noWrap/>
            <w:vAlign w:val="center"/>
            <w:hideMark/>
          </w:tcPr>
          <w:p w14:paraId="7615D4F9" w14:textId="77777777" w:rsidR="00972D04" w:rsidRPr="00972D04" w:rsidRDefault="00972D04" w:rsidP="000648A7">
            <w:pPr>
              <w:jc w:val="right"/>
              <w:rPr>
                <w:rFonts w:eastAsia="Times New Roman"/>
                <w:color w:val="000000"/>
                <w:sz w:val="18"/>
                <w:szCs w:val="18"/>
              </w:rPr>
            </w:pPr>
            <w:r w:rsidRPr="00972D04">
              <w:rPr>
                <w:rFonts w:eastAsia="Times New Roman"/>
                <w:color w:val="000000"/>
                <w:sz w:val="18"/>
                <w:szCs w:val="18"/>
              </w:rPr>
              <w:t>Moderate</w:t>
            </w:r>
          </w:p>
        </w:tc>
        <w:tc>
          <w:tcPr>
            <w:tcW w:w="1143" w:type="dxa"/>
            <w:tcBorders>
              <w:top w:val="nil"/>
              <w:left w:val="nil"/>
              <w:bottom w:val="single" w:sz="4" w:space="0" w:color="auto"/>
              <w:right w:val="single" w:sz="4" w:space="0" w:color="auto"/>
            </w:tcBorders>
            <w:shd w:val="clear" w:color="auto" w:fill="CFD9E3" w:themeFill="accent1"/>
            <w:noWrap/>
            <w:vAlign w:val="center"/>
            <w:hideMark/>
          </w:tcPr>
          <w:p w14:paraId="3E985915" w14:textId="77777777" w:rsidR="00972D04" w:rsidRPr="00972D04" w:rsidRDefault="00972D04" w:rsidP="000648A7">
            <w:pPr>
              <w:jc w:val="right"/>
              <w:rPr>
                <w:rFonts w:eastAsia="Times New Roman"/>
                <w:color w:val="000000"/>
                <w:sz w:val="18"/>
                <w:szCs w:val="18"/>
              </w:rPr>
            </w:pPr>
            <w:r w:rsidRPr="00972D04">
              <w:rPr>
                <w:rFonts w:eastAsia="Times New Roman"/>
                <w:color w:val="000000"/>
                <w:sz w:val="18"/>
                <w:szCs w:val="18"/>
              </w:rPr>
              <w:t>High</w:t>
            </w:r>
          </w:p>
        </w:tc>
        <w:tc>
          <w:tcPr>
            <w:tcW w:w="1144" w:type="dxa"/>
            <w:tcBorders>
              <w:top w:val="nil"/>
              <w:left w:val="nil"/>
              <w:bottom w:val="single" w:sz="4" w:space="0" w:color="auto"/>
              <w:right w:val="single" w:sz="4" w:space="0" w:color="BFBFBF"/>
            </w:tcBorders>
            <w:shd w:val="clear" w:color="auto" w:fill="CFD9E3" w:themeFill="accent1"/>
            <w:noWrap/>
            <w:vAlign w:val="center"/>
            <w:hideMark/>
          </w:tcPr>
          <w:p w14:paraId="759E4195" w14:textId="77777777" w:rsidR="00972D04" w:rsidRPr="00972D04" w:rsidRDefault="00972D04" w:rsidP="000648A7">
            <w:pPr>
              <w:jc w:val="right"/>
              <w:rPr>
                <w:rFonts w:eastAsia="Times New Roman"/>
                <w:color w:val="000000"/>
                <w:sz w:val="18"/>
                <w:szCs w:val="18"/>
              </w:rPr>
            </w:pPr>
            <w:r w:rsidRPr="00972D04">
              <w:rPr>
                <w:rFonts w:eastAsia="Times New Roman"/>
                <w:color w:val="000000"/>
                <w:sz w:val="18"/>
                <w:szCs w:val="18"/>
              </w:rPr>
              <w:t>Moderate</w:t>
            </w:r>
          </w:p>
        </w:tc>
        <w:tc>
          <w:tcPr>
            <w:tcW w:w="1143" w:type="dxa"/>
            <w:tcBorders>
              <w:top w:val="nil"/>
              <w:left w:val="nil"/>
              <w:bottom w:val="single" w:sz="4" w:space="0" w:color="auto"/>
              <w:right w:val="single" w:sz="4" w:space="0" w:color="auto"/>
            </w:tcBorders>
            <w:shd w:val="clear" w:color="auto" w:fill="CFD9E3" w:themeFill="accent1"/>
            <w:noWrap/>
            <w:vAlign w:val="center"/>
            <w:hideMark/>
          </w:tcPr>
          <w:p w14:paraId="5346F1DB" w14:textId="77777777" w:rsidR="00972D04" w:rsidRPr="00972D04" w:rsidRDefault="00972D04" w:rsidP="000648A7">
            <w:pPr>
              <w:jc w:val="right"/>
              <w:rPr>
                <w:rFonts w:eastAsia="Times New Roman"/>
                <w:color w:val="000000"/>
                <w:sz w:val="18"/>
                <w:szCs w:val="18"/>
              </w:rPr>
            </w:pPr>
            <w:r w:rsidRPr="00972D04">
              <w:rPr>
                <w:rFonts w:eastAsia="Times New Roman"/>
                <w:color w:val="000000"/>
                <w:sz w:val="18"/>
                <w:szCs w:val="18"/>
              </w:rPr>
              <w:t>High</w:t>
            </w:r>
          </w:p>
        </w:tc>
        <w:tc>
          <w:tcPr>
            <w:tcW w:w="1143" w:type="dxa"/>
            <w:tcBorders>
              <w:top w:val="nil"/>
              <w:left w:val="nil"/>
              <w:bottom w:val="single" w:sz="4" w:space="0" w:color="auto"/>
              <w:right w:val="single" w:sz="4" w:space="0" w:color="BFBFBF"/>
            </w:tcBorders>
            <w:shd w:val="clear" w:color="auto" w:fill="CFD9E3" w:themeFill="accent1"/>
            <w:noWrap/>
            <w:vAlign w:val="center"/>
            <w:hideMark/>
          </w:tcPr>
          <w:p w14:paraId="63B93ACB" w14:textId="77777777" w:rsidR="00972D04" w:rsidRPr="00972D04" w:rsidRDefault="00972D04" w:rsidP="000648A7">
            <w:pPr>
              <w:jc w:val="right"/>
              <w:rPr>
                <w:rFonts w:eastAsia="Times New Roman"/>
                <w:color w:val="000000"/>
                <w:sz w:val="18"/>
                <w:szCs w:val="18"/>
              </w:rPr>
            </w:pPr>
            <w:r w:rsidRPr="00972D04">
              <w:rPr>
                <w:rFonts w:eastAsia="Times New Roman"/>
                <w:color w:val="000000"/>
                <w:sz w:val="18"/>
                <w:szCs w:val="18"/>
              </w:rPr>
              <w:t>Moderate</w:t>
            </w:r>
          </w:p>
        </w:tc>
        <w:tc>
          <w:tcPr>
            <w:tcW w:w="1144" w:type="dxa"/>
            <w:tcBorders>
              <w:top w:val="nil"/>
              <w:left w:val="nil"/>
              <w:bottom w:val="single" w:sz="4" w:space="0" w:color="auto"/>
              <w:right w:val="single" w:sz="4" w:space="0" w:color="auto"/>
            </w:tcBorders>
            <w:shd w:val="clear" w:color="auto" w:fill="CFD9E3" w:themeFill="accent1"/>
            <w:noWrap/>
            <w:vAlign w:val="center"/>
            <w:hideMark/>
          </w:tcPr>
          <w:p w14:paraId="54116E96" w14:textId="77777777" w:rsidR="00972D04" w:rsidRPr="00972D04" w:rsidRDefault="00972D04" w:rsidP="000648A7">
            <w:pPr>
              <w:jc w:val="right"/>
              <w:rPr>
                <w:rFonts w:eastAsia="Times New Roman"/>
                <w:color w:val="000000"/>
                <w:sz w:val="18"/>
                <w:szCs w:val="18"/>
              </w:rPr>
            </w:pPr>
            <w:r w:rsidRPr="00972D04">
              <w:rPr>
                <w:rFonts w:eastAsia="Times New Roman"/>
                <w:color w:val="000000"/>
                <w:sz w:val="18"/>
                <w:szCs w:val="18"/>
              </w:rPr>
              <w:t>High</w:t>
            </w:r>
          </w:p>
        </w:tc>
      </w:tr>
      <w:tr w:rsidR="00972D04" w:rsidRPr="00972D04" w14:paraId="646BAF25" w14:textId="77777777" w:rsidTr="000648A7">
        <w:trPr>
          <w:trHeight w:val="402"/>
        </w:trPr>
        <w:tc>
          <w:tcPr>
            <w:tcW w:w="2495" w:type="dxa"/>
            <w:tcBorders>
              <w:top w:val="nil"/>
              <w:left w:val="single" w:sz="4" w:space="0" w:color="auto"/>
              <w:bottom w:val="single" w:sz="4" w:space="0" w:color="BFBFBF"/>
              <w:right w:val="single" w:sz="4" w:space="0" w:color="auto"/>
            </w:tcBorders>
            <w:shd w:val="clear" w:color="000000" w:fill="F2F2F2"/>
            <w:noWrap/>
            <w:vAlign w:val="center"/>
            <w:hideMark/>
          </w:tcPr>
          <w:p w14:paraId="2A770C15" w14:textId="3C950D91" w:rsidR="00972D04" w:rsidRPr="00972D04" w:rsidRDefault="001E4F7F" w:rsidP="000648A7">
            <w:pPr>
              <w:rPr>
                <w:rFonts w:eastAsia="Times New Roman"/>
                <w:color w:val="000000"/>
                <w:sz w:val="18"/>
                <w:szCs w:val="18"/>
              </w:rPr>
            </w:pPr>
            <w:r>
              <w:rPr>
                <w:rFonts w:eastAsia="Times New Roman"/>
                <w:color w:val="000000"/>
                <w:sz w:val="18"/>
                <w:szCs w:val="18"/>
              </w:rPr>
              <w:t>Buildings</w:t>
            </w:r>
          </w:p>
        </w:tc>
        <w:tc>
          <w:tcPr>
            <w:tcW w:w="1143" w:type="dxa"/>
            <w:tcBorders>
              <w:top w:val="nil"/>
              <w:left w:val="nil"/>
              <w:bottom w:val="single" w:sz="4" w:space="0" w:color="BFBFBF"/>
              <w:right w:val="single" w:sz="4" w:space="0" w:color="BFBFBF"/>
            </w:tcBorders>
            <w:shd w:val="clear" w:color="000000" w:fill="F2F2F2"/>
            <w:noWrap/>
            <w:vAlign w:val="center"/>
            <w:hideMark/>
          </w:tcPr>
          <w:p w14:paraId="34174FC8"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33%</w:t>
            </w:r>
          </w:p>
        </w:tc>
        <w:tc>
          <w:tcPr>
            <w:tcW w:w="1143" w:type="dxa"/>
            <w:tcBorders>
              <w:top w:val="nil"/>
              <w:left w:val="nil"/>
              <w:bottom w:val="single" w:sz="4" w:space="0" w:color="BFBFBF"/>
              <w:right w:val="single" w:sz="4" w:space="0" w:color="auto"/>
            </w:tcBorders>
            <w:shd w:val="clear" w:color="000000" w:fill="F2F2F2"/>
            <w:noWrap/>
            <w:vAlign w:val="center"/>
            <w:hideMark/>
          </w:tcPr>
          <w:p w14:paraId="7D5C7070"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0%</w:t>
            </w:r>
          </w:p>
        </w:tc>
        <w:tc>
          <w:tcPr>
            <w:tcW w:w="1144" w:type="dxa"/>
            <w:tcBorders>
              <w:top w:val="nil"/>
              <w:left w:val="nil"/>
              <w:bottom w:val="single" w:sz="4" w:space="0" w:color="BFBFBF"/>
              <w:right w:val="single" w:sz="4" w:space="0" w:color="BFBFBF"/>
            </w:tcBorders>
            <w:shd w:val="clear" w:color="000000" w:fill="F2F2F2"/>
            <w:noWrap/>
            <w:vAlign w:val="center"/>
            <w:hideMark/>
          </w:tcPr>
          <w:p w14:paraId="5E526F26"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22%</w:t>
            </w:r>
          </w:p>
        </w:tc>
        <w:tc>
          <w:tcPr>
            <w:tcW w:w="1143" w:type="dxa"/>
            <w:tcBorders>
              <w:top w:val="nil"/>
              <w:left w:val="nil"/>
              <w:bottom w:val="single" w:sz="4" w:space="0" w:color="BFBFBF"/>
              <w:right w:val="single" w:sz="4" w:space="0" w:color="auto"/>
            </w:tcBorders>
            <w:shd w:val="clear" w:color="000000" w:fill="F2F2F2"/>
            <w:noWrap/>
            <w:vAlign w:val="center"/>
            <w:hideMark/>
          </w:tcPr>
          <w:p w14:paraId="1B7EE564"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9%</w:t>
            </w:r>
          </w:p>
        </w:tc>
        <w:tc>
          <w:tcPr>
            <w:tcW w:w="1143" w:type="dxa"/>
            <w:tcBorders>
              <w:top w:val="nil"/>
              <w:left w:val="nil"/>
              <w:bottom w:val="single" w:sz="4" w:space="0" w:color="BFBFBF"/>
              <w:right w:val="single" w:sz="4" w:space="0" w:color="BFBFBF"/>
            </w:tcBorders>
            <w:shd w:val="clear" w:color="000000" w:fill="F2F2F2"/>
            <w:noWrap/>
            <w:vAlign w:val="center"/>
            <w:hideMark/>
          </w:tcPr>
          <w:p w14:paraId="6E32E5F9"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19%</w:t>
            </w:r>
          </w:p>
        </w:tc>
        <w:tc>
          <w:tcPr>
            <w:tcW w:w="1144" w:type="dxa"/>
            <w:tcBorders>
              <w:top w:val="nil"/>
              <w:left w:val="nil"/>
              <w:bottom w:val="single" w:sz="4" w:space="0" w:color="BFBFBF"/>
              <w:right w:val="single" w:sz="4" w:space="0" w:color="auto"/>
            </w:tcBorders>
            <w:shd w:val="clear" w:color="000000" w:fill="F2F2F2"/>
            <w:noWrap/>
            <w:vAlign w:val="center"/>
            <w:hideMark/>
          </w:tcPr>
          <w:p w14:paraId="31AD6796"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22%</w:t>
            </w:r>
          </w:p>
        </w:tc>
      </w:tr>
      <w:tr w:rsidR="00972D04" w:rsidRPr="00972D04" w14:paraId="1CF5CEB8" w14:textId="77777777" w:rsidTr="000648A7">
        <w:trPr>
          <w:trHeight w:val="402"/>
        </w:trPr>
        <w:tc>
          <w:tcPr>
            <w:tcW w:w="2495" w:type="dxa"/>
            <w:tcBorders>
              <w:top w:val="nil"/>
              <w:left w:val="single" w:sz="4" w:space="0" w:color="auto"/>
              <w:bottom w:val="single" w:sz="4" w:space="0" w:color="BFBFBF"/>
              <w:right w:val="nil"/>
            </w:tcBorders>
            <w:shd w:val="clear" w:color="000000" w:fill="FFFFFF"/>
            <w:noWrap/>
            <w:vAlign w:val="center"/>
            <w:hideMark/>
          </w:tcPr>
          <w:p w14:paraId="122B0D7D" w14:textId="4842ED7F" w:rsidR="00972D04" w:rsidRPr="00972D04" w:rsidRDefault="00972D04" w:rsidP="000648A7">
            <w:pPr>
              <w:rPr>
                <w:rFonts w:eastAsia="Times New Roman"/>
                <w:color w:val="0D0D0D"/>
                <w:sz w:val="18"/>
                <w:szCs w:val="18"/>
              </w:rPr>
            </w:pPr>
            <w:r w:rsidRPr="00972D04">
              <w:rPr>
                <w:rFonts w:eastAsia="Times New Roman"/>
                <w:color w:val="0D0D0D"/>
                <w:sz w:val="18"/>
                <w:szCs w:val="18"/>
              </w:rPr>
              <w:t>Dwelling</w:t>
            </w:r>
            <w:r w:rsidR="001E4F7F">
              <w:rPr>
                <w:rFonts w:eastAsia="Times New Roman"/>
                <w:color w:val="0D0D0D"/>
                <w:sz w:val="18"/>
                <w:szCs w:val="18"/>
              </w:rPr>
              <w:t xml:space="preserve"> units</w:t>
            </w:r>
          </w:p>
        </w:tc>
        <w:tc>
          <w:tcPr>
            <w:tcW w:w="1143" w:type="dxa"/>
            <w:tcBorders>
              <w:top w:val="nil"/>
              <w:left w:val="single" w:sz="4" w:space="0" w:color="auto"/>
              <w:bottom w:val="single" w:sz="4" w:space="0" w:color="BFBFBF"/>
              <w:right w:val="single" w:sz="4" w:space="0" w:color="BFBFBF"/>
            </w:tcBorders>
            <w:shd w:val="clear" w:color="000000" w:fill="FFFFFF"/>
            <w:noWrap/>
            <w:vAlign w:val="center"/>
            <w:hideMark/>
          </w:tcPr>
          <w:p w14:paraId="18B12F3B"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34%</w:t>
            </w:r>
          </w:p>
        </w:tc>
        <w:tc>
          <w:tcPr>
            <w:tcW w:w="1143" w:type="dxa"/>
            <w:tcBorders>
              <w:top w:val="nil"/>
              <w:left w:val="nil"/>
              <w:bottom w:val="single" w:sz="4" w:space="0" w:color="BFBFBF"/>
              <w:right w:val="single" w:sz="4" w:space="0" w:color="auto"/>
            </w:tcBorders>
            <w:shd w:val="clear" w:color="000000" w:fill="FFFFFF"/>
            <w:noWrap/>
            <w:vAlign w:val="center"/>
            <w:hideMark/>
          </w:tcPr>
          <w:p w14:paraId="606DB476"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0%</w:t>
            </w:r>
          </w:p>
        </w:tc>
        <w:tc>
          <w:tcPr>
            <w:tcW w:w="1144" w:type="dxa"/>
            <w:tcBorders>
              <w:top w:val="nil"/>
              <w:left w:val="nil"/>
              <w:bottom w:val="single" w:sz="4" w:space="0" w:color="BFBFBF"/>
              <w:right w:val="single" w:sz="4" w:space="0" w:color="BFBFBF"/>
            </w:tcBorders>
            <w:shd w:val="clear" w:color="000000" w:fill="FFFFFF"/>
            <w:noWrap/>
            <w:vAlign w:val="center"/>
            <w:hideMark/>
          </w:tcPr>
          <w:p w14:paraId="6BB0FE63"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24%</w:t>
            </w:r>
          </w:p>
        </w:tc>
        <w:tc>
          <w:tcPr>
            <w:tcW w:w="1143" w:type="dxa"/>
            <w:tcBorders>
              <w:top w:val="nil"/>
              <w:left w:val="nil"/>
              <w:bottom w:val="single" w:sz="4" w:space="0" w:color="BFBFBF"/>
              <w:right w:val="single" w:sz="4" w:space="0" w:color="auto"/>
            </w:tcBorders>
            <w:shd w:val="clear" w:color="000000" w:fill="FFFFFF"/>
            <w:noWrap/>
            <w:vAlign w:val="center"/>
            <w:hideMark/>
          </w:tcPr>
          <w:p w14:paraId="001C0EE9"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7%</w:t>
            </w:r>
          </w:p>
        </w:tc>
        <w:tc>
          <w:tcPr>
            <w:tcW w:w="1143" w:type="dxa"/>
            <w:tcBorders>
              <w:top w:val="nil"/>
              <w:left w:val="nil"/>
              <w:bottom w:val="single" w:sz="4" w:space="0" w:color="BFBFBF"/>
              <w:right w:val="single" w:sz="4" w:space="0" w:color="BFBFBF"/>
            </w:tcBorders>
            <w:shd w:val="clear" w:color="000000" w:fill="FFFFFF"/>
            <w:noWrap/>
            <w:vAlign w:val="center"/>
            <w:hideMark/>
          </w:tcPr>
          <w:p w14:paraId="4F74A655"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20%</w:t>
            </w:r>
          </w:p>
        </w:tc>
        <w:tc>
          <w:tcPr>
            <w:tcW w:w="1144" w:type="dxa"/>
            <w:tcBorders>
              <w:top w:val="nil"/>
              <w:left w:val="nil"/>
              <w:bottom w:val="single" w:sz="4" w:space="0" w:color="BFBFBF"/>
              <w:right w:val="single" w:sz="4" w:space="0" w:color="auto"/>
            </w:tcBorders>
            <w:shd w:val="clear" w:color="000000" w:fill="FFFFFF"/>
            <w:noWrap/>
            <w:vAlign w:val="center"/>
            <w:hideMark/>
          </w:tcPr>
          <w:p w14:paraId="491DF2BB"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21%</w:t>
            </w:r>
          </w:p>
        </w:tc>
      </w:tr>
      <w:tr w:rsidR="00972D04" w:rsidRPr="00972D04" w14:paraId="6EA6F89A" w14:textId="77777777" w:rsidTr="000648A7">
        <w:trPr>
          <w:trHeight w:val="402"/>
        </w:trPr>
        <w:tc>
          <w:tcPr>
            <w:tcW w:w="2495" w:type="dxa"/>
            <w:tcBorders>
              <w:top w:val="nil"/>
              <w:left w:val="single" w:sz="4" w:space="0" w:color="auto"/>
              <w:bottom w:val="single" w:sz="4" w:space="0" w:color="auto"/>
              <w:right w:val="single" w:sz="4" w:space="0" w:color="auto"/>
            </w:tcBorders>
            <w:shd w:val="clear" w:color="000000" w:fill="F2F2F2"/>
            <w:noWrap/>
            <w:vAlign w:val="center"/>
            <w:hideMark/>
          </w:tcPr>
          <w:p w14:paraId="1D083A12" w14:textId="77777777" w:rsidR="00972D04" w:rsidRPr="00972D04" w:rsidRDefault="00972D04" w:rsidP="000648A7">
            <w:pPr>
              <w:rPr>
                <w:rFonts w:eastAsia="Times New Roman"/>
                <w:color w:val="000000"/>
                <w:sz w:val="18"/>
                <w:szCs w:val="18"/>
              </w:rPr>
            </w:pPr>
            <w:r w:rsidRPr="00972D04">
              <w:rPr>
                <w:rFonts w:eastAsia="Times New Roman"/>
                <w:color w:val="000000"/>
                <w:sz w:val="18"/>
                <w:szCs w:val="18"/>
              </w:rPr>
              <w:t>Population</w:t>
            </w:r>
          </w:p>
        </w:tc>
        <w:tc>
          <w:tcPr>
            <w:tcW w:w="1143" w:type="dxa"/>
            <w:tcBorders>
              <w:top w:val="nil"/>
              <w:left w:val="nil"/>
              <w:bottom w:val="single" w:sz="4" w:space="0" w:color="auto"/>
              <w:right w:val="single" w:sz="4" w:space="0" w:color="BFBFBF"/>
            </w:tcBorders>
            <w:shd w:val="clear" w:color="000000" w:fill="F2F2F2"/>
            <w:noWrap/>
            <w:vAlign w:val="center"/>
            <w:hideMark/>
          </w:tcPr>
          <w:p w14:paraId="5FA8741E"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30%</w:t>
            </w:r>
          </w:p>
        </w:tc>
        <w:tc>
          <w:tcPr>
            <w:tcW w:w="1143" w:type="dxa"/>
            <w:tcBorders>
              <w:top w:val="nil"/>
              <w:left w:val="nil"/>
              <w:bottom w:val="single" w:sz="4" w:space="0" w:color="auto"/>
              <w:right w:val="single" w:sz="4" w:space="0" w:color="auto"/>
            </w:tcBorders>
            <w:shd w:val="clear" w:color="000000" w:fill="F2F2F2"/>
            <w:noWrap/>
            <w:vAlign w:val="center"/>
            <w:hideMark/>
          </w:tcPr>
          <w:p w14:paraId="5C7B89D9"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0%</w:t>
            </w:r>
          </w:p>
        </w:tc>
        <w:tc>
          <w:tcPr>
            <w:tcW w:w="1144" w:type="dxa"/>
            <w:tcBorders>
              <w:top w:val="nil"/>
              <w:left w:val="nil"/>
              <w:bottom w:val="single" w:sz="4" w:space="0" w:color="auto"/>
              <w:right w:val="single" w:sz="4" w:space="0" w:color="BFBFBF"/>
            </w:tcBorders>
            <w:shd w:val="clear" w:color="000000" w:fill="F2F2F2"/>
            <w:noWrap/>
            <w:vAlign w:val="center"/>
            <w:hideMark/>
          </w:tcPr>
          <w:p w14:paraId="0A6439B4"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21%</w:t>
            </w:r>
          </w:p>
        </w:tc>
        <w:tc>
          <w:tcPr>
            <w:tcW w:w="1143" w:type="dxa"/>
            <w:tcBorders>
              <w:top w:val="nil"/>
              <w:left w:val="nil"/>
              <w:bottom w:val="single" w:sz="4" w:space="0" w:color="auto"/>
              <w:right w:val="single" w:sz="4" w:space="0" w:color="auto"/>
            </w:tcBorders>
            <w:shd w:val="clear" w:color="000000" w:fill="F2F2F2"/>
            <w:noWrap/>
            <w:vAlign w:val="center"/>
            <w:hideMark/>
          </w:tcPr>
          <w:p w14:paraId="42066922"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5%</w:t>
            </w:r>
          </w:p>
        </w:tc>
        <w:tc>
          <w:tcPr>
            <w:tcW w:w="1143" w:type="dxa"/>
            <w:tcBorders>
              <w:top w:val="nil"/>
              <w:left w:val="nil"/>
              <w:bottom w:val="single" w:sz="4" w:space="0" w:color="auto"/>
              <w:right w:val="single" w:sz="4" w:space="0" w:color="BFBFBF"/>
            </w:tcBorders>
            <w:shd w:val="clear" w:color="000000" w:fill="F2F2F2"/>
            <w:noWrap/>
            <w:vAlign w:val="center"/>
            <w:hideMark/>
          </w:tcPr>
          <w:p w14:paraId="0AFC26C7"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18%</w:t>
            </w:r>
          </w:p>
        </w:tc>
        <w:tc>
          <w:tcPr>
            <w:tcW w:w="1144" w:type="dxa"/>
            <w:tcBorders>
              <w:top w:val="nil"/>
              <w:left w:val="nil"/>
              <w:bottom w:val="single" w:sz="4" w:space="0" w:color="auto"/>
              <w:right w:val="single" w:sz="4" w:space="0" w:color="auto"/>
            </w:tcBorders>
            <w:shd w:val="clear" w:color="000000" w:fill="F2F2F2"/>
            <w:noWrap/>
            <w:vAlign w:val="center"/>
            <w:hideMark/>
          </w:tcPr>
          <w:p w14:paraId="06686994" w14:textId="77777777" w:rsidR="00972D04" w:rsidRPr="00934F2C" w:rsidRDefault="00972D04" w:rsidP="000648A7">
            <w:pPr>
              <w:jc w:val="right"/>
              <w:rPr>
                <w:rFonts w:eastAsia="Times New Roman"/>
                <w:color w:val="C00000"/>
                <w:sz w:val="18"/>
                <w:szCs w:val="18"/>
              </w:rPr>
            </w:pPr>
            <w:r w:rsidRPr="00934F2C">
              <w:rPr>
                <w:rFonts w:eastAsia="Times New Roman"/>
                <w:color w:val="C00000"/>
                <w:sz w:val="18"/>
                <w:szCs w:val="18"/>
              </w:rPr>
              <w:t>19%</w:t>
            </w:r>
          </w:p>
        </w:tc>
      </w:tr>
    </w:tbl>
    <w:p w14:paraId="12C6EBA8" w14:textId="29EE1633" w:rsidR="00FC406A" w:rsidRDefault="00907014" w:rsidP="001556DC">
      <w:pPr>
        <w:pStyle w:val="Source"/>
      </w:pPr>
      <w:r>
        <w:t>Source: derived from Statistics Canada</w:t>
      </w:r>
      <w:r w:rsidR="00B0269F">
        <w:t xml:space="preserve"> 2021 Census Geographic Attribute File</w:t>
      </w:r>
      <w:r w:rsidR="00C07020">
        <w:t xml:space="preserve"> and </w:t>
      </w:r>
      <w:r w:rsidR="001556DC">
        <w:t xml:space="preserve">Natural Resources Canada </w:t>
      </w:r>
      <w:r w:rsidR="001556DC">
        <w:rPr>
          <w:rStyle w:val="FootnoteReference"/>
        </w:rPr>
        <w:footnoteReference w:id="12"/>
      </w:r>
      <w:r w:rsidR="009C0B32">
        <w:t xml:space="preserve"> (methodology found in HNA Blueprint Methodology – Flood Susceptibility document),</w:t>
      </w:r>
    </w:p>
    <w:p w14:paraId="77B4F436" w14:textId="77777777" w:rsidR="00B808D1" w:rsidRDefault="00B808D1" w:rsidP="005A533F"/>
    <w:p w14:paraId="1C9FE485" w14:textId="1B17D12E" w:rsidR="00A47C96" w:rsidRDefault="00A47C96" w:rsidP="00A47C96">
      <w:pPr>
        <w:jc w:val="both"/>
      </w:pPr>
      <w:r w:rsidRPr="00A47C96">
        <w:t xml:space="preserve">Where the local share of moderately susceptible properties exceeds comparators, it signals that a meaningful portion of the existing housing stock occupies land with some degree of flood risk that is nonetheless material for long-term planning purposes. The relationship between the high-susceptibility </w:t>
      </w:r>
      <w:proofErr w:type="gramStart"/>
      <w:r w:rsidRPr="00A47C96">
        <w:t>share</w:t>
      </w:r>
      <w:proofErr w:type="gramEnd"/>
      <w:r w:rsidRPr="00A47C96">
        <w:t xml:space="preserve"> locally and the corresponding regional and provincial values warrants careful interpretation</w:t>
      </w:r>
      <w:r w:rsidR="00E17B66">
        <w:t xml:space="preserve">. Substantial </w:t>
      </w:r>
      <w:r w:rsidRPr="00A47C96">
        <w:t>divergence between local and comparator rates may reflect genuine differences in physical geography, but may also reflect limitations in the FSI model's training data coverage, and should be verified against provincial floodplain mapping or local drainage studies before drawing firm conclusions.</w:t>
      </w:r>
    </w:p>
    <w:p w14:paraId="603678DB" w14:textId="77777777" w:rsidR="00A47C96" w:rsidRPr="00A47C96" w:rsidRDefault="00A47C96" w:rsidP="00A47C96">
      <w:pPr>
        <w:jc w:val="both"/>
      </w:pPr>
    </w:p>
    <w:p w14:paraId="4C22FFC0" w14:textId="7BC086AF" w:rsidR="005A533F" w:rsidRDefault="00A47C96" w:rsidP="00256120">
      <w:pPr>
        <w:jc w:val="both"/>
      </w:pPr>
      <w:r w:rsidRPr="00A47C96">
        <w:t xml:space="preserve">The proximity of the </w:t>
      </w:r>
      <w:r w:rsidR="00642BCB">
        <w:t>buildings</w:t>
      </w:r>
      <w:r w:rsidRPr="00A47C96">
        <w:t>, dwelling</w:t>
      </w:r>
      <w:r w:rsidR="00642BCB">
        <w:t xml:space="preserve"> units</w:t>
      </w:r>
      <w:r w:rsidRPr="00A47C96">
        <w:t xml:space="preserve">, and population susceptibility shares to one another provides an indication of whether flood-exposed land is densely or sparsely settled relative to the rest of the community. </w:t>
      </w:r>
      <w:r w:rsidR="00FC406A" w:rsidRPr="00FC406A">
        <w:t>For housing needs planning, moderate and high susceptibility alike carry long-term affordability implications</w:t>
      </w:r>
      <w:r w:rsidR="00E17B66">
        <w:t>. A</w:t>
      </w:r>
      <w:r w:rsidR="00FC406A" w:rsidRPr="00FC406A">
        <w:t>s insurers continue to reprice flood risk and selectively withdraw coverage from susceptible properties, dwellings in affected areas face rising carrying costs that will increasingly bear on housing affordability</w:t>
      </w:r>
      <w:r w:rsidR="006146E5">
        <w:t xml:space="preserve">; </w:t>
      </w:r>
      <w:r w:rsidR="00FC406A" w:rsidRPr="00FC406A">
        <w:t>particularly</w:t>
      </w:r>
      <w:r w:rsidR="006146E5">
        <w:t>,</w:t>
      </w:r>
      <w:r w:rsidR="00FC406A" w:rsidRPr="00FC406A">
        <w:t xml:space="preserve"> for lower-income households with limited capacity to absorb uninsured losses or premium increases. </w:t>
      </w:r>
    </w:p>
    <w:bookmarkEnd w:id="101"/>
    <w:p w14:paraId="5BD02D19" w14:textId="77777777" w:rsidR="004917B5" w:rsidRDefault="004917B5" w:rsidP="00256120">
      <w:pPr>
        <w:jc w:val="both"/>
      </w:pPr>
    </w:p>
    <w:p w14:paraId="1586505E" w14:textId="798AF649" w:rsidR="0079276D" w:rsidRDefault="00F679CF" w:rsidP="00256120">
      <w:pPr>
        <w:jc w:val="both"/>
      </w:pPr>
      <w:r w:rsidRPr="00F679CF">
        <w:t xml:space="preserve">Where the Flood Susceptibility Index provides a relative measure of flood-prone land based on historical patterns, it does not quantify the number of buildings, dwelling units, or people directly at risk under a defined flood scenario. Where actual coastal flood mapping is available, it is possible to move from susceptibility as a landscape characteristic to exposure as a count of assets and population within a modelled flood extent. </w:t>
      </w:r>
      <w:r w:rsidR="005163B8" w:rsidRPr="005163B8">
        <w:rPr>
          <w:rStyle w:val="Figure-textChar"/>
        </w:rPr>
        <w:fldChar w:fldCharType="begin"/>
      </w:r>
      <w:r w:rsidR="005163B8" w:rsidRPr="005163B8">
        <w:rPr>
          <w:rStyle w:val="Figure-textChar"/>
        </w:rPr>
        <w:instrText xml:space="preserve"> REF _Ref225951969 \h </w:instrText>
      </w:r>
      <w:r w:rsidR="005163B8">
        <w:rPr>
          <w:rStyle w:val="Figure-textChar"/>
        </w:rPr>
        <w:instrText xml:space="preserve"> \* MERGEFORMAT </w:instrText>
      </w:r>
      <w:r w:rsidR="005163B8" w:rsidRPr="005163B8">
        <w:rPr>
          <w:rStyle w:val="Figure-textChar"/>
        </w:rPr>
      </w:r>
      <w:r w:rsidR="005163B8" w:rsidRPr="005163B8">
        <w:rPr>
          <w:rStyle w:val="Figure-textChar"/>
        </w:rPr>
        <w:fldChar w:fldCharType="separate"/>
      </w:r>
      <w:r w:rsidR="00CA6116" w:rsidRPr="00CA6116">
        <w:rPr>
          <w:rStyle w:val="Figure-textChar"/>
        </w:rPr>
        <w:t>Table 9.7</w:t>
      </w:r>
      <w:r w:rsidR="005163B8" w:rsidRPr="005163B8">
        <w:rPr>
          <w:rStyle w:val="Figure-textChar"/>
        </w:rPr>
        <w:fldChar w:fldCharType="end"/>
      </w:r>
      <w:r w:rsidR="005163B8">
        <w:t xml:space="preserve"> </w:t>
      </w:r>
      <w:r w:rsidRPr="00F679CF">
        <w:t xml:space="preserve">presents </w:t>
      </w:r>
      <w:r w:rsidR="0081296C">
        <w:t xml:space="preserve">an </w:t>
      </w:r>
      <w:r w:rsidRPr="00F679CF">
        <w:t>estimate</w:t>
      </w:r>
      <w:r w:rsidR="0081296C">
        <w:t xml:space="preserve"> </w:t>
      </w:r>
      <w:r w:rsidRPr="00F679CF">
        <w:t>of the total and share of buildings, dwelling units, and population subject to coastal flooding under a 1-in-100 year flood scenario, derived from the PEI Climate Hazard and Risk Information System, and benchmarked against regional and provincial comparators.</w:t>
      </w:r>
    </w:p>
    <w:p w14:paraId="28F92197" w14:textId="77777777" w:rsidR="00F679CF" w:rsidRDefault="00F679CF" w:rsidP="00256120">
      <w:pPr>
        <w:jc w:val="both"/>
      </w:pPr>
    </w:p>
    <w:p w14:paraId="5FBE0DC2" w14:textId="07CC6045" w:rsidR="001E4F7F" w:rsidRDefault="001E4F7F" w:rsidP="001E4F7F">
      <w:pPr>
        <w:pStyle w:val="Caption"/>
      </w:pPr>
      <w:bookmarkStart w:id="111" w:name="_Ref225951969"/>
      <w:r>
        <w:lastRenderedPageBreak/>
        <w:t xml:space="preserve">Table </w:t>
      </w:r>
      <w:fldSimple w:instr=" STYLEREF 1 \s ">
        <w:r w:rsidR="005E459C">
          <w:rPr>
            <w:noProof/>
          </w:rPr>
          <w:t>9</w:t>
        </w:r>
      </w:fldSimple>
      <w:r w:rsidR="00BD4359">
        <w:t>.</w:t>
      </w:r>
      <w:fldSimple w:instr=" SEQ Table \* ARABIC \s 1 ">
        <w:r w:rsidR="005E459C">
          <w:rPr>
            <w:noProof/>
          </w:rPr>
          <w:t>7</w:t>
        </w:r>
      </w:fldSimple>
      <w:bookmarkEnd w:id="111"/>
      <w:r>
        <w:t>: Estimated total and share of buildings, dwelling units, and people subject to coastal flooding based on a 1:100 year flood</w:t>
      </w:r>
      <w:r w:rsidR="00DE7BA4">
        <w:t xml:space="preserve"> scenario</w:t>
      </w:r>
      <w:r w:rsidR="00337828">
        <w:t xml:space="preserve">, 2021 </w:t>
      </w:r>
    </w:p>
    <w:tbl>
      <w:tblPr>
        <w:tblW w:w="9355" w:type="dxa"/>
        <w:tblLayout w:type="fixed"/>
        <w:tblLook w:val="04A0" w:firstRow="1" w:lastRow="0" w:firstColumn="1" w:lastColumn="0" w:noHBand="0" w:noVBand="1"/>
      </w:tblPr>
      <w:tblGrid>
        <w:gridCol w:w="2489"/>
        <w:gridCol w:w="1144"/>
        <w:gridCol w:w="1144"/>
        <w:gridCol w:w="1145"/>
        <w:gridCol w:w="1144"/>
        <w:gridCol w:w="1144"/>
        <w:gridCol w:w="1145"/>
      </w:tblGrid>
      <w:tr w:rsidR="0079276D" w:rsidRPr="0079276D" w14:paraId="18CD74B9" w14:textId="77777777" w:rsidTr="003C59F9">
        <w:trPr>
          <w:trHeight w:val="402"/>
          <w:tblHeader/>
        </w:trPr>
        <w:tc>
          <w:tcPr>
            <w:tcW w:w="2489" w:type="dxa"/>
            <w:tcBorders>
              <w:top w:val="nil"/>
              <w:left w:val="nil"/>
              <w:bottom w:val="nil"/>
              <w:right w:val="nil"/>
            </w:tcBorders>
            <w:noWrap/>
            <w:vAlign w:val="bottom"/>
            <w:hideMark/>
          </w:tcPr>
          <w:p w14:paraId="2232BD3C" w14:textId="77777777" w:rsidR="0079276D" w:rsidRPr="0079276D" w:rsidRDefault="0079276D" w:rsidP="0079276D">
            <w:pPr>
              <w:rPr>
                <w:rFonts w:ascii="Times New Roman" w:eastAsia="Times New Roman" w:hAnsi="Times New Roman" w:cs="Times New Roman"/>
                <w:sz w:val="24"/>
                <w:szCs w:val="24"/>
              </w:rPr>
            </w:pPr>
          </w:p>
        </w:tc>
        <w:tc>
          <w:tcPr>
            <w:tcW w:w="2288" w:type="dxa"/>
            <w:gridSpan w:val="2"/>
            <w:tcBorders>
              <w:top w:val="single" w:sz="4" w:space="0" w:color="auto"/>
              <w:left w:val="single" w:sz="4" w:space="0" w:color="auto"/>
              <w:bottom w:val="single" w:sz="4" w:space="0" w:color="auto"/>
              <w:right w:val="single" w:sz="4" w:space="0" w:color="000000"/>
            </w:tcBorders>
            <w:shd w:val="clear" w:color="auto" w:fill="006B5F" w:themeFill="accent2"/>
            <w:noWrap/>
            <w:vAlign w:val="center"/>
            <w:hideMark/>
          </w:tcPr>
          <w:p w14:paraId="0F92740D" w14:textId="77777777" w:rsidR="0079276D" w:rsidRPr="0079276D" w:rsidRDefault="0079276D" w:rsidP="0079276D">
            <w:pPr>
              <w:jc w:val="center"/>
              <w:rPr>
                <w:rFonts w:eastAsia="Times New Roman"/>
                <w:color w:val="FFFFFF"/>
                <w:sz w:val="18"/>
                <w:szCs w:val="18"/>
              </w:rPr>
            </w:pPr>
            <w:r w:rsidRPr="0079276D">
              <w:rPr>
                <w:rFonts w:eastAsia="Times New Roman"/>
                <w:color w:val="FFFFFF"/>
                <w:sz w:val="18"/>
                <w:szCs w:val="18"/>
              </w:rPr>
              <w:t>Local</w:t>
            </w:r>
          </w:p>
        </w:tc>
        <w:tc>
          <w:tcPr>
            <w:tcW w:w="2289"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007AD49E" w14:textId="77777777" w:rsidR="0079276D" w:rsidRPr="0079276D" w:rsidRDefault="0079276D" w:rsidP="0079276D">
            <w:pPr>
              <w:jc w:val="center"/>
              <w:rPr>
                <w:rFonts w:eastAsia="Times New Roman"/>
                <w:color w:val="FFFFFF"/>
                <w:sz w:val="18"/>
                <w:szCs w:val="18"/>
              </w:rPr>
            </w:pPr>
            <w:r w:rsidRPr="0079276D">
              <w:rPr>
                <w:rFonts w:eastAsia="Times New Roman"/>
                <w:color w:val="FFFFFF"/>
                <w:sz w:val="18"/>
                <w:szCs w:val="18"/>
              </w:rPr>
              <w:t>Region</w:t>
            </w:r>
          </w:p>
        </w:tc>
        <w:tc>
          <w:tcPr>
            <w:tcW w:w="2289" w:type="dxa"/>
            <w:gridSpan w:val="2"/>
            <w:tcBorders>
              <w:top w:val="single" w:sz="4" w:space="0" w:color="auto"/>
              <w:left w:val="nil"/>
              <w:bottom w:val="single" w:sz="4" w:space="0" w:color="auto"/>
              <w:right w:val="single" w:sz="4" w:space="0" w:color="000000"/>
            </w:tcBorders>
            <w:shd w:val="clear" w:color="auto" w:fill="006B5F" w:themeFill="accent2"/>
            <w:noWrap/>
            <w:vAlign w:val="center"/>
            <w:hideMark/>
          </w:tcPr>
          <w:p w14:paraId="033B663A" w14:textId="77777777" w:rsidR="0079276D" w:rsidRPr="0079276D" w:rsidRDefault="0079276D" w:rsidP="0079276D">
            <w:pPr>
              <w:jc w:val="center"/>
              <w:rPr>
                <w:rFonts w:eastAsia="Times New Roman"/>
                <w:color w:val="FFFFFF"/>
                <w:sz w:val="18"/>
                <w:szCs w:val="18"/>
              </w:rPr>
            </w:pPr>
            <w:r w:rsidRPr="0079276D">
              <w:rPr>
                <w:rFonts w:eastAsia="Times New Roman"/>
                <w:color w:val="FFFFFF"/>
                <w:sz w:val="18"/>
                <w:szCs w:val="18"/>
              </w:rPr>
              <w:t>Province</w:t>
            </w:r>
          </w:p>
        </w:tc>
      </w:tr>
      <w:tr w:rsidR="0079276D" w:rsidRPr="0079276D" w14:paraId="2F4EB2EC" w14:textId="77777777" w:rsidTr="003C59F9">
        <w:trPr>
          <w:trHeight w:val="402"/>
          <w:tblHeader/>
        </w:trPr>
        <w:tc>
          <w:tcPr>
            <w:tcW w:w="2489"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1D039E48" w14:textId="77777777" w:rsidR="0079276D" w:rsidRPr="0079276D" w:rsidRDefault="0079276D" w:rsidP="0079276D">
            <w:pPr>
              <w:rPr>
                <w:rFonts w:eastAsia="Times New Roman"/>
                <w:color w:val="FFFFFF"/>
                <w:sz w:val="18"/>
                <w:szCs w:val="18"/>
              </w:rPr>
            </w:pPr>
            <w:r w:rsidRPr="0079276D">
              <w:rPr>
                <w:rFonts w:eastAsia="Times New Roman"/>
                <w:color w:val="FFFFFF"/>
                <w:sz w:val="18"/>
                <w:szCs w:val="18"/>
              </w:rPr>
              <w:t>Variable</w:t>
            </w:r>
          </w:p>
        </w:tc>
        <w:tc>
          <w:tcPr>
            <w:tcW w:w="1144" w:type="dxa"/>
            <w:tcBorders>
              <w:top w:val="nil"/>
              <w:left w:val="nil"/>
              <w:bottom w:val="single" w:sz="4" w:space="0" w:color="auto"/>
              <w:right w:val="single" w:sz="4" w:space="0" w:color="BFBFBF"/>
            </w:tcBorders>
            <w:shd w:val="clear" w:color="auto" w:fill="CFD9E3" w:themeFill="accent1"/>
            <w:noWrap/>
            <w:vAlign w:val="center"/>
            <w:hideMark/>
          </w:tcPr>
          <w:p w14:paraId="2EDBFCC6" w14:textId="053945EA" w:rsidR="0079276D" w:rsidRPr="0079276D" w:rsidRDefault="0079276D" w:rsidP="0079276D">
            <w:pPr>
              <w:jc w:val="right"/>
              <w:rPr>
                <w:rFonts w:eastAsia="Times New Roman"/>
                <w:color w:val="000000"/>
                <w:sz w:val="18"/>
                <w:szCs w:val="18"/>
              </w:rPr>
            </w:pPr>
            <w:r>
              <w:rPr>
                <w:rFonts w:eastAsia="Times New Roman"/>
                <w:color w:val="000000"/>
                <w:sz w:val="18"/>
                <w:szCs w:val="18"/>
              </w:rPr>
              <w:t>Flooded</w:t>
            </w:r>
          </w:p>
        </w:tc>
        <w:tc>
          <w:tcPr>
            <w:tcW w:w="1144" w:type="dxa"/>
            <w:tcBorders>
              <w:top w:val="nil"/>
              <w:left w:val="nil"/>
              <w:bottom w:val="single" w:sz="4" w:space="0" w:color="auto"/>
              <w:right w:val="single" w:sz="4" w:space="0" w:color="auto"/>
            </w:tcBorders>
            <w:shd w:val="clear" w:color="auto" w:fill="CFD9E3" w:themeFill="accent1"/>
            <w:noWrap/>
            <w:vAlign w:val="center"/>
            <w:hideMark/>
          </w:tcPr>
          <w:p w14:paraId="487CF422" w14:textId="77777777" w:rsidR="0079276D" w:rsidRPr="0079276D" w:rsidRDefault="0079276D" w:rsidP="0079276D">
            <w:pPr>
              <w:jc w:val="right"/>
              <w:rPr>
                <w:rFonts w:eastAsia="Times New Roman"/>
                <w:color w:val="000000"/>
                <w:sz w:val="18"/>
                <w:szCs w:val="18"/>
              </w:rPr>
            </w:pPr>
            <w:r w:rsidRPr="0079276D">
              <w:rPr>
                <w:rFonts w:eastAsia="Times New Roman"/>
                <w:color w:val="000000"/>
                <w:sz w:val="18"/>
                <w:szCs w:val="18"/>
              </w:rPr>
              <w:t>Share</w:t>
            </w:r>
          </w:p>
        </w:tc>
        <w:tc>
          <w:tcPr>
            <w:tcW w:w="1145" w:type="dxa"/>
            <w:tcBorders>
              <w:top w:val="nil"/>
              <w:left w:val="nil"/>
              <w:bottom w:val="single" w:sz="4" w:space="0" w:color="auto"/>
              <w:right w:val="single" w:sz="4" w:space="0" w:color="BFBFBF"/>
            </w:tcBorders>
            <w:shd w:val="clear" w:color="auto" w:fill="CFD9E3" w:themeFill="accent1"/>
            <w:noWrap/>
            <w:vAlign w:val="center"/>
            <w:hideMark/>
          </w:tcPr>
          <w:p w14:paraId="7CAEA762" w14:textId="3C92992A" w:rsidR="0079276D" w:rsidRPr="0079276D" w:rsidRDefault="0079276D" w:rsidP="0079276D">
            <w:pPr>
              <w:jc w:val="right"/>
              <w:rPr>
                <w:rFonts w:eastAsia="Times New Roman"/>
                <w:color w:val="000000"/>
                <w:sz w:val="18"/>
                <w:szCs w:val="18"/>
              </w:rPr>
            </w:pPr>
            <w:r>
              <w:rPr>
                <w:rFonts w:eastAsia="Times New Roman"/>
                <w:color w:val="000000"/>
                <w:sz w:val="18"/>
                <w:szCs w:val="18"/>
              </w:rPr>
              <w:t>Flooded</w:t>
            </w:r>
          </w:p>
        </w:tc>
        <w:tc>
          <w:tcPr>
            <w:tcW w:w="1144" w:type="dxa"/>
            <w:tcBorders>
              <w:top w:val="nil"/>
              <w:left w:val="nil"/>
              <w:bottom w:val="single" w:sz="4" w:space="0" w:color="auto"/>
              <w:right w:val="single" w:sz="4" w:space="0" w:color="auto"/>
            </w:tcBorders>
            <w:shd w:val="clear" w:color="auto" w:fill="CFD9E3" w:themeFill="accent1"/>
            <w:noWrap/>
            <w:vAlign w:val="center"/>
            <w:hideMark/>
          </w:tcPr>
          <w:p w14:paraId="535859D4" w14:textId="372AFE6E" w:rsidR="0079276D" w:rsidRPr="0079276D" w:rsidRDefault="0079276D" w:rsidP="0079276D">
            <w:pPr>
              <w:jc w:val="right"/>
              <w:rPr>
                <w:rFonts w:eastAsia="Times New Roman"/>
                <w:color w:val="000000"/>
                <w:sz w:val="18"/>
                <w:szCs w:val="18"/>
              </w:rPr>
            </w:pPr>
            <w:r w:rsidRPr="0079276D">
              <w:rPr>
                <w:rFonts w:eastAsia="Times New Roman"/>
                <w:color w:val="000000"/>
                <w:sz w:val="18"/>
                <w:szCs w:val="18"/>
              </w:rPr>
              <w:t>Share</w:t>
            </w:r>
          </w:p>
        </w:tc>
        <w:tc>
          <w:tcPr>
            <w:tcW w:w="1144" w:type="dxa"/>
            <w:tcBorders>
              <w:top w:val="nil"/>
              <w:left w:val="nil"/>
              <w:bottom w:val="single" w:sz="4" w:space="0" w:color="auto"/>
              <w:right w:val="single" w:sz="4" w:space="0" w:color="BFBFBF"/>
            </w:tcBorders>
            <w:shd w:val="clear" w:color="auto" w:fill="CFD9E3" w:themeFill="accent1"/>
            <w:noWrap/>
            <w:vAlign w:val="center"/>
            <w:hideMark/>
          </w:tcPr>
          <w:p w14:paraId="7F7B0456" w14:textId="79F2DCC1" w:rsidR="0079276D" w:rsidRPr="0079276D" w:rsidRDefault="0079276D" w:rsidP="0079276D">
            <w:pPr>
              <w:jc w:val="right"/>
              <w:rPr>
                <w:rFonts w:eastAsia="Times New Roman"/>
                <w:color w:val="000000"/>
                <w:sz w:val="18"/>
                <w:szCs w:val="18"/>
              </w:rPr>
            </w:pPr>
            <w:r>
              <w:rPr>
                <w:rFonts w:eastAsia="Times New Roman"/>
                <w:color w:val="000000"/>
                <w:sz w:val="18"/>
                <w:szCs w:val="18"/>
              </w:rPr>
              <w:t>Flooded</w:t>
            </w:r>
          </w:p>
        </w:tc>
        <w:tc>
          <w:tcPr>
            <w:tcW w:w="1145" w:type="dxa"/>
            <w:tcBorders>
              <w:top w:val="nil"/>
              <w:left w:val="nil"/>
              <w:bottom w:val="single" w:sz="4" w:space="0" w:color="auto"/>
              <w:right w:val="single" w:sz="4" w:space="0" w:color="auto"/>
            </w:tcBorders>
            <w:shd w:val="clear" w:color="auto" w:fill="CFD9E3" w:themeFill="accent1"/>
            <w:noWrap/>
            <w:vAlign w:val="center"/>
            <w:hideMark/>
          </w:tcPr>
          <w:p w14:paraId="2D624DC8" w14:textId="628D6C23" w:rsidR="0079276D" w:rsidRPr="0079276D" w:rsidRDefault="0079276D" w:rsidP="0079276D">
            <w:pPr>
              <w:jc w:val="right"/>
              <w:rPr>
                <w:rFonts w:eastAsia="Times New Roman"/>
                <w:color w:val="000000"/>
                <w:sz w:val="18"/>
                <w:szCs w:val="18"/>
              </w:rPr>
            </w:pPr>
            <w:r w:rsidRPr="0079276D">
              <w:rPr>
                <w:rFonts w:eastAsia="Times New Roman"/>
                <w:color w:val="000000"/>
                <w:sz w:val="18"/>
                <w:szCs w:val="18"/>
              </w:rPr>
              <w:t>Share</w:t>
            </w:r>
          </w:p>
        </w:tc>
      </w:tr>
      <w:tr w:rsidR="0079276D" w:rsidRPr="0079276D" w14:paraId="5BD2BC83" w14:textId="77777777" w:rsidTr="0079276D">
        <w:trPr>
          <w:trHeight w:val="402"/>
        </w:trPr>
        <w:tc>
          <w:tcPr>
            <w:tcW w:w="2489" w:type="dxa"/>
            <w:tcBorders>
              <w:top w:val="nil"/>
              <w:left w:val="single" w:sz="4" w:space="0" w:color="auto"/>
              <w:bottom w:val="single" w:sz="4" w:space="0" w:color="BFBFBF"/>
              <w:right w:val="single" w:sz="4" w:space="0" w:color="auto"/>
            </w:tcBorders>
            <w:shd w:val="clear" w:color="000000" w:fill="F2F2F2"/>
            <w:noWrap/>
            <w:vAlign w:val="center"/>
            <w:hideMark/>
          </w:tcPr>
          <w:p w14:paraId="7932C339" w14:textId="74585116" w:rsidR="0079276D" w:rsidRPr="0079276D" w:rsidRDefault="001E4F7F" w:rsidP="0079276D">
            <w:pPr>
              <w:rPr>
                <w:rFonts w:eastAsia="Times New Roman"/>
                <w:color w:val="000000"/>
                <w:sz w:val="18"/>
                <w:szCs w:val="18"/>
              </w:rPr>
            </w:pPr>
            <w:r>
              <w:rPr>
                <w:rFonts w:eastAsia="Times New Roman"/>
                <w:color w:val="000000"/>
                <w:sz w:val="18"/>
                <w:szCs w:val="18"/>
              </w:rPr>
              <w:t>Buildings</w:t>
            </w:r>
          </w:p>
        </w:tc>
        <w:tc>
          <w:tcPr>
            <w:tcW w:w="1144" w:type="dxa"/>
            <w:tcBorders>
              <w:top w:val="nil"/>
              <w:left w:val="nil"/>
              <w:bottom w:val="single" w:sz="4" w:space="0" w:color="BFBFBF"/>
              <w:right w:val="single" w:sz="4" w:space="0" w:color="BFBFBF"/>
            </w:tcBorders>
            <w:shd w:val="clear" w:color="000000" w:fill="F2F2F2"/>
            <w:noWrap/>
            <w:vAlign w:val="center"/>
            <w:hideMark/>
          </w:tcPr>
          <w:p w14:paraId="2B786A74"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50</w:t>
            </w:r>
          </w:p>
        </w:tc>
        <w:tc>
          <w:tcPr>
            <w:tcW w:w="1144" w:type="dxa"/>
            <w:tcBorders>
              <w:top w:val="nil"/>
              <w:left w:val="nil"/>
              <w:bottom w:val="single" w:sz="4" w:space="0" w:color="BFBFBF"/>
              <w:right w:val="single" w:sz="4" w:space="0" w:color="auto"/>
            </w:tcBorders>
            <w:shd w:val="clear" w:color="000000" w:fill="F2F2F2"/>
            <w:noWrap/>
            <w:vAlign w:val="center"/>
            <w:hideMark/>
          </w:tcPr>
          <w:p w14:paraId="4598AAA6"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0.4%</w:t>
            </w:r>
          </w:p>
        </w:tc>
        <w:tc>
          <w:tcPr>
            <w:tcW w:w="1145" w:type="dxa"/>
            <w:tcBorders>
              <w:top w:val="nil"/>
              <w:left w:val="nil"/>
              <w:bottom w:val="single" w:sz="4" w:space="0" w:color="BFBFBF"/>
              <w:right w:val="single" w:sz="4" w:space="0" w:color="BFBFBF"/>
            </w:tcBorders>
            <w:shd w:val="clear" w:color="000000" w:fill="F2F2F2"/>
            <w:noWrap/>
            <w:vAlign w:val="center"/>
            <w:hideMark/>
          </w:tcPr>
          <w:p w14:paraId="0CD7793A"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210</w:t>
            </w:r>
          </w:p>
        </w:tc>
        <w:tc>
          <w:tcPr>
            <w:tcW w:w="1144" w:type="dxa"/>
            <w:tcBorders>
              <w:top w:val="nil"/>
              <w:left w:val="nil"/>
              <w:bottom w:val="single" w:sz="4" w:space="0" w:color="BFBFBF"/>
              <w:right w:val="single" w:sz="4" w:space="0" w:color="auto"/>
            </w:tcBorders>
            <w:shd w:val="clear" w:color="000000" w:fill="F2F2F2"/>
            <w:noWrap/>
            <w:vAlign w:val="center"/>
            <w:hideMark/>
          </w:tcPr>
          <w:p w14:paraId="41524E28"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0.5%</w:t>
            </w:r>
          </w:p>
        </w:tc>
        <w:tc>
          <w:tcPr>
            <w:tcW w:w="1144" w:type="dxa"/>
            <w:tcBorders>
              <w:top w:val="nil"/>
              <w:left w:val="nil"/>
              <w:bottom w:val="single" w:sz="4" w:space="0" w:color="BFBFBF"/>
              <w:right w:val="single" w:sz="4" w:space="0" w:color="BFBFBF"/>
            </w:tcBorders>
            <w:shd w:val="clear" w:color="000000" w:fill="F2F2F2"/>
            <w:noWrap/>
            <w:vAlign w:val="center"/>
            <w:hideMark/>
          </w:tcPr>
          <w:p w14:paraId="0D8D3531"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880</w:t>
            </w:r>
          </w:p>
        </w:tc>
        <w:tc>
          <w:tcPr>
            <w:tcW w:w="1145" w:type="dxa"/>
            <w:tcBorders>
              <w:top w:val="nil"/>
              <w:left w:val="nil"/>
              <w:bottom w:val="single" w:sz="4" w:space="0" w:color="BFBFBF"/>
              <w:right w:val="single" w:sz="4" w:space="0" w:color="auto"/>
            </w:tcBorders>
            <w:shd w:val="clear" w:color="000000" w:fill="F2F2F2"/>
            <w:noWrap/>
            <w:vAlign w:val="center"/>
            <w:hideMark/>
          </w:tcPr>
          <w:p w14:paraId="7D3E5869"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1.0%</w:t>
            </w:r>
          </w:p>
        </w:tc>
      </w:tr>
      <w:tr w:rsidR="0079276D" w:rsidRPr="0079276D" w14:paraId="4F38205C" w14:textId="77777777" w:rsidTr="0079276D">
        <w:trPr>
          <w:trHeight w:val="402"/>
        </w:trPr>
        <w:tc>
          <w:tcPr>
            <w:tcW w:w="2489" w:type="dxa"/>
            <w:tcBorders>
              <w:top w:val="nil"/>
              <w:left w:val="single" w:sz="4" w:space="0" w:color="auto"/>
              <w:bottom w:val="single" w:sz="4" w:space="0" w:color="BFBFBF"/>
              <w:right w:val="nil"/>
            </w:tcBorders>
            <w:shd w:val="clear" w:color="000000" w:fill="FFFFFF"/>
            <w:noWrap/>
            <w:vAlign w:val="center"/>
            <w:hideMark/>
          </w:tcPr>
          <w:p w14:paraId="3E96DDE8" w14:textId="0CC3B493" w:rsidR="0079276D" w:rsidRPr="0079276D" w:rsidRDefault="0079276D" w:rsidP="0079276D">
            <w:pPr>
              <w:rPr>
                <w:rFonts w:eastAsia="Times New Roman"/>
                <w:color w:val="0D0D0D"/>
                <w:sz w:val="18"/>
                <w:szCs w:val="18"/>
              </w:rPr>
            </w:pPr>
            <w:r w:rsidRPr="0079276D">
              <w:rPr>
                <w:rFonts w:eastAsia="Times New Roman"/>
                <w:color w:val="0D0D0D"/>
                <w:sz w:val="18"/>
                <w:szCs w:val="18"/>
              </w:rPr>
              <w:t>Dwelling</w:t>
            </w:r>
            <w:r w:rsidR="001E4F7F">
              <w:rPr>
                <w:rFonts w:eastAsia="Times New Roman"/>
                <w:color w:val="0D0D0D"/>
                <w:sz w:val="18"/>
                <w:szCs w:val="18"/>
              </w:rPr>
              <w:t xml:space="preserve"> units</w:t>
            </w:r>
          </w:p>
        </w:tc>
        <w:tc>
          <w:tcPr>
            <w:tcW w:w="1144" w:type="dxa"/>
            <w:tcBorders>
              <w:top w:val="nil"/>
              <w:left w:val="single" w:sz="4" w:space="0" w:color="auto"/>
              <w:bottom w:val="single" w:sz="4" w:space="0" w:color="BFBFBF"/>
              <w:right w:val="single" w:sz="4" w:space="0" w:color="BFBFBF"/>
            </w:tcBorders>
            <w:shd w:val="clear" w:color="000000" w:fill="FFFFFF"/>
            <w:noWrap/>
            <w:vAlign w:val="center"/>
            <w:hideMark/>
          </w:tcPr>
          <w:p w14:paraId="3CCBF1D6"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102</w:t>
            </w:r>
          </w:p>
        </w:tc>
        <w:tc>
          <w:tcPr>
            <w:tcW w:w="1144" w:type="dxa"/>
            <w:tcBorders>
              <w:top w:val="nil"/>
              <w:left w:val="nil"/>
              <w:bottom w:val="single" w:sz="4" w:space="0" w:color="BFBFBF"/>
              <w:right w:val="single" w:sz="4" w:space="0" w:color="auto"/>
            </w:tcBorders>
            <w:shd w:val="clear" w:color="000000" w:fill="FFFFFF"/>
            <w:noWrap/>
            <w:vAlign w:val="center"/>
            <w:hideMark/>
          </w:tcPr>
          <w:p w14:paraId="77096F70"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0.6%</w:t>
            </w:r>
          </w:p>
        </w:tc>
        <w:tc>
          <w:tcPr>
            <w:tcW w:w="1145" w:type="dxa"/>
            <w:tcBorders>
              <w:top w:val="nil"/>
              <w:left w:val="nil"/>
              <w:bottom w:val="single" w:sz="4" w:space="0" w:color="BFBFBF"/>
              <w:right w:val="single" w:sz="4" w:space="0" w:color="BFBFBF"/>
            </w:tcBorders>
            <w:shd w:val="clear" w:color="000000" w:fill="FFFFFF"/>
            <w:noWrap/>
            <w:vAlign w:val="center"/>
            <w:hideMark/>
          </w:tcPr>
          <w:p w14:paraId="40050D94"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208</w:t>
            </w:r>
          </w:p>
        </w:tc>
        <w:tc>
          <w:tcPr>
            <w:tcW w:w="1144" w:type="dxa"/>
            <w:tcBorders>
              <w:top w:val="nil"/>
              <w:left w:val="nil"/>
              <w:bottom w:val="single" w:sz="4" w:space="0" w:color="BFBFBF"/>
              <w:right w:val="single" w:sz="4" w:space="0" w:color="auto"/>
            </w:tcBorders>
            <w:shd w:val="clear" w:color="000000" w:fill="FFFFFF"/>
            <w:noWrap/>
            <w:vAlign w:val="center"/>
            <w:hideMark/>
          </w:tcPr>
          <w:p w14:paraId="1CE6C434"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0.5%</w:t>
            </w:r>
          </w:p>
        </w:tc>
        <w:tc>
          <w:tcPr>
            <w:tcW w:w="1144" w:type="dxa"/>
            <w:tcBorders>
              <w:top w:val="nil"/>
              <w:left w:val="nil"/>
              <w:bottom w:val="single" w:sz="4" w:space="0" w:color="BFBFBF"/>
              <w:right w:val="single" w:sz="4" w:space="0" w:color="BFBFBF"/>
            </w:tcBorders>
            <w:shd w:val="clear" w:color="000000" w:fill="FFFFFF"/>
            <w:noWrap/>
            <w:vAlign w:val="center"/>
            <w:hideMark/>
          </w:tcPr>
          <w:p w14:paraId="5C01C5C5"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581</w:t>
            </w:r>
          </w:p>
        </w:tc>
        <w:tc>
          <w:tcPr>
            <w:tcW w:w="1145" w:type="dxa"/>
            <w:tcBorders>
              <w:top w:val="nil"/>
              <w:left w:val="nil"/>
              <w:bottom w:val="single" w:sz="4" w:space="0" w:color="BFBFBF"/>
              <w:right w:val="single" w:sz="4" w:space="0" w:color="auto"/>
            </w:tcBorders>
            <w:shd w:val="clear" w:color="000000" w:fill="FFFFFF"/>
            <w:noWrap/>
            <w:vAlign w:val="center"/>
            <w:hideMark/>
          </w:tcPr>
          <w:p w14:paraId="4B0D1053"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0.8%</w:t>
            </w:r>
          </w:p>
        </w:tc>
      </w:tr>
      <w:tr w:rsidR="0079276D" w:rsidRPr="0079276D" w14:paraId="7F089159" w14:textId="77777777" w:rsidTr="0079276D">
        <w:trPr>
          <w:trHeight w:val="402"/>
        </w:trPr>
        <w:tc>
          <w:tcPr>
            <w:tcW w:w="2489" w:type="dxa"/>
            <w:tcBorders>
              <w:top w:val="nil"/>
              <w:left w:val="single" w:sz="4" w:space="0" w:color="auto"/>
              <w:bottom w:val="single" w:sz="4" w:space="0" w:color="auto"/>
              <w:right w:val="single" w:sz="4" w:space="0" w:color="auto"/>
            </w:tcBorders>
            <w:shd w:val="clear" w:color="000000" w:fill="F2F2F2"/>
            <w:noWrap/>
            <w:vAlign w:val="center"/>
            <w:hideMark/>
          </w:tcPr>
          <w:p w14:paraId="373E4BF4" w14:textId="77777777" w:rsidR="0079276D" w:rsidRPr="0079276D" w:rsidRDefault="0079276D" w:rsidP="0079276D">
            <w:pPr>
              <w:rPr>
                <w:rFonts w:eastAsia="Times New Roman"/>
                <w:color w:val="000000"/>
                <w:sz w:val="18"/>
                <w:szCs w:val="18"/>
              </w:rPr>
            </w:pPr>
            <w:r w:rsidRPr="0079276D">
              <w:rPr>
                <w:rFonts w:eastAsia="Times New Roman"/>
                <w:color w:val="000000"/>
                <w:sz w:val="18"/>
                <w:szCs w:val="18"/>
              </w:rPr>
              <w:t>Population</w:t>
            </w:r>
          </w:p>
        </w:tc>
        <w:tc>
          <w:tcPr>
            <w:tcW w:w="1144" w:type="dxa"/>
            <w:tcBorders>
              <w:top w:val="nil"/>
              <w:left w:val="nil"/>
              <w:bottom w:val="single" w:sz="4" w:space="0" w:color="auto"/>
              <w:right w:val="single" w:sz="4" w:space="0" w:color="BFBFBF"/>
            </w:tcBorders>
            <w:shd w:val="clear" w:color="000000" w:fill="F2F2F2"/>
            <w:noWrap/>
            <w:vAlign w:val="center"/>
            <w:hideMark/>
          </w:tcPr>
          <w:p w14:paraId="6BF4A402"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156</w:t>
            </w:r>
          </w:p>
        </w:tc>
        <w:tc>
          <w:tcPr>
            <w:tcW w:w="1144" w:type="dxa"/>
            <w:tcBorders>
              <w:top w:val="nil"/>
              <w:left w:val="nil"/>
              <w:bottom w:val="single" w:sz="4" w:space="0" w:color="auto"/>
              <w:right w:val="single" w:sz="4" w:space="0" w:color="auto"/>
            </w:tcBorders>
            <w:shd w:val="clear" w:color="000000" w:fill="F2F2F2"/>
            <w:noWrap/>
            <w:vAlign w:val="center"/>
            <w:hideMark/>
          </w:tcPr>
          <w:p w14:paraId="2344CECC"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0.4%</w:t>
            </w:r>
          </w:p>
        </w:tc>
        <w:tc>
          <w:tcPr>
            <w:tcW w:w="1145" w:type="dxa"/>
            <w:tcBorders>
              <w:top w:val="nil"/>
              <w:left w:val="nil"/>
              <w:bottom w:val="single" w:sz="4" w:space="0" w:color="auto"/>
              <w:right w:val="single" w:sz="4" w:space="0" w:color="BFBFBF"/>
            </w:tcBorders>
            <w:shd w:val="clear" w:color="000000" w:fill="F2F2F2"/>
            <w:noWrap/>
            <w:vAlign w:val="center"/>
            <w:hideMark/>
          </w:tcPr>
          <w:p w14:paraId="21BE3B82"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301</w:t>
            </w:r>
          </w:p>
        </w:tc>
        <w:tc>
          <w:tcPr>
            <w:tcW w:w="1144" w:type="dxa"/>
            <w:tcBorders>
              <w:top w:val="nil"/>
              <w:left w:val="nil"/>
              <w:bottom w:val="single" w:sz="4" w:space="0" w:color="auto"/>
              <w:right w:val="single" w:sz="4" w:space="0" w:color="auto"/>
            </w:tcBorders>
            <w:shd w:val="clear" w:color="000000" w:fill="F2F2F2"/>
            <w:noWrap/>
            <w:vAlign w:val="center"/>
            <w:hideMark/>
          </w:tcPr>
          <w:p w14:paraId="19FDA413"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0.3%</w:t>
            </w:r>
          </w:p>
        </w:tc>
        <w:tc>
          <w:tcPr>
            <w:tcW w:w="1144" w:type="dxa"/>
            <w:tcBorders>
              <w:top w:val="nil"/>
              <w:left w:val="nil"/>
              <w:bottom w:val="single" w:sz="4" w:space="0" w:color="auto"/>
              <w:right w:val="single" w:sz="4" w:space="0" w:color="BFBFBF"/>
            </w:tcBorders>
            <w:shd w:val="clear" w:color="000000" w:fill="F2F2F2"/>
            <w:noWrap/>
            <w:vAlign w:val="center"/>
            <w:hideMark/>
          </w:tcPr>
          <w:p w14:paraId="328C2912"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821</w:t>
            </w:r>
          </w:p>
        </w:tc>
        <w:tc>
          <w:tcPr>
            <w:tcW w:w="1145" w:type="dxa"/>
            <w:tcBorders>
              <w:top w:val="nil"/>
              <w:left w:val="nil"/>
              <w:bottom w:val="single" w:sz="4" w:space="0" w:color="auto"/>
              <w:right w:val="single" w:sz="4" w:space="0" w:color="auto"/>
            </w:tcBorders>
            <w:shd w:val="clear" w:color="000000" w:fill="F2F2F2"/>
            <w:noWrap/>
            <w:vAlign w:val="center"/>
            <w:hideMark/>
          </w:tcPr>
          <w:p w14:paraId="46106BE9" w14:textId="77777777" w:rsidR="0079276D" w:rsidRPr="00934F2C" w:rsidRDefault="0079276D" w:rsidP="0079276D">
            <w:pPr>
              <w:jc w:val="right"/>
              <w:rPr>
                <w:rFonts w:eastAsia="Times New Roman"/>
                <w:color w:val="C00000"/>
                <w:sz w:val="18"/>
                <w:szCs w:val="18"/>
              </w:rPr>
            </w:pPr>
            <w:r w:rsidRPr="00934F2C">
              <w:rPr>
                <w:rFonts w:eastAsia="Times New Roman"/>
                <w:color w:val="C00000"/>
                <w:sz w:val="18"/>
                <w:szCs w:val="18"/>
              </w:rPr>
              <w:t>0.5%</w:t>
            </w:r>
          </w:p>
        </w:tc>
      </w:tr>
    </w:tbl>
    <w:p w14:paraId="45894DC5" w14:textId="4D8A7AD0" w:rsidR="00574591" w:rsidRDefault="00465211" w:rsidP="00574591">
      <w:pPr>
        <w:pStyle w:val="Source"/>
      </w:pPr>
      <w:r>
        <w:t xml:space="preserve">Source: </w:t>
      </w:r>
      <w:r w:rsidR="0035316C">
        <w:t>For PEI - derived from Statistics Canada 2021 Census Geographic Attribute File and PEI Climate Hazard &amp; Risk Information System</w:t>
      </w:r>
      <w:r w:rsidR="009C0B32">
        <w:t>,</w:t>
      </w:r>
      <w:r w:rsidR="0035316C">
        <w:rPr>
          <w:rStyle w:val="FootnoteReference"/>
        </w:rPr>
        <w:footnoteReference w:id="13"/>
      </w:r>
      <w:r w:rsidR="00694CD2">
        <w:t xml:space="preserve"> </w:t>
      </w:r>
      <w:r w:rsidR="00BC550A">
        <w:t>for elsewhere</w:t>
      </w:r>
      <w:r w:rsidR="0035316C">
        <w:t xml:space="preserve"> – to be determined by user</w:t>
      </w:r>
    </w:p>
    <w:p w14:paraId="43CCDB80" w14:textId="77777777" w:rsidR="00574591" w:rsidRDefault="00574591" w:rsidP="00574591"/>
    <w:p w14:paraId="2A1D69DD" w14:textId="4F1BFB01" w:rsidR="00574591" w:rsidRPr="00574591" w:rsidRDefault="00574591" w:rsidP="00574591">
      <w:pPr>
        <w:jc w:val="both"/>
      </w:pPr>
      <w:r w:rsidRPr="00574591">
        <w:t>Comparison against regional and provincial shares establishes whether local coastal flood exposure is above or below the norm for the province. Where the local share is elevated relative to comparators, it signals that a disproportionate concentration of the housing stock or population is located within the 1-in-100 year coastal flood extent. Where the local share is below provincial comparators, it does not imply the absence of risk but rather that the community's exposure is more limited in scale. In either case, the 1-in-100 year scenario represents a defined probability threshold rather than an upper bound, and actual exposure under more severe or climate-adjusted flood scenarios would be larger than the figures presented here.</w:t>
      </w:r>
    </w:p>
    <w:p w14:paraId="21702E5B" w14:textId="77777777" w:rsidR="00574591" w:rsidRDefault="00574591" w:rsidP="00574591"/>
    <w:p w14:paraId="3C54D7CC" w14:textId="5683B90D" w:rsidR="007B4248" w:rsidRDefault="006F2DC9" w:rsidP="006F2DC9">
      <w:pPr>
        <w:pStyle w:val="Heading2"/>
      </w:pPr>
      <w:bookmarkStart w:id="112" w:name="_Toc223686660"/>
      <w:bookmarkStart w:id="113" w:name="_Toc237355960"/>
      <w:r>
        <w:t>SENIOR</w:t>
      </w:r>
      <w:r w:rsidR="000C07A9">
        <w:t>S</w:t>
      </w:r>
      <w:r>
        <w:t xml:space="preserve"> </w:t>
      </w:r>
      <w:r w:rsidR="00190C2B">
        <w:t>HOUSING</w:t>
      </w:r>
      <w:bookmarkEnd w:id="112"/>
      <w:bookmarkEnd w:id="113"/>
    </w:p>
    <w:p w14:paraId="354EEEE0" w14:textId="4DBD380B" w:rsidR="00464D22" w:rsidRDefault="001A7C35" w:rsidP="001A7C35">
      <w:pPr>
        <w:jc w:val="both"/>
      </w:pPr>
      <w:r w:rsidRPr="001A7C35">
        <w:rPr>
          <w:rStyle w:val="Figure-textChar"/>
        </w:rPr>
        <w:fldChar w:fldCharType="begin"/>
      </w:r>
      <w:r w:rsidRPr="001A7C35">
        <w:rPr>
          <w:rStyle w:val="Figure-textChar"/>
        </w:rPr>
        <w:instrText xml:space="preserve"> REF _Ref223542684 \h </w:instrText>
      </w:r>
      <w:r>
        <w:rPr>
          <w:rStyle w:val="Figure-textChar"/>
        </w:rPr>
        <w:instrText xml:space="preserve"> \* MERGEFORMAT </w:instrText>
      </w:r>
      <w:r w:rsidRPr="001A7C35">
        <w:rPr>
          <w:rStyle w:val="Figure-textChar"/>
        </w:rPr>
      </w:r>
      <w:r w:rsidRPr="001A7C35">
        <w:rPr>
          <w:rStyle w:val="Figure-textChar"/>
        </w:rPr>
        <w:fldChar w:fldCharType="separate"/>
      </w:r>
      <w:r w:rsidR="00CA6116" w:rsidRPr="00CA6116">
        <w:rPr>
          <w:rStyle w:val="Figure-textChar"/>
        </w:rPr>
        <w:t>Table 9.8</w:t>
      </w:r>
      <w:r w:rsidRPr="001A7C35">
        <w:rPr>
          <w:rStyle w:val="Figure-textChar"/>
        </w:rPr>
        <w:fldChar w:fldCharType="end"/>
      </w:r>
      <w:r w:rsidRPr="001A7C35">
        <w:t xml:space="preserve"> estimates the current and projected demand for senior residential facilities</w:t>
      </w:r>
      <w:r w:rsidR="002C7C72">
        <w:t xml:space="preserve">. This includes residential care facilities, nursing homes, </w:t>
      </w:r>
      <w:r w:rsidR="000875E4">
        <w:t xml:space="preserve">senior residences, and </w:t>
      </w:r>
      <w:r w:rsidR="001328AA">
        <w:t>mixes of nursing homes and residences. Estimates are made up of</w:t>
      </w:r>
      <w:r w:rsidRPr="001A7C35">
        <w:t xml:space="preserve"> two demand drivers: the age-ratio method based on collective dwelling </w:t>
      </w:r>
      <w:r w:rsidR="001328AA">
        <w:t xml:space="preserve">to </w:t>
      </w:r>
      <w:r w:rsidR="000B614A">
        <w:t>senior population ratios,</w:t>
      </w:r>
      <w:r w:rsidRPr="001A7C35">
        <w:t xml:space="preserve"> and </w:t>
      </w:r>
      <w:r w:rsidR="000B614A">
        <w:t>a</w:t>
      </w:r>
      <w:r w:rsidRPr="001A7C35">
        <w:t xml:space="preserve"> disability-severity method based on the functional limitations that typically trigger transitions out of independent living.</w:t>
      </w:r>
    </w:p>
    <w:p w14:paraId="70A826F7" w14:textId="77777777" w:rsidR="003D521D" w:rsidRDefault="003D521D" w:rsidP="001A7C35">
      <w:pPr>
        <w:jc w:val="both"/>
      </w:pPr>
    </w:p>
    <w:p w14:paraId="59F01A6F" w14:textId="66EDAA50" w:rsidR="003D521D" w:rsidRDefault="003D521D" w:rsidP="001A7C35">
      <w:pPr>
        <w:jc w:val="both"/>
      </w:pPr>
      <w:r>
        <w:t xml:space="preserve">Note that the calculations do not consider existing supply, meaning that a portion of said demand may already be </w:t>
      </w:r>
      <w:r w:rsidR="00437313">
        <w:t>allocated to existing seniors housing.</w:t>
      </w:r>
    </w:p>
    <w:p w14:paraId="2CE183C4" w14:textId="77777777" w:rsidR="00464D22" w:rsidRDefault="00464D22" w:rsidP="00464D22"/>
    <w:p w14:paraId="15CC56E3" w14:textId="542A3A7D" w:rsidR="00F92629" w:rsidRDefault="00F92629" w:rsidP="00F92629">
      <w:pPr>
        <w:pStyle w:val="Caption"/>
      </w:pPr>
      <w:bookmarkStart w:id="114" w:name="_Ref223542684"/>
      <w:r>
        <w:t xml:space="preserve">Table </w:t>
      </w:r>
      <w:fldSimple w:instr=" STYLEREF 1 \s ">
        <w:r w:rsidR="005E459C">
          <w:rPr>
            <w:noProof/>
          </w:rPr>
          <w:t>9</w:t>
        </w:r>
      </w:fldSimple>
      <w:r w:rsidR="00BD4359">
        <w:t>.</w:t>
      </w:r>
      <w:fldSimple w:instr=" SEQ Table \* ARABIC \s 1 ">
        <w:r w:rsidR="005E459C">
          <w:rPr>
            <w:noProof/>
          </w:rPr>
          <w:t>8</w:t>
        </w:r>
      </w:fldSimple>
      <w:bookmarkEnd w:id="114"/>
      <w:r w:rsidRPr="00CE14B3">
        <w:t>:</w:t>
      </w:r>
      <w:r w:rsidR="00360A3F" w:rsidRPr="00CE14B3">
        <w:t xml:space="preserve"> Potential demand for senior housing</w:t>
      </w:r>
    </w:p>
    <w:tbl>
      <w:tblPr>
        <w:tblW w:w="9355" w:type="dxa"/>
        <w:tblLayout w:type="fixed"/>
        <w:tblLook w:val="04A0" w:firstRow="1" w:lastRow="0" w:firstColumn="1" w:lastColumn="0" w:noHBand="0" w:noVBand="1"/>
      </w:tblPr>
      <w:tblGrid>
        <w:gridCol w:w="6582"/>
        <w:gridCol w:w="1386"/>
        <w:gridCol w:w="1387"/>
      </w:tblGrid>
      <w:tr w:rsidR="00464D22" w:rsidRPr="00464D22" w14:paraId="20EA3E29" w14:textId="77777777" w:rsidTr="003C59F9">
        <w:trPr>
          <w:trHeight w:val="402"/>
          <w:tblHeader/>
        </w:trPr>
        <w:tc>
          <w:tcPr>
            <w:tcW w:w="6582" w:type="dxa"/>
            <w:tcBorders>
              <w:top w:val="single" w:sz="4" w:space="0" w:color="auto"/>
              <w:left w:val="single" w:sz="4" w:space="0" w:color="auto"/>
              <w:bottom w:val="nil"/>
              <w:right w:val="single" w:sz="4" w:space="0" w:color="auto"/>
            </w:tcBorders>
            <w:shd w:val="clear" w:color="auto" w:fill="42618C" w:themeFill="accent3"/>
            <w:noWrap/>
            <w:vAlign w:val="center"/>
            <w:hideMark/>
          </w:tcPr>
          <w:p w14:paraId="0508ABA6" w14:textId="77777777" w:rsidR="00464D22" w:rsidRPr="00464D22" w:rsidRDefault="00464D22" w:rsidP="00464D22">
            <w:pPr>
              <w:rPr>
                <w:rFonts w:eastAsia="Times New Roman"/>
                <w:color w:val="FFFFFF"/>
                <w:sz w:val="18"/>
                <w:szCs w:val="18"/>
              </w:rPr>
            </w:pPr>
            <w:r w:rsidRPr="00464D22">
              <w:rPr>
                <w:rFonts w:eastAsia="Times New Roman"/>
                <w:color w:val="FFFFFF"/>
                <w:sz w:val="18"/>
                <w:szCs w:val="18"/>
              </w:rPr>
              <w:t>Variable</w:t>
            </w:r>
          </w:p>
        </w:tc>
        <w:tc>
          <w:tcPr>
            <w:tcW w:w="1386" w:type="dxa"/>
            <w:tcBorders>
              <w:top w:val="single" w:sz="4" w:space="0" w:color="auto"/>
              <w:left w:val="nil"/>
              <w:bottom w:val="nil"/>
              <w:right w:val="single" w:sz="4" w:space="0" w:color="BFBFBF"/>
            </w:tcBorders>
            <w:shd w:val="clear" w:color="auto" w:fill="42618C" w:themeFill="accent3"/>
            <w:noWrap/>
            <w:vAlign w:val="center"/>
            <w:hideMark/>
          </w:tcPr>
          <w:p w14:paraId="38ADB16F" w14:textId="77777777" w:rsidR="00464D22" w:rsidRPr="00464D22" w:rsidRDefault="00464D22" w:rsidP="00464D22">
            <w:pPr>
              <w:jc w:val="right"/>
              <w:rPr>
                <w:rFonts w:eastAsia="Times New Roman"/>
                <w:color w:val="FFFFFF"/>
                <w:sz w:val="18"/>
                <w:szCs w:val="18"/>
              </w:rPr>
            </w:pPr>
            <w:r w:rsidRPr="00464D22">
              <w:rPr>
                <w:rFonts w:eastAsia="Times New Roman"/>
                <w:color w:val="FFFFFF"/>
                <w:sz w:val="18"/>
                <w:szCs w:val="18"/>
              </w:rPr>
              <w:t>2025</w:t>
            </w:r>
          </w:p>
        </w:tc>
        <w:tc>
          <w:tcPr>
            <w:tcW w:w="1387" w:type="dxa"/>
            <w:tcBorders>
              <w:top w:val="single" w:sz="4" w:space="0" w:color="auto"/>
              <w:left w:val="nil"/>
              <w:bottom w:val="nil"/>
              <w:right w:val="single" w:sz="4" w:space="0" w:color="auto"/>
            </w:tcBorders>
            <w:shd w:val="clear" w:color="auto" w:fill="42618C" w:themeFill="accent3"/>
            <w:noWrap/>
            <w:vAlign w:val="center"/>
            <w:hideMark/>
          </w:tcPr>
          <w:p w14:paraId="7A7CCDA5" w14:textId="77777777" w:rsidR="00464D22" w:rsidRPr="00464D22" w:rsidRDefault="00464D22" w:rsidP="00464D22">
            <w:pPr>
              <w:jc w:val="right"/>
              <w:rPr>
                <w:rFonts w:eastAsia="Times New Roman"/>
                <w:color w:val="FFFFFF"/>
                <w:sz w:val="18"/>
                <w:szCs w:val="18"/>
              </w:rPr>
            </w:pPr>
            <w:r w:rsidRPr="00464D22">
              <w:rPr>
                <w:rFonts w:eastAsia="Times New Roman"/>
                <w:color w:val="FFFFFF"/>
                <w:sz w:val="18"/>
                <w:szCs w:val="18"/>
              </w:rPr>
              <w:t>2035</w:t>
            </w:r>
          </w:p>
        </w:tc>
      </w:tr>
      <w:tr w:rsidR="00464D22" w:rsidRPr="00464D22" w14:paraId="7E303E8D" w14:textId="77777777" w:rsidTr="00464D22">
        <w:trPr>
          <w:trHeight w:val="402"/>
        </w:trPr>
        <w:tc>
          <w:tcPr>
            <w:tcW w:w="6582" w:type="dxa"/>
            <w:tcBorders>
              <w:top w:val="nil"/>
              <w:left w:val="single" w:sz="4" w:space="0" w:color="auto"/>
              <w:bottom w:val="single" w:sz="4" w:space="0" w:color="BFBFBF"/>
              <w:right w:val="single" w:sz="4" w:space="0" w:color="auto"/>
            </w:tcBorders>
            <w:shd w:val="clear" w:color="000000" w:fill="F2F2F2"/>
            <w:noWrap/>
            <w:vAlign w:val="center"/>
            <w:hideMark/>
          </w:tcPr>
          <w:p w14:paraId="555F7140" w14:textId="2641E8B5" w:rsidR="00464D22" w:rsidRPr="00464D22" w:rsidRDefault="00464D22" w:rsidP="00464D22">
            <w:pPr>
              <w:rPr>
                <w:rFonts w:eastAsia="Times New Roman"/>
                <w:color w:val="000000"/>
                <w:sz w:val="18"/>
                <w:szCs w:val="18"/>
              </w:rPr>
            </w:pPr>
            <w:r w:rsidRPr="00464D22">
              <w:rPr>
                <w:rFonts w:eastAsia="Times New Roman"/>
                <w:color w:val="000000"/>
                <w:sz w:val="18"/>
                <w:szCs w:val="18"/>
              </w:rPr>
              <w:t>Demand</w:t>
            </w:r>
            <w:r w:rsidR="00DC42A0">
              <w:rPr>
                <w:rFonts w:eastAsia="Times New Roman"/>
                <w:color w:val="000000"/>
                <w:sz w:val="18"/>
                <w:szCs w:val="18"/>
              </w:rPr>
              <w:t xml:space="preserve"> for</w:t>
            </w:r>
            <w:r w:rsidRPr="00464D22">
              <w:rPr>
                <w:rFonts w:eastAsia="Times New Roman"/>
                <w:color w:val="000000"/>
                <w:sz w:val="18"/>
                <w:szCs w:val="18"/>
              </w:rPr>
              <w:t xml:space="preserve"> senior housing/care based on ratio of collective dwellings</w:t>
            </w:r>
          </w:p>
        </w:tc>
        <w:tc>
          <w:tcPr>
            <w:tcW w:w="1386" w:type="dxa"/>
            <w:tcBorders>
              <w:top w:val="nil"/>
              <w:left w:val="nil"/>
              <w:bottom w:val="single" w:sz="4" w:space="0" w:color="BFBFBF"/>
              <w:right w:val="single" w:sz="4" w:space="0" w:color="BFBFBF"/>
            </w:tcBorders>
            <w:shd w:val="clear" w:color="000000" w:fill="F2F2F2"/>
            <w:noWrap/>
            <w:vAlign w:val="center"/>
            <w:hideMark/>
          </w:tcPr>
          <w:p w14:paraId="49889398" w14:textId="77777777" w:rsidR="00464D22" w:rsidRPr="00934F2C" w:rsidRDefault="00464D22" w:rsidP="00464D22">
            <w:pPr>
              <w:jc w:val="right"/>
              <w:rPr>
                <w:rFonts w:eastAsia="Times New Roman"/>
                <w:color w:val="C00000"/>
                <w:sz w:val="18"/>
                <w:szCs w:val="18"/>
              </w:rPr>
            </w:pPr>
            <w:r w:rsidRPr="00934F2C">
              <w:rPr>
                <w:rFonts w:eastAsia="Times New Roman"/>
                <w:color w:val="C00000"/>
                <w:sz w:val="18"/>
                <w:szCs w:val="18"/>
              </w:rPr>
              <w:t>625</w:t>
            </w:r>
          </w:p>
        </w:tc>
        <w:tc>
          <w:tcPr>
            <w:tcW w:w="1387" w:type="dxa"/>
            <w:tcBorders>
              <w:top w:val="nil"/>
              <w:left w:val="nil"/>
              <w:bottom w:val="single" w:sz="4" w:space="0" w:color="BFBFBF"/>
              <w:right w:val="single" w:sz="4" w:space="0" w:color="auto"/>
            </w:tcBorders>
            <w:shd w:val="clear" w:color="000000" w:fill="F2F2F2"/>
            <w:noWrap/>
            <w:vAlign w:val="center"/>
            <w:hideMark/>
          </w:tcPr>
          <w:p w14:paraId="179304EA" w14:textId="77777777" w:rsidR="00464D22" w:rsidRPr="00934F2C" w:rsidRDefault="00464D22" w:rsidP="00464D22">
            <w:pPr>
              <w:jc w:val="right"/>
              <w:rPr>
                <w:rFonts w:eastAsia="Times New Roman"/>
                <w:color w:val="C00000"/>
                <w:sz w:val="18"/>
                <w:szCs w:val="18"/>
              </w:rPr>
            </w:pPr>
            <w:r w:rsidRPr="00934F2C">
              <w:rPr>
                <w:rFonts w:eastAsia="Times New Roman"/>
                <w:color w:val="C00000"/>
                <w:sz w:val="18"/>
                <w:szCs w:val="18"/>
              </w:rPr>
              <w:t>925</w:t>
            </w:r>
          </w:p>
        </w:tc>
      </w:tr>
      <w:tr w:rsidR="00464D22" w:rsidRPr="00464D22" w14:paraId="0116DEDE" w14:textId="77777777" w:rsidTr="00464D22">
        <w:trPr>
          <w:trHeight w:val="402"/>
        </w:trPr>
        <w:tc>
          <w:tcPr>
            <w:tcW w:w="6582" w:type="dxa"/>
            <w:tcBorders>
              <w:top w:val="nil"/>
              <w:left w:val="single" w:sz="4" w:space="0" w:color="auto"/>
              <w:bottom w:val="single" w:sz="4" w:space="0" w:color="auto"/>
              <w:right w:val="single" w:sz="4" w:space="0" w:color="auto"/>
            </w:tcBorders>
            <w:noWrap/>
            <w:vAlign w:val="center"/>
            <w:hideMark/>
          </w:tcPr>
          <w:p w14:paraId="1BDC943F" w14:textId="77777777" w:rsidR="00464D22" w:rsidRPr="00464D22" w:rsidRDefault="00464D22" w:rsidP="00464D22">
            <w:pPr>
              <w:rPr>
                <w:rFonts w:eastAsia="Times New Roman"/>
                <w:color w:val="000000"/>
                <w:sz w:val="18"/>
                <w:szCs w:val="18"/>
              </w:rPr>
            </w:pPr>
            <w:r w:rsidRPr="00464D22">
              <w:rPr>
                <w:rFonts w:eastAsia="Times New Roman"/>
                <w:color w:val="000000"/>
                <w:sz w:val="18"/>
                <w:szCs w:val="18"/>
              </w:rPr>
              <w:t>Additional housing/care demand from disability severity</w:t>
            </w:r>
          </w:p>
        </w:tc>
        <w:tc>
          <w:tcPr>
            <w:tcW w:w="1386" w:type="dxa"/>
            <w:tcBorders>
              <w:top w:val="nil"/>
              <w:left w:val="nil"/>
              <w:bottom w:val="single" w:sz="4" w:space="0" w:color="auto"/>
              <w:right w:val="single" w:sz="4" w:space="0" w:color="BFBFBF"/>
            </w:tcBorders>
            <w:noWrap/>
            <w:vAlign w:val="center"/>
            <w:hideMark/>
          </w:tcPr>
          <w:p w14:paraId="782FF373" w14:textId="77777777" w:rsidR="00464D22" w:rsidRPr="00934F2C" w:rsidRDefault="00464D22" w:rsidP="00464D22">
            <w:pPr>
              <w:jc w:val="right"/>
              <w:rPr>
                <w:rFonts w:eastAsia="Times New Roman"/>
                <w:color w:val="C00000"/>
                <w:sz w:val="18"/>
                <w:szCs w:val="18"/>
              </w:rPr>
            </w:pPr>
            <w:r w:rsidRPr="00934F2C">
              <w:rPr>
                <w:rFonts w:eastAsia="Times New Roman"/>
                <w:color w:val="C00000"/>
                <w:sz w:val="18"/>
                <w:szCs w:val="18"/>
              </w:rPr>
              <w:t>1,105</w:t>
            </w:r>
          </w:p>
        </w:tc>
        <w:tc>
          <w:tcPr>
            <w:tcW w:w="1387" w:type="dxa"/>
            <w:tcBorders>
              <w:top w:val="nil"/>
              <w:left w:val="nil"/>
              <w:bottom w:val="single" w:sz="4" w:space="0" w:color="auto"/>
              <w:right w:val="single" w:sz="4" w:space="0" w:color="auto"/>
            </w:tcBorders>
            <w:noWrap/>
            <w:vAlign w:val="center"/>
            <w:hideMark/>
          </w:tcPr>
          <w:p w14:paraId="629B7651" w14:textId="77777777" w:rsidR="00464D22" w:rsidRPr="00934F2C" w:rsidRDefault="00464D22" w:rsidP="00464D22">
            <w:pPr>
              <w:jc w:val="right"/>
              <w:rPr>
                <w:rFonts w:eastAsia="Times New Roman"/>
                <w:color w:val="C00000"/>
                <w:sz w:val="18"/>
                <w:szCs w:val="18"/>
              </w:rPr>
            </w:pPr>
            <w:r w:rsidRPr="00934F2C">
              <w:rPr>
                <w:rFonts w:eastAsia="Times New Roman"/>
                <w:color w:val="C00000"/>
                <w:sz w:val="18"/>
                <w:szCs w:val="18"/>
              </w:rPr>
              <w:t>1,320</w:t>
            </w:r>
          </w:p>
        </w:tc>
      </w:tr>
    </w:tbl>
    <w:p w14:paraId="37A86D83" w14:textId="618353AB" w:rsidR="00464D22" w:rsidRDefault="00360A3F" w:rsidP="00093F32">
      <w:pPr>
        <w:pStyle w:val="Source"/>
      </w:pPr>
      <w:r>
        <w:t xml:space="preserve">Source: derived from </w:t>
      </w:r>
      <w:r w:rsidR="00615EDA">
        <w:t xml:space="preserve">Statistics Canada Tables </w:t>
      </w:r>
      <w:r w:rsidR="00D17460">
        <w:t xml:space="preserve">13-10-0378, 98-10-0045, and </w:t>
      </w:r>
      <w:r w:rsidR="00093F32">
        <w:t>17-10-0162</w:t>
      </w:r>
      <w:r w:rsidR="00D621C2">
        <w:t xml:space="preserve"> (methodology found in HNA Blueprint Methodology – </w:t>
      </w:r>
      <w:r w:rsidR="0007539A">
        <w:t>Senior Housing Demand</w:t>
      </w:r>
      <w:r w:rsidR="00D621C2">
        <w:t xml:space="preserve"> document)</w:t>
      </w:r>
    </w:p>
    <w:p w14:paraId="3465D5E5" w14:textId="77777777" w:rsidR="00464D22" w:rsidRDefault="00464D22" w:rsidP="00464D22"/>
    <w:p w14:paraId="06A4E8A1" w14:textId="769134E4" w:rsidR="000B614A" w:rsidRDefault="000B614A" w:rsidP="000B614A">
      <w:pPr>
        <w:jc w:val="both"/>
      </w:pPr>
      <w:r w:rsidRPr="000B614A">
        <w:t>The two demand components capture distinct populations. Ratio-based demand reflects the broader senior population expected to require some form of collective or supported residential arrangement based on historical age-specific occupancy patterns. Disability-severity demand reflects the subset of seniors whose activity limitations</w:t>
      </w:r>
      <w:r w:rsidR="00316B63">
        <w:t xml:space="preserve"> (also known as “very severe” disability)</w:t>
      </w:r>
      <w:r w:rsidRPr="000B614A">
        <w:t xml:space="preserve"> are sufficiently </w:t>
      </w:r>
      <w:r w:rsidR="00316B63">
        <w:t>notable</w:t>
      </w:r>
      <w:r w:rsidRPr="000B614A">
        <w:t xml:space="preserve"> that independent living </w:t>
      </w:r>
      <w:r w:rsidR="00316B63">
        <w:t>may</w:t>
      </w:r>
      <w:r w:rsidRPr="000B614A">
        <w:t xml:space="preserve"> no longer</w:t>
      </w:r>
      <w:r w:rsidR="00BE2A93">
        <w:t xml:space="preserve"> be</w:t>
      </w:r>
      <w:r w:rsidRPr="000B614A">
        <w:t xml:space="preserve"> practicable without substantial </w:t>
      </w:r>
      <w:r w:rsidRPr="000B614A">
        <w:lastRenderedPageBreak/>
        <w:t>support</w:t>
      </w:r>
      <w:r w:rsidR="00D57DA2">
        <w:t>.</w:t>
      </w:r>
      <w:r w:rsidR="009959F2">
        <w:t xml:space="preserve"> The combination of the two serves as a range of what may be needed locally</w:t>
      </w:r>
      <w:r w:rsidR="00FD12AD">
        <w:t>, with the former often serving as the minimum and the latter the maximum.</w:t>
      </w:r>
    </w:p>
    <w:p w14:paraId="7216A322" w14:textId="77777777" w:rsidR="000B614A" w:rsidRPr="000B614A" w:rsidRDefault="000B614A" w:rsidP="000B614A">
      <w:pPr>
        <w:jc w:val="both"/>
      </w:pPr>
    </w:p>
    <w:p w14:paraId="7F7D21C4" w14:textId="21291313" w:rsidR="000B614A" w:rsidRDefault="000B614A" w:rsidP="000B614A">
      <w:pPr>
        <w:jc w:val="both"/>
      </w:pPr>
      <w:r w:rsidRPr="000B614A">
        <w:t xml:space="preserve">Where </w:t>
      </w:r>
      <w:r w:rsidR="002055E6">
        <w:t>the range of</w:t>
      </w:r>
      <w:r w:rsidRPr="000B614A">
        <w:t xml:space="preserve"> estimated demand substantially exceeds </w:t>
      </w:r>
      <w:r w:rsidR="002055E6">
        <w:t xml:space="preserve">actual </w:t>
      </w:r>
      <w:r w:rsidRPr="000B614A">
        <w:t>current facility capacity, the community faces both a supply challenge and a potential health and safety concern</w:t>
      </w:r>
      <w:r w:rsidR="00214D3D">
        <w:t>. S</w:t>
      </w:r>
      <w:r w:rsidRPr="000B614A">
        <w:t xml:space="preserve">eniors who cannot access appropriate residential care may remain in unsuitable housing, place strain on informal caregivers, or present more </w:t>
      </w:r>
      <w:r w:rsidR="00B04287">
        <w:t>severely</w:t>
      </w:r>
      <w:r w:rsidR="00B04287" w:rsidRPr="000B614A">
        <w:t xml:space="preserve"> </w:t>
      </w:r>
      <w:r w:rsidRPr="000B614A">
        <w:t>to acute care settings. This demand is largely inelastic</w:t>
      </w:r>
      <w:r w:rsidR="00F92716">
        <w:t xml:space="preserve"> as</w:t>
      </w:r>
      <w:r w:rsidRPr="000B614A">
        <w:t xml:space="preserve"> it is driven by demographic aging rather than economic conditions</w:t>
      </w:r>
      <w:r w:rsidR="002E2BAA">
        <w:t>,</w:t>
      </w:r>
      <w:r w:rsidRPr="000B614A">
        <w:t xml:space="preserve"> and will not self-correct through market mechanisms in the way that general rental or ownership demand might.</w:t>
      </w:r>
    </w:p>
    <w:p w14:paraId="02F25F58" w14:textId="77777777" w:rsidR="000B614A" w:rsidRPr="000B614A" w:rsidRDefault="000B614A" w:rsidP="000B614A">
      <w:pPr>
        <w:jc w:val="both"/>
      </w:pPr>
    </w:p>
    <w:p w14:paraId="7E856A60" w14:textId="4C1FF040" w:rsidR="000B614A" w:rsidRPr="000B614A" w:rsidRDefault="000B614A" w:rsidP="000B614A">
      <w:pPr>
        <w:jc w:val="both"/>
      </w:pPr>
      <w:r w:rsidRPr="000B614A">
        <w:t xml:space="preserve">The projected growth from 2025 to 2035 captures the pace at which senior residential demand </w:t>
      </w:r>
      <w:r w:rsidR="002E2BAA">
        <w:t>may</w:t>
      </w:r>
      <w:r w:rsidRPr="000B614A">
        <w:t xml:space="preserve"> intensify. Communities where the gap between current and projected demand is large face a compressed </w:t>
      </w:r>
      <w:r w:rsidR="00AC23A0">
        <w:t>intervention</w:t>
      </w:r>
      <w:r w:rsidRPr="000B614A">
        <w:t xml:space="preserve"> timeline</w:t>
      </w:r>
      <w:r w:rsidR="00B53053">
        <w:t>. S</w:t>
      </w:r>
      <w:r w:rsidRPr="000B614A">
        <w:t xml:space="preserve">enior residential facilities require </w:t>
      </w:r>
      <w:r w:rsidR="00AC23A0">
        <w:t>considerable</w:t>
      </w:r>
      <w:r w:rsidRPr="000B614A">
        <w:t xml:space="preserve"> capital investment and </w:t>
      </w:r>
      <w:r w:rsidR="00F70A8B">
        <w:t xml:space="preserve">often </w:t>
      </w:r>
      <w:r w:rsidRPr="000B614A">
        <w:t>long</w:t>
      </w:r>
      <w:r w:rsidR="00AC23A0">
        <w:t>er</w:t>
      </w:r>
      <w:r w:rsidRPr="000B614A">
        <w:t xml:space="preserve"> approval and construction timelines, meaning that demand arriving in 2035 requires decisions made well in advance of that date. </w:t>
      </w:r>
    </w:p>
    <w:p w14:paraId="372E16A6" w14:textId="77777777" w:rsidR="000B614A" w:rsidRDefault="000B614A" w:rsidP="00464D22"/>
    <w:p w14:paraId="1B42E536" w14:textId="2A9EBECC" w:rsidR="00F62954" w:rsidRDefault="00F62954" w:rsidP="006F2DC9">
      <w:pPr>
        <w:pStyle w:val="Heading2"/>
      </w:pPr>
      <w:bookmarkStart w:id="115" w:name="_Toc237355961"/>
      <w:bookmarkStart w:id="116" w:name="_Toc223686661"/>
      <w:r>
        <w:t>“ALICE” HOUSEHOLDS</w:t>
      </w:r>
      <w:bookmarkEnd w:id="115"/>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00000"/>
        <w:tblLook w:val="04A0" w:firstRow="1" w:lastRow="0" w:firstColumn="1" w:lastColumn="0" w:noHBand="0" w:noVBand="1"/>
      </w:tblPr>
      <w:tblGrid>
        <w:gridCol w:w="9350"/>
      </w:tblGrid>
      <w:tr w:rsidR="00762242" w14:paraId="0ED312C3" w14:textId="77777777" w:rsidTr="00146167">
        <w:trPr>
          <w:trHeight w:val="710"/>
        </w:trPr>
        <w:tc>
          <w:tcPr>
            <w:tcW w:w="9350" w:type="dxa"/>
            <w:shd w:val="clear" w:color="auto" w:fill="C00000"/>
            <w:vAlign w:val="center"/>
          </w:tcPr>
          <w:p w14:paraId="68152902" w14:textId="15F7D835" w:rsidR="00762242" w:rsidRDefault="00762242" w:rsidP="00146167">
            <w:pPr>
              <w:jc w:val="center"/>
            </w:pPr>
            <w:r>
              <w:t xml:space="preserve">This section is only available for </w:t>
            </w:r>
            <w:r w:rsidR="00146167">
              <w:t>select Atlantic Canadian provinces due to data availability. Users may perform the analysis themselves or delete this section entirely.</w:t>
            </w:r>
          </w:p>
        </w:tc>
      </w:tr>
    </w:tbl>
    <w:p w14:paraId="16C4A75F" w14:textId="77777777" w:rsidR="00762242" w:rsidRDefault="00762242" w:rsidP="001B4036">
      <w:pPr>
        <w:jc w:val="both"/>
      </w:pPr>
    </w:p>
    <w:p w14:paraId="5EDCBFD4" w14:textId="63BE01F6" w:rsidR="00B335D8" w:rsidRDefault="001B4036" w:rsidP="001B4036">
      <w:pPr>
        <w:jc w:val="both"/>
      </w:pPr>
      <w:r w:rsidRPr="001B4036">
        <w:t xml:space="preserve">"Asset Limited, Income Constrained, </w:t>
      </w:r>
      <w:proofErr w:type="gramStart"/>
      <w:r w:rsidRPr="001B4036">
        <w:t>Employed</w:t>
      </w:r>
      <w:proofErr w:type="gramEnd"/>
      <w:r w:rsidRPr="001B4036">
        <w:t xml:space="preserve">" (ALICE) is a framework originally developed by the United Way of Northern New Jersey to identify households that fall above the official poverty line but below the income threshold required to meet basic living costs, including housing, food, transportation, childcare, and healthcare. While the framework was designed in a US context </w:t>
      </w:r>
      <w:r>
        <w:t>(</w:t>
      </w:r>
      <w:r w:rsidRPr="001B4036">
        <w:t>where the Federal Poverty Level serves as the lower bound</w:t>
      </w:r>
      <w:r>
        <w:t>)</w:t>
      </w:r>
      <w:r w:rsidRPr="001B4036">
        <w:t xml:space="preserve"> the underlying income-gap dynamic translates to Canada, where the Market Basket Measure (MBM) provides an analogous poverty threshold and where a meaningful share of working households similarly </w:t>
      </w:r>
      <w:proofErr w:type="gramStart"/>
      <w:r w:rsidRPr="001B4036">
        <w:t>earn</w:t>
      </w:r>
      <w:proofErr w:type="gramEnd"/>
      <w:r w:rsidRPr="001B4036">
        <w:t xml:space="preserve"> above that threshold while remaining unable to afford adequate housing without financial stress or trade</w:t>
      </w:r>
      <w:r w:rsidR="0049360C">
        <w:t>-</w:t>
      </w:r>
      <w:r w:rsidRPr="001B4036">
        <w:t>offs. These households typically do not qualify for subsidized housing programs designed for those in deepest need, nor are they well-served by income support programs calibrated to households below the poverty line. Understanding the scale of ALICE households provides a</w:t>
      </w:r>
      <w:r>
        <w:t xml:space="preserve">n improved </w:t>
      </w:r>
      <w:r w:rsidRPr="001B4036">
        <w:t>picture of latent housing demand at below-market price points and helps size the portion of the local workforce for whom market-rate supply, even at modest price levels, remains structurally inaccessible.</w:t>
      </w:r>
    </w:p>
    <w:p w14:paraId="478AD2CB" w14:textId="77777777" w:rsidR="00B07A14" w:rsidRDefault="00B07A14" w:rsidP="00F62954"/>
    <w:p w14:paraId="3F0DC90D" w14:textId="285BC13A" w:rsidR="00B07A14" w:rsidRDefault="007721CA" w:rsidP="00885EC1">
      <w:pPr>
        <w:jc w:val="both"/>
      </w:pPr>
      <w:r w:rsidRPr="004D30FD">
        <w:rPr>
          <w:rStyle w:val="Figure-textChar"/>
        </w:rPr>
        <w:fldChar w:fldCharType="begin"/>
      </w:r>
      <w:r w:rsidRPr="004D30FD">
        <w:rPr>
          <w:rStyle w:val="Figure-textChar"/>
        </w:rPr>
        <w:instrText xml:space="preserve"> REF _Ref225844066 \h </w:instrText>
      </w:r>
      <w:r w:rsidR="004D30FD">
        <w:rPr>
          <w:rStyle w:val="Figure-textChar"/>
        </w:rPr>
        <w:instrText xml:space="preserve"> \* MERGEFORMAT </w:instrText>
      </w:r>
      <w:r w:rsidRPr="004D30FD">
        <w:rPr>
          <w:rStyle w:val="Figure-textChar"/>
        </w:rPr>
      </w:r>
      <w:r w:rsidRPr="004D30FD">
        <w:rPr>
          <w:rStyle w:val="Figure-textChar"/>
        </w:rPr>
        <w:fldChar w:fldCharType="separate"/>
      </w:r>
      <w:r w:rsidR="00CA6116" w:rsidRPr="00CA6116">
        <w:rPr>
          <w:rStyle w:val="Figure-textChar"/>
        </w:rPr>
        <w:t>Table 9.9</w:t>
      </w:r>
      <w:r w:rsidRPr="004D30FD">
        <w:rPr>
          <w:rStyle w:val="Figure-textChar"/>
        </w:rPr>
        <w:fldChar w:fldCharType="end"/>
      </w:r>
      <w:r>
        <w:t xml:space="preserve"> </w:t>
      </w:r>
      <w:r w:rsidR="00885EC1" w:rsidRPr="00885EC1">
        <w:t>presents the estimated poverty line and living wage income thresholds by household size, derived from</w:t>
      </w:r>
      <w:r w:rsidR="00157AF3">
        <w:t xml:space="preserve"> provincial</w:t>
      </w:r>
      <w:r w:rsidR="00885EC1" w:rsidRPr="00885EC1">
        <w:t xml:space="preserve"> Market Basket Measure</w:t>
      </w:r>
      <w:r w:rsidR="00157AF3">
        <w:t xml:space="preserve"> and living wage data</w:t>
      </w:r>
      <w:r w:rsidR="005B1811">
        <w:t>.</w:t>
      </w:r>
      <w:r w:rsidR="00885EC1" w:rsidRPr="00885EC1">
        <w:t xml:space="preserve"> </w:t>
      </w:r>
      <w:r w:rsidR="004D30FD" w:rsidRPr="004D30FD">
        <w:rPr>
          <w:rStyle w:val="Figure-textChar"/>
        </w:rPr>
        <w:fldChar w:fldCharType="begin"/>
      </w:r>
      <w:r w:rsidR="004D30FD" w:rsidRPr="004D30FD">
        <w:rPr>
          <w:rStyle w:val="Figure-textChar"/>
        </w:rPr>
        <w:instrText xml:space="preserve"> REF _Ref225844125 \h </w:instrText>
      </w:r>
      <w:r w:rsidR="004D30FD">
        <w:rPr>
          <w:rStyle w:val="Figure-textChar"/>
        </w:rPr>
        <w:instrText xml:space="preserve"> \* MERGEFORMAT </w:instrText>
      </w:r>
      <w:r w:rsidR="004D30FD" w:rsidRPr="004D30FD">
        <w:rPr>
          <w:rStyle w:val="Figure-textChar"/>
        </w:rPr>
      </w:r>
      <w:r w:rsidR="004D30FD" w:rsidRPr="004D30FD">
        <w:rPr>
          <w:rStyle w:val="Figure-textChar"/>
        </w:rPr>
        <w:fldChar w:fldCharType="separate"/>
      </w:r>
      <w:r w:rsidR="00CA6116" w:rsidRPr="00CA6116">
        <w:rPr>
          <w:rStyle w:val="Figure-textChar"/>
        </w:rPr>
        <w:t>Table 9.10</w:t>
      </w:r>
      <w:r w:rsidR="004D30FD" w:rsidRPr="004D30FD">
        <w:rPr>
          <w:rStyle w:val="Figure-textChar"/>
        </w:rPr>
        <w:fldChar w:fldCharType="end"/>
      </w:r>
      <w:r w:rsidR="00885EC1" w:rsidRPr="00885EC1">
        <w:t xml:space="preserve"> uses these thresholds to estimate the number of households below the poverty line, below the living wage, and within the ALICE band </w:t>
      </w:r>
      <w:r w:rsidR="005B1811">
        <w:t>(</w:t>
      </w:r>
      <w:r w:rsidR="00885EC1" w:rsidRPr="00885EC1">
        <w:t>that is, above the poverty line but below the living wage</w:t>
      </w:r>
      <w:r w:rsidR="005B1811">
        <w:t>)</w:t>
      </w:r>
      <w:r w:rsidR="00885EC1" w:rsidRPr="00885EC1">
        <w:t xml:space="preserve"> disaggregated by household size.</w:t>
      </w:r>
    </w:p>
    <w:p w14:paraId="45D1CC34" w14:textId="77777777" w:rsidR="00B07A14" w:rsidRDefault="00B07A14" w:rsidP="00F62954"/>
    <w:p w14:paraId="02C43F02" w14:textId="76BBC009" w:rsidR="00F809B2" w:rsidRDefault="00F809B2" w:rsidP="00F809B2">
      <w:pPr>
        <w:pStyle w:val="Caption"/>
      </w:pPr>
      <w:bookmarkStart w:id="117" w:name="_Ref225844066"/>
      <w:r>
        <w:t xml:space="preserve">Table </w:t>
      </w:r>
      <w:fldSimple w:instr=" STYLEREF 1 \s ">
        <w:r w:rsidR="005E459C">
          <w:rPr>
            <w:noProof/>
          </w:rPr>
          <w:t>9</w:t>
        </w:r>
      </w:fldSimple>
      <w:r w:rsidR="00BD4359">
        <w:t>.</w:t>
      </w:r>
      <w:fldSimple w:instr=" SEQ Table \* ARABIC \s 1 ">
        <w:r w:rsidR="005E459C">
          <w:rPr>
            <w:noProof/>
          </w:rPr>
          <w:t>9</w:t>
        </w:r>
      </w:fldSimple>
      <w:bookmarkEnd w:id="117"/>
      <w:r>
        <w:t xml:space="preserve">: Estimated poverty line and living wage income thresholds, </w:t>
      </w:r>
      <w:r w:rsidR="004B3E12">
        <w:t>2024</w:t>
      </w:r>
    </w:p>
    <w:tbl>
      <w:tblPr>
        <w:tblW w:w="9350" w:type="dxa"/>
        <w:tblLayout w:type="fixed"/>
        <w:tblLook w:val="04A0" w:firstRow="1" w:lastRow="0" w:firstColumn="1" w:lastColumn="0" w:noHBand="0" w:noVBand="1"/>
      </w:tblPr>
      <w:tblGrid>
        <w:gridCol w:w="3808"/>
        <w:gridCol w:w="1108"/>
        <w:gridCol w:w="1108"/>
        <w:gridCol w:w="1109"/>
        <w:gridCol w:w="1108"/>
        <w:gridCol w:w="1109"/>
      </w:tblGrid>
      <w:tr w:rsidR="005C68BB" w:rsidRPr="005C68BB" w14:paraId="753E7BA3" w14:textId="77777777" w:rsidTr="003C59F9">
        <w:trPr>
          <w:trHeight w:val="402"/>
          <w:tblHeader/>
        </w:trPr>
        <w:tc>
          <w:tcPr>
            <w:tcW w:w="3808"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1222BED3" w14:textId="77777777" w:rsidR="005C68BB" w:rsidRPr="005C68BB" w:rsidRDefault="005C68BB" w:rsidP="005C68BB">
            <w:pPr>
              <w:rPr>
                <w:rFonts w:eastAsia="Times New Roman"/>
                <w:color w:val="FFFFFF"/>
                <w:sz w:val="18"/>
                <w:szCs w:val="18"/>
              </w:rPr>
            </w:pPr>
            <w:r w:rsidRPr="005C68BB">
              <w:rPr>
                <w:rFonts w:eastAsia="Times New Roman"/>
                <w:color w:val="FFFFFF"/>
                <w:sz w:val="18"/>
                <w:szCs w:val="18"/>
              </w:rPr>
              <w:t>Variable</w:t>
            </w:r>
          </w:p>
        </w:tc>
        <w:tc>
          <w:tcPr>
            <w:tcW w:w="110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9FF6012" w14:textId="77777777" w:rsidR="005C68BB" w:rsidRPr="005C68BB" w:rsidRDefault="005C68BB" w:rsidP="005C68BB">
            <w:pPr>
              <w:jc w:val="right"/>
              <w:rPr>
                <w:rFonts w:eastAsia="Times New Roman"/>
                <w:color w:val="FFFFFF"/>
                <w:sz w:val="18"/>
                <w:szCs w:val="18"/>
              </w:rPr>
            </w:pPr>
            <w:r w:rsidRPr="005C68BB">
              <w:rPr>
                <w:rFonts w:eastAsia="Times New Roman"/>
                <w:color w:val="FFFFFF"/>
                <w:sz w:val="18"/>
                <w:szCs w:val="18"/>
              </w:rPr>
              <w:t>1-person</w:t>
            </w:r>
          </w:p>
        </w:tc>
        <w:tc>
          <w:tcPr>
            <w:tcW w:w="110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5156DF4" w14:textId="77777777" w:rsidR="005C68BB" w:rsidRPr="005C68BB" w:rsidRDefault="005C68BB" w:rsidP="005C68BB">
            <w:pPr>
              <w:jc w:val="right"/>
              <w:rPr>
                <w:rFonts w:eastAsia="Times New Roman"/>
                <w:color w:val="FFFFFF"/>
                <w:sz w:val="18"/>
                <w:szCs w:val="18"/>
              </w:rPr>
            </w:pPr>
            <w:r w:rsidRPr="005C68BB">
              <w:rPr>
                <w:rFonts w:eastAsia="Times New Roman"/>
                <w:color w:val="FFFFFF"/>
                <w:sz w:val="18"/>
                <w:szCs w:val="18"/>
              </w:rPr>
              <w:t>2-person</w:t>
            </w:r>
          </w:p>
        </w:tc>
        <w:tc>
          <w:tcPr>
            <w:tcW w:w="110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227F433" w14:textId="77777777" w:rsidR="005C68BB" w:rsidRPr="005C68BB" w:rsidRDefault="005C68BB" w:rsidP="005C68BB">
            <w:pPr>
              <w:jc w:val="right"/>
              <w:rPr>
                <w:rFonts w:eastAsia="Times New Roman"/>
                <w:color w:val="FFFFFF"/>
                <w:sz w:val="18"/>
                <w:szCs w:val="18"/>
              </w:rPr>
            </w:pPr>
            <w:r w:rsidRPr="005C68BB">
              <w:rPr>
                <w:rFonts w:eastAsia="Times New Roman"/>
                <w:color w:val="FFFFFF"/>
                <w:sz w:val="18"/>
                <w:szCs w:val="18"/>
              </w:rPr>
              <w:t>3-person</w:t>
            </w:r>
          </w:p>
        </w:tc>
        <w:tc>
          <w:tcPr>
            <w:tcW w:w="110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1CFF1BD" w14:textId="77777777" w:rsidR="005C68BB" w:rsidRPr="005C68BB" w:rsidRDefault="005C68BB" w:rsidP="005C68BB">
            <w:pPr>
              <w:jc w:val="right"/>
              <w:rPr>
                <w:rFonts w:eastAsia="Times New Roman"/>
                <w:color w:val="FFFFFF"/>
                <w:sz w:val="18"/>
                <w:szCs w:val="18"/>
              </w:rPr>
            </w:pPr>
            <w:r w:rsidRPr="005C68BB">
              <w:rPr>
                <w:rFonts w:eastAsia="Times New Roman"/>
                <w:color w:val="FFFFFF"/>
                <w:sz w:val="18"/>
                <w:szCs w:val="18"/>
              </w:rPr>
              <w:t>4-person</w:t>
            </w:r>
          </w:p>
        </w:tc>
        <w:tc>
          <w:tcPr>
            <w:tcW w:w="1109"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4179B5C1" w14:textId="77777777" w:rsidR="005C68BB" w:rsidRPr="005C68BB" w:rsidRDefault="005C68BB" w:rsidP="005C68BB">
            <w:pPr>
              <w:jc w:val="right"/>
              <w:rPr>
                <w:rFonts w:eastAsia="Times New Roman"/>
                <w:color w:val="FFFFFF"/>
                <w:sz w:val="18"/>
                <w:szCs w:val="18"/>
              </w:rPr>
            </w:pPr>
            <w:r w:rsidRPr="005C68BB">
              <w:rPr>
                <w:rFonts w:eastAsia="Times New Roman"/>
                <w:color w:val="FFFFFF"/>
                <w:sz w:val="18"/>
                <w:szCs w:val="18"/>
              </w:rPr>
              <w:t>5+ person</w:t>
            </w:r>
          </w:p>
        </w:tc>
      </w:tr>
      <w:tr w:rsidR="005C68BB" w:rsidRPr="005C68BB" w14:paraId="5DCAF682" w14:textId="77777777" w:rsidTr="005C68BB">
        <w:trPr>
          <w:trHeight w:val="402"/>
        </w:trPr>
        <w:tc>
          <w:tcPr>
            <w:tcW w:w="3808" w:type="dxa"/>
            <w:tcBorders>
              <w:top w:val="nil"/>
              <w:left w:val="single" w:sz="4" w:space="0" w:color="auto"/>
              <w:bottom w:val="single" w:sz="4" w:space="0" w:color="BFBFBF"/>
              <w:right w:val="single" w:sz="4" w:space="0" w:color="auto"/>
            </w:tcBorders>
            <w:shd w:val="clear" w:color="000000" w:fill="F2F2F2"/>
            <w:noWrap/>
            <w:vAlign w:val="center"/>
            <w:hideMark/>
          </w:tcPr>
          <w:p w14:paraId="791A03D6" w14:textId="6A1F834D" w:rsidR="005C68BB" w:rsidRPr="005C68BB" w:rsidRDefault="005C68BB" w:rsidP="005C68BB">
            <w:pPr>
              <w:rPr>
                <w:rFonts w:eastAsia="Times New Roman"/>
                <w:color w:val="000000"/>
                <w:sz w:val="18"/>
                <w:szCs w:val="18"/>
              </w:rPr>
            </w:pPr>
            <w:r w:rsidRPr="005C68BB">
              <w:rPr>
                <w:rFonts w:eastAsia="Times New Roman"/>
                <w:color w:val="000000"/>
                <w:sz w:val="18"/>
                <w:szCs w:val="18"/>
              </w:rPr>
              <w:t xml:space="preserve">Estimated </w:t>
            </w:r>
            <w:r w:rsidR="00C01BD3">
              <w:rPr>
                <w:rFonts w:eastAsia="Times New Roman"/>
                <w:color w:val="000000"/>
                <w:sz w:val="18"/>
                <w:szCs w:val="18"/>
              </w:rPr>
              <w:t>poverty line</w:t>
            </w:r>
            <w:r w:rsidR="00F2583D">
              <w:rPr>
                <w:rFonts w:eastAsia="Times New Roman"/>
                <w:color w:val="000000"/>
                <w:sz w:val="18"/>
                <w:szCs w:val="18"/>
              </w:rPr>
              <w:t>*</w:t>
            </w:r>
            <w:r w:rsidRPr="005C68BB">
              <w:rPr>
                <w:rFonts w:eastAsia="Times New Roman"/>
                <w:color w:val="000000"/>
                <w:sz w:val="18"/>
                <w:szCs w:val="18"/>
              </w:rPr>
              <w:t xml:space="preserve"> threshold</w:t>
            </w:r>
          </w:p>
        </w:tc>
        <w:tc>
          <w:tcPr>
            <w:tcW w:w="1108" w:type="dxa"/>
            <w:tcBorders>
              <w:top w:val="nil"/>
              <w:left w:val="nil"/>
              <w:bottom w:val="single" w:sz="4" w:space="0" w:color="BFBFBF"/>
              <w:right w:val="single" w:sz="4" w:space="0" w:color="BFBFBF"/>
            </w:tcBorders>
            <w:shd w:val="clear" w:color="000000" w:fill="F2F2F2"/>
            <w:noWrap/>
            <w:vAlign w:val="center"/>
            <w:hideMark/>
          </w:tcPr>
          <w:p w14:paraId="76123109"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$27,450</w:t>
            </w:r>
          </w:p>
        </w:tc>
        <w:tc>
          <w:tcPr>
            <w:tcW w:w="1108" w:type="dxa"/>
            <w:tcBorders>
              <w:top w:val="nil"/>
              <w:left w:val="nil"/>
              <w:bottom w:val="single" w:sz="4" w:space="0" w:color="BFBFBF"/>
              <w:right w:val="single" w:sz="4" w:space="0" w:color="BFBFBF"/>
            </w:tcBorders>
            <w:shd w:val="clear" w:color="000000" w:fill="F2F2F2"/>
            <w:noWrap/>
            <w:vAlign w:val="center"/>
            <w:hideMark/>
          </w:tcPr>
          <w:p w14:paraId="32F00FB2"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$38,820</w:t>
            </w:r>
          </w:p>
        </w:tc>
        <w:tc>
          <w:tcPr>
            <w:tcW w:w="1109" w:type="dxa"/>
            <w:tcBorders>
              <w:top w:val="nil"/>
              <w:left w:val="nil"/>
              <w:bottom w:val="single" w:sz="4" w:space="0" w:color="BFBFBF"/>
              <w:right w:val="single" w:sz="4" w:space="0" w:color="BFBFBF"/>
            </w:tcBorders>
            <w:shd w:val="clear" w:color="000000" w:fill="F2F2F2"/>
            <w:noWrap/>
            <w:vAlign w:val="center"/>
            <w:hideMark/>
          </w:tcPr>
          <w:p w14:paraId="3E96E905"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$47,550</w:t>
            </w:r>
          </w:p>
        </w:tc>
        <w:tc>
          <w:tcPr>
            <w:tcW w:w="1108" w:type="dxa"/>
            <w:tcBorders>
              <w:top w:val="nil"/>
              <w:left w:val="nil"/>
              <w:bottom w:val="single" w:sz="4" w:space="0" w:color="BFBFBF"/>
              <w:right w:val="single" w:sz="4" w:space="0" w:color="BFBFBF"/>
            </w:tcBorders>
            <w:shd w:val="clear" w:color="000000" w:fill="F2F2F2"/>
            <w:noWrap/>
            <w:vAlign w:val="center"/>
            <w:hideMark/>
          </w:tcPr>
          <w:p w14:paraId="3E7637FD"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$54,910</w:t>
            </w:r>
          </w:p>
        </w:tc>
        <w:tc>
          <w:tcPr>
            <w:tcW w:w="1109" w:type="dxa"/>
            <w:tcBorders>
              <w:top w:val="nil"/>
              <w:left w:val="nil"/>
              <w:bottom w:val="single" w:sz="4" w:space="0" w:color="BFBFBF"/>
              <w:right w:val="single" w:sz="4" w:space="0" w:color="auto"/>
            </w:tcBorders>
            <w:shd w:val="clear" w:color="000000" w:fill="F2F2F2"/>
            <w:noWrap/>
            <w:vAlign w:val="center"/>
            <w:hideMark/>
          </w:tcPr>
          <w:p w14:paraId="584EB036"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$61,390</w:t>
            </w:r>
          </w:p>
        </w:tc>
      </w:tr>
      <w:tr w:rsidR="005C68BB" w:rsidRPr="005C68BB" w14:paraId="02DF7645" w14:textId="77777777" w:rsidTr="005C68BB">
        <w:trPr>
          <w:trHeight w:val="402"/>
        </w:trPr>
        <w:tc>
          <w:tcPr>
            <w:tcW w:w="3808" w:type="dxa"/>
            <w:tcBorders>
              <w:top w:val="nil"/>
              <w:left w:val="single" w:sz="4" w:space="0" w:color="auto"/>
              <w:bottom w:val="single" w:sz="4" w:space="0" w:color="auto"/>
              <w:right w:val="single" w:sz="4" w:space="0" w:color="auto"/>
            </w:tcBorders>
            <w:shd w:val="clear" w:color="000000" w:fill="FFFFFF"/>
            <w:noWrap/>
            <w:vAlign w:val="center"/>
            <w:hideMark/>
          </w:tcPr>
          <w:p w14:paraId="4E5FD2D6" w14:textId="77777777" w:rsidR="005C68BB" w:rsidRPr="005C68BB" w:rsidRDefault="005C68BB" w:rsidP="005C68BB">
            <w:pPr>
              <w:rPr>
                <w:rFonts w:eastAsia="Times New Roman"/>
                <w:color w:val="000000"/>
                <w:sz w:val="18"/>
                <w:szCs w:val="18"/>
              </w:rPr>
            </w:pPr>
            <w:r w:rsidRPr="005C68BB">
              <w:rPr>
                <w:rFonts w:eastAsia="Times New Roman"/>
                <w:color w:val="000000"/>
                <w:sz w:val="18"/>
                <w:szCs w:val="18"/>
              </w:rPr>
              <w:t>Estimated living wage / income threshold</w:t>
            </w:r>
          </w:p>
        </w:tc>
        <w:tc>
          <w:tcPr>
            <w:tcW w:w="1108" w:type="dxa"/>
            <w:tcBorders>
              <w:top w:val="nil"/>
              <w:left w:val="nil"/>
              <w:bottom w:val="single" w:sz="4" w:space="0" w:color="auto"/>
              <w:right w:val="single" w:sz="4" w:space="0" w:color="BFBFBF"/>
            </w:tcBorders>
            <w:shd w:val="clear" w:color="000000" w:fill="FFFFFF"/>
            <w:noWrap/>
            <w:vAlign w:val="center"/>
            <w:hideMark/>
          </w:tcPr>
          <w:p w14:paraId="4D282E03"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$43,330</w:t>
            </w:r>
          </w:p>
        </w:tc>
        <w:tc>
          <w:tcPr>
            <w:tcW w:w="1108" w:type="dxa"/>
            <w:tcBorders>
              <w:top w:val="nil"/>
              <w:left w:val="nil"/>
              <w:bottom w:val="single" w:sz="4" w:space="0" w:color="auto"/>
              <w:right w:val="single" w:sz="4" w:space="0" w:color="BFBFBF"/>
            </w:tcBorders>
            <w:shd w:val="clear" w:color="000000" w:fill="FFFFFF"/>
            <w:noWrap/>
            <w:vAlign w:val="center"/>
            <w:hideMark/>
          </w:tcPr>
          <w:p w14:paraId="197A13DE"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$61,270</w:t>
            </w:r>
          </w:p>
        </w:tc>
        <w:tc>
          <w:tcPr>
            <w:tcW w:w="1109" w:type="dxa"/>
            <w:tcBorders>
              <w:top w:val="nil"/>
              <w:left w:val="nil"/>
              <w:bottom w:val="single" w:sz="4" w:space="0" w:color="auto"/>
              <w:right w:val="single" w:sz="4" w:space="0" w:color="BFBFBF"/>
            </w:tcBorders>
            <w:shd w:val="clear" w:color="000000" w:fill="FFFFFF"/>
            <w:noWrap/>
            <w:vAlign w:val="center"/>
            <w:hideMark/>
          </w:tcPr>
          <w:p w14:paraId="7B58D8E7"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$75,040</w:t>
            </w:r>
          </w:p>
        </w:tc>
        <w:tc>
          <w:tcPr>
            <w:tcW w:w="1108" w:type="dxa"/>
            <w:tcBorders>
              <w:top w:val="nil"/>
              <w:left w:val="nil"/>
              <w:bottom w:val="single" w:sz="4" w:space="0" w:color="auto"/>
              <w:right w:val="single" w:sz="4" w:space="0" w:color="BFBFBF"/>
            </w:tcBorders>
            <w:shd w:val="clear" w:color="000000" w:fill="FFFFFF"/>
            <w:noWrap/>
            <w:vAlign w:val="center"/>
            <w:hideMark/>
          </w:tcPr>
          <w:p w14:paraId="1A860B09"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$86,650</w:t>
            </w:r>
          </w:p>
        </w:tc>
        <w:tc>
          <w:tcPr>
            <w:tcW w:w="1109" w:type="dxa"/>
            <w:tcBorders>
              <w:top w:val="nil"/>
              <w:left w:val="nil"/>
              <w:bottom w:val="single" w:sz="4" w:space="0" w:color="auto"/>
              <w:right w:val="single" w:sz="4" w:space="0" w:color="auto"/>
            </w:tcBorders>
            <w:shd w:val="clear" w:color="000000" w:fill="FFFFFF"/>
            <w:noWrap/>
            <w:vAlign w:val="center"/>
            <w:hideMark/>
          </w:tcPr>
          <w:p w14:paraId="23620827" w14:textId="77777777" w:rsidR="005C68BB" w:rsidRPr="00D03E21" w:rsidRDefault="005C68BB" w:rsidP="005C68BB">
            <w:pPr>
              <w:jc w:val="right"/>
              <w:rPr>
                <w:rFonts w:eastAsia="Times New Roman"/>
                <w:color w:val="C00000"/>
                <w:sz w:val="18"/>
                <w:szCs w:val="18"/>
              </w:rPr>
            </w:pPr>
            <w:r w:rsidRPr="00D03E21">
              <w:rPr>
                <w:rFonts w:eastAsia="Times New Roman"/>
                <w:color w:val="C00000"/>
                <w:sz w:val="18"/>
                <w:szCs w:val="18"/>
              </w:rPr>
              <w:t>$96,880</w:t>
            </w:r>
          </w:p>
        </w:tc>
      </w:tr>
    </w:tbl>
    <w:p w14:paraId="1EB529E9" w14:textId="3D8DC863" w:rsidR="005C68BB" w:rsidRDefault="00F2583D" w:rsidP="00F2583D">
      <w:pPr>
        <w:pStyle w:val="Footnote"/>
      </w:pPr>
      <w:r>
        <w:t>* The poverty line is based on estimates of Market-Basket-Measure thresholds by household size</w:t>
      </w:r>
    </w:p>
    <w:p w14:paraId="0372FE7A" w14:textId="1EC35575" w:rsidR="005C68BB" w:rsidRDefault="00CD2567" w:rsidP="00CD2567">
      <w:pPr>
        <w:pStyle w:val="Source"/>
      </w:pPr>
      <w:r>
        <w:t xml:space="preserve">Source: </w:t>
      </w:r>
      <w:r w:rsidR="00426DA7" w:rsidRPr="00426DA7">
        <w:t xml:space="preserve">methodology found in HNA Blueprint Methodology – </w:t>
      </w:r>
      <w:r w:rsidR="00426DA7">
        <w:t>ALICE Households</w:t>
      </w:r>
      <w:r w:rsidR="00426DA7" w:rsidRPr="00426DA7">
        <w:t xml:space="preserve"> document</w:t>
      </w:r>
    </w:p>
    <w:p w14:paraId="11DB0153" w14:textId="77777777" w:rsidR="00B335D8" w:rsidRDefault="00B335D8" w:rsidP="00F62954"/>
    <w:p w14:paraId="63A7C5C1" w14:textId="51544487" w:rsidR="00F809B2" w:rsidRDefault="00F809B2" w:rsidP="00F809B2">
      <w:pPr>
        <w:pStyle w:val="Caption"/>
      </w:pPr>
      <w:bookmarkStart w:id="118" w:name="_Ref225844125"/>
      <w:r>
        <w:t xml:space="preserve">Table </w:t>
      </w:r>
      <w:fldSimple w:instr=" STYLEREF 1 \s ">
        <w:r w:rsidR="005E459C">
          <w:rPr>
            <w:noProof/>
          </w:rPr>
          <w:t>9</w:t>
        </w:r>
      </w:fldSimple>
      <w:r w:rsidR="00BD4359">
        <w:t>.</w:t>
      </w:r>
      <w:fldSimple w:instr=" SEQ Table \* ARABIC \s 1 ">
        <w:r w:rsidR="005E459C">
          <w:rPr>
            <w:noProof/>
          </w:rPr>
          <w:t>10</w:t>
        </w:r>
      </w:fldSimple>
      <w:bookmarkEnd w:id="118"/>
      <w:r>
        <w:t>: Estimated "ALICE" households by household size based on poverty line and living wage income thresholds</w:t>
      </w:r>
      <w:r>
        <w:rPr>
          <w:noProof/>
        </w:rPr>
        <w:t>, 2021</w:t>
      </w:r>
    </w:p>
    <w:tbl>
      <w:tblPr>
        <w:tblW w:w="9350" w:type="dxa"/>
        <w:tblLayout w:type="fixed"/>
        <w:tblLook w:val="04A0" w:firstRow="1" w:lastRow="0" w:firstColumn="1" w:lastColumn="0" w:noHBand="0" w:noVBand="1"/>
      </w:tblPr>
      <w:tblGrid>
        <w:gridCol w:w="3865"/>
        <w:gridCol w:w="914"/>
        <w:gridCol w:w="914"/>
        <w:gridCol w:w="914"/>
        <w:gridCol w:w="914"/>
        <w:gridCol w:w="914"/>
        <w:gridCol w:w="915"/>
      </w:tblGrid>
      <w:tr w:rsidR="00B335D8" w:rsidRPr="00B335D8" w14:paraId="4F86F7DC" w14:textId="77777777" w:rsidTr="003C59F9">
        <w:trPr>
          <w:trHeight w:val="458"/>
          <w:tblHeader/>
        </w:trPr>
        <w:tc>
          <w:tcPr>
            <w:tcW w:w="3865" w:type="dxa"/>
            <w:tcBorders>
              <w:top w:val="single" w:sz="4" w:space="0" w:color="auto"/>
              <w:left w:val="single" w:sz="4" w:space="0" w:color="auto"/>
              <w:bottom w:val="nil"/>
              <w:right w:val="single" w:sz="4" w:space="0" w:color="auto"/>
            </w:tcBorders>
            <w:shd w:val="clear" w:color="auto" w:fill="42618C" w:themeFill="accent3"/>
            <w:noWrap/>
            <w:vAlign w:val="center"/>
            <w:hideMark/>
          </w:tcPr>
          <w:p w14:paraId="1BE6A381" w14:textId="77777777" w:rsidR="00B335D8" w:rsidRPr="00B335D8" w:rsidRDefault="00B335D8" w:rsidP="00B335D8">
            <w:pPr>
              <w:rPr>
                <w:rFonts w:eastAsia="Times New Roman"/>
                <w:color w:val="FFFFFF"/>
                <w:sz w:val="18"/>
                <w:szCs w:val="18"/>
              </w:rPr>
            </w:pPr>
            <w:r w:rsidRPr="00B335D8">
              <w:rPr>
                <w:rFonts w:eastAsia="Times New Roman"/>
                <w:color w:val="FFFFFF"/>
                <w:sz w:val="18"/>
                <w:szCs w:val="18"/>
              </w:rPr>
              <w:t>Variables</w:t>
            </w:r>
          </w:p>
        </w:tc>
        <w:tc>
          <w:tcPr>
            <w:tcW w:w="914" w:type="dxa"/>
            <w:tcBorders>
              <w:top w:val="single" w:sz="4" w:space="0" w:color="auto"/>
              <w:left w:val="nil"/>
              <w:bottom w:val="nil"/>
              <w:right w:val="single" w:sz="4" w:space="0" w:color="auto"/>
            </w:tcBorders>
            <w:shd w:val="clear" w:color="auto" w:fill="42618C" w:themeFill="accent3"/>
            <w:noWrap/>
            <w:vAlign w:val="center"/>
            <w:hideMark/>
          </w:tcPr>
          <w:p w14:paraId="7A1B3CF0" w14:textId="77777777" w:rsidR="00B335D8" w:rsidRPr="00B335D8" w:rsidRDefault="00B335D8" w:rsidP="00B335D8">
            <w:pPr>
              <w:jc w:val="right"/>
              <w:rPr>
                <w:rFonts w:eastAsia="Times New Roman"/>
                <w:color w:val="FFFFFF"/>
                <w:sz w:val="18"/>
                <w:szCs w:val="18"/>
              </w:rPr>
            </w:pPr>
            <w:r w:rsidRPr="00B335D8">
              <w:rPr>
                <w:rFonts w:eastAsia="Times New Roman"/>
                <w:color w:val="FFFFFF"/>
                <w:sz w:val="18"/>
                <w:szCs w:val="18"/>
              </w:rPr>
              <w:t>Total</w:t>
            </w:r>
          </w:p>
        </w:tc>
        <w:tc>
          <w:tcPr>
            <w:tcW w:w="914" w:type="dxa"/>
            <w:tcBorders>
              <w:top w:val="single" w:sz="4" w:space="0" w:color="auto"/>
              <w:left w:val="nil"/>
              <w:bottom w:val="nil"/>
              <w:right w:val="single" w:sz="4" w:space="0" w:color="BFBFBF"/>
            </w:tcBorders>
            <w:shd w:val="clear" w:color="auto" w:fill="42618C" w:themeFill="accent3"/>
            <w:noWrap/>
            <w:vAlign w:val="center"/>
            <w:hideMark/>
          </w:tcPr>
          <w:p w14:paraId="01FDC26B" w14:textId="77777777" w:rsidR="00B335D8" w:rsidRPr="00B335D8" w:rsidRDefault="00B335D8" w:rsidP="00B335D8">
            <w:pPr>
              <w:jc w:val="right"/>
              <w:rPr>
                <w:rFonts w:eastAsia="Times New Roman"/>
                <w:color w:val="FFFFFF"/>
                <w:sz w:val="18"/>
                <w:szCs w:val="18"/>
              </w:rPr>
            </w:pPr>
            <w:r w:rsidRPr="00B335D8">
              <w:rPr>
                <w:rFonts w:eastAsia="Times New Roman"/>
                <w:color w:val="FFFFFF"/>
                <w:sz w:val="18"/>
                <w:szCs w:val="18"/>
              </w:rPr>
              <w:t>1-person</w:t>
            </w:r>
          </w:p>
        </w:tc>
        <w:tc>
          <w:tcPr>
            <w:tcW w:w="914" w:type="dxa"/>
            <w:tcBorders>
              <w:top w:val="single" w:sz="4" w:space="0" w:color="auto"/>
              <w:left w:val="nil"/>
              <w:bottom w:val="nil"/>
              <w:right w:val="single" w:sz="4" w:space="0" w:color="BFBFBF"/>
            </w:tcBorders>
            <w:shd w:val="clear" w:color="auto" w:fill="42618C" w:themeFill="accent3"/>
            <w:noWrap/>
            <w:vAlign w:val="center"/>
            <w:hideMark/>
          </w:tcPr>
          <w:p w14:paraId="7F1846D4" w14:textId="77777777" w:rsidR="00B335D8" w:rsidRPr="00B335D8" w:rsidRDefault="00B335D8" w:rsidP="00B335D8">
            <w:pPr>
              <w:jc w:val="right"/>
              <w:rPr>
                <w:rFonts w:eastAsia="Times New Roman"/>
                <w:color w:val="FFFFFF"/>
                <w:sz w:val="18"/>
                <w:szCs w:val="18"/>
              </w:rPr>
            </w:pPr>
            <w:r w:rsidRPr="00B335D8">
              <w:rPr>
                <w:rFonts w:eastAsia="Times New Roman"/>
                <w:color w:val="FFFFFF"/>
                <w:sz w:val="18"/>
                <w:szCs w:val="18"/>
              </w:rPr>
              <w:t>2-person</w:t>
            </w:r>
          </w:p>
        </w:tc>
        <w:tc>
          <w:tcPr>
            <w:tcW w:w="914" w:type="dxa"/>
            <w:tcBorders>
              <w:top w:val="single" w:sz="4" w:space="0" w:color="auto"/>
              <w:left w:val="nil"/>
              <w:bottom w:val="nil"/>
              <w:right w:val="single" w:sz="4" w:space="0" w:color="BFBFBF"/>
            </w:tcBorders>
            <w:shd w:val="clear" w:color="auto" w:fill="42618C" w:themeFill="accent3"/>
            <w:noWrap/>
            <w:vAlign w:val="center"/>
            <w:hideMark/>
          </w:tcPr>
          <w:p w14:paraId="6162298E" w14:textId="77777777" w:rsidR="00B335D8" w:rsidRPr="00B335D8" w:rsidRDefault="00B335D8" w:rsidP="00B335D8">
            <w:pPr>
              <w:jc w:val="right"/>
              <w:rPr>
                <w:rFonts w:eastAsia="Times New Roman"/>
                <w:color w:val="FFFFFF"/>
                <w:sz w:val="18"/>
                <w:szCs w:val="18"/>
              </w:rPr>
            </w:pPr>
            <w:r w:rsidRPr="00B335D8">
              <w:rPr>
                <w:rFonts w:eastAsia="Times New Roman"/>
                <w:color w:val="FFFFFF"/>
                <w:sz w:val="18"/>
                <w:szCs w:val="18"/>
              </w:rPr>
              <w:t>3-person</w:t>
            </w:r>
          </w:p>
        </w:tc>
        <w:tc>
          <w:tcPr>
            <w:tcW w:w="914" w:type="dxa"/>
            <w:tcBorders>
              <w:top w:val="single" w:sz="4" w:space="0" w:color="auto"/>
              <w:left w:val="nil"/>
              <w:bottom w:val="nil"/>
              <w:right w:val="single" w:sz="4" w:space="0" w:color="BFBFBF"/>
            </w:tcBorders>
            <w:shd w:val="clear" w:color="auto" w:fill="42618C" w:themeFill="accent3"/>
            <w:noWrap/>
            <w:vAlign w:val="center"/>
            <w:hideMark/>
          </w:tcPr>
          <w:p w14:paraId="0DE104C8" w14:textId="77777777" w:rsidR="00B335D8" w:rsidRPr="00B335D8" w:rsidRDefault="00B335D8" w:rsidP="00B335D8">
            <w:pPr>
              <w:jc w:val="right"/>
              <w:rPr>
                <w:rFonts w:eastAsia="Times New Roman"/>
                <w:color w:val="FFFFFF"/>
                <w:sz w:val="18"/>
                <w:szCs w:val="18"/>
              </w:rPr>
            </w:pPr>
            <w:r w:rsidRPr="00B335D8">
              <w:rPr>
                <w:rFonts w:eastAsia="Times New Roman"/>
                <w:color w:val="FFFFFF"/>
                <w:sz w:val="18"/>
                <w:szCs w:val="18"/>
              </w:rPr>
              <w:t>4-person</w:t>
            </w:r>
          </w:p>
        </w:tc>
        <w:tc>
          <w:tcPr>
            <w:tcW w:w="915" w:type="dxa"/>
            <w:tcBorders>
              <w:top w:val="single" w:sz="4" w:space="0" w:color="auto"/>
              <w:left w:val="nil"/>
              <w:bottom w:val="nil"/>
              <w:right w:val="single" w:sz="4" w:space="0" w:color="auto"/>
            </w:tcBorders>
            <w:shd w:val="clear" w:color="auto" w:fill="42618C" w:themeFill="accent3"/>
            <w:noWrap/>
            <w:vAlign w:val="center"/>
            <w:hideMark/>
          </w:tcPr>
          <w:p w14:paraId="0C81181E" w14:textId="77777777" w:rsidR="00B335D8" w:rsidRPr="00B335D8" w:rsidRDefault="00B335D8" w:rsidP="00B335D8">
            <w:pPr>
              <w:jc w:val="right"/>
              <w:rPr>
                <w:rFonts w:eastAsia="Times New Roman"/>
                <w:color w:val="FFFFFF"/>
                <w:sz w:val="18"/>
                <w:szCs w:val="18"/>
              </w:rPr>
            </w:pPr>
            <w:r w:rsidRPr="00B335D8">
              <w:rPr>
                <w:rFonts w:eastAsia="Times New Roman"/>
                <w:color w:val="FFFFFF"/>
                <w:sz w:val="18"/>
                <w:szCs w:val="18"/>
              </w:rPr>
              <w:t>5+ person</w:t>
            </w:r>
          </w:p>
        </w:tc>
      </w:tr>
      <w:tr w:rsidR="00B335D8" w:rsidRPr="00B335D8" w14:paraId="60E39230" w14:textId="77777777" w:rsidTr="00B335D8">
        <w:trPr>
          <w:trHeight w:val="402"/>
        </w:trPr>
        <w:tc>
          <w:tcPr>
            <w:tcW w:w="386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DF9F46" w14:textId="77777777" w:rsidR="00B335D8" w:rsidRPr="00B335D8" w:rsidRDefault="00B335D8" w:rsidP="00B335D8">
            <w:pPr>
              <w:rPr>
                <w:rFonts w:eastAsia="Times New Roman"/>
                <w:color w:val="000000"/>
                <w:sz w:val="18"/>
                <w:szCs w:val="18"/>
              </w:rPr>
            </w:pPr>
            <w:r w:rsidRPr="00B335D8">
              <w:rPr>
                <w:rFonts w:eastAsia="Times New Roman"/>
                <w:color w:val="000000"/>
                <w:sz w:val="18"/>
                <w:szCs w:val="18"/>
              </w:rPr>
              <w:t>Total households</w:t>
            </w:r>
          </w:p>
        </w:tc>
        <w:tc>
          <w:tcPr>
            <w:tcW w:w="914" w:type="dxa"/>
            <w:tcBorders>
              <w:top w:val="single" w:sz="4" w:space="0" w:color="auto"/>
              <w:left w:val="nil"/>
              <w:bottom w:val="single" w:sz="4" w:space="0" w:color="auto"/>
              <w:right w:val="single" w:sz="4" w:space="0" w:color="auto"/>
            </w:tcBorders>
            <w:shd w:val="clear" w:color="000000" w:fill="F2F2F2"/>
            <w:noWrap/>
            <w:vAlign w:val="center"/>
            <w:hideMark/>
          </w:tcPr>
          <w:p w14:paraId="28EDE692"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17,180</w:t>
            </w:r>
          </w:p>
        </w:tc>
        <w:tc>
          <w:tcPr>
            <w:tcW w:w="914" w:type="dxa"/>
            <w:tcBorders>
              <w:top w:val="single" w:sz="4" w:space="0" w:color="auto"/>
              <w:left w:val="nil"/>
              <w:bottom w:val="single" w:sz="4" w:space="0" w:color="auto"/>
              <w:right w:val="single" w:sz="4" w:space="0" w:color="BFBFBF"/>
            </w:tcBorders>
            <w:shd w:val="clear" w:color="000000" w:fill="F2F2F2"/>
            <w:noWrap/>
            <w:vAlign w:val="center"/>
            <w:hideMark/>
          </w:tcPr>
          <w:p w14:paraId="49B333F9"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6,090</w:t>
            </w:r>
          </w:p>
        </w:tc>
        <w:tc>
          <w:tcPr>
            <w:tcW w:w="914" w:type="dxa"/>
            <w:tcBorders>
              <w:top w:val="single" w:sz="4" w:space="0" w:color="auto"/>
              <w:left w:val="nil"/>
              <w:bottom w:val="single" w:sz="4" w:space="0" w:color="auto"/>
              <w:right w:val="single" w:sz="4" w:space="0" w:color="BFBFBF"/>
            </w:tcBorders>
            <w:shd w:val="clear" w:color="000000" w:fill="F2F2F2"/>
            <w:noWrap/>
            <w:vAlign w:val="center"/>
            <w:hideMark/>
          </w:tcPr>
          <w:p w14:paraId="7ADDB57D"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5,860</w:t>
            </w:r>
          </w:p>
        </w:tc>
        <w:tc>
          <w:tcPr>
            <w:tcW w:w="914" w:type="dxa"/>
            <w:tcBorders>
              <w:top w:val="single" w:sz="4" w:space="0" w:color="auto"/>
              <w:left w:val="nil"/>
              <w:bottom w:val="single" w:sz="4" w:space="0" w:color="auto"/>
              <w:right w:val="single" w:sz="4" w:space="0" w:color="BFBFBF"/>
            </w:tcBorders>
            <w:shd w:val="clear" w:color="000000" w:fill="F2F2F2"/>
            <w:noWrap/>
            <w:vAlign w:val="center"/>
            <w:hideMark/>
          </w:tcPr>
          <w:p w14:paraId="26887B0A"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2,470</w:t>
            </w:r>
          </w:p>
        </w:tc>
        <w:tc>
          <w:tcPr>
            <w:tcW w:w="914" w:type="dxa"/>
            <w:tcBorders>
              <w:top w:val="single" w:sz="4" w:space="0" w:color="auto"/>
              <w:left w:val="nil"/>
              <w:bottom w:val="single" w:sz="4" w:space="0" w:color="auto"/>
              <w:right w:val="single" w:sz="4" w:space="0" w:color="BFBFBF"/>
            </w:tcBorders>
            <w:shd w:val="clear" w:color="000000" w:fill="F2F2F2"/>
            <w:noWrap/>
            <w:vAlign w:val="center"/>
            <w:hideMark/>
          </w:tcPr>
          <w:p w14:paraId="5CE50792"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1,790</w:t>
            </w:r>
          </w:p>
        </w:tc>
        <w:tc>
          <w:tcPr>
            <w:tcW w:w="915" w:type="dxa"/>
            <w:tcBorders>
              <w:top w:val="single" w:sz="4" w:space="0" w:color="auto"/>
              <w:left w:val="nil"/>
              <w:bottom w:val="single" w:sz="4" w:space="0" w:color="auto"/>
              <w:right w:val="single" w:sz="4" w:space="0" w:color="auto"/>
            </w:tcBorders>
            <w:shd w:val="clear" w:color="000000" w:fill="F2F2F2"/>
            <w:noWrap/>
            <w:vAlign w:val="center"/>
            <w:hideMark/>
          </w:tcPr>
          <w:p w14:paraId="59605D2E"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975</w:t>
            </w:r>
          </w:p>
        </w:tc>
      </w:tr>
      <w:tr w:rsidR="00B335D8" w:rsidRPr="00B335D8" w14:paraId="1B502222" w14:textId="77777777" w:rsidTr="00B335D8">
        <w:trPr>
          <w:trHeight w:val="402"/>
        </w:trPr>
        <w:tc>
          <w:tcPr>
            <w:tcW w:w="3865" w:type="dxa"/>
            <w:tcBorders>
              <w:top w:val="nil"/>
              <w:left w:val="single" w:sz="4" w:space="0" w:color="auto"/>
              <w:bottom w:val="single" w:sz="4" w:space="0" w:color="BFBFBF"/>
              <w:right w:val="single" w:sz="4" w:space="0" w:color="auto"/>
            </w:tcBorders>
            <w:shd w:val="clear" w:color="000000" w:fill="FFFFFF"/>
            <w:noWrap/>
            <w:vAlign w:val="center"/>
            <w:hideMark/>
          </w:tcPr>
          <w:p w14:paraId="156C2B88" w14:textId="412E9754" w:rsidR="00B335D8" w:rsidRPr="00B335D8" w:rsidRDefault="00B335D8" w:rsidP="00B335D8">
            <w:pPr>
              <w:rPr>
                <w:rFonts w:eastAsia="Times New Roman"/>
                <w:color w:val="000000"/>
                <w:sz w:val="18"/>
                <w:szCs w:val="18"/>
              </w:rPr>
            </w:pPr>
            <w:r w:rsidRPr="00B335D8">
              <w:rPr>
                <w:rFonts w:eastAsia="Times New Roman"/>
                <w:color w:val="000000"/>
                <w:sz w:val="18"/>
                <w:szCs w:val="18"/>
              </w:rPr>
              <w:t xml:space="preserve">Estimated </w:t>
            </w:r>
            <w:r>
              <w:rPr>
                <w:rFonts w:eastAsia="Times New Roman"/>
                <w:color w:val="000000"/>
                <w:sz w:val="18"/>
                <w:szCs w:val="18"/>
              </w:rPr>
              <w:t>HHs</w:t>
            </w:r>
            <w:r w:rsidRPr="00B335D8">
              <w:rPr>
                <w:rFonts w:eastAsia="Times New Roman"/>
                <w:color w:val="000000"/>
                <w:sz w:val="18"/>
                <w:szCs w:val="18"/>
              </w:rPr>
              <w:t xml:space="preserve"> below poverty line</w:t>
            </w:r>
          </w:p>
        </w:tc>
        <w:tc>
          <w:tcPr>
            <w:tcW w:w="914" w:type="dxa"/>
            <w:tcBorders>
              <w:top w:val="nil"/>
              <w:left w:val="nil"/>
              <w:bottom w:val="single" w:sz="4" w:space="0" w:color="BFBFBF"/>
              <w:right w:val="single" w:sz="4" w:space="0" w:color="auto"/>
            </w:tcBorders>
            <w:shd w:val="clear" w:color="000000" w:fill="FFFFFF"/>
            <w:noWrap/>
            <w:vAlign w:val="center"/>
            <w:hideMark/>
          </w:tcPr>
          <w:p w14:paraId="71CED00D"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3,290</w:t>
            </w:r>
          </w:p>
        </w:tc>
        <w:tc>
          <w:tcPr>
            <w:tcW w:w="914" w:type="dxa"/>
            <w:tcBorders>
              <w:top w:val="nil"/>
              <w:left w:val="nil"/>
              <w:bottom w:val="single" w:sz="4" w:space="0" w:color="BFBFBF"/>
              <w:right w:val="single" w:sz="4" w:space="0" w:color="BFBFBF"/>
            </w:tcBorders>
            <w:shd w:val="clear" w:color="000000" w:fill="FFFFFF"/>
            <w:noWrap/>
            <w:vAlign w:val="center"/>
            <w:hideMark/>
          </w:tcPr>
          <w:p w14:paraId="26108626"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2,000</w:t>
            </w:r>
          </w:p>
        </w:tc>
        <w:tc>
          <w:tcPr>
            <w:tcW w:w="914" w:type="dxa"/>
            <w:tcBorders>
              <w:top w:val="nil"/>
              <w:left w:val="nil"/>
              <w:bottom w:val="single" w:sz="4" w:space="0" w:color="BFBFBF"/>
              <w:right w:val="single" w:sz="4" w:space="0" w:color="BFBFBF"/>
            </w:tcBorders>
            <w:shd w:val="clear" w:color="000000" w:fill="FFFFFF"/>
            <w:noWrap/>
            <w:vAlign w:val="center"/>
            <w:hideMark/>
          </w:tcPr>
          <w:p w14:paraId="62F72A5B"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730</w:t>
            </w:r>
          </w:p>
        </w:tc>
        <w:tc>
          <w:tcPr>
            <w:tcW w:w="914" w:type="dxa"/>
            <w:tcBorders>
              <w:top w:val="nil"/>
              <w:left w:val="nil"/>
              <w:bottom w:val="single" w:sz="4" w:space="0" w:color="BFBFBF"/>
              <w:right w:val="single" w:sz="4" w:space="0" w:color="BFBFBF"/>
            </w:tcBorders>
            <w:shd w:val="clear" w:color="000000" w:fill="FFFFFF"/>
            <w:noWrap/>
            <w:vAlign w:val="center"/>
            <w:hideMark/>
          </w:tcPr>
          <w:p w14:paraId="3F20DAFF"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305</w:t>
            </w:r>
          </w:p>
        </w:tc>
        <w:tc>
          <w:tcPr>
            <w:tcW w:w="914" w:type="dxa"/>
            <w:tcBorders>
              <w:top w:val="nil"/>
              <w:left w:val="nil"/>
              <w:bottom w:val="single" w:sz="4" w:space="0" w:color="BFBFBF"/>
              <w:right w:val="single" w:sz="4" w:space="0" w:color="BFBFBF"/>
            </w:tcBorders>
            <w:shd w:val="clear" w:color="000000" w:fill="FFFFFF"/>
            <w:noWrap/>
            <w:vAlign w:val="center"/>
            <w:hideMark/>
          </w:tcPr>
          <w:p w14:paraId="6A7E3EBA"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185</w:t>
            </w:r>
          </w:p>
        </w:tc>
        <w:tc>
          <w:tcPr>
            <w:tcW w:w="915" w:type="dxa"/>
            <w:tcBorders>
              <w:top w:val="nil"/>
              <w:left w:val="nil"/>
              <w:bottom w:val="single" w:sz="4" w:space="0" w:color="BFBFBF"/>
              <w:right w:val="single" w:sz="4" w:space="0" w:color="auto"/>
            </w:tcBorders>
            <w:shd w:val="clear" w:color="000000" w:fill="FFFFFF"/>
            <w:noWrap/>
            <w:vAlign w:val="center"/>
            <w:hideMark/>
          </w:tcPr>
          <w:p w14:paraId="08395A76"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70</w:t>
            </w:r>
          </w:p>
        </w:tc>
      </w:tr>
      <w:tr w:rsidR="00B335D8" w:rsidRPr="00B335D8" w14:paraId="32553D7A" w14:textId="77777777" w:rsidTr="00B335D8">
        <w:trPr>
          <w:trHeight w:val="402"/>
        </w:trPr>
        <w:tc>
          <w:tcPr>
            <w:tcW w:w="3865" w:type="dxa"/>
            <w:tcBorders>
              <w:top w:val="nil"/>
              <w:left w:val="single" w:sz="4" w:space="0" w:color="auto"/>
              <w:bottom w:val="nil"/>
              <w:right w:val="single" w:sz="4" w:space="0" w:color="auto"/>
            </w:tcBorders>
            <w:shd w:val="clear" w:color="000000" w:fill="F2F2F2"/>
            <w:noWrap/>
            <w:vAlign w:val="center"/>
            <w:hideMark/>
          </w:tcPr>
          <w:p w14:paraId="6C3A2DD8" w14:textId="2AAEEB73" w:rsidR="00B335D8" w:rsidRPr="00B335D8" w:rsidRDefault="00B335D8" w:rsidP="00B335D8">
            <w:pPr>
              <w:rPr>
                <w:rFonts w:eastAsia="Times New Roman"/>
                <w:color w:val="000000"/>
                <w:sz w:val="18"/>
                <w:szCs w:val="18"/>
              </w:rPr>
            </w:pPr>
            <w:r w:rsidRPr="00B335D8">
              <w:rPr>
                <w:rFonts w:eastAsia="Times New Roman"/>
                <w:color w:val="000000"/>
                <w:sz w:val="18"/>
                <w:szCs w:val="18"/>
              </w:rPr>
              <w:t xml:space="preserve">Estimated </w:t>
            </w:r>
            <w:r>
              <w:rPr>
                <w:rFonts w:eastAsia="Times New Roman"/>
                <w:color w:val="000000"/>
                <w:sz w:val="18"/>
                <w:szCs w:val="18"/>
              </w:rPr>
              <w:t>HHs</w:t>
            </w:r>
            <w:r w:rsidRPr="00B335D8">
              <w:rPr>
                <w:rFonts w:eastAsia="Times New Roman"/>
                <w:color w:val="000000"/>
                <w:sz w:val="18"/>
                <w:szCs w:val="18"/>
              </w:rPr>
              <w:t xml:space="preserve"> earning </w:t>
            </w:r>
            <w:r w:rsidR="000956AD">
              <w:rPr>
                <w:rFonts w:eastAsia="Times New Roman"/>
                <w:color w:val="000000"/>
                <w:sz w:val="18"/>
                <w:szCs w:val="18"/>
              </w:rPr>
              <w:t>below the</w:t>
            </w:r>
            <w:r w:rsidRPr="00B335D8">
              <w:rPr>
                <w:rFonts w:eastAsia="Times New Roman"/>
                <w:color w:val="000000"/>
                <w:sz w:val="18"/>
                <w:szCs w:val="18"/>
              </w:rPr>
              <w:t xml:space="preserve"> living wage</w:t>
            </w:r>
          </w:p>
        </w:tc>
        <w:tc>
          <w:tcPr>
            <w:tcW w:w="914" w:type="dxa"/>
            <w:tcBorders>
              <w:top w:val="nil"/>
              <w:left w:val="nil"/>
              <w:bottom w:val="nil"/>
              <w:right w:val="single" w:sz="4" w:space="0" w:color="auto"/>
            </w:tcBorders>
            <w:shd w:val="clear" w:color="000000" w:fill="F2F2F2"/>
            <w:noWrap/>
            <w:vAlign w:val="center"/>
            <w:hideMark/>
          </w:tcPr>
          <w:p w14:paraId="0EFD99DA"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7,225</w:t>
            </w:r>
          </w:p>
        </w:tc>
        <w:tc>
          <w:tcPr>
            <w:tcW w:w="914" w:type="dxa"/>
            <w:tcBorders>
              <w:top w:val="nil"/>
              <w:left w:val="nil"/>
              <w:bottom w:val="nil"/>
              <w:right w:val="single" w:sz="4" w:space="0" w:color="BFBFBF"/>
            </w:tcBorders>
            <w:shd w:val="clear" w:color="000000" w:fill="F2F2F2"/>
            <w:noWrap/>
            <w:vAlign w:val="center"/>
            <w:hideMark/>
          </w:tcPr>
          <w:p w14:paraId="320406B4"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3,630</w:t>
            </w:r>
          </w:p>
        </w:tc>
        <w:tc>
          <w:tcPr>
            <w:tcW w:w="914" w:type="dxa"/>
            <w:tcBorders>
              <w:top w:val="nil"/>
              <w:left w:val="nil"/>
              <w:bottom w:val="nil"/>
              <w:right w:val="single" w:sz="4" w:space="0" w:color="BFBFBF"/>
            </w:tcBorders>
            <w:shd w:val="clear" w:color="000000" w:fill="F2F2F2"/>
            <w:noWrap/>
            <w:vAlign w:val="center"/>
            <w:hideMark/>
          </w:tcPr>
          <w:p w14:paraId="5F81FE4E"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1,920</w:t>
            </w:r>
          </w:p>
        </w:tc>
        <w:tc>
          <w:tcPr>
            <w:tcW w:w="914" w:type="dxa"/>
            <w:tcBorders>
              <w:top w:val="nil"/>
              <w:left w:val="nil"/>
              <w:bottom w:val="nil"/>
              <w:right w:val="single" w:sz="4" w:space="0" w:color="BFBFBF"/>
            </w:tcBorders>
            <w:shd w:val="clear" w:color="000000" w:fill="F2F2F2"/>
            <w:noWrap/>
            <w:vAlign w:val="center"/>
            <w:hideMark/>
          </w:tcPr>
          <w:p w14:paraId="1905EB27"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880</w:t>
            </w:r>
          </w:p>
        </w:tc>
        <w:tc>
          <w:tcPr>
            <w:tcW w:w="914" w:type="dxa"/>
            <w:tcBorders>
              <w:top w:val="nil"/>
              <w:left w:val="nil"/>
              <w:bottom w:val="nil"/>
              <w:right w:val="single" w:sz="4" w:space="0" w:color="BFBFBF"/>
            </w:tcBorders>
            <w:shd w:val="clear" w:color="000000" w:fill="F2F2F2"/>
            <w:noWrap/>
            <w:vAlign w:val="center"/>
            <w:hideMark/>
          </w:tcPr>
          <w:p w14:paraId="131AF177"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485</w:t>
            </w:r>
          </w:p>
        </w:tc>
        <w:tc>
          <w:tcPr>
            <w:tcW w:w="915" w:type="dxa"/>
            <w:tcBorders>
              <w:top w:val="nil"/>
              <w:left w:val="nil"/>
              <w:bottom w:val="nil"/>
              <w:right w:val="single" w:sz="4" w:space="0" w:color="auto"/>
            </w:tcBorders>
            <w:shd w:val="clear" w:color="000000" w:fill="F2F2F2"/>
            <w:noWrap/>
            <w:vAlign w:val="center"/>
            <w:hideMark/>
          </w:tcPr>
          <w:p w14:paraId="0BAE21D9"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310</w:t>
            </w:r>
          </w:p>
        </w:tc>
      </w:tr>
      <w:tr w:rsidR="00B335D8" w:rsidRPr="00B335D8" w14:paraId="73A0CB12" w14:textId="77777777" w:rsidTr="00B335D8">
        <w:trPr>
          <w:trHeight w:val="402"/>
        </w:trPr>
        <w:tc>
          <w:tcPr>
            <w:tcW w:w="3865" w:type="dxa"/>
            <w:tcBorders>
              <w:top w:val="single" w:sz="4" w:space="0" w:color="auto"/>
              <w:left w:val="single" w:sz="4" w:space="0" w:color="auto"/>
              <w:bottom w:val="single" w:sz="4" w:space="0" w:color="BFBFBF"/>
              <w:right w:val="single" w:sz="4" w:space="0" w:color="auto"/>
            </w:tcBorders>
            <w:shd w:val="clear" w:color="000000" w:fill="FFFFFF"/>
            <w:noWrap/>
            <w:vAlign w:val="center"/>
            <w:hideMark/>
          </w:tcPr>
          <w:p w14:paraId="0B243B47" w14:textId="407C5830" w:rsidR="00B335D8" w:rsidRPr="00B335D8" w:rsidRDefault="00B335D8" w:rsidP="00B335D8">
            <w:pPr>
              <w:rPr>
                <w:rFonts w:eastAsia="Times New Roman"/>
                <w:color w:val="000000"/>
                <w:sz w:val="18"/>
                <w:szCs w:val="18"/>
              </w:rPr>
            </w:pPr>
            <w:r w:rsidRPr="00B335D8">
              <w:rPr>
                <w:rFonts w:eastAsia="Times New Roman"/>
                <w:color w:val="000000"/>
                <w:sz w:val="18"/>
                <w:szCs w:val="18"/>
              </w:rPr>
              <w:t xml:space="preserve">Estimated </w:t>
            </w:r>
            <w:r w:rsidR="00F809B2">
              <w:rPr>
                <w:rFonts w:eastAsia="Times New Roman"/>
                <w:color w:val="000000"/>
                <w:sz w:val="18"/>
                <w:szCs w:val="18"/>
              </w:rPr>
              <w:t>“ALICE”</w:t>
            </w:r>
            <w:r w:rsidRPr="00B335D8">
              <w:rPr>
                <w:rFonts w:eastAsia="Times New Roman"/>
                <w:color w:val="000000"/>
                <w:sz w:val="18"/>
                <w:szCs w:val="18"/>
              </w:rPr>
              <w:t xml:space="preserve"> households</w:t>
            </w:r>
          </w:p>
        </w:tc>
        <w:tc>
          <w:tcPr>
            <w:tcW w:w="914" w:type="dxa"/>
            <w:tcBorders>
              <w:top w:val="single" w:sz="4" w:space="0" w:color="auto"/>
              <w:left w:val="nil"/>
              <w:bottom w:val="single" w:sz="4" w:space="0" w:color="BFBFBF"/>
              <w:right w:val="single" w:sz="4" w:space="0" w:color="auto"/>
            </w:tcBorders>
            <w:shd w:val="clear" w:color="000000" w:fill="FFFFFF"/>
            <w:noWrap/>
            <w:vAlign w:val="center"/>
            <w:hideMark/>
          </w:tcPr>
          <w:p w14:paraId="0802D0FD"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3,935</w:t>
            </w:r>
          </w:p>
        </w:tc>
        <w:tc>
          <w:tcPr>
            <w:tcW w:w="914" w:type="dxa"/>
            <w:tcBorders>
              <w:top w:val="single" w:sz="4" w:space="0" w:color="auto"/>
              <w:left w:val="nil"/>
              <w:bottom w:val="single" w:sz="4" w:space="0" w:color="BFBFBF"/>
              <w:right w:val="single" w:sz="4" w:space="0" w:color="BFBFBF"/>
            </w:tcBorders>
            <w:shd w:val="clear" w:color="000000" w:fill="FFFFFF"/>
            <w:noWrap/>
            <w:vAlign w:val="center"/>
            <w:hideMark/>
          </w:tcPr>
          <w:p w14:paraId="6F18243E"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1,630</w:t>
            </w:r>
          </w:p>
        </w:tc>
        <w:tc>
          <w:tcPr>
            <w:tcW w:w="914" w:type="dxa"/>
            <w:tcBorders>
              <w:top w:val="single" w:sz="4" w:space="0" w:color="auto"/>
              <w:left w:val="nil"/>
              <w:bottom w:val="single" w:sz="4" w:space="0" w:color="BFBFBF"/>
              <w:right w:val="single" w:sz="4" w:space="0" w:color="BFBFBF"/>
            </w:tcBorders>
            <w:shd w:val="clear" w:color="000000" w:fill="FFFFFF"/>
            <w:noWrap/>
            <w:vAlign w:val="center"/>
            <w:hideMark/>
          </w:tcPr>
          <w:p w14:paraId="0C33506B"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1,190</w:t>
            </w:r>
          </w:p>
        </w:tc>
        <w:tc>
          <w:tcPr>
            <w:tcW w:w="914" w:type="dxa"/>
            <w:tcBorders>
              <w:top w:val="single" w:sz="4" w:space="0" w:color="auto"/>
              <w:left w:val="nil"/>
              <w:bottom w:val="single" w:sz="4" w:space="0" w:color="BFBFBF"/>
              <w:right w:val="single" w:sz="4" w:space="0" w:color="BFBFBF"/>
            </w:tcBorders>
            <w:shd w:val="clear" w:color="000000" w:fill="FFFFFF"/>
            <w:noWrap/>
            <w:vAlign w:val="center"/>
            <w:hideMark/>
          </w:tcPr>
          <w:p w14:paraId="27A0CFF2"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575</w:t>
            </w:r>
          </w:p>
        </w:tc>
        <w:tc>
          <w:tcPr>
            <w:tcW w:w="914" w:type="dxa"/>
            <w:tcBorders>
              <w:top w:val="single" w:sz="4" w:space="0" w:color="auto"/>
              <w:left w:val="nil"/>
              <w:bottom w:val="single" w:sz="4" w:space="0" w:color="BFBFBF"/>
              <w:right w:val="single" w:sz="4" w:space="0" w:color="BFBFBF"/>
            </w:tcBorders>
            <w:shd w:val="clear" w:color="000000" w:fill="FFFFFF"/>
            <w:noWrap/>
            <w:vAlign w:val="center"/>
            <w:hideMark/>
          </w:tcPr>
          <w:p w14:paraId="5F563DCB"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300</w:t>
            </w:r>
          </w:p>
        </w:tc>
        <w:tc>
          <w:tcPr>
            <w:tcW w:w="915" w:type="dxa"/>
            <w:tcBorders>
              <w:top w:val="single" w:sz="4" w:space="0" w:color="auto"/>
              <w:left w:val="nil"/>
              <w:bottom w:val="single" w:sz="4" w:space="0" w:color="BFBFBF"/>
              <w:right w:val="single" w:sz="4" w:space="0" w:color="auto"/>
            </w:tcBorders>
            <w:shd w:val="clear" w:color="000000" w:fill="FFFFFF"/>
            <w:noWrap/>
            <w:vAlign w:val="center"/>
            <w:hideMark/>
          </w:tcPr>
          <w:p w14:paraId="0A8D8E82"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240</w:t>
            </w:r>
          </w:p>
        </w:tc>
      </w:tr>
      <w:tr w:rsidR="00B335D8" w:rsidRPr="00B335D8" w14:paraId="5505A981" w14:textId="77777777" w:rsidTr="00B335D8">
        <w:trPr>
          <w:trHeight w:val="402"/>
        </w:trPr>
        <w:tc>
          <w:tcPr>
            <w:tcW w:w="3865" w:type="dxa"/>
            <w:tcBorders>
              <w:top w:val="nil"/>
              <w:left w:val="single" w:sz="4" w:space="0" w:color="auto"/>
              <w:bottom w:val="single" w:sz="4" w:space="0" w:color="auto"/>
              <w:right w:val="single" w:sz="4" w:space="0" w:color="auto"/>
            </w:tcBorders>
            <w:shd w:val="clear" w:color="000000" w:fill="F2F2F2"/>
            <w:noWrap/>
            <w:vAlign w:val="center"/>
            <w:hideMark/>
          </w:tcPr>
          <w:p w14:paraId="7A9B5411" w14:textId="77777777" w:rsidR="00B335D8" w:rsidRPr="00B335D8" w:rsidRDefault="00B335D8" w:rsidP="00B335D8">
            <w:pPr>
              <w:rPr>
                <w:rFonts w:eastAsia="Times New Roman"/>
                <w:color w:val="000000"/>
                <w:sz w:val="18"/>
                <w:szCs w:val="18"/>
              </w:rPr>
            </w:pPr>
            <w:r w:rsidRPr="00B335D8">
              <w:rPr>
                <w:rFonts w:eastAsia="Times New Roman"/>
                <w:color w:val="000000"/>
                <w:sz w:val="18"/>
                <w:szCs w:val="18"/>
              </w:rPr>
              <w:t>Share of total households</w:t>
            </w:r>
          </w:p>
        </w:tc>
        <w:tc>
          <w:tcPr>
            <w:tcW w:w="914" w:type="dxa"/>
            <w:tcBorders>
              <w:top w:val="nil"/>
              <w:left w:val="nil"/>
              <w:bottom w:val="single" w:sz="4" w:space="0" w:color="auto"/>
              <w:right w:val="single" w:sz="4" w:space="0" w:color="auto"/>
            </w:tcBorders>
            <w:shd w:val="clear" w:color="000000" w:fill="F2F2F2"/>
            <w:noWrap/>
            <w:vAlign w:val="center"/>
            <w:hideMark/>
          </w:tcPr>
          <w:p w14:paraId="33F50AFC"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23%</w:t>
            </w:r>
          </w:p>
        </w:tc>
        <w:tc>
          <w:tcPr>
            <w:tcW w:w="914" w:type="dxa"/>
            <w:tcBorders>
              <w:top w:val="nil"/>
              <w:left w:val="nil"/>
              <w:bottom w:val="single" w:sz="4" w:space="0" w:color="auto"/>
              <w:right w:val="single" w:sz="4" w:space="0" w:color="BFBFBF"/>
            </w:tcBorders>
            <w:shd w:val="clear" w:color="000000" w:fill="F2F2F2"/>
            <w:noWrap/>
            <w:vAlign w:val="center"/>
            <w:hideMark/>
          </w:tcPr>
          <w:p w14:paraId="5AB3344C"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27%</w:t>
            </w:r>
          </w:p>
        </w:tc>
        <w:tc>
          <w:tcPr>
            <w:tcW w:w="914" w:type="dxa"/>
            <w:tcBorders>
              <w:top w:val="nil"/>
              <w:left w:val="nil"/>
              <w:bottom w:val="single" w:sz="4" w:space="0" w:color="auto"/>
              <w:right w:val="single" w:sz="4" w:space="0" w:color="BFBFBF"/>
            </w:tcBorders>
            <w:shd w:val="clear" w:color="000000" w:fill="F2F2F2"/>
            <w:noWrap/>
            <w:vAlign w:val="center"/>
            <w:hideMark/>
          </w:tcPr>
          <w:p w14:paraId="27EA1DC7"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20%</w:t>
            </w:r>
          </w:p>
        </w:tc>
        <w:tc>
          <w:tcPr>
            <w:tcW w:w="914" w:type="dxa"/>
            <w:tcBorders>
              <w:top w:val="nil"/>
              <w:left w:val="nil"/>
              <w:bottom w:val="single" w:sz="4" w:space="0" w:color="auto"/>
              <w:right w:val="single" w:sz="4" w:space="0" w:color="BFBFBF"/>
            </w:tcBorders>
            <w:shd w:val="clear" w:color="000000" w:fill="F2F2F2"/>
            <w:noWrap/>
            <w:vAlign w:val="center"/>
            <w:hideMark/>
          </w:tcPr>
          <w:p w14:paraId="5B8530C9"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23%</w:t>
            </w:r>
          </w:p>
        </w:tc>
        <w:tc>
          <w:tcPr>
            <w:tcW w:w="914" w:type="dxa"/>
            <w:tcBorders>
              <w:top w:val="nil"/>
              <w:left w:val="nil"/>
              <w:bottom w:val="single" w:sz="4" w:space="0" w:color="auto"/>
              <w:right w:val="single" w:sz="4" w:space="0" w:color="BFBFBF"/>
            </w:tcBorders>
            <w:shd w:val="clear" w:color="000000" w:fill="F2F2F2"/>
            <w:noWrap/>
            <w:vAlign w:val="center"/>
            <w:hideMark/>
          </w:tcPr>
          <w:p w14:paraId="1FAD7287"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17%</w:t>
            </w:r>
          </w:p>
        </w:tc>
        <w:tc>
          <w:tcPr>
            <w:tcW w:w="915" w:type="dxa"/>
            <w:tcBorders>
              <w:top w:val="nil"/>
              <w:left w:val="nil"/>
              <w:bottom w:val="single" w:sz="4" w:space="0" w:color="auto"/>
              <w:right w:val="single" w:sz="4" w:space="0" w:color="auto"/>
            </w:tcBorders>
            <w:shd w:val="clear" w:color="000000" w:fill="F2F2F2"/>
            <w:noWrap/>
            <w:vAlign w:val="center"/>
            <w:hideMark/>
          </w:tcPr>
          <w:p w14:paraId="5C0F60E9" w14:textId="77777777" w:rsidR="00B335D8" w:rsidRPr="00D03E21" w:rsidRDefault="00B335D8" w:rsidP="00B335D8">
            <w:pPr>
              <w:jc w:val="right"/>
              <w:rPr>
                <w:rFonts w:eastAsia="Times New Roman"/>
                <w:color w:val="C00000"/>
                <w:sz w:val="18"/>
                <w:szCs w:val="18"/>
              </w:rPr>
            </w:pPr>
            <w:r w:rsidRPr="00D03E21">
              <w:rPr>
                <w:rFonts w:eastAsia="Times New Roman"/>
                <w:color w:val="C00000"/>
                <w:sz w:val="18"/>
                <w:szCs w:val="18"/>
              </w:rPr>
              <w:t>25%</w:t>
            </w:r>
          </w:p>
        </w:tc>
      </w:tr>
    </w:tbl>
    <w:p w14:paraId="09E5B546" w14:textId="3EC5E48A" w:rsidR="009339B5" w:rsidRDefault="009339B5" w:rsidP="009339B5">
      <w:pPr>
        <w:pStyle w:val="Source"/>
      </w:pPr>
      <w:r>
        <w:t xml:space="preserve">Source: </w:t>
      </w:r>
      <w:r w:rsidRPr="00426DA7">
        <w:t xml:space="preserve">methodology found in HNA Blueprint Methodology – </w:t>
      </w:r>
      <w:r>
        <w:t>ALICE Households</w:t>
      </w:r>
      <w:r w:rsidRPr="00426DA7">
        <w:t xml:space="preserve"> document</w:t>
      </w:r>
    </w:p>
    <w:p w14:paraId="171D4CA8" w14:textId="77777777" w:rsidR="005C3EB0" w:rsidRDefault="005C3EB0" w:rsidP="00F62954"/>
    <w:p w14:paraId="41840BD7" w14:textId="065E9597" w:rsidR="00935FAF" w:rsidRDefault="002D6F44" w:rsidP="002D6F44">
      <w:pPr>
        <w:jc w:val="both"/>
      </w:pPr>
      <w:r w:rsidRPr="002D6F44">
        <w:t xml:space="preserve">Where the ALICE share is large relative to the share below the poverty line, it suggests that housing affordability stress extends well beyond the population typically targeted by non-market housing investment, and that below-market rental programs may need to reach further up the income distribution than deeply subsidized supply alone can achieve. Variation in ALICE share across household sizes points to where the mismatch between income and housing cost is most acute, which </w:t>
      </w:r>
      <w:r w:rsidR="004D10A0">
        <w:t>could</w:t>
      </w:r>
      <w:r w:rsidR="004D10A0" w:rsidRPr="002D6F44">
        <w:t xml:space="preserve"> </w:t>
      </w:r>
      <w:r w:rsidRPr="002D6F44">
        <w:t>inform unit size targets in any new affordable supply pipeline.</w:t>
      </w:r>
    </w:p>
    <w:p w14:paraId="402B4F71" w14:textId="6F24C062" w:rsidR="002D6F44" w:rsidRDefault="002D6F44" w:rsidP="00F62954"/>
    <w:p w14:paraId="5D6251E1" w14:textId="12567E95" w:rsidR="007D2671" w:rsidRDefault="007D2671" w:rsidP="006F2DC9">
      <w:pPr>
        <w:pStyle w:val="Heading2"/>
      </w:pPr>
      <w:bookmarkStart w:id="119" w:name="_Toc237355962"/>
      <w:r>
        <w:t xml:space="preserve">VULNERABILITY </w:t>
      </w:r>
      <w:r w:rsidR="00AC6C9C">
        <w:t>INDICES</w:t>
      </w:r>
      <w:bookmarkEnd w:id="119"/>
    </w:p>
    <w:p w14:paraId="0F146274" w14:textId="37CA8C69" w:rsidR="00FB6961" w:rsidRDefault="00FB6961" w:rsidP="00FB6961">
      <w:pPr>
        <w:jc w:val="both"/>
      </w:pPr>
      <w:r>
        <w:t>The vulnerability indices presented in this section are produced by two federal and provincial government sources. The Canadian Index of Multiple Deprivation (CIMD),</w:t>
      </w:r>
      <w:r w:rsidR="00D43FD4">
        <w:rPr>
          <w:rStyle w:val="FootnoteReference"/>
        </w:rPr>
        <w:footnoteReference w:id="14"/>
      </w:r>
      <w:r>
        <w:t xml:space="preserve"> the Canadian Index of Social Resilience (CISR), and the Canadian Index of Social Vulnerability (CISV)</w:t>
      </w:r>
      <w:r w:rsidR="00D43FD4">
        <w:rPr>
          <w:rStyle w:val="FootnoteReference"/>
        </w:rPr>
        <w:footnoteReference w:id="15"/>
      </w:r>
      <w:r>
        <w:t xml:space="preserve"> are all published by Statistics Canada and measure neighbourhood-level conditions relating to residential instability, economic dependency, ethno-cultural marginalization risk, resilience capacity, and social vulnerability, using dimensions derived from the 2021 Census. The Material and Social Deprivation Index (MSDI)</w:t>
      </w:r>
      <w:r w:rsidR="00D43FD4">
        <w:rPr>
          <w:rStyle w:val="FootnoteReference"/>
        </w:rPr>
        <w:footnoteReference w:id="16"/>
      </w:r>
      <w:r>
        <w:t xml:space="preserve"> is produced by the </w:t>
      </w:r>
      <w:proofErr w:type="spellStart"/>
      <w:r>
        <w:t>Institut</w:t>
      </w:r>
      <w:proofErr w:type="spellEnd"/>
      <w:r>
        <w:t xml:space="preserve"> national de santé </w:t>
      </w:r>
      <w:proofErr w:type="spellStart"/>
      <w:r>
        <w:t>publique</w:t>
      </w:r>
      <w:proofErr w:type="spellEnd"/>
      <w:r>
        <w:t xml:space="preserve"> du Québec (INSPQ) and measures material disadvantage (through income, employment, and educational attainment) and social disadvantage (through household fragmentation, lone-parent family structure, and social isolation) at the dissemination area level, providing a complementary lens on deprivation rooted in a distinct methodological tradition.</w:t>
      </w:r>
    </w:p>
    <w:p w14:paraId="680D8AA8" w14:textId="77777777" w:rsidR="00FB6961" w:rsidRDefault="00FB6961" w:rsidP="00FB6961">
      <w:pPr>
        <w:jc w:val="both"/>
      </w:pPr>
    </w:p>
    <w:p w14:paraId="1C11A461" w14:textId="759D6C43" w:rsidR="00FB6961" w:rsidRDefault="00FB6961" w:rsidP="00FB6961">
      <w:pPr>
        <w:jc w:val="both"/>
      </w:pPr>
      <w:r>
        <w:t>Housing needs assessments have historically concentrated on income and shelter cost metrics, leaving the broader social and structural conditions that shape housing vulnerability underexplored. Including vulnerability indices fills this gap in a way that is not easily replicated from census tabulations alone</w:t>
      </w:r>
      <w:r w:rsidR="00F267CF">
        <w:t>. I</w:t>
      </w:r>
      <w:r>
        <w:t>t situates the community's housing pressures within the context of population fragility, institutional trust, and capacity to recover from housing shocks</w:t>
      </w:r>
      <w:r w:rsidR="00C763EF">
        <w:t>. These are</w:t>
      </w:r>
      <w:r>
        <w:t xml:space="preserve"> factors that determine not only who </w:t>
      </w:r>
      <w:proofErr w:type="gramStart"/>
      <w:r>
        <w:t>needs</w:t>
      </w:r>
      <w:proofErr w:type="gramEnd"/>
      <w:r>
        <w:t xml:space="preserve"> housing but how difficult it is for them to navigate the market or access support when they need it. Presenting these indices benchmarked against both </w:t>
      </w:r>
      <w:r>
        <w:lastRenderedPageBreak/>
        <w:t xml:space="preserve">provincial and national reference distributions </w:t>
      </w:r>
      <w:r w:rsidR="00C763EF">
        <w:t>demonstrates</w:t>
      </w:r>
      <w:r>
        <w:t xml:space="preserve"> whether its vulnerability profile is distinctive or broadly consistent with wider patterns</w:t>
      </w:r>
      <w:r w:rsidR="00C763EF">
        <w:t>.</w:t>
      </w:r>
    </w:p>
    <w:p w14:paraId="4711E5E7" w14:textId="77777777" w:rsidR="00FB6961" w:rsidRDefault="00FB6961" w:rsidP="00FB6961">
      <w:pPr>
        <w:jc w:val="both"/>
      </w:pPr>
    </w:p>
    <w:p w14:paraId="2097C3D9" w14:textId="5985BCEE" w:rsidR="007D2671" w:rsidRDefault="00C763EF" w:rsidP="00FB6961">
      <w:pPr>
        <w:jc w:val="both"/>
      </w:pPr>
      <w:r w:rsidRPr="00C763EF">
        <w:rPr>
          <w:rStyle w:val="Figure-textChar"/>
        </w:rPr>
        <w:fldChar w:fldCharType="begin"/>
      </w:r>
      <w:r w:rsidRPr="00C763EF">
        <w:rPr>
          <w:rStyle w:val="Figure-textChar"/>
        </w:rPr>
        <w:instrText xml:space="preserve"> REF _Ref223949459 \h </w:instrText>
      </w:r>
      <w:r>
        <w:rPr>
          <w:rStyle w:val="Figure-textChar"/>
        </w:rPr>
        <w:instrText xml:space="preserve"> \* MERGEFORMAT </w:instrText>
      </w:r>
      <w:r w:rsidRPr="00C763EF">
        <w:rPr>
          <w:rStyle w:val="Figure-textChar"/>
        </w:rPr>
      </w:r>
      <w:r w:rsidRPr="00C763EF">
        <w:rPr>
          <w:rStyle w:val="Figure-textChar"/>
        </w:rPr>
        <w:fldChar w:fldCharType="separate"/>
      </w:r>
      <w:r w:rsidR="00CA6116" w:rsidRPr="00CA6116">
        <w:rPr>
          <w:rStyle w:val="Figure-textChar"/>
        </w:rPr>
        <w:t>Table 9.11</w:t>
      </w:r>
      <w:r w:rsidRPr="00C763EF">
        <w:rPr>
          <w:rStyle w:val="Figure-textChar"/>
        </w:rPr>
        <w:fldChar w:fldCharType="end"/>
      </w:r>
      <w:r w:rsidR="00FB6961">
        <w:t xml:space="preserve"> summarizes the community's standing across </w:t>
      </w:r>
      <w:r w:rsidR="008A19C1">
        <w:t>eight</w:t>
      </w:r>
      <w:r w:rsidR="00FB6961">
        <w:t xml:space="preserve"> vulnerability and deprivation measures, each benchmarked against provincial and national reference distributions using a quintile scoring framework where the fifth quintile represents the </w:t>
      </w:r>
      <w:r w:rsidR="00A97D19">
        <w:t>highest need or complexity (except for “social resilience” which is the inverse).</w:t>
      </w:r>
      <w:r w:rsidR="003C59F9">
        <w:t xml:space="preserve"> For example, </w:t>
      </w:r>
      <w:r w:rsidR="00896704">
        <w:t>a</w:t>
      </w:r>
      <w:r w:rsidR="008266C6">
        <w:t xml:space="preserve"> Provincial index result</w:t>
      </w:r>
      <w:r w:rsidR="00896704">
        <w:t xml:space="preserve"> </w:t>
      </w:r>
      <w:r w:rsidR="008266C6">
        <w:t xml:space="preserve">of </w:t>
      </w:r>
      <w:r w:rsidR="00896704">
        <w:t xml:space="preserve">“high instability” </w:t>
      </w:r>
      <w:r w:rsidR="008266C6">
        <w:t xml:space="preserve">means </w:t>
      </w:r>
      <w:r w:rsidR="00BD4AC9">
        <w:t xml:space="preserve">high relative to communities across the province; whereas, a </w:t>
      </w:r>
      <w:proofErr w:type="gramStart"/>
      <w:r w:rsidR="00BD4AC9">
        <w:t>National</w:t>
      </w:r>
      <w:proofErr w:type="gramEnd"/>
      <w:r w:rsidR="00BD4AC9">
        <w:t xml:space="preserve"> index result would be in comparison to all of Canada.</w:t>
      </w:r>
    </w:p>
    <w:p w14:paraId="4CEEEB11" w14:textId="77777777" w:rsidR="00AC6C9C" w:rsidRDefault="00AC6C9C" w:rsidP="007D2671"/>
    <w:p w14:paraId="26D9CF77" w14:textId="4D49A991" w:rsidR="00AC6C9C" w:rsidRDefault="00AC6C9C" w:rsidP="00AC6C9C">
      <w:pPr>
        <w:pStyle w:val="Caption"/>
      </w:pPr>
      <w:bookmarkStart w:id="120" w:name="_Ref223949459"/>
      <w:r>
        <w:t xml:space="preserve">Table </w:t>
      </w:r>
      <w:fldSimple w:instr=" STYLEREF 1 \s ">
        <w:r w:rsidR="005E459C">
          <w:rPr>
            <w:noProof/>
          </w:rPr>
          <w:t>9</w:t>
        </w:r>
      </w:fldSimple>
      <w:r w:rsidR="00BD4359">
        <w:t>.</w:t>
      </w:r>
      <w:fldSimple w:instr=" SEQ Table \* ARABIC \s 1 ">
        <w:r w:rsidR="005E459C">
          <w:rPr>
            <w:noProof/>
          </w:rPr>
          <w:t>11</w:t>
        </w:r>
      </w:fldSimple>
      <w:bookmarkEnd w:id="120"/>
      <w:r>
        <w:t xml:space="preserve">: Summary of vulnerability indices by measure and geographic </w:t>
      </w:r>
      <w:r w:rsidR="008B2151">
        <w:t>comparison, 2021</w:t>
      </w:r>
    </w:p>
    <w:tbl>
      <w:tblPr>
        <w:tblW w:w="9355" w:type="dxa"/>
        <w:tblLayout w:type="fixed"/>
        <w:tblLook w:val="04A0" w:firstRow="1" w:lastRow="0" w:firstColumn="1" w:lastColumn="0" w:noHBand="0" w:noVBand="1"/>
      </w:tblPr>
      <w:tblGrid>
        <w:gridCol w:w="2515"/>
        <w:gridCol w:w="810"/>
        <w:gridCol w:w="3015"/>
        <w:gridCol w:w="3015"/>
      </w:tblGrid>
      <w:tr w:rsidR="00AC6C9C" w:rsidRPr="00917666" w14:paraId="6A91C3F5" w14:textId="77777777" w:rsidTr="003C59F9">
        <w:trPr>
          <w:trHeight w:val="402"/>
          <w:tblHeader/>
        </w:trPr>
        <w:tc>
          <w:tcPr>
            <w:tcW w:w="251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3E2C0B07" w14:textId="77777777" w:rsidR="00AC6C9C" w:rsidRPr="00917666" w:rsidRDefault="00AC6C9C" w:rsidP="00C83569">
            <w:pPr>
              <w:rPr>
                <w:rFonts w:eastAsia="Times New Roman"/>
                <w:color w:val="FFFFFF"/>
                <w:sz w:val="18"/>
                <w:szCs w:val="18"/>
              </w:rPr>
            </w:pPr>
            <w:r w:rsidRPr="00917666">
              <w:rPr>
                <w:rFonts w:eastAsia="Times New Roman"/>
                <w:color w:val="FFFFFF"/>
                <w:sz w:val="18"/>
                <w:szCs w:val="18"/>
              </w:rPr>
              <w:t>Measure</w:t>
            </w:r>
          </w:p>
        </w:tc>
        <w:tc>
          <w:tcPr>
            <w:tcW w:w="81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AAFD04F" w14:textId="77777777" w:rsidR="00AC6C9C" w:rsidRPr="00917666" w:rsidRDefault="00AC6C9C" w:rsidP="00C83569">
            <w:pPr>
              <w:rPr>
                <w:rFonts w:eastAsia="Times New Roman"/>
                <w:color w:val="FFFFFF"/>
                <w:sz w:val="18"/>
                <w:szCs w:val="18"/>
              </w:rPr>
            </w:pPr>
            <w:r w:rsidRPr="00917666">
              <w:rPr>
                <w:rFonts w:eastAsia="Times New Roman"/>
                <w:color w:val="FFFFFF"/>
                <w:sz w:val="18"/>
                <w:szCs w:val="18"/>
              </w:rPr>
              <w:t>Source</w:t>
            </w:r>
          </w:p>
        </w:tc>
        <w:tc>
          <w:tcPr>
            <w:tcW w:w="301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5D73EAB" w14:textId="77777777" w:rsidR="00AC6C9C" w:rsidRPr="00917666" w:rsidRDefault="00AC6C9C" w:rsidP="00C83569">
            <w:pPr>
              <w:jc w:val="right"/>
              <w:rPr>
                <w:rFonts w:eastAsia="Times New Roman"/>
                <w:color w:val="FFFFFF"/>
                <w:sz w:val="18"/>
                <w:szCs w:val="18"/>
              </w:rPr>
            </w:pPr>
            <w:r w:rsidRPr="00917666">
              <w:rPr>
                <w:rFonts w:eastAsia="Times New Roman"/>
                <w:color w:val="FFFFFF"/>
                <w:sz w:val="18"/>
                <w:szCs w:val="18"/>
              </w:rPr>
              <w:t>Provincial index</w:t>
            </w:r>
          </w:p>
        </w:tc>
        <w:tc>
          <w:tcPr>
            <w:tcW w:w="3015"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2D8BE30A" w14:textId="77777777" w:rsidR="00AC6C9C" w:rsidRPr="00917666" w:rsidRDefault="00AC6C9C" w:rsidP="00C83569">
            <w:pPr>
              <w:jc w:val="right"/>
              <w:rPr>
                <w:rFonts w:eastAsia="Times New Roman"/>
                <w:color w:val="FFFFFF"/>
                <w:sz w:val="18"/>
                <w:szCs w:val="18"/>
              </w:rPr>
            </w:pPr>
            <w:r w:rsidRPr="00917666">
              <w:rPr>
                <w:rFonts w:eastAsia="Times New Roman"/>
                <w:color w:val="FFFFFF"/>
                <w:sz w:val="18"/>
                <w:szCs w:val="18"/>
              </w:rPr>
              <w:t>National index</w:t>
            </w:r>
          </w:p>
        </w:tc>
      </w:tr>
      <w:tr w:rsidR="00B12B9F" w:rsidRPr="00917666" w14:paraId="2887FF6F" w14:textId="77777777" w:rsidTr="00B12B9F">
        <w:trPr>
          <w:trHeight w:val="402"/>
        </w:trPr>
        <w:tc>
          <w:tcPr>
            <w:tcW w:w="2515" w:type="dxa"/>
            <w:tcBorders>
              <w:top w:val="nil"/>
              <w:left w:val="single" w:sz="4" w:space="0" w:color="auto"/>
              <w:bottom w:val="single" w:sz="4" w:space="0" w:color="BFBFBF"/>
              <w:right w:val="single" w:sz="4" w:space="0" w:color="auto"/>
            </w:tcBorders>
            <w:shd w:val="clear" w:color="000000" w:fill="F2F2F2"/>
            <w:noWrap/>
            <w:vAlign w:val="center"/>
            <w:hideMark/>
          </w:tcPr>
          <w:p w14:paraId="75177939" w14:textId="7A2B0CA3" w:rsidR="00B12B9F" w:rsidRPr="00917666" w:rsidRDefault="00B12B9F" w:rsidP="00B12B9F">
            <w:pPr>
              <w:rPr>
                <w:rFonts w:eastAsia="Times New Roman"/>
                <w:color w:val="000000"/>
                <w:sz w:val="18"/>
                <w:szCs w:val="18"/>
              </w:rPr>
            </w:pPr>
            <w:r>
              <w:rPr>
                <w:color w:val="000000"/>
                <w:sz w:val="18"/>
                <w:szCs w:val="18"/>
              </w:rPr>
              <w:t>Residential instability</w:t>
            </w:r>
          </w:p>
        </w:tc>
        <w:tc>
          <w:tcPr>
            <w:tcW w:w="810" w:type="dxa"/>
            <w:tcBorders>
              <w:top w:val="nil"/>
              <w:left w:val="nil"/>
              <w:bottom w:val="single" w:sz="4" w:space="0" w:color="BFBFBF"/>
              <w:right w:val="single" w:sz="4" w:space="0" w:color="auto"/>
            </w:tcBorders>
            <w:shd w:val="clear" w:color="000000" w:fill="F2F2F2"/>
            <w:noWrap/>
            <w:vAlign w:val="center"/>
            <w:hideMark/>
          </w:tcPr>
          <w:p w14:paraId="20927D24" w14:textId="2E9173ED" w:rsidR="00B12B9F" w:rsidRPr="00917666" w:rsidRDefault="00B12B9F" w:rsidP="00B12B9F">
            <w:pPr>
              <w:rPr>
                <w:rFonts w:eastAsia="Times New Roman"/>
                <w:color w:val="000000"/>
                <w:sz w:val="18"/>
                <w:szCs w:val="18"/>
              </w:rPr>
            </w:pPr>
            <w:r>
              <w:rPr>
                <w:color w:val="000000"/>
                <w:sz w:val="18"/>
                <w:szCs w:val="18"/>
              </w:rPr>
              <w:t>CIMD</w:t>
            </w:r>
          </w:p>
        </w:tc>
        <w:tc>
          <w:tcPr>
            <w:tcW w:w="3015" w:type="dxa"/>
            <w:tcBorders>
              <w:top w:val="nil"/>
              <w:left w:val="nil"/>
              <w:bottom w:val="single" w:sz="4" w:space="0" w:color="BFBFBF"/>
              <w:right w:val="single" w:sz="4" w:space="0" w:color="BFBFBF"/>
            </w:tcBorders>
            <w:shd w:val="clear" w:color="000000" w:fill="F2F2F2"/>
            <w:noWrap/>
            <w:vAlign w:val="center"/>
            <w:hideMark/>
          </w:tcPr>
          <w:p w14:paraId="2ED78441" w14:textId="663B18EC" w:rsidR="00B12B9F" w:rsidRPr="002B152F" w:rsidRDefault="00B12B9F" w:rsidP="00B12B9F">
            <w:pPr>
              <w:jc w:val="right"/>
              <w:rPr>
                <w:rFonts w:eastAsia="Times New Roman"/>
                <w:color w:val="C00000"/>
                <w:sz w:val="18"/>
                <w:szCs w:val="18"/>
              </w:rPr>
            </w:pPr>
            <w:r w:rsidRPr="002B152F">
              <w:rPr>
                <w:color w:val="C00000"/>
                <w:sz w:val="18"/>
                <w:szCs w:val="18"/>
              </w:rPr>
              <w:t>high instability</w:t>
            </w:r>
          </w:p>
        </w:tc>
        <w:tc>
          <w:tcPr>
            <w:tcW w:w="3015" w:type="dxa"/>
            <w:tcBorders>
              <w:top w:val="nil"/>
              <w:left w:val="nil"/>
              <w:bottom w:val="single" w:sz="4" w:space="0" w:color="BFBFBF"/>
              <w:right w:val="single" w:sz="4" w:space="0" w:color="auto"/>
            </w:tcBorders>
            <w:shd w:val="clear" w:color="000000" w:fill="F2F2F2"/>
            <w:noWrap/>
            <w:vAlign w:val="center"/>
            <w:hideMark/>
          </w:tcPr>
          <w:p w14:paraId="1CF9719B" w14:textId="72A67849" w:rsidR="00B12B9F" w:rsidRPr="002B152F" w:rsidRDefault="00B12B9F" w:rsidP="00B12B9F">
            <w:pPr>
              <w:jc w:val="right"/>
              <w:rPr>
                <w:rFonts w:eastAsia="Times New Roman"/>
                <w:color w:val="C00000"/>
                <w:sz w:val="18"/>
                <w:szCs w:val="18"/>
              </w:rPr>
            </w:pPr>
            <w:r w:rsidRPr="002B152F">
              <w:rPr>
                <w:color w:val="C00000"/>
                <w:sz w:val="18"/>
                <w:szCs w:val="18"/>
              </w:rPr>
              <w:t>high instability</w:t>
            </w:r>
          </w:p>
        </w:tc>
      </w:tr>
      <w:tr w:rsidR="00B12B9F" w:rsidRPr="00917666" w14:paraId="45CCF149" w14:textId="77777777" w:rsidTr="00B12B9F">
        <w:trPr>
          <w:trHeight w:val="402"/>
        </w:trPr>
        <w:tc>
          <w:tcPr>
            <w:tcW w:w="2515" w:type="dxa"/>
            <w:tcBorders>
              <w:top w:val="nil"/>
              <w:left w:val="single" w:sz="4" w:space="0" w:color="auto"/>
              <w:bottom w:val="single" w:sz="4" w:space="0" w:color="BFBFBF"/>
              <w:right w:val="single" w:sz="4" w:space="0" w:color="auto"/>
            </w:tcBorders>
            <w:noWrap/>
            <w:vAlign w:val="center"/>
            <w:hideMark/>
          </w:tcPr>
          <w:p w14:paraId="045EFAAD" w14:textId="7134B0A4" w:rsidR="00B12B9F" w:rsidRPr="00917666" w:rsidRDefault="00B12B9F" w:rsidP="00B12B9F">
            <w:pPr>
              <w:rPr>
                <w:rFonts w:eastAsia="Times New Roman"/>
                <w:color w:val="000000"/>
                <w:sz w:val="18"/>
                <w:szCs w:val="18"/>
              </w:rPr>
            </w:pPr>
            <w:r>
              <w:rPr>
                <w:color w:val="000000"/>
                <w:sz w:val="18"/>
                <w:szCs w:val="18"/>
              </w:rPr>
              <w:t>Ethno-cultural composition</w:t>
            </w:r>
          </w:p>
        </w:tc>
        <w:tc>
          <w:tcPr>
            <w:tcW w:w="810" w:type="dxa"/>
            <w:tcBorders>
              <w:top w:val="nil"/>
              <w:left w:val="nil"/>
              <w:bottom w:val="single" w:sz="4" w:space="0" w:color="BFBFBF"/>
              <w:right w:val="single" w:sz="4" w:space="0" w:color="auto"/>
            </w:tcBorders>
            <w:noWrap/>
            <w:vAlign w:val="center"/>
            <w:hideMark/>
          </w:tcPr>
          <w:p w14:paraId="4AC37EE9" w14:textId="23AC6482" w:rsidR="00B12B9F" w:rsidRPr="00917666" w:rsidRDefault="00B12B9F" w:rsidP="00B12B9F">
            <w:pPr>
              <w:rPr>
                <w:rFonts w:eastAsia="Times New Roman"/>
                <w:color w:val="000000"/>
                <w:sz w:val="18"/>
                <w:szCs w:val="18"/>
              </w:rPr>
            </w:pPr>
            <w:r>
              <w:rPr>
                <w:color w:val="000000"/>
                <w:sz w:val="18"/>
                <w:szCs w:val="18"/>
              </w:rPr>
              <w:t>CIMD</w:t>
            </w:r>
          </w:p>
        </w:tc>
        <w:tc>
          <w:tcPr>
            <w:tcW w:w="3015" w:type="dxa"/>
            <w:tcBorders>
              <w:top w:val="nil"/>
              <w:left w:val="nil"/>
              <w:bottom w:val="single" w:sz="4" w:space="0" w:color="BFBFBF"/>
              <w:right w:val="single" w:sz="4" w:space="0" w:color="BFBFBF"/>
            </w:tcBorders>
            <w:noWrap/>
            <w:vAlign w:val="center"/>
            <w:hideMark/>
          </w:tcPr>
          <w:p w14:paraId="48E89619" w14:textId="2527F388" w:rsidR="00B12B9F" w:rsidRPr="002B152F" w:rsidRDefault="00B12B9F" w:rsidP="00B12B9F">
            <w:pPr>
              <w:jc w:val="right"/>
              <w:rPr>
                <w:rFonts w:eastAsia="Times New Roman"/>
                <w:color w:val="C00000"/>
                <w:sz w:val="18"/>
                <w:szCs w:val="18"/>
              </w:rPr>
            </w:pPr>
            <w:r w:rsidRPr="002B152F">
              <w:rPr>
                <w:color w:val="C00000"/>
                <w:sz w:val="18"/>
                <w:szCs w:val="18"/>
              </w:rPr>
              <w:t>high complexity</w:t>
            </w:r>
          </w:p>
        </w:tc>
        <w:tc>
          <w:tcPr>
            <w:tcW w:w="3015" w:type="dxa"/>
            <w:tcBorders>
              <w:top w:val="nil"/>
              <w:left w:val="nil"/>
              <w:bottom w:val="single" w:sz="4" w:space="0" w:color="BFBFBF"/>
              <w:right w:val="single" w:sz="4" w:space="0" w:color="auto"/>
            </w:tcBorders>
            <w:noWrap/>
            <w:vAlign w:val="center"/>
            <w:hideMark/>
          </w:tcPr>
          <w:p w14:paraId="1DD314AD" w14:textId="5BCC66C6" w:rsidR="00B12B9F" w:rsidRPr="002B152F" w:rsidRDefault="00B12B9F" w:rsidP="00B12B9F">
            <w:pPr>
              <w:jc w:val="right"/>
              <w:rPr>
                <w:rFonts w:eastAsia="Times New Roman"/>
                <w:color w:val="C00000"/>
                <w:sz w:val="18"/>
                <w:szCs w:val="18"/>
              </w:rPr>
            </w:pPr>
            <w:r w:rsidRPr="002B152F">
              <w:rPr>
                <w:color w:val="C00000"/>
                <w:sz w:val="18"/>
                <w:szCs w:val="18"/>
              </w:rPr>
              <w:t>high complexity</w:t>
            </w:r>
          </w:p>
        </w:tc>
      </w:tr>
      <w:tr w:rsidR="00B12B9F" w:rsidRPr="00917666" w14:paraId="243D80A9" w14:textId="77777777" w:rsidTr="00B12B9F">
        <w:trPr>
          <w:trHeight w:val="402"/>
        </w:trPr>
        <w:tc>
          <w:tcPr>
            <w:tcW w:w="2515" w:type="dxa"/>
            <w:tcBorders>
              <w:top w:val="nil"/>
              <w:left w:val="single" w:sz="4" w:space="0" w:color="auto"/>
              <w:bottom w:val="single" w:sz="4" w:space="0" w:color="BFBFBF"/>
              <w:right w:val="single" w:sz="4" w:space="0" w:color="auto"/>
            </w:tcBorders>
            <w:shd w:val="clear" w:color="000000" w:fill="F2F2F2"/>
            <w:noWrap/>
            <w:vAlign w:val="center"/>
            <w:hideMark/>
          </w:tcPr>
          <w:p w14:paraId="62515F73" w14:textId="60DF3ECF" w:rsidR="00B12B9F" w:rsidRPr="00917666" w:rsidRDefault="00B12B9F" w:rsidP="00B12B9F">
            <w:pPr>
              <w:rPr>
                <w:rFonts w:eastAsia="Times New Roman"/>
                <w:color w:val="000000"/>
                <w:sz w:val="18"/>
                <w:szCs w:val="18"/>
              </w:rPr>
            </w:pPr>
            <w:r>
              <w:rPr>
                <w:color w:val="000000"/>
                <w:sz w:val="18"/>
                <w:szCs w:val="18"/>
              </w:rPr>
              <w:t>Economic dependency</w:t>
            </w:r>
          </w:p>
        </w:tc>
        <w:tc>
          <w:tcPr>
            <w:tcW w:w="810" w:type="dxa"/>
            <w:tcBorders>
              <w:top w:val="nil"/>
              <w:left w:val="nil"/>
              <w:bottom w:val="single" w:sz="4" w:space="0" w:color="BFBFBF"/>
              <w:right w:val="single" w:sz="4" w:space="0" w:color="auto"/>
            </w:tcBorders>
            <w:shd w:val="clear" w:color="000000" w:fill="F2F2F2"/>
            <w:noWrap/>
            <w:vAlign w:val="center"/>
            <w:hideMark/>
          </w:tcPr>
          <w:p w14:paraId="66C7A820" w14:textId="243C27B9" w:rsidR="00B12B9F" w:rsidRPr="00917666" w:rsidRDefault="00B12B9F" w:rsidP="00B12B9F">
            <w:pPr>
              <w:rPr>
                <w:rFonts w:eastAsia="Times New Roman"/>
                <w:color w:val="000000"/>
                <w:sz w:val="18"/>
                <w:szCs w:val="18"/>
              </w:rPr>
            </w:pPr>
            <w:r>
              <w:rPr>
                <w:color w:val="000000"/>
                <w:sz w:val="18"/>
                <w:szCs w:val="18"/>
              </w:rPr>
              <w:t>CIMD</w:t>
            </w:r>
          </w:p>
        </w:tc>
        <w:tc>
          <w:tcPr>
            <w:tcW w:w="3015" w:type="dxa"/>
            <w:tcBorders>
              <w:top w:val="nil"/>
              <w:left w:val="nil"/>
              <w:bottom w:val="single" w:sz="4" w:space="0" w:color="BFBFBF"/>
              <w:right w:val="single" w:sz="4" w:space="0" w:color="BFBFBF"/>
            </w:tcBorders>
            <w:shd w:val="clear" w:color="000000" w:fill="F2F2F2"/>
            <w:noWrap/>
            <w:vAlign w:val="center"/>
            <w:hideMark/>
          </w:tcPr>
          <w:p w14:paraId="1489BC4E" w14:textId="6FC6D084" w:rsidR="00B12B9F" w:rsidRPr="002B152F" w:rsidRDefault="00B12B9F" w:rsidP="00B12B9F">
            <w:pPr>
              <w:jc w:val="right"/>
              <w:rPr>
                <w:rFonts w:eastAsia="Times New Roman"/>
                <w:color w:val="C00000"/>
                <w:sz w:val="18"/>
                <w:szCs w:val="18"/>
              </w:rPr>
            </w:pPr>
            <w:r w:rsidRPr="002B152F">
              <w:rPr>
                <w:color w:val="C00000"/>
                <w:sz w:val="18"/>
                <w:szCs w:val="18"/>
              </w:rPr>
              <w:t>average dependency</w:t>
            </w:r>
          </w:p>
        </w:tc>
        <w:tc>
          <w:tcPr>
            <w:tcW w:w="3015" w:type="dxa"/>
            <w:tcBorders>
              <w:top w:val="nil"/>
              <w:left w:val="nil"/>
              <w:bottom w:val="single" w:sz="4" w:space="0" w:color="BFBFBF"/>
              <w:right w:val="single" w:sz="4" w:space="0" w:color="auto"/>
            </w:tcBorders>
            <w:shd w:val="clear" w:color="000000" w:fill="F2F2F2"/>
            <w:noWrap/>
            <w:vAlign w:val="center"/>
            <w:hideMark/>
          </w:tcPr>
          <w:p w14:paraId="0309A64D" w14:textId="0DFE8C29" w:rsidR="00B12B9F" w:rsidRPr="002B152F" w:rsidRDefault="00B12B9F" w:rsidP="00B12B9F">
            <w:pPr>
              <w:jc w:val="right"/>
              <w:rPr>
                <w:rFonts w:eastAsia="Times New Roman"/>
                <w:color w:val="C00000"/>
                <w:sz w:val="18"/>
                <w:szCs w:val="18"/>
              </w:rPr>
            </w:pPr>
            <w:r w:rsidRPr="002B152F">
              <w:rPr>
                <w:color w:val="C00000"/>
                <w:sz w:val="18"/>
                <w:szCs w:val="18"/>
              </w:rPr>
              <w:t>below average dependency</w:t>
            </w:r>
          </w:p>
        </w:tc>
      </w:tr>
      <w:tr w:rsidR="00B12B9F" w:rsidRPr="00917666" w14:paraId="52E9EE10" w14:textId="77777777" w:rsidTr="00B12B9F">
        <w:trPr>
          <w:trHeight w:val="402"/>
        </w:trPr>
        <w:tc>
          <w:tcPr>
            <w:tcW w:w="2515" w:type="dxa"/>
            <w:tcBorders>
              <w:top w:val="nil"/>
              <w:left w:val="single" w:sz="4" w:space="0" w:color="auto"/>
              <w:bottom w:val="single" w:sz="4" w:space="0" w:color="BFBFBF"/>
              <w:right w:val="single" w:sz="4" w:space="0" w:color="auto"/>
            </w:tcBorders>
            <w:noWrap/>
            <w:vAlign w:val="center"/>
            <w:hideMark/>
          </w:tcPr>
          <w:p w14:paraId="667D9F13" w14:textId="1D7D3831" w:rsidR="00B12B9F" w:rsidRPr="00917666" w:rsidRDefault="00B12B9F" w:rsidP="00B12B9F">
            <w:pPr>
              <w:rPr>
                <w:rFonts w:eastAsia="Times New Roman"/>
                <w:color w:val="000000"/>
                <w:sz w:val="18"/>
                <w:szCs w:val="18"/>
              </w:rPr>
            </w:pPr>
            <w:r>
              <w:rPr>
                <w:color w:val="000000"/>
                <w:sz w:val="18"/>
                <w:szCs w:val="18"/>
              </w:rPr>
              <w:t>Situational vulnerability</w:t>
            </w:r>
          </w:p>
        </w:tc>
        <w:tc>
          <w:tcPr>
            <w:tcW w:w="810" w:type="dxa"/>
            <w:tcBorders>
              <w:top w:val="nil"/>
              <w:left w:val="nil"/>
              <w:bottom w:val="single" w:sz="4" w:space="0" w:color="BFBFBF"/>
              <w:right w:val="single" w:sz="4" w:space="0" w:color="auto"/>
            </w:tcBorders>
            <w:noWrap/>
            <w:vAlign w:val="center"/>
            <w:hideMark/>
          </w:tcPr>
          <w:p w14:paraId="7C4C77E9" w14:textId="4EF4D215" w:rsidR="00B12B9F" w:rsidRPr="00917666" w:rsidRDefault="00B12B9F" w:rsidP="00B12B9F">
            <w:pPr>
              <w:rPr>
                <w:rFonts w:eastAsia="Times New Roman"/>
                <w:color w:val="000000"/>
                <w:sz w:val="18"/>
                <w:szCs w:val="18"/>
              </w:rPr>
            </w:pPr>
            <w:r>
              <w:rPr>
                <w:color w:val="000000"/>
                <w:sz w:val="18"/>
                <w:szCs w:val="18"/>
              </w:rPr>
              <w:t>CIMD</w:t>
            </w:r>
          </w:p>
        </w:tc>
        <w:tc>
          <w:tcPr>
            <w:tcW w:w="3015" w:type="dxa"/>
            <w:tcBorders>
              <w:top w:val="nil"/>
              <w:left w:val="nil"/>
              <w:bottom w:val="single" w:sz="4" w:space="0" w:color="BFBFBF"/>
              <w:right w:val="single" w:sz="4" w:space="0" w:color="BFBFBF"/>
            </w:tcBorders>
            <w:noWrap/>
            <w:vAlign w:val="center"/>
            <w:hideMark/>
          </w:tcPr>
          <w:p w14:paraId="1CA127F3" w14:textId="3B788D5A" w:rsidR="00B12B9F" w:rsidRPr="002B152F" w:rsidRDefault="00B12B9F" w:rsidP="00B12B9F">
            <w:pPr>
              <w:jc w:val="right"/>
              <w:rPr>
                <w:rFonts w:eastAsia="Times New Roman"/>
                <w:color w:val="C00000"/>
                <w:sz w:val="18"/>
                <w:szCs w:val="18"/>
              </w:rPr>
            </w:pPr>
            <w:r w:rsidRPr="002B152F">
              <w:rPr>
                <w:color w:val="C00000"/>
                <w:sz w:val="18"/>
                <w:szCs w:val="18"/>
              </w:rPr>
              <w:t>below average vulnerability</w:t>
            </w:r>
          </w:p>
        </w:tc>
        <w:tc>
          <w:tcPr>
            <w:tcW w:w="3015" w:type="dxa"/>
            <w:tcBorders>
              <w:top w:val="nil"/>
              <w:left w:val="nil"/>
              <w:bottom w:val="single" w:sz="4" w:space="0" w:color="BFBFBF"/>
              <w:right w:val="single" w:sz="4" w:space="0" w:color="auto"/>
            </w:tcBorders>
            <w:noWrap/>
            <w:vAlign w:val="center"/>
            <w:hideMark/>
          </w:tcPr>
          <w:p w14:paraId="6D8643F5" w14:textId="40AC52A6" w:rsidR="00B12B9F" w:rsidRPr="002B152F" w:rsidRDefault="00B12B9F" w:rsidP="00B12B9F">
            <w:pPr>
              <w:jc w:val="right"/>
              <w:rPr>
                <w:rFonts w:eastAsia="Times New Roman"/>
                <w:color w:val="C00000"/>
                <w:sz w:val="18"/>
                <w:szCs w:val="18"/>
              </w:rPr>
            </w:pPr>
            <w:r w:rsidRPr="002B152F">
              <w:rPr>
                <w:color w:val="C00000"/>
                <w:sz w:val="18"/>
                <w:szCs w:val="18"/>
              </w:rPr>
              <w:t>below average vulnerability</w:t>
            </w:r>
          </w:p>
        </w:tc>
      </w:tr>
      <w:tr w:rsidR="00B12B9F" w:rsidRPr="00917666" w14:paraId="35F06BBA" w14:textId="77777777" w:rsidTr="00B12B9F">
        <w:trPr>
          <w:trHeight w:val="402"/>
        </w:trPr>
        <w:tc>
          <w:tcPr>
            <w:tcW w:w="2515" w:type="dxa"/>
            <w:tcBorders>
              <w:top w:val="nil"/>
              <w:left w:val="single" w:sz="4" w:space="0" w:color="auto"/>
              <w:bottom w:val="single" w:sz="4" w:space="0" w:color="BFBFBF"/>
              <w:right w:val="single" w:sz="4" w:space="0" w:color="auto"/>
            </w:tcBorders>
            <w:shd w:val="clear" w:color="000000" w:fill="F2F2F2"/>
            <w:noWrap/>
            <w:vAlign w:val="center"/>
            <w:hideMark/>
          </w:tcPr>
          <w:p w14:paraId="735EB08E" w14:textId="400E078B" w:rsidR="00B12B9F" w:rsidRPr="00917666" w:rsidRDefault="00B12B9F" w:rsidP="00B12B9F">
            <w:pPr>
              <w:rPr>
                <w:rFonts w:eastAsia="Times New Roman"/>
                <w:color w:val="000000"/>
                <w:sz w:val="18"/>
                <w:szCs w:val="18"/>
              </w:rPr>
            </w:pPr>
            <w:r>
              <w:rPr>
                <w:color w:val="000000"/>
                <w:sz w:val="18"/>
                <w:szCs w:val="18"/>
              </w:rPr>
              <w:t>Social resilience</w:t>
            </w:r>
          </w:p>
        </w:tc>
        <w:tc>
          <w:tcPr>
            <w:tcW w:w="810" w:type="dxa"/>
            <w:tcBorders>
              <w:top w:val="nil"/>
              <w:left w:val="nil"/>
              <w:bottom w:val="single" w:sz="4" w:space="0" w:color="BFBFBF"/>
              <w:right w:val="single" w:sz="4" w:space="0" w:color="auto"/>
            </w:tcBorders>
            <w:shd w:val="clear" w:color="000000" w:fill="F2F2F2"/>
            <w:noWrap/>
            <w:vAlign w:val="center"/>
            <w:hideMark/>
          </w:tcPr>
          <w:p w14:paraId="12A82223" w14:textId="5591E754" w:rsidR="00B12B9F" w:rsidRPr="00917666" w:rsidRDefault="00B12B9F" w:rsidP="00B12B9F">
            <w:pPr>
              <w:rPr>
                <w:rFonts w:eastAsia="Times New Roman"/>
                <w:color w:val="000000"/>
                <w:sz w:val="18"/>
                <w:szCs w:val="18"/>
              </w:rPr>
            </w:pPr>
            <w:r>
              <w:rPr>
                <w:color w:val="000000"/>
                <w:sz w:val="18"/>
                <w:szCs w:val="18"/>
              </w:rPr>
              <w:t>CISR</w:t>
            </w:r>
          </w:p>
        </w:tc>
        <w:tc>
          <w:tcPr>
            <w:tcW w:w="3015" w:type="dxa"/>
            <w:tcBorders>
              <w:top w:val="nil"/>
              <w:left w:val="nil"/>
              <w:bottom w:val="single" w:sz="4" w:space="0" w:color="BFBFBF"/>
              <w:right w:val="single" w:sz="4" w:space="0" w:color="BFBFBF"/>
            </w:tcBorders>
            <w:shd w:val="clear" w:color="000000" w:fill="F2F2F2"/>
            <w:noWrap/>
            <w:vAlign w:val="center"/>
            <w:hideMark/>
          </w:tcPr>
          <w:p w14:paraId="57325794" w14:textId="792B8E13" w:rsidR="00B12B9F" w:rsidRPr="002B152F" w:rsidRDefault="00B12B9F" w:rsidP="00B12B9F">
            <w:pPr>
              <w:jc w:val="right"/>
              <w:rPr>
                <w:rFonts w:eastAsia="Times New Roman"/>
                <w:color w:val="C00000"/>
                <w:sz w:val="18"/>
                <w:szCs w:val="18"/>
              </w:rPr>
            </w:pPr>
            <w:r w:rsidRPr="002B152F">
              <w:rPr>
                <w:color w:val="C00000"/>
                <w:sz w:val="18"/>
                <w:szCs w:val="18"/>
              </w:rPr>
              <w:t>above average resilience</w:t>
            </w:r>
          </w:p>
        </w:tc>
        <w:tc>
          <w:tcPr>
            <w:tcW w:w="3015" w:type="dxa"/>
            <w:tcBorders>
              <w:top w:val="nil"/>
              <w:left w:val="nil"/>
              <w:bottom w:val="single" w:sz="4" w:space="0" w:color="BFBFBF"/>
              <w:right w:val="single" w:sz="4" w:space="0" w:color="auto"/>
            </w:tcBorders>
            <w:shd w:val="clear" w:color="000000" w:fill="F2F2F2"/>
            <w:noWrap/>
            <w:vAlign w:val="center"/>
            <w:hideMark/>
          </w:tcPr>
          <w:p w14:paraId="4156B1D1" w14:textId="04AA0C3C" w:rsidR="00B12B9F" w:rsidRPr="002B152F" w:rsidRDefault="00B12B9F" w:rsidP="00B12B9F">
            <w:pPr>
              <w:jc w:val="right"/>
              <w:rPr>
                <w:rFonts w:eastAsia="Times New Roman"/>
                <w:color w:val="C00000"/>
                <w:sz w:val="18"/>
                <w:szCs w:val="18"/>
              </w:rPr>
            </w:pPr>
            <w:r w:rsidRPr="002B152F">
              <w:rPr>
                <w:color w:val="C00000"/>
                <w:sz w:val="18"/>
                <w:szCs w:val="18"/>
              </w:rPr>
              <w:t>above average resilience</w:t>
            </w:r>
          </w:p>
        </w:tc>
      </w:tr>
      <w:tr w:rsidR="00B12B9F" w:rsidRPr="00917666" w14:paraId="096238BE" w14:textId="77777777" w:rsidTr="00B12B9F">
        <w:trPr>
          <w:trHeight w:val="402"/>
        </w:trPr>
        <w:tc>
          <w:tcPr>
            <w:tcW w:w="2515" w:type="dxa"/>
            <w:tcBorders>
              <w:top w:val="nil"/>
              <w:left w:val="single" w:sz="4" w:space="0" w:color="auto"/>
              <w:bottom w:val="single" w:sz="4" w:space="0" w:color="BFBFBF"/>
              <w:right w:val="single" w:sz="4" w:space="0" w:color="auto"/>
            </w:tcBorders>
            <w:noWrap/>
            <w:vAlign w:val="center"/>
            <w:hideMark/>
          </w:tcPr>
          <w:p w14:paraId="63619F60" w14:textId="5386DDA0" w:rsidR="00B12B9F" w:rsidRPr="00917666" w:rsidRDefault="00B12B9F" w:rsidP="00B12B9F">
            <w:pPr>
              <w:rPr>
                <w:rFonts w:eastAsia="Times New Roman"/>
                <w:color w:val="000000"/>
                <w:sz w:val="18"/>
                <w:szCs w:val="18"/>
              </w:rPr>
            </w:pPr>
            <w:r>
              <w:rPr>
                <w:color w:val="000000"/>
                <w:sz w:val="18"/>
                <w:szCs w:val="18"/>
              </w:rPr>
              <w:t>Social vulnerability</w:t>
            </w:r>
          </w:p>
        </w:tc>
        <w:tc>
          <w:tcPr>
            <w:tcW w:w="810" w:type="dxa"/>
            <w:tcBorders>
              <w:top w:val="nil"/>
              <w:left w:val="nil"/>
              <w:bottom w:val="single" w:sz="4" w:space="0" w:color="BFBFBF"/>
              <w:right w:val="single" w:sz="4" w:space="0" w:color="auto"/>
            </w:tcBorders>
            <w:noWrap/>
            <w:vAlign w:val="center"/>
            <w:hideMark/>
          </w:tcPr>
          <w:p w14:paraId="332C19CA" w14:textId="79978E63" w:rsidR="00B12B9F" w:rsidRPr="00917666" w:rsidRDefault="00B12B9F" w:rsidP="00B12B9F">
            <w:pPr>
              <w:rPr>
                <w:rFonts w:eastAsia="Times New Roman"/>
                <w:color w:val="000000"/>
                <w:sz w:val="18"/>
                <w:szCs w:val="18"/>
              </w:rPr>
            </w:pPr>
            <w:r>
              <w:rPr>
                <w:color w:val="000000"/>
                <w:sz w:val="18"/>
                <w:szCs w:val="18"/>
              </w:rPr>
              <w:t>CISV</w:t>
            </w:r>
          </w:p>
        </w:tc>
        <w:tc>
          <w:tcPr>
            <w:tcW w:w="3015" w:type="dxa"/>
            <w:tcBorders>
              <w:top w:val="nil"/>
              <w:left w:val="nil"/>
              <w:bottom w:val="single" w:sz="4" w:space="0" w:color="BFBFBF"/>
              <w:right w:val="single" w:sz="4" w:space="0" w:color="BFBFBF"/>
            </w:tcBorders>
            <w:noWrap/>
            <w:vAlign w:val="center"/>
            <w:hideMark/>
          </w:tcPr>
          <w:p w14:paraId="3DE63426" w14:textId="64EDB22D" w:rsidR="00B12B9F" w:rsidRPr="002B152F" w:rsidRDefault="00B12B9F" w:rsidP="00B12B9F">
            <w:pPr>
              <w:jc w:val="right"/>
              <w:rPr>
                <w:rFonts w:eastAsia="Times New Roman"/>
                <w:color w:val="C00000"/>
                <w:sz w:val="18"/>
                <w:szCs w:val="18"/>
              </w:rPr>
            </w:pPr>
            <w:r w:rsidRPr="002B152F">
              <w:rPr>
                <w:color w:val="C00000"/>
                <w:sz w:val="18"/>
                <w:szCs w:val="18"/>
              </w:rPr>
              <w:t>above average vulnerability</w:t>
            </w:r>
          </w:p>
        </w:tc>
        <w:tc>
          <w:tcPr>
            <w:tcW w:w="3015" w:type="dxa"/>
            <w:tcBorders>
              <w:top w:val="nil"/>
              <w:left w:val="nil"/>
              <w:bottom w:val="single" w:sz="4" w:space="0" w:color="BFBFBF"/>
              <w:right w:val="single" w:sz="4" w:space="0" w:color="auto"/>
            </w:tcBorders>
            <w:noWrap/>
            <w:vAlign w:val="center"/>
            <w:hideMark/>
          </w:tcPr>
          <w:p w14:paraId="436B6082" w14:textId="64064F03" w:rsidR="00B12B9F" w:rsidRPr="002B152F" w:rsidRDefault="00B12B9F" w:rsidP="00B12B9F">
            <w:pPr>
              <w:jc w:val="right"/>
              <w:rPr>
                <w:rFonts w:eastAsia="Times New Roman"/>
                <w:color w:val="C00000"/>
                <w:sz w:val="18"/>
                <w:szCs w:val="18"/>
              </w:rPr>
            </w:pPr>
            <w:r w:rsidRPr="002B152F">
              <w:rPr>
                <w:color w:val="C00000"/>
                <w:sz w:val="18"/>
                <w:szCs w:val="18"/>
              </w:rPr>
              <w:t>above average vulnerability</w:t>
            </w:r>
          </w:p>
        </w:tc>
      </w:tr>
      <w:tr w:rsidR="00B12B9F" w:rsidRPr="00917666" w14:paraId="6A606028" w14:textId="77777777" w:rsidTr="00B12B9F">
        <w:trPr>
          <w:trHeight w:val="402"/>
        </w:trPr>
        <w:tc>
          <w:tcPr>
            <w:tcW w:w="2515" w:type="dxa"/>
            <w:tcBorders>
              <w:top w:val="nil"/>
              <w:left w:val="single" w:sz="4" w:space="0" w:color="auto"/>
              <w:bottom w:val="single" w:sz="4" w:space="0" w:color="BFBFBF"/>
              <w:right w:val="single" w:sz="4" w:space="0" w:color="auto"/>
            </w:tcBorders>
            <w:shd w:val="clear" w:color="000000" w:fill="F2F2F2"/>
            <w:noWrap/>
            <w:vAlign w:val="center"/>
            <w:hideMark/>
          </w:tcPr>
          <w:p w14:paraId="18277883" w14:textId="0C2F2CA5" w:rsidR="00B12B9F" w:rsidRPr="00917666" w:rsidRDefault="00B12B9F" w:rsidP="00B12B9F">
            <w:pPr>
              <w:rPr>
                <w:rFonts w:eastAsia="Times New Roman"/>
                <w:color w:val="000000"/>
                <w:sz w:val="18"/>
                <w:szCs w:val="18"/>
              </w:rPr>
            </w:pPr>
            <w:r>
              <w:rPr>
                <w:color w:val="000000"/>
                <w:sz w:val="18"/>
                <w:szCs w:val="18"/>
              </w:rPr>
              <w:t>Material deprivation</w:t>
            </w:r>
          </w:p>
        </w:tc>
        <w:tc>
          <w:tcPr>
            <w:tcW w:w="810" w:type="dxa"/>
            <w:tcBorders>
              <w:top w:val="nil"/>
              <w:left w:val="nil"/>
              <w:bottom w:val="single" w:sz="4" w:space="0" w:color="BFBFBF"/>
              <w:right w:val="single" w:sz="4" w:space="0" w:color="auto"/>
            </w:tcBorders>
            <w:shd w:val="clear" w:color="000000" w:fill="F2F2F2"/>
            <w:noWrap/>
            <w:vAlign w:val="center"/>
            <w:hideMark/>
          </w:tcPr>
          <w:p w14:paraId="3D4708DD" w14:textId="3C43F83F" w:rsidR="00B12B9F" w:rsidRPr="00917666" w:rsidRDefault="00B12B9F" w:rsidP="00B12B9F">
            <w:pPr>
              <w:rPr>
                <w:rFonts w:eastAsia="Times New Roman"/>
                <w:color w:val="000000"/>
                <w:sz w:val="18"/>
                <w:szCs w:val="18"/>
              </w:rPr>
            </w:pPr>
            <w:r>
              <w:rPr>
                <w:color w:val="000000"/>
                <w:sz w:val="18"/>
                <w:szCs w:val="18"/>
              </w:rPr>
              <w:t>MSDI</w:t>
            </w:r>
          </w:p>
        </w:tc>
        <w:tc>
          <w:tcPr>
            <w:tcW w:w="3015" w:type="dxa"/>
            <w:tcBorders>
              <w:top w:val="nil"/>
              <w:left w:val="nil"/>
              <w:bottom w:val="single" w:sz="4" w:space="0" w:color="BFBFBF"/>
              <w:right w:val="single" w:sz="4" w:space="0" w:color="BFBFBF"/>
            </w:tcBorders>
            <w:shd w:val="clear" w:color="000000" w:fill="F2F2F2"/>
            <w:noWrap/>
            <w:vAlign w:val="center"/>
            <w:hideMark/>
          </w:tcPr>
          <w:p w14:paraId="692BE6DE" w14:textId="45DC0BF6" w:rsidR="00B12B9F" w:rsidRPr="002B152F" w:rsidRDefault="00B12B9F" w:rsidP="00B12B9F">
            <w:pPr>
              <w:jc w:val="right"/>
              <w:rPr>
                <w:rFonts w:eastAsia="Times New Roman"/>
                <w:color w:val="C00000"/>
                <w:sz w:val="18"/>
                <w:szCs w:val="18"/>
              </w:rPr>
            </w:pPr>
            <w:r w:rsidRPr="002B152F">
              <w:rPr>
                <w:color w:val="C00000"/>
                <w:sz w:val="18"/>
                <w:szCs w:val="18"/>
              </w:rPr>
              <w:t>below average social deprivation</w:t>
            </w:r>
          </w:p>
        </w:tc>
        <w:tc>
          <w:tcPr>
            <w:tcW w:w="3015" w:type="dxa"/>
            <w:tcBorders>
              <w:top w:val="nil"/>
              <w:left w:val="nil"/>
              <w:bottom w:val="single" w:sz="4" w:space="0" w:color="BFBFBF"/>
              <w:right w:val="single" w:sz="4" w:space="0" w:color="auto"/>
            </w:tcBorders>
            <w:shd w:val="clear" w:color="000000" w:fill="F2F2F2"/>
            <w:noWrap/>
            <w:vAlign w:val="center"/>
            <w:hideMark/>
          </w:tcPr>
          <w:p w14:paraId="5444B1A8" w14:textId="612635EE" w:rsidR="00B12B9F" w:rsidRPr="002B152F" w:rsidRDefault="00B12B9F" w:rsidP="00B12B9F">
            <w:pPr>
              <w:jc w:val="right"/>
              <w:rPr>
                <w:rFonts w:eastAsia="Times New Roman"/>
                <w:color w:val="C00000"/>
                <w:sz w:val="18"/>
                <w:szCs w:val="18"/>
              </w:rPr>
            </w:pPr>
            <w:r w:rsidRPr="002B152F">
              <w:rPr>
                <w:color w:val="C00000"/>
                <w:sz w:val="18"/>
                <w:szCs w:val="18"/>
              </w:rPr>
              <w:t>low social deprivation</w:t>
            </w:r>
          </w:p>
        </w:tc>
      </w:tr>
      <w:tr w:rsidR="00B12B9F" w:rsidRPr="00917666" w14:paraId="18363B1D" w14:textId="77777777" w:rsidTr="00B12B9F">
        <w:trPr>
          <w:trHeight w:val="402"/>
        </w:trPr>
        <w:tc>
          <w:tcPr>
            <w:tcW w:w="2515" w:type="dxa"/>
            <w:tcBorders>
              <w:top w:val="nil"/>
              <w:left w:val="single" w:sz="4" w:space="0" w:color="auto"/>
              <w:bottom w:val="single" w:sz="4" w:space="0" w:color="auto"/>
              <w:right w:val="single" w:sz="4" w:space="0" w:color="auto"/>
            </w:tcBorders>
            <w:noWrap/>
            <w:vAlign w:val="center"/>
            <w:hideMark/>
          </w:tcPr>
          <w:p w14:paraId="0E55CE7A" w14:textId="3B5ED3DF" w:rsidR="00B12B9F" w:rsidRPr="00917666" w:rsidRDefault="00B12B9F" w:rsidP="00B12B9F">
            <w:pPr>
              <w:rPr>
                <w:rFonts w:eastAsia="Times New Roman"/>
                <w:color w:val="000000"/>
                <w:sz w:val="18"/>
                <w:szCs w:val="18"/>
              </w:rPr>
            </w:pPr>
            <w:r>
              <w:rPr>
                <w:color w:val="000000"/>
                <w:sz w:val="18"/>
                <w:szCs w:val="18"/>
              </w:rPr>
              <w:t>Social deprivation</w:t>
            </w:r>
          </w:p>
        </w:tc>
        <w:tc>
          <w:tcPr>
            <w:tcW w:w="810" w:type="dxa"/>
            <w:tcBorders>
              <w:top w:val="nil"/>
              <w:left w:val="nil"/>
              <w:bottom w:val="single" w:sz="4" w:space="0" w:color="auto"/>
              <w:right w:val="single" w:sz="4" w:space="0" w:color="auto"/>
            </w:tcBorders>
            <w:noWrap/>
            <w:vAlign w:val="center"/>
            <w:hideMark/>
          </w:tcPr>
          <w:p w14:paraId="0CDEE009" w14:textId="6454C71E" w:rsidR="00B12B9F" w:rsidRPr="00917666" w:rsidRDefault="00B12B9F" w:rsidP="00B12B9F">
            <w:pPr>
              <w:rPr>
                <w:rFonts w:eastAsia="Times New Roman"/>
                <w:color w:val="000000"/>
                <w:sz w:val="18"/>
                <w:szCs w:val="18"/>
              </w:rPr>
            </w:pPr>
            <w:r>
              <w:rPr>
                <w:color w:val="000000"/>
                <w:sz w:val="18"/>
                <w:szCs w:val="18"/>
              </w:rPr>
              <w:t>MSDI</w:t>
            </w:r>
          </w:p>
        </w:tc>
        <w:tc>
          <w:tcPr>
            <w:tcW w:w="3015" w:type="dxa"/>
            <w:tcBorders>
              <w:top w:val="nil"/>
              <w:left w:val="nil"/>
              <w:bottom w:val="single" w:sz="4" w:space="0" w:color="auto"/>
              <w:right w:val="single" w:sz="4" w:space="0" w:color="BFBFBF"/>
            </w:tcBorders>
            <w:noWrap/>
            <w:vAlign w:val="center"/>
            <w:hideMark/>
          </w:tcPr>
          <w:p w14:paraId="5D457835" w14:textId="5BECE537" w:rsidR="00B12B9F" w:rsidRPr="002B152F" w:rsidRDefault="00B12B9F" w:rsidP="00B12B9F">
            <w:pPr>
              <w:jc w:val="right"/>
              <w:rPr>
                <w:rFonts w:eastAsia="Times New Roman"/>
                <w:color w:val="C00000"/>
                <w:sz w:val="18"/>
                <w:szCs w:val="18"/>
              </w:rPr>
            </w:pPr>
            <w:r w:rsidRPr="002B152F">
              <w:rPr>
                <w:color w:val="C00000"/>
                <w:sz w:val="18"/>
                <w:szCs w:val="18"/>
              </w:rPr>
              <w:t>below average social deprivation</w:t>
            </w:r>
          </w:p>
        </w:tc>
        <w:tc>
          <w:tcPr>
            <w:tcW w:w="3015" w:type="dxa"/>
            <w:tcBorders>
              <w:top w:val="nil"/>
              <w:left w:val="nil"/>
              <w:bottom w:val="single" w:sz="4" w:space="0" w:color="auto"/>
              <w:right w:val="single" w:sz="4" w:space="0" w:color="auto"/>
            </w:tcBorders>
            <w:noWrap/>
            <w:vAlign w:val="center"/>
            <w:hideMark/>
          </w:tcPr>
          <w:p w14:paraId="4D217945" w14:textId="03DFA8F8" w:rsidR="00B12B9F" w:rsidRPr="002B152F" w:rsidRDefault="00B12B9F" w:rsidP="00B12B9F">
            <w:pPr>
              <w:jc w:val="right"/>
              <w:rPr>
                <w:rFonts w:eastAsia="Times New Roman"/>
                <w:color w:val="C00000"/>
                <w:sz w:val="18"/>
                <w:szCs w:val="18"/>
              </w:rPr>
            </w:pPr>
            <w:r w:rsidRPr="002B152F">
              <w:rPr>
                <w:color w:val="C00000"/>
                <w:sz w:val="18"/>
                <w:szCs w:val="18"/>
              </w:rPr>
              <w:t>high social deprivation</w:t>
            </w:r>
          </w:p>
        </w:tc>
      </w:tr>
      <w:tr w:rsidR="00B12B9F" w:rsidRPr="00917666" w14:paraId="400F634F" w14:textId="77777777" w:rsidTr="00B12B9F">
        <w:trPr>
          <w:trHeight w:val="402"/>
        </w:trPr>
        <w:tc>
          <w:tcPr>
            <w:tcW w:w="2515" w:type="dxa"/>
            <w:tcBorders>
              <w:top w:val="nil"/>
              <w:left w:val="single" w:sz="4" w:space="0" w:color="auto"/>
              <w:bottom w:val="single" w:sz="4" w:space="0" w:color="auto"/>
              <w:right w:val="single" w:sz="4" w:space="0" w:color="auto"/>
            </w:tcBorders>
            <w:shd w:val="clear" w:color="000000" w:fill="F2F2F2"/>
            <w:noWrap/>
            <w:vAlign w:val="center"/>
            <w:hideMark/>
          </w:tcPr>
          <w:p w14:paraId="7386825A" w14:textId="645207FA" w:rsidR="00B12B9F" w:rsidRPr="00917666" w:rsidRDefault="00B12B9F" w:rsidP="00B12B9F">
            <w:pPr>
              <w:rPr>
                <w:rFonts w:eastAsia="Times New Roman"/>
                <w:color w:val="000000"/>
                <w:sz w:val="18"/>
                <w:szCs w:val="18"/>
              </w:rPr>
            </w:pPr>
            <w:r>
              <w:rPr>
                <w:color w:val="000000"/>
                <w:sz w:val="18"/>
                <w:szCs w:val="18"/>
              </w:rPr>
              <w:t>Average measure*</w:t>
            </w:r>
          </w:p>
        </w:tc>
        <w:tc>
          <w:tcPr>
            <w:tcW w:w="810" w:type="dxa"/>
            <w:tcBorders>
              <w:top w:val="nil"/>
              <w:left w:val="nil"/>
              <w:bottom w:val="single" w:sz="4" w:space="0" w:color="auto"/>
              <w:right w:val="single" w:sz="4" w:space="0" w:color="auto"/>
            </w:tcBorders>
            <w:shd w:val="clear" w:color="000000" w:fill="808080"/>
            <w:noWrap/>
            <w:vAlign w:val="center"/>
            <w:hideMark/>
          </w:tcPr>
          <w:p w14:paraId="0A43A717" w14:textId="03F070C4" w:rsidR="00B12B9F" w:rsidRPr="00917666" w:rsidRDefault="00B12B9F" w:rsidP="00B12B9F">
            <w:pPr>
              <w:rPr>
                <w:rFonts w:eastAsia="Times New Roman"/>
                <w:color w:val="000000"/>
                <w:sz w:val="18"/>
                <w:szCs w:val="18"/>
              </w:rPr>
            </w:pPr>
            <w:r>
              <w:rPr>
                <w:color w:val="000000"/>
                <w:sz w:val="18"/>
                <w:szCs w:val="18"/>
              </w:rPr>
              <w:t> </w:t>
            </w:r>
          </w:p>
        </w:tc>
        <w:tc>
          <w:tcPr>
            <w:tcW w:w="3015" w:type="dxa"/>
            <w:tcBorders>
              <w:top w:val="nil"/>
              <w:left w:val="nil"/>
              <w:bottom w:val="single" w:sz="4" w:space="0" w:color="auto"/>
              <w:right w:val="single" w:sz="4" w:space="0" w:color="BFBFBF"/>
            </w:tcBorders>
            <w:shd w:val="clear" w:color="000000" w:fill="F2F2F2"/>
            <w:noWrap/>
            <w:vAlign w:val="center"/>
            <w:hideMark/>
          </w:tcPr>
          <w:p w14:paraId="606DE283" w14:textId="60A21541" w:rsidR="00B12B9F" w:rsidRPr="002B152F" w:rsidRDefault="00B12B9F" w:rsidP="00B12B9F">
            <w:pPr>
              <w:jc w:val="right"/>
              <w:rPr>
                <w:rFonts w:eastAsia="Times New Roman"/>
                <w:color w:val="C00000"/>
                <w:sz w:val="18"/>
                <w:szCs w:val="18"/>
              </w:rPr>
            </w:pPr>
            <w:r w:rsidRPr="002B152F">
              <w:rPr>
                <w:color w:val="C00000"/>
                <w:sz w:val="18"/>
                <w:szCs w:val="18"/>
              </w:rPr>
              <w:t>above average overall vulnerability</w:t>
            </w:r>
          </w:p>
        </w:tc>
        <w:tc>
          <w:tcPr>
            <w:tcW w:w="3015" w:type="dxa"/>
            <w:tcBorders>
              <w:top w:val="nil"/>
              <w:left w:val="nil"/>
              <w:bottom w:val="single" w:sz="4" w:space="0" w:color="auto"/>
              <w:right w:val="single" w:sz="4" w:space="0" w:color="auto"/>
            </w:tcBorders>
            <w:shd w:val="clear" w:color="000000" w:fill="F2F2F2"/>
            <w:noWrap/>
            <w:vAlign w:val="center"/>
            <w:hideMark/>
          </w:tcPr>
          <w:p w14:paraId="7297AE87" w14:textId="03CAC5ED" w:rsidR="00B12B9F" w:rsidRPr="002B152F" w:rsidRDefault="00B12B9F" w:rsidP="00B12B9F">
            <w:pPr>
              <w:jc w:val="right"/>
              <w:rPr>
                <w:rFonts w:eastAsia="Times New Roman"/>
                <w:color w:val="C00000"/>
                <w:sz w:val="18"/>
                <w:szCs w:val="18"/>
              </w:rPr>
            </w:pPr>
            <w:r w:rsidRPr="002B152F">
              <w:rPr>
                <w:color w:val="C00000"/>
                <w:sz w:val="18"/>
                <w:szCs w:val="18"/>
              </w:rPr>
              <w:t>average overall vulnerability</w:t>
            </w:r>
          </w:p>
        </w:tc>
      </w:tr>
    </w:tbl>
    <w:p w14:paraId="2961A7B1" w14:textId="77777777" w:rsidR="00AC6C9C" w:rsidRDefault="00AC6C9C" w:rsidP="00AC6C9C">
      <w:pPr>
        <w:pStyle w:val="Source"/>
      </w:pPr>
      <w:r>
        <w:t>* Social resilience is inversed for the calculation (e.g., a score of 5 becomes a 1)</w:t>
      </w:r>
    </w:p>
    <w:p w14:paraId="226AEA8C" w14:textId="747318E8" w:rsidR="00AC6C9C" w:rsidRDefault="00AC6C9C" w:rsidP="00AC6C9C">
      <w:pPr>
        <w:pStyle w:val="Source"/>
      </w:pPr>
      <w:r>
        <w:t>Source: derived from Canadian Index of Multiple Deprivation, Canadian Index of Social Resilience and Canadian Index of Social Vulnerability, Material and Social Deprivation Index</w:t>
      </w:r>
    </w:p>
    <w:p w14:paraId="57974ADE" w14:textId="77777777" w:rsidR="00AC6C9C" w:rsidRDefault="00AC6C9C" w:rsidP="007D2671"/>
    <w:p w14:paraId="10DF477B" w14:textId="0EB5637D" w:rsidR="0037218B" w:rsidRDefault="00300FED" w:rsidP="00300FED">
      <w:pPr>
        <w:jc w:val="both"/>
      </w:pPr>
      <w:r>
        <w:t>The indices measure distinct dimensions of disadvantage, and a community's standing on one does not predict its standing on another. Where residential instability is elevated relative to comparators, it signals a housing stock and population characterized by transience and tenure fragility, with implications for the sustainability of affordability arrangements and exposure to market shocks. Where ethno-cultural complexity is high, the relevant planning concern is not diversity per se but the specific sub-dimensions that drive the score</w:t>
      </w:r>
      <w:r w:rsidR="003E10F7">
        <w:t xml:space="preserve"> (e.g.,</w:t>
      </w:r>
      <w:r>
        <w:t xml:space="preserve"> linguistic isolation, recent immigration, and housing crowding</w:t>
      </w:r>
      <w:r w:rsidR="003E10F7">
        <w:t>)</w:t>
      </w:r>
      <w:r w:rsidR="00902C63">
        <w:t>,</w:t>
      </w:r>
      <w:r>
        <w:t xml:space="preserve"> each of which creates barriers to navigating the rental market, asserting tenant rights, and accessing housing services. </w:t>
      </w:r>
    </w:p>
    <w:p w14:paraId="24EE66A5" w14:textId="77777777" w:rsidR="0037218B" w:rsidRDefault="0037218B" w:rsidP="00300FED">
      <w:pPr>
        <w:jc w:val="both"/>
      </w:pPr>
    </w:p>
    <w:p w14:paraId="1C63E8B3" w14:textId="334F3F33" w:rsidR="00300FED" w:rsidRDefault="00300FED" w:rsidP="00300FED">
      <w:pPr>
        <w:jc w:val="both"/>
      </w:pPr>
      <w:r>
        <w:t xml:space="preserve">The CISR and CISV results may appear to sit in tension </w:t>
      </w:r>
      <w:r w:rsidR="00313D1F">
        <w:t xml:space="preserve">when </w:t>
      </w:r>
      <w:r>
        <w:t>resilience and vulnerability are both above average, but the indices measure fundamentally different things: social resilience reflects aggregate structural capacity, while social vulnerability captures the distribution of risk factors that amplify harm when disruptions occur. A community can show reasonable collective resilience while still containing a sub-population whose vulnerability is elevated, and aggregate indicators of community strength should not be allowed to obscure targeted need.</w:t>
      </w:r>
    </w:p>
    <w:p w14:paraId="691836C9" w14:textId="77777777" w:rsidR="00300FED" w:rsidRDefault="00300FED" w:rsidP="00300FED">
      <w:pPr>
        <w:jc w:val="both"/>
      </w:pPr>
    </w:p>
    <w:p w14:paraId="5E6E7A46" w14:textId="77777777" w:rsidR="00643C26" w:rsidRDefault="00300FED" w:rsidP="00300FED">
      <w:pPr>
        <w:jc w:val="both"/>
      </w:pPr>
      <w:r>
        <w:t>Where divergence exists between provincial and national reference frames</w:t>
      </w:r>
      <w:r w:rsidR="0037218B">
        <w:t>,</w:t>
      </w:r>
      <w:r>
        <w:t xml:space="preserve"> the source of that divergence matters for interpretation. A measure that scores differently against provincial and national distributions may reflect a distinctive provincial baseline rather than a genuine difference </w:t>
      </w:r>
      <w:r>
        <w:lastRenderedPageBreak/>
        <w:t xml:space="preserve">in local conditions, and the more policy-relevant comparator will generally be whichever reference frame governs </w:t>
      </w:r>
      <w:r w:rsidR="00643C26">
        <w:t xml:space="preserve">interpretation. </w:t>
      </w:r>
    </w:p>
    <w:p w14:paraId="28C39A45" w14:textId="77777777" w:rsidR="00643C26" w:rsidRDefault="00643C26" w:rsidP="00300FED">
      <w:pPr>
        <w:jc w:val="both"/>
      </w:pPr>
    </w:p>
    <w:p w14:paraId="05AFAC0D" w14:textId="68962B65" w:rsidR="00D43FD4" w:rsidRPr="00D43FD4" w:rsidRDefault="00643C26" w:rsidP="00300FED">
      <w:pPr>
        <w:jc w:val="both"/>
      </w:pPr>
      <w:r>
        <w:t>Note that t</w:t>
      </w:r>
      <w:r w:rsidR="00300FED">
        <w:t xml:space="preserve">he average measure across all indices </w:t>
      </w:r>
      <w:r>
        <w:t>is i</w:t>
      </w:r>
      <w:r w:rsidR="006641A1">
        <w:t>ncluded as a broad summary of results, but any decision making activities</w:t>
      </w:r>
      <w:r w:rsidR="00300FED">
        <w:t xml:space="preserve"> should be grounded in the individual measures most directly connected to the housing interventions under consideration.</w:t>
      </w:r>
    </w:p>
    <w:bookmarkEnd w:id="116"/>
    <w:p w14:paraId="0564B0A8" w14:textId="77777777" w:rsidR="002D0C12" w:rsidRDefault="002D0C12" w:rsidP="002C202F"/>
    <w:p w14:paraId="26C50C72" w14:textId="3FEFED66" w:rsidR="006A4699" w:rsidRDefault="006A4699" w:rsidP="006F2DC9">
      <w:pPr>
        <w:pStyle w:val="Heading2"/>
      </w:pPr>
      <w:bookmarkStart w:id="121" w:name="_Toc237355963"/>
      <w:r>
        <w:t>BUILD CANADA HOMES</w:t>
      </w:r>
      <w:r w:rsidR="00B501F1">
        <w:t xml:space="preserve"> AFFORDABLE RENTS</w:t>
      </w:r>
      <w:bookmarkEnd w:id="121"/>
    </w:p>
    <w:p w14:paraId="56E66E24" w14:textId="31849B43" w:rsidR="00181D85" w:rsidRDefault="00181D85" w:rsidP="00181D85">
      <w:pPr>
        <w:jc w:val="both"/>
      </w:pPr>
      <w:r>
        <w:t>Build Canada Homes</w:t>
      </w:r>
      <w:r w:rsidR="00C50790">
        <w:t xml:space="preserve"> (BCH)</w:t>
      </w:r>
      <w:r>
        <w:t xml:space="preserve"> is a federal agency launched in 2025 focused on building affordable housing at scale through non-market and mixed-income development, direct build on federal lands, public-private partnerships, and modern construction methods. As a core component of its investment policy framework, Build Canada Homes established an income-based affordability definition under which housing is considered affordable when rents do not exceed 30% of </w:t>
      </w:r>
      <w:r w:rsidR="00C50790">
        <w:t xml:space="preserve">local </w:t>
      </w:r>
      <w:r>
        <w:t xml:space="preserve">pre-tax household income, assessed against local median household income levels and applied across income groups </w:t>
      </w:r>
      <w:r w:rsidR="003205B3">
        <w:t>(</w:t>
      </w:r>
      <w:r>
        <w:t>spanning from very low</w:t>
      </w:r>
      <w:r w:rsidR="00867CFC">
        <w:t>-</w:t>
      </w:r>
      <w:r>
        <w:t xml:space="preserve"> to median</w:t>
      </w:r>
      <w:r w:rsidR="00867CFC">
        <w:t>-</w:t>
      </w:r>
      <w:r>
        <w:t>income</w:t>
      </w:r>
      <w:r w:rsidR="003205B3">
        <w:t>) and dwelling sizes (</w:t>
      </w:r>
      <w:r w:rsidR="005D731A">
        <w:t xml:space="preserve">with </w:t>
      </w:r>
      <w:r w:rsidR="006C5177">
        <w:t>the assumption that larger dwellings</w:t>
      </w:r>
      <w:r w:rsidR="008B4C8A">
        <w:t>, based on number of rooms,</w:t>
      </w:r>
      <w:r w:rsidR="006C5177">
        <w:t xml:space="preserve"> include more income earning people, and thus higher household earnings</w:t>
      </w:r>
      <w:r w:rsidR="008B4C8A">
        <w:t xml:space="preserve"> to afford rent</w:t>
      </w:r>
      <w:r w:rsidR="006C5177">
        <w:t>)</w:t>
      </w:r>
      <w:r>
        <w:t>. The affordability thresholds are operationally significant because they function as the rent ceilings against which BCH-funded projects must be structured</w:t>
      </w:r>
      <w:r w:rsidR="00C50790">
        <w:t>;</w:t>
      </w:r>
      <w:r>
        <w:t xml:space="preserve"> meaning</w:t>
      </w:r>
      <w:r w:rsidR="00C50790">
        <w:t>,</w:t>
      </w:r>
      <w:r>
        <w:t xml:space="preserve"> they directly define the rent levels that non-market developers, non-profits, and private proponents must commit to in order to qualify for BCH grants, contributions, or loan concessions.</w:t>
      </w:r>
      <w:r w:rsidR="00EE119F">
        <w:t xml:space="preserve"> </w:t>
      </w:r>
    </w:p>
    <w:p w14:paraId="101A14D7" w14:textId="77777777" w:rsidR="00181D85" w:rsidRDefault="00181D85" w:rsidP="00181D85">
      <w:pPr>
        <w:jc w:val="both"/>
      </w:pPr>
    </w:p>
    <w:p w14:paraId="611C3D62" w14:textId="3BBEDBE7" w:rsidR="00181D85" w:rsidRDefault="00181D85" w:rsidP="00181D85">
      <w:pPr>
        <w:jc w:val="both"/>
      </w:pPr>
      <w:r>
        <w:t xml:space="preserve">The BCH income categories </w:t>
      </w:r>
      <w:r w:rsidR="00932F31">
        <w:t>are notably different than</w:t>
      </w:r>
      <w:r>
        <w:t xml:space="preserve"> those used in HART's Housing Needs Assessment methodology</w:t>
      </w:r>
      <w:r w:rsidR="002E048B">
        <w:t xml:space="preserve"> (see </w:t>
      </w:r>
      <w:r w:rsidR="002E048B">
        <w:rPr>
          <w:b/>
          <w:bCs/>
        </w:rPr>
        <w:t xml:space="preserve">Income Categories </w:t>
      </w:r>
      <w:r w:rsidR="002E048B">
        <w:t xml:space="preserve">section for reference). </w:t>
      </w:r>
      <w:r w:rsidR="00F87A8F">
        <w:t xml:space="preserve">Therefore, </w:t>
      </w:r>
      <w:r>
        <w:t xml:space="preserve">BCH affordability thresholds are not directly comparable to HART-derived housing need estimates without adjustment, and the two frameworks should not be treated interchangeably when translating housing need into BCH funding targets. </w:t>
      </w:r>
    </w:p>
    <w:p w14:paraId="76E1D54E" w14:textId="77777777" w:rsidR="00181D85" w:rsidRDefault="00181D85" w:rsidP="00181D85">
      <w:pPr>
        <w:jc w:val="both"/>
      </w:pPr>
    </w:p>
    <w:p w14:paraId="724D8C1B" w14:textId="11AF7837" w:rsidR="0018483D" w:rsidRDefault="00B34EE0" w:rsidP="00181D85">
      <w:pPr>
        <w:jc w:val="both"/>
      </w:pPr>
      <w:r w:rsidRPr="00B34EE0">
        <w:rPr>
          <w:rStyle w:val="Figure-textChar"/>
        </w:rPr>
        <w:fldChar w:fldCharType="begin"/>
      </w:r>
      <w:r w:rsidRPr="00B34EE0">
        <w:rPr>
          <w:rStyle w:val="Figure-textChar"/>
        </w:rPr>
        <w:instrText xml:space="preserve"> REF _Ref223950215 \h </w:instrText>
      </w:r>
      <w:r>
        <w:rPr>
          <w:rStyle w:val="Figure-textChar"/>
        </w:rPr>
        <w:instrText xml:space="preserve"> \* MERGEFORMAT </w:instrText>
      </w:r>
      <w:r w:rsidRPr="00B34EE0">
        <w:rPr>
          <w:rStyle w:val="Figure-textChar"/>
        </w:rPr>
      </w:r>
      <w:r w:rsidRPr="00B34EE0">
        <w:rPr>
          <w:rStyle w:val="Figure-textChar"/>
        </w:rPr>
        <w:fldChar w:fldCharType="separate"/>
      </w:r>
      <w:r w:rsidR="00CA6116" w:rsidRPr="00CA6116">
        <w:rPr>
          <w:rStyle w:val="Figure-textChar"/>
        </w:rPr>
        <w:t>Table 9.12</w:t>
      </w:r>
      <w:r w:rsidRPr="00B34EE0">
        <w:rPr>
          <w:rStyle w:val="Figure-textChar"/>
        </w:rPr>
        <w:fldChar w:fldCharType="end"/>
      </w:r>
      <w:r w:rsidR="00181D85">
        <w:t xml:space="preserve"> presents the estimated maximum affordable monthly rents by BCH income category and unit size, calculated from local median household income data.</w:t>
      </w:r>
    </w:p>
    <w:p w14:paraId="7E91194D" w14:textId="77777777" w:rsidR="00181D85" w:rsidRDefault="00181D85" w:rsidP="003E338D"/>
    <w:p w14:paraId="29C82E84" w14:textId="245BBAFB" w:rsidR="00097A4B" w:rsidRDefault="00097A4B" w:rsidP="00097A4B">
      <w:pPr>
        <w:pStyle w:val="Caption"/>
      </w:pPr>
      <w:bookmarkStart w:id="122" w:name="_Ref223950215"/>
      <w:r>
        <w:t xml:space="preserve">Table </w:t>
      </w:r>
      <w:fldSimple w:instr=" STYLEREF 1 \s ">
        <w:r w:rsidR="005E459C">
          <w:rPr>
            <w:noProof/>
          </w:rPr>
          <w:t>9</w:t>
        </w:r>
      </w:fldSimple>
      <w:r w:rsidR="00BD4359">
        <w:t>.</w:t>
      </w:r>
      <w:fldSimple w:instr=" SEQ Table \* ARABIC \s 1 ">
        <w:r w:rsidR="005E459C">
          <w:rPr>
            <w:noProof/>
          </w:rPr>
          <w:t>12</w:t>
        </w:r>
      </w:fldSimple>
      <w:bookmarkEnd w:id="122"/>
      <w:r>
        <w:t>: Estimated affordable rent thresholds, 2026</w:t>
      </w:r>
    </w:p>
    <w:tbl>
      <w:tblPr>
        <w:tblW w:w="9355" w:type="dxa"/>
        <w:tblLayout w:type="fixed"/>
        <w:tblLook w:val="04A0" w:firstRow="1" w:lastRow="0" w:firstColumn="1" w:lastColumn="0" w:noHBand="0" w:noVBand="1"/>
      </w:tblPr>
      <w:tblGrid>
        <w:gridCol w:w="1795"/>
        <w:gridCol w:w="1080"/>
        <w:gridCol w:w="1296"/>
        <w:gridCol w:w="1296"/>
        <w:gridCol w:w="1296"/>
        <w:gridCol w:w="1296"/>
        <w:gridCol w:w="1296"/>
      </w:tblGrid>
      <w:tr w:rsidR="00E16FAF" w:rsidRPr="00E16FAF" w14:paraId="599D5FBE" w14:textId="77777777" w:rsidTr="003C59F9">
        <w:trPr>
          <w:trHeight w:val="402"/>
          <w:tblHeader/>
        </w:trPr>
        <w:tc>
          <w:tcPr>
            <w:tcW w:w="1795" w:type="dxa"/>
            <w:vMerge w:val="restart"/>
            <w:tcBorders>
              <w:top w:val="single" w:sz="4" w:space="0" w:color="auto"/>
              <w:left w:val="single" w:sz="4" w:space="0" w:color="auto"/>
              <w:bottom w:val="single" w:sz="4" w:space="0" w:color="000000"/>
              <w:right w:val="single" w:sz="4" w:space="0" w:color="auto"/>
            </w:tcBorders>
            <w:shd w:val="clear" w:color="auto" w:fill="42618C" w:themeFill="accent3"/>
            <w:vAlign w:val="center"/>
            <w:hideMark/>
          </w:tcPr>
          <w:p w14:paraId="4B413D5D" w14:textId="77777777" w:rsidR="00E16FAF" w:rsidRPr="00E16FAF" w:rsidRDefault="00E16FAF" w:rsidP="00E16FAF">
            <w:pPr>
              <w:rPr>
                <w:rFonts w:eastAsia="Times New Roman"/>
                <w:color w:val="FFFFFF"/>
                <w:sz w:val="18"/>
                <w:szCs w:val="18"/>
              </w:rPr>
            </w:pPr>
            <w:r w:rsidRPr="00E16FAF">
              <w:rPr>
                <w:rFonts w:eastAsia="Times New Roman"/>
                <w:color w:val="FFFFFF"/>
                <w:sz w:val="18"/>
                <w:szCs w:val="18"/>
              </w:rPr>
              <w:t>Income category</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20DBE570" w14:textId="77777777" w:rsidR="00E16FAF" w:rsidRPr="00E16FAF" w:rsidRDefault="00E16FAF" w:rsidP="003C59F9">
            <w:pPr>
              <w:jc w:val="center"/>
              <w:rPr>
                <w:rFonts w:eastAsia="Times New Roman"/>
                <w:color w:val="FFFFFF"/>
                <w:sz w:val="18"/>
                <w:szCs w:val="18"/>
              </w:rPr>
            </w:pPr>
            <w:r w:rsidRPr="003C59F9">
              <w:rPr>
                <w:rFonts w:eastAsia="Times New Roman"/>
                <w:sz w:val="18"/>
                <w:szCs w:val="18"/>
              </w:rPr>
              <w:t>% of median income</w:t>
            </w:r>
          </w:p>
        </w:tc>
        <w:tc>
          <w:tcPr>
            <w:tcW w:w="6480" w:type="dxa"/>
            <w:gridSpan w:val="5"/>
            <w:tcBorders>
              <w:top w:val="single" w:sz="4" w:space="0" w:color="auto"/>
              <w:left w:val="nil"/>
              <w:bottom w:val="single" w:sz="4" w:space="0" w:color="auto"/>
              <w:right w:val="single" w:sz="4" w:space="0" w:color="000000"/>
            </w:tcBorders>
            <w:shd w:val="clear" w:color="auto" w:fill="006B5F" w:themeFill="accent2"/>
            <w:noWrap/>
            <w:vAlign w:val="center"/>
            <w:hideMark/>
          </w:tcPr>
          <w:p w14:paraId="2EFDCC8F" w14:textId="77777777" w:rsidR="00E16FAF" w:rsidRPr="00E16FAF" w:rsidRDefault="00E16FAF" w:rsidP="00E16FAF">
            <w:pPr>
              <w:jc w:val="center"/>
              <w:rPr>
                <w:rFonts w:eastAsia="Times New Roman"/>
                <w:color w:val="FFFFFF"/>
                <w:sz w:val="18"/>
                <w:szCs w:val="18"/>
              </w:rPr>
            </w:pPr>
            <w:r w:rsidRPr="00E16FAF">
              <w:rPr>
                <w:rFonts w:eastAsia="Times New Roman"/>
                <w:color w:val="FFFFFF"/>
                <w:sz w:val="18"/>
                <w:szCs w:val="18"/>
              </w:rPr>
              <w:t>Maximum affordable rent per unit size</w:t>
            </w:r>
          </w:p>
        </w:tc>
      </w:tr>
      <w:tr w:rsidR="00E16FAF" w:rsidRPr="00E16FAF" w14:paraId="19DA7D62" w14:textId="77777777" w:rsidTr="003C59F9">
        <w:trPr>
          <w:trHeight w:val="402"/>
          <w:tblHeader/>
        </w:trPr>
        <w:tc>
          <w:tcPr>
            <w:tcW w:w="1795" w:type="dxa"/>
            <w:vMerge/>
            <w:tcBorders>
              <w:top w:val="single" w:sz="4" w:space="0" w:color="auto"/>
              <w:left w:val="single" w:sz="4" w:space="0" w:color="auto"/>
              <w:bottom w:val="single" w:sz="4" w:space="0" w:color="000000"/>
              <w:right w:val="single" w:sz="4" w:space="0" w:color="auto"/>
            </w:tcBorders>
            <w:shd w:val="clear" w:color="auto" w:fill="42618C" w:themeFill="accent3"/>
            <w:vAlign w:val="center"/>
            <w:hideMark/>
          </w:tcPr>
          <w:p w14:paraId="056ED50B" w14:textId="77777777" w:rsidR="00E16FAF" w:rsidRPr="00E16FAF" w:rsidRDefault="00E16FAF" w:rsidP="00E16FAF">
            <w:pPr>
              <w:rPr>
                <w:rFonts w:eastAsia="Times New Roman"/>
                <w:color w:val="FFFFFF"/>
                <w:sz w:val="18"/>
                <w:szCs w:val="18"/>
              </w:rPr>
            </w:pPr>
          </w:p>
        </w:tc>
        <w:tc>
          <w:tcPr>
            <w:tcW w:w="1080" w:type="dxa"/>
            <w:vMerge/>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07EFB262" w14:textId="77777777" w:rsidR="00E16FAF" w:rsidRPr="00E16FAF" w:rsidRDefault="00E16FAF" w:rsidP="00E16FAF">
            <w:pPr>
              <w:rPr>
                <w:rFonts w:eastAsia="Times New Roman"/>
                <w:color w:val="FFFFFF"/>
                <w:sz w:val="18"/>
                <w:szCs w:val="18"/>
              </w:rPr>
            </w:pPr>
          </w:p>
        </w:tc>
        <w:tc>
          <w:tcPr>
            <w:tcW w:w="1296" w:type="dxa"/>
            <w:tcBorders>
              <w:top w:val="nil"/>
              <w:left w:val="nil"/>
              <w:bottom w:val="single" w:sz="4" w:space="0" w:color="auto"/>
              <w:right w:val="single" w:sz="4" w:space="0" w:color="BFBFBF"/>
            </w:tcBorders>
            <w:shd w:val="clear" w:color="auto" w:fill="CFD9E3" w:themeFill="accent1"/>
            <w:noWrap/>
            <w:vAlign w:val="center"/>
            <w:hideMark/>
          </w:tcPr>
          <w:p w14:paraId="119B1399" w14:textId="77777777" w:rsidR="00E16FAF" w:rsidRPr="00E16FAF" w:rsidRDefault="00E16FAF" w:rsidP="00E16FAF">
            <w:pPr>
              <w:jc w:val="right"/>
              <w:rPr>
                <w:rFonts w:eastAsia="Times New Roman"/>
                <w:color w:val="000000"/>
                <w:sz w:val="18"/>
                <w:szCs w:val="18"/>
              </w:rPr>
            </w:pPr>
            <w:r w:rsidRPr="00E16FAF">
              <w:rPr>
                <w:rFonts w:eastAsia="Times New Roman"/>
                <w:color w:val="000000"/>
                <w:sz w:val="18"/>
                <w:szCs w:val="18"/>
              </w:rPr>
              <w:t>Studio</w:t>
            </w:r>
          </w:p>
        </w:tc>
        <w:tc>
          <w:tcPr>
            <w:tcW w:w="1296" w:type="dxa"/>
            <w:tcBorders>
              <w:top w:val="nil"/>
              <w:left w:val="nil"/>
              <w:bottom w:val="single" w:sz="4" w:space="0" w:color="auto"/>
              <w:right w:val="single" w:sz="4" w:space="0" w:color="BFBFBF"/>
            </w:tcBorders>
            <w:shd w:val="clear" w:color="auto" w:fill="CFD9E3" w:themeFill="accent1"/>
            <w:noWrap/>
            <w:vAlign w:val="center"/>
            <w:hideMark/>
          </w:tcPr>
          <w:p w14:paraId="054B9EB1" w14:textId="77777777" w:rsidR="00E16FAF" w:rsidRPr="00E16FAF" w:rsidRDefault="00E16FAF" w:rsidP="00E16FAF">
            <w:pPr>
              <w:jc w:val="right"/>
              <w:rPr>
                <w:rFonts w:eastAsia="Times New Roman"/>
                <w:color w:val="000000"/>
                <w:sz w:val="18"/>
                <w:szCs w:val="18"/>
              </w:rPr>
            </w:pPr>
            <w:r w:rsidRPr="00E16FAF">
              <w:rPr>
                <w:rFonts w:eastAsia="Times New Roman"/>
                <w:color w:val="000000"/>
                <w:sz w:val="18"/>
                <w:szCs w:val="18"/>
              </w:rPr>
              <w:t>1 bedroom</w:t>
            </w:r>
          </w:p>
        </w:tc>
        <w:tc>
          <w:tcPr>
            <w:tcW w:w="1296" w:type="dxa"/>
            <w:tcBorders>
              <w:top w:val="nil"/>
              <w:left w:val="nil"/>
              <w:bottom w:val="single" w:sz="4" w:space="0" w:color="auto"/>
              <w:right w:val="single" w:sz="4" w:space="0" w:color="BFBFBF"/>
            </w:tcBorders>
            <w:shd w:val="clear" w:color="auto" w:fill="CFD9E3" w:themeFill="accent1"/>
            <w:noWrap/>
            <w:vAlign w:val="center"/>
            <w:hideMark/>
          </w:tcPr>
          <w:p w14:paraId="41139211" w14:textId="77777777" w:rsidR="00E16FAF" w:rsidRPr="00E16FAF" w:rsidRDefault="00E16FAF" w:rsidP="00E16FAF">
            <w:pPr>
              <w:jc w:val="right"/>
              <w:rPr>
                <w:rFonts w:eastAsia="Times New Roman"/>
                <w:color w:val="000000"/>
                <w:sz w:val="18"/>
                <w:szCs w:val="18"/>
              </w:rPr>
            </w:pPr>
            <w:r w:rsidRPr="00E16FAF">
              <w:rPr>
                <w:rFonts w:eastAsia="Times New Roman"/>
                <w:color w:val="000000"/>
                <w:sz w:val="18"/>
                <w:szCs w:val="18"/>
              </w:rPr>
              <w:t xml:space="preserve">2 </w:t>
            </w:r>
            <w:proofErr w:type="gramStart"/>
            <w:r w:rsidRPr="00E16FAF">
              <w:rPr>
                <w:rFonts w:eastAsia="Times New Roman"/>
                <w:color w:val="000000"/>
                <w:sz w:val="18"/>
                <w:szCs w:val="18"/>
              </w:rPr>
              <w:t>bedroom</w:t>
            </w:r>
            <w:proofErr w:type="gramEnd"/>
          </w:p>
        </w:tc>
        <w:tc>
          <w:tcPr>
            <w:tcW w:w="1296" w:type="dxa"/>
            <w:tcBorders>
              <w:top w:val="nil"/>
              <w:left w:val="nil"/>
              <w:bottom w:val="single" w:sz="4" w:space="0" w:color="auto"/>
              <w:right w:val="single" w:sz="4" w:space="0" w:color="BFBFBF"/>
            </w:tcBorders>
            <w:shd w:val="clear" w:color="auto" w:fill="CFD9E3" w:themeFill="accent1"/>
            <w:noWrap/>
            <w:vAlign w:val="center"/>
            <w:hideMark/>
          </w:tcPr>
          <w:p w14:paraId="26D75EA2" w14:textId="77777777" w:rsidR="00E16FAF" w:rsidRPr="00E16FAF" w:rsidRDefault="00E16FAF" w:rsidP="00E16FAF">
            <w:pPr>
              <w:jc w:val="right"/>
              <w:rPr>
                <w:rFonts w:eastAsia="Times New Roman"/>
                <w:color w:val="000000"/>
                <w:sz w:val="18"/>
                <w:szCs w:val="18"/>
              </w:rPr>
            </w:pPr>
            <w:r w:rsidRPr="00E16FAF">
              <w:rPr>
                <w:rFonts w:eastAsia="Times New Roman"/>
                <w:color w:val="000000"/>
                <w:sz w:val="18"/>
                <w:szCs w:val="18"/>
              </w:rPr>
              <w:t xml:space="preserve">3 </w:t>
            </w:r>
            <w:proofErr w:type="gramStart"/>
            <w:r w:rsidRPr="00E16FAF">
              <w:rPr>
                <w:rFonts w:eastAsia="Times New Roman"/>
                <w:color w:val="000000"/>
                <w:sz w:val="18"/>
                <w:szCs w:val="18"/>
              </w:rPr>
              <w:t>bedroom</w:t>
            </w:r>
            <w:proofErr w:type="gramEnd"/>
          </w:p>
        </w:tc>
        <w:tc>
          <w:tcPr>
            <w:tcW w:w="1296" w:type="dxa"/>
            <w:tcBorders>
              <w:top w:val="nil"/>
              <w:left w:val="nil"/>
              <w:bottom w:val="single" w:sz="4" w:space="0" w:color="auto"/>
              <w:right w:val="single" w:sz="4" w:space="0" w:color="auto"/>
            </w:tcBorders>
            <w:shd w:val="clear" w:color="auto" w:fill="CFD9E3" w:themeFill="accent1"/>
            <w:noWrap/>
            <w:vAlign w:val="center"/>
            <w:hideMark/>
          </w:tcPr>
          <w:p w14:paraId="2F563921" w14:textId="77777777" w:rsidR="00E16FAF" w:rsidRPr="00E16FAF" w:rsidRDefault="00E16FAF" w:rsidP="00E16FAF">
            <w:pPr>
              <w:jc w:val="right"/>
              <w:rPr>
                <w:rFonts w:eastAsia="Times New Roman"/>
                <w:color w:val="000000"/>
                <w:sz w:val="18"/>
                <w:szCs w:val="18"/>
              </w:rPr>
            </w:pPr>
            <w:r w:rsidRPr="00E16FAF">
              <w:rPr>
                <w:rFonts w:eastAsia="Times New Roman"/>
                <w:color w:val="000000"/>
                <w:sz w:val="18"/>
                <w:szCs w:val="18"/>
              </w:rPr>
              <w:t>4+ bedroom</w:t>
            </w:r>
          </w:p>
        </w:tc>
      </w:tr>
      <w:tr w:rsidR="00BF4DBD" w:rsidRPr="00E16FAF" w14:paraId="6A91A208" w14:textId="77777777" w:rsidTr="00E16FAF">
        <w:trPr>
          <w:trHeight w:val="402"/>
        </w:trPr>
        <w:tc>
          <w:tcPr>
            <w:tcW w:w="1795" w:type="dxa"/>
            <w:tcBorders>
              <w:top w:val="nil"/>
              <w:left w:val="single" w:sz="4" w:space="0" w:color="auto"/>
              <w:bottom w:val="single" w:sz="4" w:space="0" w:color="BFBFBF"/>
              <w:right w:val="single" w:sz="4" w:space="0" w:color="auto"/>
            </w:tcBorders>
            <w:shd w:val="clear" w:color="000000" w:fill="F2F2F2"/>
            <w:noWrap/>
            <w:vAlign w:val="center"/>
            <w:hideMark/>
          </w:tcPr>
          <w:p w14:paraId="6E08DCA2" w14:textId="4F028808" w:rsidR="00BF4DBD" w:rsidRPr="00E16FAF" w:rsidRDefault="00BF4DBD" w:rsidP="00BF4DBD">
            <w:pPr>
              <w:rPr>
                <w:rFonts w:eastAsia="Times New Roman"/>
                <w:color w:val="000000"/>
                <w:sz w:val="18"/>
                <w:szCs w:val="18"/>
              </w:rPr>
            </w:pPr>
            <w:r>
              <w:rPr>
                <w:color w:val="000000"/>
                <w:sz w:val="18"/>
                <w:szCs w:val="18"/>
              </w:rPr>
              <w:t xml:space="preserve">Very </w:t>
            </w:r>
            <w:r w:rsidR="005E6C37">
              <w:rPr>
                <w:color w:val="000000"/>
                <w:sz w:val="18"/>
                <w:szCs w:val="18"/>
              </w:rPr>
              <w:t>low</w:t>
            </w:r>
          </w:p>
        </w:tc>
        <w:tc>
          <w:tcPr>
            <w:tcW w:w="1080" w:type="dxa"/>
            <w:tcBorders>
              <w:top w:val="nil"/>
              <w:left w:val="nil"/>
              <w:bottom w:val="single" w:sz="4" w:space="0" w:color="BFBFBF"/>
              <w:right w:val="single" w:sz="4" w:space="0" w:color="auto"/>
            </w:tcBorders>
            <w:shd w:val="clear" w:color="000000" w:fill="F2F2F2"/>
            <w:noWrap/>
            <w:vAlign w:val="center"/>
            <w:hideMark/>
          </w:tcPr>
          <w:p w14:paraId="6505305B" w14:textId="2769893F" w:rsidR="00BF4DBD" w:rsidRPr="00E16FAF" w:rsidRDefault="00BF4DBD" w:rsidP="00BF4DBD">
            <w:pPr>
              <w:jc w:val="right"/>
              <w:rPr>
                <w:rFonts w:eastAsia="Times New Roman"/>
                <w:color w:val="000000"/>
                <w:sz w:val="18"/>
                <w:szCs w:val="18"/>
              </w:rPr>
            </w:pPr>
            <w:r>
              <w:rPr>
                <w:color w:val="000000"/>
                <w:sz w:val="18"/>
                <w:szCs w:val="18"/>
              </w:rPr>
              <w:t>0 - 25%</w:t>
            </w:r>
          </w:p>
        </w:tc>
        <w:tc>
          <w:tcPr>
            <w:tcW w:w="1296" w:type="dxa"/>
            <w:tcBorders>
              <w:top w:val="nil"/>
              <w:left w:val="nil"/>
              <w:bottom w:val="single" w:sz="4" w:space="0" w:color="BFBFBF"/>
              <w:right w:val="single" w:sz="4" w:space="0" w:color="BFBFBF"/>
            </w:tcBorders>
            <w:shd w:val="clear" w:color="000000" w:fill="F2F2F2"/>
            <w:noWrap/>
            <w:vAlign w:val="center"/>
            <w:hideMark/>
          </w:tcPr>
          <w:p w14:paraId="131CF67E" w14:textId="50459206" w:rsidR="00BF4DBD" w:rsidRPr="002B152F" w:rsidRDefault="00BF4DBD" w:rsidP="00BF4DBD">
            <w:pPr>
              <w:jc w:val="right"/>
              <w:rPr>
                <w:rFonts w:eastAsia="Times New Roman"/>
                <w:color w:val="C00000"/>
                <w:sz w:val="18"/>
                <w:szCs w:val="18"/>
              </w:rPr>
            </w:pPr>
            <w:r w:rsidRPr="002B152F">
              <w:rPr>
                <w:color w:val="C00000"/>
                <w:sz w:val="18"/>
                <w:szCs w:val="18"/>
              </w:rPr>
              <w:t>$256</w:t>
            </w:r>
          </w:p>
        </w:tc>
        <w:tc>
          <w:tcPr>
            <w:tcW w:w="1296" w:type="dxa"/>
            <w:tcBorders>
              <w:top w:val="nil"/>
              <w:left w:val="nil"/>
              <w:bottom w:val="single" w:sz="4" w:space="0" w:color="BFBFBF"/>
              <w:right w:val="single" w:sz="4" w:space="0" w:color="BFBFBF"/>
            </w:tcBorders>
            <w:shd w:val="clear" w:color="000000" w:fill="F2F2F2"/>
            <w:noWrap/>
            <w:vAlign w:val="center"/>
            <w:hideMark/>
          </w:tcPr>
          <w:p w14:paraId="5928F4AC" w14:textId="4B0CF274" w:rsidR="00BF4DBD" w:rsidRPr="002B152F" w:rsidRDefault="00BF4DBD" w:rsidP="00BF4DBD">
            <w:pPr>
              <w:jc w:val="right"/>
              <w:rPr>
                <w:rFonts w:eastAsia="Times New Roman"/>
                <w:color w:val="C00000"/>
                <w:sz w:val="18"/>
                <w:szCs w:val="18"/>
              </w:rPr>
            </w:pPr>
            <w:r w:rsidRPr="002B152F">
              <w:rPr>
                <w:color w:val="C00000"/>
                <w:sz w:val="18"/>
                <w:szCs w:val="18"/>
              </w:rPr>
              <w:t>$333</w:t>
            </w:r>
          </w:p>
        </w:tc>
        <w:tc>
          <w:tcPr>
            <w:tcW w:w="1296" w:type="dxa"/>
            <w:tcBorders>
              <w:top w:val="nil"/>
              <w:left w:val="nil"/>
              <w:bottom w:val="single" w:sz="4" w:space="0" w:color="BFBFBF"/>
              <w:right w:val="single" w:sz="4" w:space="0" w:color="BFBFBF"/>
            </w:tcBorders>
            <w:shd w:val="clear" w:color="000000" w:fill="F2F2F2"/>
            <w:noWrap/>
            <w:vAlign w:val="center"/>
            <w:hideMark/>
          </w:tcPr>
          <w:p w14:paraId="133F4D78" w14:textId="7C819751" w:rsidR="00BF4DBD" w:rsidRPr="002B152F" w:rsidRDefault="00BF4DBD" w:rsidP="00BF4DBD">
            <w:pPr>
              <w:jc w:val="right"/>
              <w:rPr>
                <w:rFonts w:eastAsia="Times New Roman"/>
                <w:color w:val="C00000"/>
                <w:sz w:val="18"/>
                <w:szCs w:val="18"/>
              </w:rPr>
            </w:pPr>
            <w:r w:rsidRPr="002B152F">
              <w:rPr>
                <w:color w:val="C00000"/>
                <w:sz w:val="18"/>
                <w:szCs w:val="18"/>
              </w:rPr>
              <w:t>$535</w:t>
            </w:r>
          </w:p>
        </w:tc>
        <w:tc>
          <w:tcPr>
            <w:tcW w:w="1296" w:type="dxa"/>
            <w:tcBorders>
              <w:top w:val="nil"/>
              <w:left w:val="nil"/>
              <w:bottom w:val="single" w:sz="4" w:space="0" w:color="BFBFBF"/>
              <w:right w:val="single" w:sz="4" w:space="0" w:color="BFBFBF"/>
            </w:tcBorders>
            <w:shd w:val="clear" w:color="000000" w:fill="F2F2F2"/>
            <w:noWrap/>
            <w:vAlign w:val="center"/>
            <w:hideMark/>
          </w:tcPr>
          <w:p w14:paraId="7E8BA60B" w14:textId="451DBEF6" w:rsidR="00BF4DBD" w:rsidRPr="002B152F" w:rsidRDefault="00BF4DBD" w:rsidP="00BF4DBD">
            <w:pPr>
              <w:jc w:val="right"/>
              <w:rPr>
                <w:rFonts w:eastAsia="Times New Roman"/>
                <w:color w:val="C00000"/>
                <w:sz w:val="18"/>
                <w:szCs w:val="18"/>
              </w:rPr>
            </w:pPr>
            <w:r w:rsidRPr="002B152F">
              <w:rPr>
                <w:color w:val="C00000"/>
                <w:sz w:val="18"/>
                <w:szCs w:val="18"/>
              </w:rPr>
              <w:t>$641</w:t>
            </w:r>
          </w:p>
        </w:tc>
        <w:tc>
          <w:tcPr>
            <w:tcW w:w="1296" w:type="dxa"/>
            <w:tcBorders>
              <w:top w:val="nil"/>
              <w:left w:val="nil"/>
              <w:bottom w:val="single" w:sz="4" w:space="0" w:color="BFBFBF"/>
              <w:right w:val="single" w:sz="4" w:space="0" w:color="auto"/>
            </w:tcBorders>
            <w:shd w:val="clear" w:color="000000" w:fill="F2F2F2"/>
            <w:noWrap/>
            <w:vAlign w:val="center"/>
            <w:hideMark/>
          </w:tcPr>
          <w:p w14:paraId="4E6DEFB4" w14:textId="57871C17" w:rsidR="00BF4DBD" w:rsidRPr="002B152F" w:rsidRDefault="00BF4DBD" w:rsidP="00BF4DBD">
            <w:pPr>
              <w:jc w:val="right"/>
              <w:rPr>
                <w:rFonts w:eastAsia="Times New Roman"/>
                <w:color w:val="C00000"/>
                <w:sz w:val="18"/>
                <w:szCs w:val="18"/>
              </w:rPr>
            </w:pPr>
            <w:r w:rsidRPr="002B152F">
              <w:rPr>
                <w:color w:val="C00000"/>
                <w:sz w:val="18"/>
                <w:szCs w:val="18"/>
              </w:rPr>
              <w:t>$1,094</w:t>
            </w:r>
          </w:p>
        </w:tc>
      </w:tr>
      <w:tr w:rsidR="00BF4DBD" w:rsidRPr="00E16FAF" w14:paraId="3B7D15C2" w14:textId="77777777" w:rsidTr="00E16FAF">
        <w:trPr>
          <w:trHeight w:val="402"/>
        </w:trPr>
        <w:tc>
          <w:tcPr>
            <w:tcW w:w="1795" w:type="dxa"/>
            <w:tcBorders>
              <w:top w:val="nil"/>
              <w:left w:val="single" w:sz="4" w:space="0" w:color="auto"/>
              <w:bottom w:val="single" w:sz="4" w:space="0" w:color="BFBFBF"/>
              <w:right w:val="single" w:sz="4" w:space="0" w:color="auto"/>
            </w:tcBorders>
            <w:noWrap/>
            <w:vAlign w:val="center"/>
            <w:hideMark/>
          </w:tcPr>
          <w:p w14:paraId="7001FE58" w14:textId="2F296EFA" w:rsidR="00BF4DBD" w:rsidRPr="00E16FAF" w:rsidRDefault="005E6C37" w:rsidP="00BF4DBD">
            <w:pPr>
              <w:rPr>
                <w:rFonts w:eastAsia="Times New Roman"/>
                <w:color w:val="000000"/>
                <w:sz w:val="18"/>
                <w:szCs w:val="18"/>
              </w:rPr>
            </w:pPr>
            <w:r>
              <w:rPr>
                <w:color w:val="000000"/>
                <w:sz w:val="18"/>
                <w:szCs w:val="18"/>
              </w:rPr>
              <w:t>Low</w:t>
            </w:r>
          </w:p>
        </w:tc>
        <w:tc>
          <w:tcPr>
            <w:tcW w:w="1080" w:type="dxa"/>
            <w:tcBorders>
              <w:top w:val="nil"/>
              <w:left w:val="nil"/>
              <w:bottom w:val="single" w:sz="4" w:space="0" w:color="BFBFBF"/>
              <w:right w:val="single" w:sz="4" w:space="0" w:color="auto"/>
            </w:tcBorders>
            <w:noWrap/>
            <w:vAlign w:val="center"/>
            <w:hideMark/>
          </w:tcPr>
          <w:p w14:paraId="17877653" w14:textId="4E4F3FA3" w:rsidR="00BF4DBD" w:rsidRPr="00E16FAF" w:rsidRDefault="00BF4DBD" w:rsidP="00BF4DBD">
            <w:pPr>
              <w:jc w:val="right"/>
              <w:rPr>
                <w:rFonts w:eastAsia="Times New Roman"/>
                <w:color w:val="000000"/>
                <w:sz w:val="18"/>
                <w:szCs w:val="18"/>
              </w:rPr>
            </w:pPr>
            <w:r>
              <w:rPr>
                <w:color w:val="000000"/>
                <w:sz w:val="18"/>
                <w:szCs w:val="18"/>
              </w:rPr>
              <w:t>26 - 50%</w:t>
            </w:r>
          </w:p>
        </w:tc>
        <w:tc>
          <w:tcPr>
            <w:tcW w:w="1296" w:type="dxa"/>
            <w:tcBorders>
              <w:top w:val="nil"/>
              <w:left w:val="nil"/>
              <w:bottom w:val="single" w:sz="4" w:space="0" w:color="BFBFBF"/>
              <w:right w:val="single" w:sz="4" w:space="0" w:color="BFBFBF"/>
            </w:tcBorders>
            <w:noWrap/>
            <w:vAlign w:val="center"/>
            <w:hideMark/>
          </w:tcPr>
          <w:p w14:paraId="42D30779" w14:textId="7EB6EE91" w:rsidR="00BF4DBD" w:rsidRPr="002B152F" w:rsidRDefault="00BF4DBD" w:rsidP="00BF4DBD">
            <w:pPr>
              <w:jc w:val="right"/>
              <w:rPr>
                <w:rFonts w:eastAsia="Times New Roman"/>
                <w:color w:val="C00000"/>
                <w:sz w:val="18"/>
                <w:szCs w:val="18"/>
              </w:rPr>
            </w:pPr>
            <w:r w:rsidRPr="002B152F">
              <w:rPr>
                <w:color w:val="C00000"/>
                <w:sz w:val="18"/>
                <w:szCs w:val="18"/>
              </w:rPr>
              <w:t>$512</w:t>
            </w:r>
          </w:p>
        </w:tc>
        <w:tc>
          <w:tcPr>
            <w:tcW w:w="1296" w:type="dxa"/>
            <w:tcBorders>
              <w:top w:val="nil"/>
              <w:left w:val="nil"/>
              <w:bottom w:val="single" w:sz="4" w:space="0" w:color="BFBFBF"/>
              <w:right w:val="single" w:sz="4" w:space="0" w:color="BFBFBF"/>
            </w:tcBorders>
            <w:noWrap/>
            <w:vAlign w:val="center"/>
            <w:hideMark/>
          </w:tcPr>
          <w:p w14:paraId="34D28513" w14:textId="38D39B1C" w:rsidR="00BF4DBD" w:rsidRPr="002B152F" w:rsidRDefault="00BF4DBD" w:rsidP="00BF4DBD">
            <w:pPr>
              <w:jc w:val="right"/>
              <w:rPr>
                <w:rFonts w:eastAsia="Times New Roman"/>
                <w:color w:val="C00000"/>
                <w:sz w:val="18"/>
                <w:szCs w:val="18"/>
              </w:rPr>
            </w:pPr>
            <w:r w:rsidRPr="002B152F">
              <w:rPr>
                <w:color w:val="C00000"/>
                <w:sz w:val="18"/>
                <w:szCs w:val="18"/>
              </w:rPr>
              <w:t>$666</w:t>
            </w:r>
          </w:p>
        </w:tc>
        <w:tc>
          <w:tcPr>
            <w:tcW w:w="1296" w:type="dxa"/>
            <w:tcBorders>
              <w:top w:val="nil"/>
              <w:left w:val="nil"/>
              <w:bottom w:val="single" w:sz="4" w:space="0" w:color="BFBFBF"/>
              <w:right w:val="single" w:sz="4" w:space="0" w:color="BFBFBF"/>
            </w:tcBorders>
            <w:noWrap/>
            <w:vAlign w:val="center"/>
            <w:hideMark/>
          </w:tcPr>
          <w:p w14:paraId="0B47F4C2" w14:textId="752CED2A" w:rsidR="00BF4DBD" w:rsidRPr="002B152F" w:rsidRDefault="00BF4DBD" w:rsidP="00BF4DBD">
            <w:pPr>
              <w:jc w:val="right"/>
              <w:rPr>
                <w:rFonts w:eastAsia="Times New Roman"/>
                <w:color w:val="C00000"/>
                <w:sz w:val="18"/>
                <w:szCs w:val="18"/>
              </w:rPr>
            </w:pPr>
            <w:r w:rsidRPr="002B152F">
              <w:rPr>
                <w:color w:val="C00000"/>
                <w:sz w:val="18"/>
                <w:szCs w:val="18"/>
              </w:rPr>
              <w:t>$1,070</w:t>
            </w:r>
          </w:p>
        </w:tc>
        <w:tc>
          <w:tcPr>
            <w:tcW w:w="1296" w:type="dxa"/>
            <w:tcBorders>
              <w:top w:val="nil"/>
              <w:left w:val="nil"/>
              <w:bottom w:val="single" w:sz="4" w:space="0" w:color="BFBFBF"/>
              <w:right w:val="single" w:sz="4" w:space="0" w:color="BFBFBF"/>
            </w:tcBorders>
            <w:noWrap/>
            <w:vAlign w:val="center"/>
            <w:hideMark/>
          </w:tcPr>
          <w:p w14:paraId="62857B8F" w14:textId="49B05500" w:rsidR="00BF4DBD" w:rsidRPr="002B152F" w:rsidRDefault="00BF4DBD" w:rsidP="00BF4DBD">
            <w:pPr>
              <w:jc w:val="right"/>
              <w:rPr>
                <w:rFonts w:eastAsia="Times New Roman"/>
                <w:color w:val="C00000"/>
                <w:sz w:val="18"/>
                <w:szCs w:val="18"/>
              </w:rPr>
            </w:pPr>
            <w:r w:rsidRPr="002B152F">
              <w:rPr>
                <w:color w:val="C00000"/>
                <w:sz w:val="18"/>
                <w:szCs w:val="18"/>
              </w:rPr>
              <w:t>$1,281</w:t>
            </w:r>
          </w:p>
        </w:tc>
        <w:tc>
          <w:tcPr>
            <w:tcW w:w="1296" w:type="dxa"/>
            <w:tcBorders>
              <w:top w:val="nil"/>
              <w:left w:val="nil"/>
              <w:bottom w:val="single" w:sz="4" w:space="0" w:color="BFBFBF"/>
              <w:right w:val="single" w:sz="4" w:space="0" w:color="auto"/>
            </w:tcBorders>
            <w:noWrap/>
            <w:vAlign w:val="center"/>
            <w:hideMark/>
          </w:tcPr>
          <w:p w14:paraId="35E208EC" w14:textId="4BF9BF03" w:rsidR="00BF4DBD" w:rsidRPr="002B152F" w:rsidRDefault="00BF4DBD" w:rsidP="00BF4DBD">
            <w:pPr>
              <w:jc w:val="right"/>
              <w:rPr>
                <w:rFonts w:eastAsia="Times New Roman"/>
                <w:color w:val="C00000"/>
                <w:sz w:val="18"/>
                <w:szCs w:val="18"/>
              </w:rPr>
            </w:pPr>
            <w:r w:rsidRPr="002B152F">
              <w:rPr>
                <w:color w:val="C00000"/>
                <w:sz w:val="18"/>
                <w:szCs w:val="18"/>
              </w:rPr>
              <w:t>$2,189</w:t>
            </w:r>
          </w:p>
        </w:tc>
      </w:tr>
      <w:tr w:rsidR="00BF4DBD" w:rsidRPr="00E16FAF" w14:paraId="43DE37EE" w14:textId="77777777" w:rsidTr="00E16FAF">
        <w:trPr>
          <w:trHeight w:val="402"/>
        </w:trPr>
        <w:tc>
          <w:tcPr>
            <w:tcW w:w="1795" w:type="dxa"/>
            <w:tcBorders>
              <w:top w:val="nil"/>
              <w:left w:val="single" w:sz="4" w:space="0" w:color="auto"/>
              <w:bottom w:val="single" w:sz="4" w:space="0" w:color="BFBFBF"/>
              <w:right w:val="single" w:sz="4" w:space="0" w:color="auto"/>
            </w:tcBorders>
            <w:shd w:val="clear" w:color="000000" w:fill="F2F2F2"/>
            <w:noWrap/>
            <w:vAlign w:val="center"/>
            <w:hideMark/>
          </w:tcPr>
          <w:p w14:paraId="48B88D04" w14:textId="63933F04" w:rsidR="00BF4DBD" w:rsidRPr="00E16FAF" w:rsidRDefault="00BF4DBD" w:rsidP="00BF4DBD">
            <w:pPr>
              <w:rPr>
                <w:rFonts w:eastAsia="Times New Roman"/>
                <w:color w:val="000000"/>
                <w:sz w:val="18"/>
                <w:szCs w:val="18"/>
              </w:rPr>
            </w:pPr>
            <w:r>
              <w:rPr>
                <w:color w:val="000000"/>
                <w:sz w:val="18"/>
                <w:szCs w:val="18"/>
              </w:rPr>
              <w:t>Moderate</w:t>
            </w:r>
          </w:p>
        </w:tc>
        <w:tc>
          <w:tcPr>
            <w:tcW w:w="1080" w:type="dxa"/>
            <w:tcBorders>
              <w:top w:val="nil"/>
              <w:left w:val="nil"/>
              <w:bottom w:val="single" w:sz="4" w:space="0" w:color="BFBFBF"/>
              <w:right w:val="single" w:sz="4" w:space="0" w:color="auto"/>
            </w:tcBorders>
            <w:shd w:val="clear" w:color="000000" w:fill="F2F2F2"/>
            <w:noWrap/>
            <w:vAlign w:val="center"/>
            <w:hideMark/>
          </w:tcPr>
          <w:p w14:paraId="6B06AE9D" w14:textId="0DA9498A" w:rsidR="00BF4DBD" w:rsidRPr="00E16FAF" w:rsidRDefault="00BF4DBD" w:rsidP="00BF4DBD">
            <w:pPr>
              <w:jc w:val="right"/>
              <w:rPr>
                <w:rFonts w:eastAsia="Times New Roman"/>
                <w:color w:val="000000"/>
                <w:sz w:val="18"/>
                <w:szCs w:val="18"/>
              </w:rPr>
            </w:pPr>
            <w:r>
              <w:rPr>
                <w:color w:val="000000"/>
                <w:sz w:val="18"/>
                <w:szCs w:val="18"/>
              </w:rPr>
              <w:t xml:space="preserve"> 51 - 75%</w:t>
            </w:r>
          </w:p>
        </w:tc>
        <w:tc>
          <w:tcPr>
            <w:tcW w:w="1296" w:type="dxa"/>
            <w:tcBorders>
              <w:top w:val="nil"/>
              <w:left w:val="nil"/>
              <w:bottom w:val="single" w:sz="4" w:space="0" w:color="BFBFBF"/>
              <w:right w:val="single" w:sz="4" w:space="0" w:color="BFBFBF"/>
            </w:tcBorders>
            <w:shd w:val="clear" w:color="000000" w:fill="F2F2F2"/>
            <w:noWrap/>
            <w:vAlign w:val="center"/>
            <w:hideMark/>
          </w:tcPr>
          <w:p w14:paraId="7A65A6E8" w14:textId="1859CAC0" w:rsidR="00BF4DBD" w:rsidRPr="002B152F" w:rsidRDefault="00BF4DBD" w:rsidP="00BF4DBD">
            <w:pPr>
              <w:jc w:val="right"/>
              <w:rPr>
                <w:rFonts w:eastAsia="Times New Roman"/>
                <w:color w:val="C00000"/>
                <w:sz w:val="18"/>
                <w:szCs w:val="18"/>
              </w:rPr>
            </w:pPr>
            <w:r w:rsidRPr="002B152F">
              <w:rPr>
                <w:color w:val="C00000"/>
                <w:sz w:val="18"/>
                <w:szCs w:val="18"/>
              </w:rPr>
              <w:t>$769</w:t>
            </w:r>
          </w:p>
        </w:tc>
        <w:tc>
          <w:tcPr>
            <w:tcW w:w="1296" w:type="dxa"/>
            <w:tcBorders>
              <w:top w:val="nil"/>
              <w:left w:val="nil"/>
              <w:bottom w:val="single" w:sz="4" w:space="0" w:color="BFBFBF"/>
              <w:right w:val="single" w:sz="4" w:space="0" w:color="BFBFBF"/>
            </w:tcBorders>
            <w:shd w:val="clear" w:color="000000" w:fill="F2F2F2"/>
            <w:noWrap/>
            <w:vAlign w:val="center"/>
            <w:hideMark/>
          </w:tcPr>
          <w:p w14:paraId="28C10573" w14:textId="4005EE82" w:rsidR="00BF4DBD" w:rsidRPr="002B152F" w:rsidRDefault="00BF4DBD" w:rsidP="00BF4DBD">
            <w:pPr>
              <w:jc w:val="right"/>
              <w:rPr>
                <w:rFonts w:eastAsia="Times New Roman"/>
                <w:color w:val="C00000"/>
                <w:sz w:val="18"/>
                <w:szCs w:val="18"/>
              </w:rPr>
            </w:pPr>
            <w:r w:rsidRPr="002B152F">
              <w:rPr>
                <w:color w:val="C00000"/>
                <w:sz w:val="18"/>
                <w:szCs w:val="18"/>
              </w:rPr>
              <w:t>$999</w:t>
            </w:r>
          </w:p>
        </w:tc>
        <w:tc>
          <w:tcPr>
            <w:tcW w:w="1296" w:type="dxa"/>
            <w:tcBorders>
              <w:top w:val="nil"/>
              <w:left w:val="nil"/>
              <w:bottom w:val="single" w:sz="4" w:space="0" w:color="BFBFBF"/>
              <w:right w:val="single" w:sz="4" w:space="0" w:color="BFBFBF"/>
            </w:tcBorders>
            <w:shd w:val="clear" w:color="000000" w:fill="F2F2F2"/>
            <w:noWrap/>
            <w:vAlign w:val="center"/>
            <w:hideMark/>
          </w:tcPr>
          <w:p w14:paraId="0FFAC74D" w14:textId="7B87A8CC" w:rsidR="00BF4DBD" w:rsidRPr="002B152F" w:rsidRDefault="00BF4DBD" w:rsidP="00BF4DBD">
            <w:pPr>
              <w:jc w:val="right"/>
              <w:rPr>
                <w:rFonts w:eastAsia="Times New Roman"/>
                <w:color w:val="C00000"/>
                <w:sz w:val="18"/>
                <w:szCs w:val="18"/>
              </w:rPr>
            </w:pPr>
            <w:r w:rsidRPr="002B152F">
              <w:rPr>
                <w:color w:val="C00000"/>
                <w:sz w:val="18"/>
                <w:szCs w:val="18"/>
              </w:rPr>
              <w:t>$1,605</w:t>
            </w:r>
          </w:p>
        </w:tc>
        <w:tc>
          <w:tcPr>
            <w:tcW w:w="1296" w:type="dxa"/>
            <w:tcBorders>
              <w:top w:val="nil"/>
              <w:left w:val="nil"/>
              <w:bottom w:val="single" w:sz="4" w:space="0" w:color="BFBFBF"/>
              <w:right w:val="single" w:sz="4" w:space="0" w:color="BFBFBF"/>
            </w:tcBorders>
            <w:shd w:val="clear" w:color="000000" w:fill="F2F2F2"/>
            <w:noWrap/>
            <w:vAlign w:val="center"/>
            <w:hideMark/>
          </w:tcPr>
          <w:p w14:paraId="22BC8321" w14:textId="70150A5C" w:rsidR="00BF4DBD" w:rsidRPr="002B152F" w:rsidRDefault="00BF4DBD" w:rsidP="00BF4DBD">
            <w:pPr>
              <w:jc w:val="right"/>
              <w:rPr>
                <w:rFonts w:eastAsia="Times New Roman"/>
                <w:color w:val="C00000"/>
                <w:sz w:val="18"/>
                <w:szCs w:val="18"/>
              </w:rPr>
            </w:pPr>
            <w:r w:rsidRPr="002B152F">
              <w:rPr>
                <w:color w:val="C00000"/>
                <w:sz w:val="18"/>
                <w:szCs w:val="18"/>
              </w:rPr>
              <w:t>$1,922</w:t>
            </w:r>
          </w:p>
        </w:tc>
        <w:tc>
          <w:tcPr>
            <w:tcW w:w="1296" w:type="dxa"/>
            <w:tcBorders>
              <w:top w:val="nil"/>
              <w:left w:val="nil"/>
              <w:bottom w:val="single" w:sz="4" w:space="0" w:color="BFBFBF"/>
              <w:right w:val="single" w:sz="4" w:space="0" w:color="auto"/>
            </w:tcBorders>
            <w:shd w:val="clear" w:color="000000" w:fill="F2F2F2"/>
            <w:noWrap/>
            <w:vAlign w:val="center"/>
            <w:hideMark/>
          </w:tcPr>
          <w:p w14:paraId="34FF5EA2" w14:textId="692FF264" w:rsidR="00BF4DBD" w:rsidRPr="002B152F" w:rsidRDefault="00BF4DBD" w:rsidP="00BF4DBD">
            <w:pPr>
              <w:jc w:val="right"/>
              <w:rPr>
                <w:rFonts w:eastAsia="Times New Roman"/>
                <w:color w:val="C00000"/>
                <w:sz w:val="18"/>
                <w:szCs w:val="18"/>
              </w:rPr>
            </w:pPr>
            <w:r w:rsidRPr="002B152F">
              <w:rPr>
                <w:color w:val="C00000"/>
                <w:sz w:val="18"/>
                <w:szCs w:val="18"/>
              </w:rPr>
              <w:t>$3,283</w:t>
            </w:r>
          </w:p>
        </w:tc>
      </w:tr>
      <w:tr w:rsidR="00BF4DBD" w:rsidRPr="00E16FAF" w14:paraId="6B86BBA4" w14:textId="77777777" w:rsidTr="00E16FAF">
        <w:trPr>
          <w:trHeight w:val="402"/>
        </w:trPr>
        <w:tc>
          <w:tcPr>
            <w:tcW w:w="1795" w:type="dxa"/>
            <w:tcBorders>
              <w:top w:val="nil"/>
              <w:left w:val="single" w:sz="4" w:space="0" w:color="auto"/>
              <w:bottom w:val="single" w:sz="4" w:space="0" w:color="auto"/>
              <w:right w:val="single" w:sz="4" w:space="0" w:color="auto"/>
            </w:tcBorders>
            <w:noWrap/>
            <w:vAlign w:val="center"/>
            <w:hideMark/>
          </w:tcPr>
          <w:p w14:paraId="3F147F73" w14:textId="22E56042" w:rsidR="00BF4DBD" w:rsidRPr="00E16FAF" w:rsidRDefault="00BF4DBD" w:rsidP="00BF4DBD">
            <w:pPr>
              <w:rPr>
                <w:rFonts w:eastAsia="Times New Roman"/>
                <w:color w:val="000000"/>
                <w:sz w:val="18"/>
                <w:szCs w:val="18"/>
              </w:rPr>
            </w:pPr>
            <w:r>
              <w:rPr>
                <w:color w:val="000000"/>
                <w:sz w:val="18"/>
                <w:szCs w:val="18"/>
              </w:rPr>
              <w:t>Median</w:t>
            </w:r>
          </w:p>
        </w:tc>
        <w:tc>
          <w:tcPr>
            <w:tcW w:w="1080" w:type="dxa"/>
            <w:tcBorders>
              <w:top w:val="nil"/>
              <w:left w:val="nil"/>
              <w:bottom w:val="single" w:sz="4" w:space="0" w:color="auto"/>
              <w:right w:val="single" w:sz="4" w:space="0" w:color="auto"/>
            </w:tcBorders>
            <w:noWrap/>
            <w:vAlign w:val="center"/>
            <w:hideMark/>
          </w:tcPr>
          <w:p w14:paraId="106A3E64" w14:textId="56E62059" w:rsidR="00BF4DBD" w:rsidRPr="00E16FAF" w:rsidRDefault="00BF4DBD" w:rsidP="00BF4DBD">
            <w:pPr>
              <w:jc w:val="right"/>
              <w:rPr>
                <w:rFonts w:eastAsia="Times New Roman"/>
                <w:color w:val="000000"/>
                <w:sz w:val="18"/>
                <w:szCs w:val="18"/>
              </w:rPr>
            </w:pPr>
            <w:r>
              <w:rPr>
                <w:color w:val="000000"/>
                <w:sz w:val="18"/>
                <w:szCs w:val="18"/>
              </w:rPr>
              <w:t>76 - 100%</w:t>
            </w:r>
          </w:p>
        </w:tc>
        <w:tc>
          <w:tcPr>
            <w:tcW w:w="1296" w:type="dxa"/>
            <w:tcBorders>
              <w:top w:val="nil"/>
              <w:left w:val="nil"/>
              <w:bottom w:val="single" w:sz="4" w:space="0" w:color="auto"/>
              <w:right w:val="single" w:sz="4" w:space="0" w:color="BFBFBF"/>
            </w:tcBorders>
            <w:noWrap/>
            <w:vAlign w:val="center"/>
            <w:hideMark/>
          </w:tcPr>
          <w:p w14:paraId="56E82D1C" w14:textId="5681BF9B" w:rsidR="00BF4DBD" w:rsidRPr="002B152F" w:rsidRDefault="00BF4DBD" w:rsidP="00BF4DBD">
            <w:pPr>
              <w:jc w:val="right"/>
              <w:rPr>
                <w:rFonts w:eastAsia="Times New Roman"/>
                <w:color w:val="C00000"/>
                <w:sz w:val="18"/>
                <w:szCs w:val="18"/>
              </w:rPr>
            </w:pPr>
            <w:r w:rsidRPr="002B152F">
              <w:rPr>
                <w:color w:val="C00000"/>
                <w:sz w:val="18"/>
                <w:szCs w:val="18"/>
              </w:rPr>
              <w:t>$1,025</w:t>
            </w:r>
          </w:p>
        </w:tc>
        <w:tc>
          <w:tcPr>
            <w:tcW w:w="1296" w:type="dxa"/>
            <w:tcBorders>
              <w:top w:val="nil"/>
              <w:left w:val="nil"/>
              <w:bottom w:val="single" w:sz="4" w:space="0" w:color="auto"/>
              <w:right w:val="single" w:sz="4" w:space="0" w:color="BFBFBF"/>
            </w:tcBorders>
            <w:noWrap/>
            <w:vAlign w:val="center"/>
            <w:hideMark/>
          </w:tcPr>
          <w:p w14:paraId="24178083" w14:textId="08A04323" w:rsidR="00BF4DBD" w:rsidRPr="002B152F" w:rsidRDefault="00BF4DBD" w:rsidP="00BF4DBD">
            <w:pPr>
              <w:jc w:val="right"/>
              <w:rPr>
                <w:rFonts w:eastAsia="Times New Roman"/>
                <w:color w:val="C00000"/>
                <w:sz w:val="18"/>
                <w:szCs w:val="18"/>
              </w:rPr>
            </w:pPr>
            <w:r w:rsidRPr="002B152F">
              <w:rPr>
                <w:color w:val="C00000"/>
                <w:sz w:val="18"/>
                <w:szCs w:val="18"/>
              </w:rPr>
              <w:t>$1,333</w:t>
            </w:r>
          </w:p>
        </w:tc>
        <w:tc>
          <w:tcPr>
            <w:tcW w:w="1296" w:type="dxa"/>
            <w:tcBorders>
              <w:top w:val="nil"/>
              <w:left w:val="nil"/>
              <w:bottom w:val="single" w:sz="4" w:space="0" w:color="auto"/>
              <w:right w:val="single" w:sz="4" w:space="0" w:color="BFBFBF"/>
            </w:tcBorders>
            <w:noWrap/>
            <w:vAlign w:val="center"/>
            <w:hideMark/>
          </w:tcPr>
          <w:p w14:paraId="34A9E64D" w14:textId="2DFBF80B" w:rsidR="00BF4DBD" w:rsidRPr="002B152F" w:rsidRDefault="00BF4DBD" w:rsidP="00BF4DBD">
            <w:pPr>
              <w:jc w:val="right"/>
              <w:rPr>
                <w:rFonts w:eastAsia="Times New Roman"/>
                <w:color w:val="C00000"/>
                <w:sz w:val="18"/>
                <w:szCs w:val="18"/>
              </w:rPr>
            </w:pPr>
            <w:r w:rsidRPr="002B152F">
              <w:rPr>
                <w:color w:val="C00000"/>
                <w:sz w:val="18"/>
                <w:szCs w:val="18"/>
              </w:rPr>
              <w:t>$2,140</w:t>
            </w:r>
          </w:p>
        </w:tc>
        <w:tc>
          <w:tcPr>
            <w:tcW w:w="1296" w:type="dxa"/>
            <w:tcBorders>
              <w:top w:val="nil"/>
              <w:left w:val="nil"/>
              <w:bottom w:val="single" w:sz="4" w:space="0" w:color="auto"/>
              <w:right w:val="single" w:sz="4" w:space="0" w:color="BFBFBF"/>
            </w:tcBorders>
            <w:noWrap/>
            <w:vAlign w:val="center"/>
            <w:hideMark/>
          </w:tcPr>
          <w:p w14:paraId="74F4E11A" w14:textId="3EDCC28E" w:rsidR="00BF4DBD" w:rsidRPr="002B152F" w:rsidRDefault="00BF4DBD" w:rsidP="00BF4DBD">
            <w:pPr>
              <w:jc w:val="right"/>
              <w:rPr>
                <w:rFonts w:eastAsia="Times New Roman"/>
                <w:color w:val="C00000"/>
                <w:sz w:val="18"/>
                <w:szCs w:val="18"/>
              </w:rPr>
            </w:pPr>
            <w:r w:rsidRPr="002B152F">
              <w:rPr>
                <w:color w:val="C00000"/>
                <w:sz w:val="18"/>
                <w:szCs w:val="18"/>
              </w:rPr>
              <w:t>$2,562</w:t>
            </w:r>
          </w:p>
        </w:tc>
        <w:tc>
          <w:tcPr>
            <w:tcW w:w="1296" w:type="dxa"/>
            <w:tcBorders>
              <w:top w:val="nil"/>
              <w:left w:val="nil"/>
              <w:bottom w:val="single" w:sz="4" w:space="0" w:color="auto"/>
              <w:right w:val="single" w:sz="4" w:space="0" w:color="auto"/>
            </w:tcBorders>
            <w:noWrap/>
            <w:vAlign w:val="center"/>
            <w:hideMark/>
          </w:tcPr>
          <w:p w14:paraId="716C8712" w14:textId="18AA5C4B" w:rsidR="00BF4DBD" w:rsidRPr="002B152F" w:rsidRDefault="00BF4DBD" w:rsidP="00BF4DBD">
            <w:pPr>
              <w:jc w:val="right"/>
              <w:rPr>
                <w:rFonts w:eastAsia="Times New Roman"/>
                <w:color w:val="C00000"/>
                <w:sz w:val="18"/>
                <w:szCs w:val="18"/>
              </w:rPr>
            </w:pPr>
            <w:r w:rsidRPr="002B152F">
              <w:rPr>
                <w:color w:val="C00000"/>
                <w:sz w:val="18"/>
                <w:szCs w:val="18"/>
              </w:rPr>
              <w:t>$4,378</w:t>
            </w:r>
          </w:p>
        </w:tc>
      </w:tr>
    </w:tbl>
    <w:p w14:paraId="72DAF7FE" w14:textId="4FA4F73B" w:rsidR="0018483D" w:rsidRDefault="009C15F5" w:rsidP="00A3256B">
      <w:pPr>
        <w:pStyle w:val="Source"/>
      </w:pPr>
      <w:r>
        <w:t xml:space="preserve">Source: derived from </w:t>
      </w:r>
      <w:r w:rsidR="00B77E95">
        <w:t xml:space="preserve">Statistics Canada Table 98-10-0057 and </w:t>
      </w:r>
      <w:r w:rsidR="002F2274">
        <w:t xml:space="preserve">Government of Canada </w:t>
      </w:r>
      <w:r w:rsidR="002F2274">
        <w:rPr>
          <w:rStyle w:val="FootnoteReference"/>
        </w:rPr>
        <w:footnoteReference w:id="17"/>
      </w:r>
    </w:p>
    <w:p w14:paraId="2FDFDE3E" w14:textId="77777777" w:rsidR="0018483D" w:rsidRPr="00A10C85" w:rsidRDefault="0018483D" w:rsidP="003E338D"/>
    <w:p w14:paraId="4B9C8C74" w14:textId="0A892E09" w:rsidR="00DC7DE7" w:rsidRDefault="00DC7DE7" w:rsidP="00DC7DE7">
      <w:pPr>
        <w:jc w:val="both"/>
      </w:pPr>
      <w:r>
        <w:t xml:space="preserve">The rent thresholds define the upper limit of what BCH considers affordable for each income group and unit size, and should be read against local market rents to assess the depth of subsidy or cost reduction required to serve each income tier through a BCH-eligible project. Where the gap between a BCH threshold and the prevailing average market rent for a given unit size is large, </w:t>
      </w:r>
      <w:r>
        <w:lastRenderedPageBreak/>
        <w:t>the community faces a financing challenge</w:t>
      </w:r>
      <w:r w:rsidR="00B03B42">
        <w:t>. D</w:t>
      </w:r>
      <w:r>
        <w:t>elivering units at those rent levels requires either deep capital subsidy, operating support, or both, and is unlikely to be achievable through private development alone</w:t>
      </w:r>
      <w:r w:rsidR="00B03B42">
        <w:t>,</w:t>
      </w:r>
      <w:r>
        <w:t xml:space="preserve"> even with BCH financing tools. The most important comparisons to make are for the very </w:t>
      </w:r>
      <w:r w:rsidR="00055EBB">
        <w:t xml:space="preserve">low- and </w:t>
      </w:r>
      <w:r w:rsidR="00CF47AF">
        <w:t>low-</w:t>
      </w:r>
      <w:r>
        <w:t>income tiers, as these represent the households with the most acute unmet need and the widest gap between what they can afford and what the market delivers.</w:t>
      </w:r>
    </w:p>
    <w:p w14:paraId="791A0A2C" w14:textId="77777777" w:rsidR="00DC7DE7" w:rsidRDefault="00DC7DE7" w:rsidP="00DC7DE7">
      <w:pPr>
        <w:jc w:val="both"/>
      </w:pPr>
    </w:p>
    <w:p w14:paraId="3A4433FF" w14:textId="24063D55" w:rsidR="0043538E" w:rsidRDefault="00DC7DE7" w:rsidP="00DC7DE7">
      <w:pPr>
        <w:jc w:val="both"/>
      </w:pPr>
      <w:r>
        <w:t>The distribution of thresholds across unit sizes reveals a structural constraint that is easy to overlook</w:t>
      </w:r>
      <w:r w:rsidR="009A7106">
        <w:t>. T</w:t>
      </w:r>
      <w:r>
        <w:t>he absolute dollar amount that a very low</w:t>
      </w:r>
      <w:r w:rsidR="00CF47AF">
        <w:t>-</w:t>
      </w:r>
      <w:r>
        <w:t xml:space="preserve"> or low</w:t>
      </w:r>
      <w:r w:rsidR="00CF47AF">
        <w:t>-</w:t>
      </w:r>
      <w:r>
        <w:t>income household can afford increases with unit size, but it does so because larger unit sizes imply more occupants, not because individual incomes are higher. For small households (e.g., single persons and childless couples), the relevant thresholds are those for studios and one-bedroom units, where BCH affordability ceilings are lowest in absolute terms. For larger households (e.g., families with children and multi-generational households), the relevant thresholds may be for two-</w:t>
      </w:r>
      <w:r w:rsidR="005E5310">
        <w:t>or-more</w:t>
      </w:r>
      <w:r>
        <w:t xml:space="preserve">-units, where ceilings are higher but so are market rents, often by a proportionally larger margin. </w:t>
      </w:r>
    </w:p>
    <w:p w14:paraId="60A70470" w14:textId="77777777" w:rsidR="009C3E6B" w:rsidRDefault="009C3E6B"/>
    <w:p w14:paraId="0D461335" w14:textId="2C805C12" w:rsidR="0050474C" w:rsidRDefault="0050474C" w:rsidP="0050474C">
      <w:pPr>
        <w:pStyle w:val="Heading2"/>
      </w:pPr>
      <w:bookmarkStart w:id="123" w:name="_Toc237355964"/>
      <w:r>
        <w:t>POST-SECONDARY STUDENTS</w:t>
      </w:r>
      <w:bookmarkEnd w:id="123"/>
    </w:p>
    <w:p w14:paraId="55A873A1" w14:textId="77777777" w:rsidR="0043538E" w:rsidRDefault="0043538E"/>
    <w:tbl>
      <w:tblPr>
        <w:tblStyle w:val="TableGrid"/>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5"/>
      </w:tblGrid>
      <w:tr w:rsidR="00600CEC" w:rsidRPr="00500457" w14:paraId="3FB3B990" w14:textId="77777777" w:rsidTr="009511DC">
        <w:trPr>
          <w:trHeight w:val="386"/>
        </w:trPr>
        <w:tc>
          <w:tcPr>
            <w:tcW w:w="9355" w:type="dxa"/>
            <w:shd w:val="clear" w:color="auto" w:fill="C00000"/>
            <w:vAlign w:val="center"/>
          </w:tcPr>
          <w:p w14:paraId="4DA14A7F" w14:textId="77777777" w:rsidR="00600CEC" w:rsidRPr="00C02E3D" w:rsidRDefault="00600CEC" w:rsidP="00DE66E0">
            <w:pPr>
              <w:rPr>
                <w:color w:val="FFFFFF" w:themeColor="background1"/>
                <w:sz w:val="20"/>
                <w:szCs w:val="20"/>
              </w:rPr>
            </w:pPr>
            <w:r w:rsidRPr="00C02E3D">
              <w:rPr>
                <w:color w:val="FFFFFF" w:themeColor="background1"/>
                <w:sz w:val="20"/>
                <w:szCs w:val="20"/>
              </w:rPr>
              <w:t>Note for user</w:t>
            </w:r>
          </w:p>
        </w:tc>
      </w:tr>
      <w:tr w:rsidR="00600CEC" w:rsidRPr="00500457" w14:paraId="21599C32" w14:textId="77777777" w:rsidTr="009511DC">
        <w:trPr>
          <w:trHeight w:val="3779"/>
        </w:trPr>
        <w:tc>
          <w:tcPr>
            <w:tcW w:w="9355" w:type="dxa"/>
            <w:shd w:val="clear" w:color="auto" w:fill="FFC9C9"/>
            <w:vAlign w:val="center"/>
          </w:tcPr>
          <w:p w14:paraId="225A7C20" w14:textId="77777777" w:rsidR="00E8376A" w:rsidRDefault="00704F4C" w:rsidP="00704F4C">
            <w:pPr>
              <w:rPr>
                <w:sz w:val="20"/>
                <w:szCs w:val="20"/>
              </w:rPr>
            </w:pPr>
            <w:r w:rsidRPr="00704F4C">
              <w:rPr>
                <w:sz w:val="20"/>
                <w:szCs w:val="20"/>
              </w:rPr>
              <w:t xml:space="preserve">Post-secondary students represent a distinct segment of housing demand that is often undercounted or poorly captured by standard data sources. Unlike other population groups, there is no established methodology for measuring student housing need; doing so </w:t>
            </w:r>
            <w:r>
              <w:rPr>
                <w:sz w:val="20"/>
                <w:szCs w:val="20"/>
              </w:rPr>
              <w:t xml:space="preserve">effectively </w:t>
            </w:r>
            <w:r w:rsidRPr="00704F4C">
              <w:rPr>
                <w:sz w:val="20"/>
                <w:szCs w:val="20"/>
              </w:rPr>
              <w:t xml:space="preserve">requires a combination of direct consultation with local post-secondary institutions and access to institution-specific data, including current and projected enrolment figures, on-campus housing capacity and occupancy, and the share of students who rely on the private market for accommodation. </w:t>
            </w:r>
          </w:p>
          <w:p w14:paraId="593B384C" w14:textId="77777777" w:rsidR="00E8376A" w:rsidRDefault="00E8376A" w:rsidP="00704F4C">
            <w:pPr>
              <w:rPr>
                <w:sz w:val="20"/>
                <w:szCs w:val="20"/>
              </w:rPr>
            </w:pPr>
          </w:p>
          <w:p w14:paraId="336FA1E5" w14:textId="090C7D30" w:rsidR="00600CEC" w:rsidRDefault="00704F4C" w:rsidP="00E8376A">
            <w:pPr>
              <w:rPr>
                <w:sz w:val="20"/>
                <w:szCs w:val="20"/>
              </w:rPr>
            </w:pPr>
            <w:r w:rsidRPr="00704F4C">
              <w:rPr>
                <w:sz w:val="20"/>
                <w:szCs w:val="20"/>
              </w:rPr>
              <w:t xml:space="preserve">Where such relationships and data are not available or cannot be established, the analysis in this section will be necessarily limited. Some guidance on approaches to measuring student housing demand is provided in the </w:t>
            </w:r>
            <w:r w:rsidR="00E8376A" w:rsidRPr="00A207F2">
              <w:rPr>
                <w:b/>
                <w:bCs/>
                <w:sz w:val="20"/>
                <w:szCs w:val="20"/>
              </w:rPr>
              <w:t>Guidebook – Community HNA</w:t>
            </w:r>
            <w:r w:rsidRPr="00704F4C">
              <w:rPr>
                <w:sz w:val="20"/>
                <w:szCs w:val="20"/>
              </w:rPr>
              <w:t>; however, given the variability in institutional data availability and the absence of a standardized national methodology, practitioners should treat that guidance as a starting point rather than a definitive framework.</w:t>
            </w:r>
          </w:p>
          <w:p w14:paraId="06CBE33D" w14:textId="77777777" w:rsidR="00E8376A" w:rsidRDefault="00E8376A" w:rsidP="00E8376A">
            <w:pPr>
              <w:rPr>
                <w:sz w:val="20"/>
                <w:szCs w:val="20"/>
              </w:rPr>
            </w:pPr>
          </w:p>
          <w:p w14:paraId="3D528232" w14:textId="6927D80A" w:rsidR="00E8376A" w:rsidRDefault="00E8376A" w:rsidP="00E8376A">
            <w:pPr>
              <w:rPr>
                <w:sz w:val="20"/>
                <w:szCs w:val="20"/>
              </w:rPr>
            </w:pPr>
            <w:r w:rsidRPr="00704F4C">
              <w:rPr>
                <w:sz w:val="20"/>
                <w:szCs w:val="20"/>
              </w:rPr>
              <w:t xml:space="preserve">Communities without a post-secondary institution in or near their housing market area may delete this section as not applicable. </w:t>
            </w:r>
          </w:p>
        </w:tc>
      </w:tr>
    </w:tbl>
    <w:p w14:paraId="4FFDDEB1" w14:textId="77777777" w:rsidR="00600CEC" w:rsidRDefault="00600CEC" w:rsidP="00600CEC">
      <w:pPr>
        <w:sectPr w:rsidR="00600CEC">
          <w:headerReference w:type="default" r:id="rId22"/>
          <w:footerReference w:type="default" r:id="rId23"/>
          <w:pgSz w:w="12240" w:h="15840"/>
          <w:pgMar w:top="1440" w:right="1440" w:bottom="1440" w:left="1440" w:header="708" w:footer="708" w:gutter="0"/>
          <w:cols w:space="720"/>
          <w:docGrid w:linePitch="360"/>
        </w:sectPr>
      </w:pPr>
    </w:p>
    <w:p w14:paraId="5954FA73" w14:textId="1660DF76" w:rsidR="0043538E" w:rsidRDefault="004608FD" w:rsidP="004608FD">
      <w:pPr>
        <w:pStyle w:val="Heading1"/>
      </w:pPr>
      <w:bookmarkStart w:id="124" w:name="_Toc223686663"/>
      <w:bookmarkStart w:id="125" w:name="_Toc237355965"/>
      <w:r>
        <w:lastRenderedPageBreak/>
        <w:t>APPENDICES</w:t>
      </w:r>
      <w:bookmarkEnd w:id="124"/>
      <w:bookmarkEnd w:id="125"/>
    </w:p>
    <w:p w14:paraId="4EA131D8" w14:textId="77777777" w:rsidR="00DA24F7" w:rsidRDefault="00DA24F7" w:rsidP="0066194B"/>
    <w:p w14:paraId="464A1764" w14:textId="77777777" w:rsidR="0066194B" w:rsidRPr="0066194B" w:rsidRDefault="0066194B" w:rsidP="0066194B">
      <w:pPr>
        <w:jc w:val="both"/>
      </w:pPr>
      <w:r w:rsidRPr="0066194B">
        <w:t>The following appendices contain the complete required data tables as specified by the federal government for funding applications / programs, such as the Housing Accelerator Fund and Build Communities Strong Fund.</w:t>
      </w:r>
    </w:p>
    <w:p w14:paraId="0BD4B820" w14:textId="77777777" w:rsidR="00DA24F7" w:rsidRDefault="00DA24F7" w:rsidP="00DA24F7">
      <w:pPr>
        <w:jc w:val="both"/>
      </w:pPr>
    </w:p>
    <w:p w14:paraId="3ECD9AAC" w14:textId="17FD8E87" w:rsidR="0043538E" w:rsidRDefault="004608FD" w:rsidP="00B308B2">
      <w:pPr>
        <w:pStyle w:val="Heading2"/>
        <w:numPr>
          <w:ilvl w:val="0"/>
          <w:numId w:val="0"/>
        </w:numPr>
        <w:ind w:left="720" w:hanging="720"/>
      </w:pPr>
      <w:bookmarkStart w:id="126" w:name="_Toc223686664"/>
      <w:bookmarkStart w:id="127" w:name="_Toc237355966"/>
      <w:r>
        <w:t>APPENDIX A: Federal Template Data Tables</w:t>
      </w:r>
      <w:bookmarkEnd w:id="126"/>
      <w:bookmarkEnd w:id="127"/>
    </w:p>
    <w:p w14:paraId="34EFE049" w14:textId="77777777" w:rsidR="00A94ECD" w:rsidRDefault="00A94ECD" w:rsidP="00A94ECD"/>
    <w:p w14:paraId="201FCADA" w14:textId="1ACF09A9" w:rsidR="00A94ECD" w:rsidRPr="00A94ECD" w:rsidRDefault="00A94ECD" w:rsidP="00A94ECD">
      <w:pPr>
        <w:rPr>
          <w:b/>
          <w:bCs/>
        </w:rPr>
      </w:pPr>
      <w:r w:rsidRPr="00A94ECD">
        <w:rPr>
          <w:b/>
          <w:bCs/>
        </w:rPr>
        <w:t>Table 2.2.1: Population</w:t>
      </w:r>
    </w:p>
    <w:p w14:paraId="3DA1D2D1" w14:textId="77777777" w:rsidR="00A94ECD" w:rsidRDefault="00A94ECD" w:rsidP="00A94ECD"/>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A94ECD" w:rsidRPr="00A94ECD" w14:paraId="577BBA7F"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A2CC9D1" w14:textId="77777777" w:rsidR="00A94ECD" w:rsidRPr="00A94ECD" w:rsidRDefault="00A94ECD">
            <w:pPr>
              <w:rPr>
                <w:sz w:val="18"/>
                <w:szCs w:val="18"/>
              </w:rPr>
            </w:pPr>
            <w:r w:rsidRPr="00A94ECD">
              <w:rPr>
                <w:color w:val="FFFFFF"/>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03472A1A" w14:textId="77777777" w:rsidR="00A94ECD" w:rsidRPr="00A94ECD" w:rsidRDefault="00A94ECD" w:rsidP="00A94ECD">
            <w:pPr>
              <w:rPr>
                <w:sz w:val="18"/>
                <w:szCs w:val="18"/>
              </w:rPr>
            </w:pPr>
            <w:r w:rsidRPr="00A94ECD">
              <w:rPr>
                <w:color w:val="FFFFFF" w:themeColor="background1"/>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Pr>
          <w:p w14:paraId="58769130" w14:textId="72665A0B" w:rsidR="00A94ECD" w:rsidRPr="00B00A36" w:rsidRDefault="00A94ECD" w:rsidP="00A15493">
            <w:pPr>
              <w:ind w:left="76"/>
              <w:rPr>
                <w:sz w:val="18"/>
                <w:szCs w:val="18"/>
              </w:rPr>
            </w:pPr>
            <w:r w:rsidRPr="00A15493">
              <w:rPr>
                <w:color w:val="FFFFFF" w:themeColor="background1"/>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C26CC62" w14:textId="66FA439E" w:rsidR="00A94ECD" w:rsidRPr="00A94ECD" w:rsidRDefault="00A94ECD" w:rsidP="00A94ECD">
            <w:pPr>
              <w:jc w:val="right"/>
              <w:rPr>
                <w:sz w:val="18"/>
                <w:szCs w:val="18"/>
              </w:rPr>
            </w:pPr>
            <w:r>
              <w:rPr>
                <w:color w:val="FFFFFF"/>
                <w:sz w:val="18"/>
                <w:szCs w:val="18"/>
              </w:rPr>
              <w:t>Value</w:t>
            </w:r>
          </w:p>
        </w:tc>
      </w:tr>
      <w:tr w:rsidR="00A94ECD" w:rsidRPr="00A94ECD" w14:paraId="05876BE5"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0AE8463" w14:textId="65F9434C" w:rsidR="00A94ECD" w:rsidRPr="00A94ECD" w:rsidRDefault="00A94ECD">
            <w:pPr>
              <w:spacing w:before="20" w:after="20"/>
              <w:rPr>
                <w:sz w:val="18"/>
                <w:szCs w:val="18"/>
              </w:rPr>
            </w:pPr>
            <w:r w:rsidRPr="00A94ECD">
              <w:rPr>
                <w:color w:val="000000"/>
                <w:sz w:val="18"/>
                <w:szCs w:val="18"/>
              </w:rPr>
              <w:t xml:space="preserve">Total population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219932D" w14:textId="24769FCA" w:rsidR="00A94ECD" w:rsidRPr="00A94ECD" w:rsidRDefault="00A94ECD" w:rsidP="00A94ECD">
            <w:pPr>
              <w:spacing w:before="20" w:after="20"/>
              <w:rPr>
                <w:sz w:val="18"/>
                <w:szCs w:val="18"/>
              </w:rPr>
            </w:pPr>
            <w:r>
              <w:rPr>
                <w:color w:val="000000"/>
                <w:sz w:val="18"/>
                <w:szCs w:val="18"/>
              </w:rPr>
              <w:t>2016</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5B9DE13" w14:textId="345E47B6"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A2FC438" w14:textId="1B43338C" w:rsidR="00A94ECD" w:rsidRPr="00A94ECD" w:rsidRDefault="00B00A36" w:rsidP="00A94ECD">
            <w:pPr>
              <w:spacing w:before="20" w:after="20"/>
              <w:jc w:val="right"/>
              <w:rPr>
                <w:sz w:val="18"/>
                <w:szCs w:val="18"/>
              </w:rPr>
            </w:pPr>
            <w:r>
              <w:rPr>
                <w:color w:val="000000"/>
                <w:sz w:val="18"/>
                <w:szCs w:val="18"/>
              </w:rPr>
              <w:t>36,095</w:t>
            </w:r>
          </w:p>
        </w:tc>
      </w:tr>
      <w:tr w:rsidR="00A94ECD" w:rsidRPr="00A94ECD" w14:paraId="2FF6F353"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742E89D" w14:textId="07323A51" w:rsidR="00A94ECD" w:rsidRPr="00A94ECD" w:rsidRDefault="00A94ECD">
            <w:pPr>
              <w:spacing w:before="20" w:after="20"/>
              <w:rPr>
                <w:sz w:val="18"/>
                <w:szCs w:val="18"/>
              </w:rPr>
            </w:pPr>
            <w:r w:rsidRPr="00A94ECD">
              <w:rPr>
                <w:color w:val="000000"/>
                <w:sz w:val="18"/>
                <w:szCs w:val="18"/>
              </w:rPr>
              <w:t xml:space="preserv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CE2A043" w14:textId="2229CF63" w:rsidR="00A94ECD" w:rsidRPr="00A94ECD" w:rsidRDefault="00A94ECD" w:rsidP="00A94ECD">
            <w:pPr>
              <w:spacing w:before="20" w:after="20"/>
              <w:rPr>
                <w:sz w:val="18"/>
                <w:szCs w:val="18"/>
              </w:rPr>
            </w:pPr>
            <w:r>
              <w:rPr>
                <w:color w:val="000000"/>
                <w:sz w:val="18"/>
                <w:szCs w:val="18"/>
              </w:rPr>
              <w:t>2021</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92108B1" w14:textId="30709ACE"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D2AD9EB" w14:textId="04B62014" w:rsidR="00A94ECD" w:rsidRPr="00A94ECD" w:rsidRDefault="00B00A36" w:rsidP="00A94ECD">
            <w:pPr>
              <w:spacing w:before="20" w:after="20"/>
              <w:jc w:val="right"/>
              <w:rPr>
                <w:sz w:val="18"/>
                <w:szCs w:val="18"/>
              </w:rPr>
            </w:pPr>
            <w:r>
              <w:rPr>
                <w:color w:val="000000"/>
                <w:sz w:val="18"/>
                <w:szCs w:val="18"/>
              </w:rPr>
              <w:t>38,810</w:t>
            </w:r>
          </w:p>
        </w:tc>
      </w:tr>
      <w:tr w:rsidR="00A94ECD" w:rsidRPr="00A94ECD" w14:paraId="19393470"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FE180A9" w14:textId="4E13073F" w:rsidR="00A94ECD" w:rsidRPr="00A94ECD" w:rsidRDefault="00A94ECD">
            <w:pPr>
              <w:spacing w:before="20" w:after="20"/>
              <w:rPr>
                <w:sz w:val="18"/>
                <w:szCs w:val="18"/>
              </w:rPr>
            </w:pPr>
            <w:r w:rsidRPr="00A94ECD">
              <w:rPr>
                <w:color w:val="000000"/>
                <w:sz w:val="18"/>
                <w:szCs w:val="18"/>
              </w:rPr>
              <w:t>Population growth</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9118E23" w14:textId="524ADE66" w:rsidR="00A94ECD" w:rsidRPr="00A94ECD" w:rsidRDefault="00A94ECD" w:rsidP="00A94ECD">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89A03F9" w14:textId="26A0452D"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186BE24" w14:textId="774AD8FE" w:rsidR="00A94ECD" w:rsidRPr="00A94ECD" w:rsidRDefault="00B00A36" w:rsidP="00A94ECD">
            <w:pPr>
              <w:spacing w:before="20" w:after="20"/>
              <w:jc w:val="right"/>
              <w:rPr>
                <w:sz w:val="18"/>
                <w:szCs w:val="18"/>
              </w:rPr>
            </w:pPr>
            <w:r>
              <w:rPr>
                <w:color w:val="000000"/>
                <w:sz w:val="18"/>
                <w:szCs w:val="18"/>
              </w:rPr>
              <w:t>2,715</w:t>
            </w:r>
          </w:p>
        </w:tc>
      </w:tr>
      <w:tr w:rsidR="00A94ECD" w:rsidRPr="00A94ECD" w14:paraId="2B770A60"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29D597F" w14:textId="21F19CF8" w:rsidR="00A94ECD" w:rsidRPr="00A94ECD" w:rsidRDefault="00B00A36">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97F2871" w14:textId="50E175B3" w:rsidR="00A94ECD" w:rsidRPr="00A94ECD" w:rsidRDefault="00A94ECD" w:rsidP="00A94ECD">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1EF6CB0" w14:textId="1A0160C8"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E3F3F96" w14:textId="60E3256E" w:rsidR="00A94ECD" w:rsidRPr="00A94ECD" w:rsidRDefault="00B00A36" w:rsidP="00A94ECD">
            <w:pPr>
              <w:spacing w:before="20" w:after="20"/>
              <w:jc w:val="right"/>
              <w:rPr>
                <w:sz w:val="18"/>
                <w:szCs w:val="18"/>
              </w:rPr>
            </w:pPr>
            <w:r>
              <w:rPr>
                <w:color w:val="000000"/>
                <w:sz w:val="18"/>
                <w:szCs w:val="18"/>
              </w:rPr>
              <w:t>7.5%</w:t>
            </w:r>
          </w:p>
        </w:tc>
      </w:tr>
      <w:tr w:rsidR="00A94ECD" w:rsidRPr="00A94ECD" w14:paraId="1812E8B3"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0D5D726" w14:textId="34617B5D" w:rsidR="00A94ECD" w:rsidRPr="00E46EAC" w:rsidRDefault="00A94ECD">
            <w:pPr>
              <w:spacing w:before="20" w:after="20"/>
              <w:rPr>
                <w:sz w:val="18"/>
                <w:szCs w:val="18"/>
                <w:highlight w:val="magenta"/>
              </w:rPr>
            </w:pPr>
            <w:r>
              <w:rPr>
                <w:color w:val="000000"/>
                <w:sz w:val="18"/>
                <w:szCs w:val="18"/>
              </w:rPr>
              <w:t xml:space="preserve">Age (years)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6AB9136" w14:textId="482E84E7" w:rsidR="00A94ECD" w:rsidRPr="00E46EAC" w:rsidRDefault="00A94ECD" w:rsidP="00A94ECD">
            <w:pPr>
              <w:spacing w:before="20" w:after="20"/>
              <w:rPr>
                <w:sz w:val="18"/>
                <w:szCs w:val="18"/>
                <w:highlight w:val="magenta"/>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8A3ABB6" w14:textId="09DA62D2" w:rsidR="00A94ECD" w:rsidRPr="00E46EAC" w:rsidRDefault="00B00A36" w:rsidP="00A15493">
            <w:pPr>
              <w:spacing w:before="20" w:after="20"/>
              <w:ind w:left="76"/>
              <w:rPr>
                <w:i/>
                <w:sz w:val="18"/>
                <w:szCs w:val="18"/>
                <w:highlight w:val="magenta"/>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EEEBE9A" w14:textId="1E2C3915" w:rsidR="00A94ECD" w:rsidRPr="00E46EAC" w:rsidRDefault="00E86086" w:rsidP="00A94ECD">
            <w:pPr>
              <w:spacing w:before="20" w:after="20"/>
              <w:jc w:val="right"/>
              <w:rPr>
                <w:sz w:val="18"/>
                <w:szCs w:val="18"/>
                <w:highlight w:val="magenta"/>
              </w:rPr>
            </w:pPr>
            <w:r>
              <w:rPr>
                <w:color w:val="000000"/>
                <w:sz w:val="18"/>
                <w:szCs w:val="18"/>
              </w:rPr>
              <w:t>42.7</w:t>
            </w:r>
          </w:p>
        </w:tc>
      </w:tr>
      <w:tr w:rsidR="00A94ECD" w:rsidRPr="00A94ECD" w14:paraId="4886B22F"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875CAD5" w14:textId="2BC48638" w:rsidR="00A94ECD" w:rsidRPr="00E46EAC" w:rsidRDefault="00B00A36">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9F322DF" w14:textId="03B9C11A" w:rsidR="00A94ECD" w:rsidRPr="00E46EAC" w:rsidRDefault="00A94ECD" w:rsidP="00A94ECD">
            <w:pPr>
              <w:spacing w:before="20" w:after="20"/>
              <w:rPr>
                <w:sz w:val="18"/>
                <w:szCs w:val="18"/>
                <w:highlight w:val="magenta"/>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3FCDA31" w14:textId="7342D141" w:rsidR="00A94ECD" w:rsidRPr="00E46EAC" w:rsidRDefault="00B00A36" w:rsidP="00A15493">
            <w:pPr>
              <w:spacing w:before="20" w:after="20"/>
              <w:ind w:left="76"/>
              <w:rPr>
                <w:i/>
                <w:sz w:val="18"/>
                <w:szCs w:val="18"/>
                <w:highlight w:val="magenta"/>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F8DA885" w14:textId="111295C9" w:rsidR="00A94ECD" w:rsidRPr="00E46EAC" w:rsidRDefault="00E86086" w:rsidP="00A94ECD">
            <w:pPr>
              <w:spacing w:before="20" w:after="20"/>
              <w:jc w:val="right"/>
              <w:rPr>
                <w:sz w:val="18"/>
                <w:szCs w:val="18"/>
                <w:highlight w:val="magenta"/>
              </w:rPr>
            </w:pPr>
            <w:r>
              <w:rPr>
                <w:color w:val="000000"/>
                <w:sz w:val="18"/>
                <w:szCs w:val="18"/>
              </w:rPr>
              <w:t>42.8</w:t>
            </w:r>
          </w:p>
        </w:tc>
      </w:tr>
      <w:tr w:rsidR="00A94ECD" w:rsidRPr="00A94ECD" w14:paraId="11D6B3A1"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26E93EE" w14:textId="2032B825" w:rsidR="00A94ECD" w:rsidRPr="00A94ECD" w:rsidRDefault="00A94ECD">
            <w:pPr>
              <w:spacing w:before="20" w:after="20"/>
              <w:rPr>
                <w:sz w:val="18"/>
                <w:szCs w:val="18"/>
              </w:rPr>
            </w:pPr>
            <w:r w:rsidRPr="00A94ECD">
              <w:rPr>
                <w:color w:val="000000"/>
                <w:sz w:val="18"/>
                <w:szCs w:val="18"/>
              </w:rPr>
              <w:t>Age distribution</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72E1005" w14:textId="2C3B32AB" w:rsidR="00A94ECD" w:rsidRPr="00A94ECD" w:rsidRDefault="00A94ECD" w:rsidP="00A94ECD">
            <w:pPr>
              <w:spacing w:before="20" w:after="20"/>
              <w:rPr>
                <w:sz w:val="18"/>
                <w:szCs w:val="18"/>
              </w:rPr>
            </w:pPr>
            <w:r>
              <w:rPr>
                <w:color w:val="000000"/>
                <w:sz w:val="18"/>
                <w:szCs w:val="18"/>
              </w:rPr>
              <w:t>0 to 14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7A27777" w14:textId="678C284F"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D293B59" w14:textId="3E6D798B" w:rsidR="00A94ECD" w:rsidRPr="00A94ECD" w:rsidRDefault="00B00A36" w:rsidP="00A94ECD">
            <w:pPr>
              <w:spacing w:before="20" w:after="20"/>
              <w:jc w:val="right"/>
              <w:rPr>
                <w:sz w:val="18"/>
                <w:szCs w:val="18"/>
              </w:rPr>
            </w:pPr>
            <w:r>
              <w:rPr>
                <w:color w:val="000000"/>
                <w:sz w:val="18"/>
                <w:szCs w:val="18"/>
              </w:rPr>
              <w:t>5,140</w:t>
            </w:r>
          </w:p>
        </w:tc>
      </w:tr>
      <w:tr w:rsidR="00A94ECD" w:rsidRPr="00A94ECD" w14:paraId="37A2611A"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4B5E959" w14:textId="129875BF" w:rsidR="00A94ECD" w:rsidRPr="00A94ECD" w:rsidRDefault="00B00A36">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1C5EE93" w14:textId="0F51CCDF" w:rsidR="00A94ECD" w:rsidRPr="00A94ECD" w:rsidRDefault="00A94ECD" w:rsidP="00A94ECD">
            <w:pPr>
              <w:spacing w:before="20" w:after="20"/>
              <w:rPr>
                <w:sz w:val="18"/>
                <w:szCs w:val="18"/>
              </w:rPr>
            </w:pPr>
            <w:r>
              <w:rPr>
                <w:color w:val="000000"/>
                <w:sz w:val="18"/>
                <w:szCs w:val="18"/>
              </w:rPr>
              <w:t>15 to 64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0B8BBDA" w14:textId="75AA76BB"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15E3EF8" w14:textId="52C9C761" w:rsidR="00A94ECD" w:rsidRPr="00A94ECD" w:rsidRDefault="00B00A36" w:rsidP="00A94ECD">
            <w:pPr>
              <w:spacing w:before="20" w:after="20"/>
              <w:jc w:val="right"/>
              <w:rPr>
                <w:sz w:val="18"/>
                <w:szCs w:val="18"/>
              </w:rPr>
            </w:pPr>
            <w:r>
              <w:rPr>
                <w:color w:val="000000"/>
                <w:sz w:val="18"/>
                <w:szCs w:val="18"/>
              </w:rPr>
              <w:t>25,495</w:t>
            </w:r>
          </w:p>
        </w:tc>
      </w:tr>
      <w:tr w:rsidR="00A94ECD" w:rsidRPr="00A94ECD" w14:paraId="6702A1D6"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B73E4FB" w14:textId="770CDB6D" w:rsidR="00A94ECD" w:rsidRPr="00A94ECD" w:rsidRDefault="00B00A36">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8245669" w14:textId="27EE2430" w:rsidR="00A94ECD" w:rsidRPr="00A94ECD" w:rsidRDefault="00A94ECD" w:rsidP="00A94ECD">
            <w:pPr>
              <w:spacing w:before="20" w:after="20"/>
              <w:rPr>
                <w:sz w:val="18"/>
                <w:szCs w:val="18"/>
              </w:rPr>
            </w:pPr>
            <w:r>
              <w:rPr>
                <w:color w:val="000000"/>
                <w:sz w:val="18"/>
                <w:szCs w:val="18"/>
              </w:rPr>
              <w:t>65+</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7B25A6F" w14:textId="708FE3F9"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513E346" w14:textId="6A484DE2" w:rsidR="00A94ECD" w:rsidRPr="00A94ECD" w:rsidRDefault="00B00A36" w:rsidP="00A94ECD">
            <w:pPr>
              <w:spacing w:before="20" w:after="20"/>
              <w:jc w:val="right"/>
              <w:rPr>
                <w:sz w:val="18"/>
                <w:szCs w:val="18"/>
              </w:rPr>
            </w:pPr>
            <w:r>
              <w:rPr>
                <w:color w:val="000000"/>
                <w:sz w:val="18"/>
                <w:szCs w:val="18"/>
              </w:rPr>
              <w:t>8,160</w:t>
            </w:r>
          </w:p>
        </w:tc>
      </w:tr>
      <w:tr w:rsidR="00A94ECD" w:rsidRPr="00A94ECD" w14:paraId="63299637"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B076B6D" w14:textId="35FB8528" w:rsidR="00A94ECD" w:rsidRPr="00A94ECD" w:rsidRDefault="00A94ECD">
            <w:pPr>
              <w:spacing w:before="20" w:after="20"/>
              <w:rPr>
                <w:sz w:val="18"/>
                <w:szCs w:val="18"/>
              </w:rPr>
            </w:pPr>
            <w:r w:rsidRPr="00A94ECD">
              <w:rPr>
                <w:color w:val="000000"/>
                <w:sz w:val="18"/>
                <w:szCs w:val="18"/>
              </w:rPr>
              <w:t xml:space="preserve">Mobility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6B128E4" w14:textId="0A4B8339" w:rsidR="00A94ECD" w:rsidRPr="00A94ECD" w:rsidRDefault="00A94ECD" w:rsidP="00A94ECD">
            <w:pPr>
              <w:spacing w:before="20" w:after="20"/>
              <w:rPr>
                <w:sz w:val="18"/>
                <w:szCs w:val="18"/>
              </w:rPr>
            </w:pPr>
            <w:r>
              <w:rPr>
                <w:color w:val="000000"/>
                <w:sz w:val="18"/>
                <w:szCs w:val="18"/>
              </w:rPr>
              <w:t>Non-movers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7656055" w14:textId="2CC66950"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57A62B6" w14:textId="1D5D9D8F" w:rsidR="00A94ECD" w:rsidRPr="00A94ECD" w:rsidRDefault="00B00A36" w:rsidP="00A94ECD">
            <w:pPr>
              <w:spacing w:before="20" w:after="20"/>
              <w:jc w:val="right"/>
              <w:rPr>
                <w:sz w:val="18"/>
                <w:szCs w:val="18"/>
              </w:rPr>
            </w:pPr>
            <w:r>
              <w:rPr>
                <w:color w:val="000000"/>
                <w:sz w:val="18"/>
                <w:szCs w:val="18"/>
              </w:rPr>
              <w:t>18,245</w:t>
            </w:r>
          </w:p>
        </w:tc>
      </w:tr>
      <w:tr w:rsidR="00A94ECD" w:rsidRPr="00A94ECD" w14:paraId="36A567B5"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D749B5D" w14:textId="569020BC" w:rsidR="00A94ECD" w:rsidRPr="00A94ECD" w:rsidRDefault="00B00A36">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D792165" w14:textId="4E10E51C" w:rsidR="00A94ECD" w:rsidRPr="00A94ECD" w:rsidRDefault="00A94ECD" w:rsidP="00A94ECD">
            <w:pPr>
              <w:spacing w:before="20" w:after="20"/>
              <w:rPr>
                <w:sz w:val="18"/>
                <w:szCs w:val="18"/>
              </w:rPr>
            </w:pPr>
            <w:r>
              <w:rPr>
                <w:color w:val="000000"/>
                <w:sz w:val="18"/>
                <w:szCs w:val="18"/>
              </w:rPr>
              <w:t>Non-migrants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3EFA639" w14:textId="1AAE477C"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B02D4AA" w14:textId="318E406C" w:rsidR="00A94ECD" w:rsidRPr="00A94ECD" w:rsidRDefault="00B00A36" w:rsidP="00A94ECD">
            <w:pPr>
              <w:spacing w:before="20" w:after="20"/>
              <w:jc w:val="right"/>
              <w:rPr>
                <w:sz w:val="18"/>
                <w:szCs w:val="18"/>
              </w:rPr>
            </w:pPr>
            <w:r>
              <w:rPr>
                <w:color w:val="000000"/>
                <w:sz w:val="18"/>
                <w:szCs w:val="18"/>
              </w:rPr>
              <w:t>6,785</w:t>
            </w:r>
          </w:p>
        </w:tc>
      </w:tr>
      <w:tr w:rsidR="00A94ECD" w:rsidRPr="00A94ECD" w14:paraId="72DCF959" w14:textId="77777777" w:rsidTr="00AB7C87">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2885E9A" w14:textId="6D8CA17E" w:rsidR="00A94ECD" w:rsidRPr="00A94ECD" w:rsidRDefault="00B00A36">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4A1F73D" w14:textId="234F92C8" w:rsidR="00A94ECD" w:rsidRPr="00A94ECD" w:rsidRDefault="00A94ECD" w:rsidP="00A94ECD">
            <w:pPr>
              <w:spacing w:before="20" w:after="20"/>
              <w:rPr>
                <w:sz w:val="18"/>
                <w:szCs w:val="18"/>
              </w:rPr>
            </w:pPr>
            <w:r>
              <w:rPr>
                <w:color w:val="000000"/>
                <w:sz w:val="18"/>
                <w:szCs w:val="18"/>
              </w:rPr>
              <w:t>Migrants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8B37F03" w14:textId="36CB179A" w:rsidR="00A94ECD" w:rsidRPr="00B00A36" w:rsidRDefault="00B00A36" w:rsidP="00A15493">
            <w:pPr>
              <w:spacing w:before="20" w:after="20"/>
              <w:ind w:left="76"/>
              <w:rPr>
                <w:i/>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496A8F8" w14:textId="67132403" w:rsidR="00A94ECD" w:rsidRPr="00A94ECD" w:rsidRDefault="00B00A36" w:rsidP="00A94ECD">
            <w:pPr>
              <w:spacing w:before="20" w:after="20"/>
              <w:jc w:val="right"/>
              <w:rPr>
                <w:sz w:val="18"/>
                <w:szCs w:val="18"/>
              </w:rPr>
            </w:pPr>
            <w:r>
              <w:rPr>
                <w:color w:val="000000"/>
                <w:sz w:val="18"/>
                <w:szCs w:val="18"/>
              </w:rPr>
              <w:t>11,115</w:t>
            </w:r>
          </w:p>
        </w:tc>
      </w:tr>
    </w:tbl>
    <w:p w14:paraId="2256C192" w14:textId="77777777" w:rsidR="0043538E" w:rsidRDefault="0043538E" w:rsidP="00DA24F7"/>
    <w:p w14:paraId="67E1AEC7" w14:textId="77777777" w:rsidR="00150E2F" w:rsidRDefault="00150E2F" w:rsidP="00DA24F7"/>
    <w:p w14:paraId="500F7505" w14:textId="56583ED5" w:rsidR="00150E2F" w:rsidRDefault="00150E2F" w:rsidP="00DA24F7">
      <w:pPr>
        <w:rPr>
          <w:b/>
          <w:bCs/>
        </w:rPr>
      </w:pPr>
      <w:r w:rsidRPr="00150E2F">
        <w:rPr>
          <w:b/>
          <w:bCs/>
        </w:rPr>
        <w:t>Table 2.2.2: Demographic Information</w:t>
      </w:r>
    </w:p>
    <w:p w14:paraId="143E934B" w14:textId="77777777" w:rsidR="00F2662C" w:rsidRPr="00150E2F" w:rsidRDefault="00F2662C" w:rsidP="00DA24F7">
      <w:pPr>
        <w:rPr>
          <w:b/>
          <w:bCs/>
        </w:rPr>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9"/>
        <w:gridCol w:w="2520"/>
        <w:gridCol w:w="1800"/>
        <w:gridCol w:w="1800"/>
      </w:tblGrid>
      <w:tr w:rsidR="00150E2F" w:rsidRPr="008343C9" w14:paraId="1B768A4D" w14:textId="77777777" w:rsidTr="003C59F9">
        <w:tc>
          <w:tcPr>
            <w:tcW w:w="3239"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24B4663E" w14:textId="77777777" w:rsidR="00150E2F" w:rsidRPr="008343C9" w:rsidRDefault="00150E2F">
            <w:pPr>
              <w:rPr>
                <w:sz w:val="18"/>
                <w:szCs w:val="18"/>
              </w:rPr>
            </w:pPr>
            <w:r w:rsidRPr="008343C9">
              <w:rPr>
                <w:color w:val="FFFFFF"/>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37C3149E" w14:textId="77777777" w:rsidR="00150E2F" w:rsidRPr="008343C9" w:rsidRDefault="00150E2F" w:rsidP="00150E2F">
            <w:pPr>
              <w:rPr>
                <w:sz w:val="18"/>
                <w:szCs w:val="18"/>
              </w:rPr>
            </w:pPr>
            <w:r w:rsidRPr="008343C9">
              <w:rPr>
                <w:color w:val="FFFFFF"/>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Pr>
          <w:p w14:paraId="4B80205A" w14:textId="715F5454" w:rsidR="00150E2F" w:rsidRPr="008343C9" w:rsidRDefault="00150E2F" w:rsidP="00F83FD1">
            <w:pPr>
              <w:ind w:left="76"/>
              <w:jc w:val="both"/>
              <w:rPr>
                <w:color w:val="FFFFFF"/>
                <w:sz w:val="18"/>
                <w:szCs w:val="18"/>
              </w:rPr>
            </w:pPr>
            <w:r w:rsidRPr="008343C9">
              <w:rPr>
                <w:color w:val="FFFFFF"/>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1FABECC" w14:textId="65D32537" w:rsidR="00150E2F" w:rsidRPr="008343C9" w:rsidRDefault="00150E2F" w:rsidP="00150E2F">
            <w:pPr>
              <w:jc w:val="right"/>
              <w:rPr>
                <w:sz w:val="18"/>
                <w:szCs w:val="18"/>
              </w:rPr>
            </w:pPr>
            <w:r w:rsidRPr="008343C9">
              <w:rPr>
                <w:color w:val="FFFFFF"/>
                <w:sz w:val="18"/>
                <w:szCs w:val="18"/>
              </w:rPr>
              <w:t>Value</w:t>
            </w:r>
          </w:p>
        </w:tc>
      </w:tr>
      <w:tr w:rsidR="00150E2F" w:rsidRPr="008343C9" w14:paraId="1DF18603" w14:textId="77777777" w:rsidTr="00E862EC">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DA47EEB" w14:textId="21F291A2" w:rsidR="00150E2F" w:rsidRPr="008343C9" w:rsidRDefault="00150E2F">
            <w:pPr>
              <w:spacing w:before="20" w:after="20"/>
              <w:rPr>
                <w:sz w:val="18"/>
                <w:szCs w:val="18"/>
              </w:rPr>
            </w:pPr>
            <w:r w:rsidRPr="008343C9">
              <w:rPr>
                <w:color w:val="000000"/>
                <w:sz w:val="18"/>
                <w:szCs w:val="18"/>
              </w:rPr>
              <w:t>Immigrants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AA5DA23" w14:textId="6366ADAE" w:rsidR="00150E2F" w:rsidRPr="008343C9" w:rsidRDefault="00150E2F" w:rsidP="00150E2F">
            <w:pPr>
              <w:spacing w:before="20" w:after="20"/>
              <w:rPr>
                <w:iCs/>
                <w:sz w:val="18"/>
                <w:szCs w:val="18"/>
              </w:rPr>
            </w:pPr>
            <w:r w:rsidRPr="008343C9">
              <w:rPr>
                <w:iCs/>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317DEC9" w14:textId="7521E61E" w:rsidR="00150E2F" w:rsidRPr="008343C9" w:rsidRDefault="00A70D3F" w:rsidP="00A70D3F">
            <w:pPr>
              <w:spacing w:before="20" w:after="20"/>
              <w:ind w:left="76"/>
              <w:jc w:val="both"/>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7AE1F3E" w14:textId="3085FB0B" w:rsidR="00150E2F" w:rsidRPr="008343C9" w:rsidRDefault="00A70D3F" w:rsidP="00A70D3F">
            <w:pPr>
              <w:spacing w:before="20" w:after="20"/>
              <w:jc w:val="right"/>
              <w:rPr>
                <w:sz w:val="18"/>
                <w:szCs w:val="18"/>
              </w:rPr>
            </w:pPr>
            <w:r>
              <w:rPr>
                <w:color w:val="000000"/>
                <w:sz w:val="18"/>
                <w:szCs w:val="18"/>
              </w:rPr>
              <w:t>5,250</w:t>
            </w:r>
          </w:p>
        </w:tc>
      </w:tr>
      <w:tr w:rsidR="00150E2F" w:rsidRPr="008343C9" w14:paraId="1C18328C" w14:textId="77777777" w:rsidTr="00E862EC">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5AED790" w14:textId="5EE31861" w:rsidR="00150E2F" w:rsidRPr="008343C9" w:rsidRDefault="00150E2F">
            <w:pPr>
              <w:spacing w:before="20" w:after="20"/>
              <w:rPr>
                <w:sz w:val="18"/>
                <w:szCs w:val="18"/>
              </w:rPr>
            </w:pPr>
            <w:r w:rsidRPr="008343C9">
              <w:rPr>
                <w:color w:val="000000"/>
                <w:sz w:val="18"/>
                <w:szCs w:val="18"/>
              </w:rPr>
              <w:t>Non-</w:t>
            </w:r>
            <w:r w:rsidR="00A94ECD">
              <w:rPr>
                <w:color w:val="000000"/>
                <w:sz w:val="18"/>
                <w:szCs w:val="18"/>
              </w:rPr>
              <w:t>i</w:t>
            </w:r>
            <w:r w:rsidRPr="008343C9">
              <w:rPr>
                <w:color w:val="000000"/>
                <w:sz w:val="18"/>
                <w:szCs w:val="18"/>
              </w:rPr>
              <w:t>mmigrants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F908B2D" w14:textId="16785768" w:rsidR="00150E2F" w:rsidRPr="008343C9" w:rsidRDefault="00150E2F" w:rsidP="00150E2F">
            <w:pPr>
              <w:spacing w:before="20" w:after="20"/>
              <w:rPr>
                <w:iCs/>
                <w:sz w:val="18"/>
                <w:szCs w:val="18"/>
              </w:rPr>
            </w:pPr>
            <w:r w:rsidRPr="008343C9">
              <w:rPr>
                <w:iCs/>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ED68C18" w14:textId="21BDE05D" w:rsidR="00150E2F" w:rsidRPr="008343C9" w:rsidRDefault="00A70D3F" w:rsidP="00A70D3F">
            <w:pPr>
              <w:spacing w:before="20" w:after="20"/>
              <w:ind w:left="76"/>
              <w:jc w:val="both"/>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7380B59" w14:textId="0C551060" w:rsidR="00150E2F" w:rsidRPr="008343C9" w:rsidRDefault="00A70D3F" w:rsidP="00A70D3F">
            <w:pPr>
              <w:spacing w:before="20" w:after="20"/>
              <w:jc w:val="right"/>
              <w:rPr>
                <w:sz w:val="18"/>
                <w:szCs w:val="18"/>
              </w:rPr>
            </w:pPr>
            <w:r>
              <w:rPr>
                <w:color w:val="000000"/>
                <w:sz w:val="18"/>
                <w:szCs w:val="18"/>
              </w:rPr>
              <w:t>32,350</w:t>
            </w:r>
          </w:p>
        </w:tc>
      </w:tr>
      <w:tr w:rsidR="00150E2F" w:rsidRPr="008343C9" w14:paraId="10D3613A" w14:textId="77777777" w:rsidTr="00E862EC">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757D6D6" w14:textId="681BF658" w:rsidR="00150E2F" w:rsidRPr="008343C9" w:rsidRDefault="00150E2F">
            <w:pPr>
              <w:spacing w:before="20" w:after="20"/>
              <w:rPr>
                <w:sz w:val="18"/>
                <w:szCs w:val="18"/>
              </w:rPr>
            </w:pPr>
            <w:r w:rsidRPr="008343C9">
              <w:rPr>
                <w:color w:val="000000"/>
                <w:sz w:val="18"/>
                <w:szCs w:val="18"/>
              </w:rPr>
              <w:t xml:space="preserve">Recent </w:t>
            </w:r>
            <w:r w:rsidR="00A94ECD">
              <w:rPr>
                <w:color w:val="000000"/>
                <w:sz w:val="18"/>
                <w:szCs w:val="18"/>
              </w:rPr>
              <w:t>i</w:t>
            </w:r>
            <w:r w:rsidRPr="008343C9">
              <w:rPr>
                <w:color w:val="000000"/>
                <w:sz w:val="18"/>
                <w:szCs w:val="18"/>
              </w:rPr>
              <w:t>mmigrants (2016–2021)</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FD9AF80" w14:textId="3FDF26F9" w:rsidR="00150E2F" w:rsidRPr="008343C9" w:rsidRDefault="00150E2F" w:rsidP="00150E2F">
            <w:pPr>
              <w:spacing w:before="20" w:after="20"/>
              <w:rPr>
                <w:iCs/>
                <w:sz w:val="18"/>
                <w:szCs w:val="18"/>
              </w:rPr>
            </w:pPr>
            <w:r w:rsidRPr="008343C9">
              <w:rPr>
                <w:iCs/>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14120CD" w14:textId="6EE6EAA8" w:rsidR="00150E2F" w:rsidRPr="008343C9" w:rsidRDefault="00A70D3F" w:rsidP="00A70D3F">
            <w:pPr>
              <w:spacing w:before="20" w:after="20"/>
              <w:ind w:left="76"/>
              <w:jc w:val="both"/>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D2EA095" w14:textId="2BC524D2" w:rsidR="00150E2F" w:rsidRPr="008343C9" w:rsidRDefault="00A70D3F" w:rsidP="00A70D3F">
            <w:pPr>
              <w:spacing w:before="20" w:after="20"/>
              <w:jc w:val="right"/>
              <w:rPr>
                <w:sz w:val="18"/>
                <w:szCs w:val="18"/>
              </w:rPr>
            </w:pPr>
            <w:r>
              <w:rPr>
                <w:color w:val="000000"/>
                <w:sz w:val="18"/>
                <w:szCs w:val="18"/>
              </w:rPr>
              <w:t>2,685</w:t>
            </w:r>
          </w:p>
        </w:tc>
      </w:tr>
      <w:tr w:rsidR="00150E2F" w:rsidRPr="008343C9" w14:paraId="03ADF401" w14:textId="77777777" w:rsidTr="00E862EC">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845B388" w14:textId="510E702E" w:rsidR="00150E2F" w:rsidRPr="008343C9" w:rsidRDefault="00150E2F">
            <w:pPr>
              <w:spacing w:before="20" w:after="20"/>
              <w:rPr>
                <w:sz w:val="18"/>
                <w:szCs w:val="18"/>
              </w:rPr>
            </w:pPr>
            <w:r w:rsidRPr="008343C9">
              <w:rPr>
                <w:color w:val="000000"/>
                <w:sz w:val="18"/>
                <w:szCs w:val="18"/>
              </w:rPr>
              <w:t xml:space="preserve">Interprovincial </w:t>
            </w:r>
            <w:r w:rsidR="00A94ECD">
              <w:rPr>
                <w:color w:val="000000"/>
                <w:sz w:val="18"/>
                <w:szCs w:val="18"/>
              </w:rPr>
              <w:t>m</w:t>
            </w:r>
            <w:r w:rsidRPr="008343C9">
              <w:rPr>
                <w:color w:val="000000"/>
                <w:sz w:val="18"/>
                <w:szCs w:val="18"/>
              </w:rPr>
              <w:t>igrants (2016–2021)</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5052A7E" w14:textId="3E7C1264" w:rsidR="00150E2F" w:rsidRPr="008343C9" w:rsidRDefault="00150E2F" w:rsidP="00150E2F">
            <w:pPr>
              <w:spacing w:before="20" w:after="20"/>
              <w:rPr>
                <w:iCs/>
                <w:sz w:val="18"/>
                <w:szCs w:val="18"/>
              </w:rPr>
            </w:pPr>
            <w:r w:rsidRPr="008343C9">
              <w:rPr>
                <w:iCs/>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2BF51E2" w14:textId="38DA6B8F" w:rsidR="00150E2F" w:rsidRPr="008343C9" w:rsidRDefault="00A70D3F" w:rsidP="00A70D3F">
            <w:pPr>
              <w:spacing w:before="20" w:after="20"/>
              <w:ind w:left="76"/>
              <w:jc w:val="both"/>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23C058D" w14:textId="2E5D0FA3" w:rsidR="00150E2F" w:rsidRPr="008343C9" w:rsidRDefault="00A70D3F" w:rsidP="00A70D3F">
            <w:pPr>
              <w:spacing w:before="20" w:after="20"/>
              <w:jc w:val="right"/>
              <w:rPr>
                <w:sz w:val="18"/>
                <w:szCs w:val="18"/>
              </w:rPr>
            </w:pPr>
            <w:r>
              <w:rPr>
                <w:color w:val="000000"/>
                <w:sz w:val="18"/>
                <w:szCs w:val="18"/>
              </w:rPr>
              <w:t>2,960</w:t>
            </w:r>
          </w:p>
        </w:tc>
      </w:tr>
      <w:tr w:rsidR="00150E2F" w:rsidRPr="008343C9" w14:paraId="6532BF6F" w14:textId="77777777" w:rsidTr="00E862EC">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3766E8E" w14:textId="4A535343" w:rsidR="00150E2F" w:rsidRPr="008343C9" w:rsidRDefault="00150E2F">
            <w:pPr>
              <w:spacing w:before="20" w:after="20"/>
              <w:rPr>
                <w:sz w:val="18"/>
                <w:szCs w:val="18"/>
              </w:rPr>
            </w:pPr>
            <w:r w:rsidRPr="008343C9">
              <w:rPr>
                <w:color w:val="000000"/>
                <w:sz w:val="18"/>
                <w:szCs w:val="18"/>
              </w:rPr>
              <w:t xml:space="preserve">Indigenous </w:t>
            </w:r>
            <w:r w:rsidR="00A94ECD">
              <w:rPr>
                <w:color w:val="000000"/>
                <w:sz w:val="18"/>
                <w:szCs w:val="18"/>
              </w:rPr>
              <w:t>i</w:t>
            </w:r>
            <w:r w:rsidRPr="008343C9">
              <w:rPr>
                <w:color w:val="000000"/>
                <w:sz w:val="18"/>
                <w:szCs w:val="18"/>
              </w:rPr>
              <w:t>dentity</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17C0D29" w14:textId="23184A98" w:rsidR="00150E2F" w:rsidRPr="008343C9" w:rsidRDefault="00150E2F" w:rsidP="00150E2F">
            <w:pPr>
              <w:spacing w:before="20" w:after="20"/>
              <w:rPr>
                <w:iCs/>
                <w:sz w:val="18"/>
                <w:szCs w:val="18"/>
              </w:rPr>
            </w:pPr>
            <w:r w:rsidRPr="008343C9">
              <w:rPr>
                <w:iCs/>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BF5CC7D" w14:textId="75F27412" w:rsidR="00150E2F" w:rsidRPr="008343C9" w:rsidRDefault="00A70D3F" w:rsidP="00A70D3F">
            <w:pPr>
              <w:spacing w:before="20" w:after="20"/>
              <w:ind w:left="76"/>
              <w:jc w:val="both"/>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F11B3FC" w14:textId="715BC1FC" w:rsidR="00150E2F" w:rsidRPr="008343C9" w:rsidRDefault="00A70D3F" w:rsidP="00A70D3F">
            <w:pPr>
              <w:spacing w:before="20" w:after="20"/>
              <w:jc w:val="right"/>
              <w:rPr>
                <w:sz w:val="18"/>
                <w:szCs w:val="18"/>
              </w:rPr>
            </w:pPr>
            <w:r>
              <w:rPr>
                <w:color w:val="000000"/>
                <w:sz w:val="18"/>
                <w:szCs w:val="18"/>
              </w:rPr>
              <w:t>745</w:t>
            </w:r>
          </w:p>
        </w:tc>
      </w:tr>
    </w:tbl>
    <w:p w14:paraId="66E6ECF3" w14:textId="77777777" w:rsidR="0043538E" w:rsidRDefault="0043538E">
      <w:pPr>
        <w:spacing w:before="100"/>
      </w:pPr>
    </w:p>
    <w:p w14:paraId="28CDE2BC" w14:textId="77777777" w:rsidR="0043538E" w:rsidRDefault="000511ED">
      <w:r>
        <w:br w:type="page"/>
      </w:r>
    </w:p>
    <w:p w14:paraId="7D800CBA" w14:textId="175FF3E3" w:rsidR="0043538E" w:rsidRPr="00C566FE" w:rsidRDefault="00C31E79" w:rsidP="004608FD">
      <w:pPr>
        <w:rPr>
          <w:b/>
          <w:bCs/>
        </w:rPr>
      </w:pPr>
      <w:r w:rsidRPr="00C566FE">
        <w:rPr>
          <w:b/>
          <w:bCs/>
        </w:rPr>
        <w:lastRenderedPageBreak/>
        <w:t>Table 3.1.1: Household Income and Profile</w:t>
      </w:r>
    </w:p>
    <w:p w14:paraId="341CD91A" w14:textId="77777777" w:rsidR="00C566FE" w:rsidRDefault="00C566FE" w:rsidP="004608FD"/>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9"/>
        <w:gridCol w:w="2520"/>
        <w:gridCol w:w="1800"/>
        <w:gridCol w:w="1800"/>
      </w:tblGrid>
      <w:tr w:rsidR="00857C63" w:rsidRPr="009340AF" w14:paraId="1E440B08" w14:textId="77777777" w:rsidTr="003C59F9">
        <w:tc>
          <w:tcPr>
            <w:tcW w:w="3239"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2D6FEFA4" w14:textId="77777777" w:rsidR="00857C63" w:rsidRPr="009340AF" w:rsidRDefault="00857C63" w:rsidP="00857C63">
            <w:pPr>
              <w:rPr>
                <w:sz w:val="18"/>
                <w:szCs w:val="18"/>
              </w:rPr>
            </w:pPr>
            <w:r w:rsidRPr="009340AF">
              <w:rPr>
                <w:color w:val="FFFFFF"/>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3A492598" w14:textId="77777777" w:rsidR="00857C63" w:rsidRPr="009340AF" w:rsidRDefault="00857C63" w:rsidP="00857C63">
            <w:pPr>
              <w:rPr>
                <w:sz w:val="18"/>
                <w:szCs w:val="18"/>
              </w:rPr>
            </w:pPr>
            <w:r w:rsidRPr="009340AF">
              <w:rPr>
                <w:color w:val="FFFFFF" w:themeColor="background1"/>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vAlign w:val="center"/>
          </w:tcPr>
          <w:p w14:paraId="22F24887" w14:textId="2F265E58" w:rsidR="00857C63" w:rsidRPr="009340AF" w:rsidRDefault="004C3732" w:rsidP="00CF0A5C">
            <w:pPr>
              <w:ind w:left="76"/>
              <w:rPr>
                <w:color w:val="FFFFFF"/>
                <w:sz w:val="18"/>
                <w:szCs w:val="18"/>
              </w:rPr>
            </w:pPr>
            <w:r w:rsidRPr="009340AF">
              <w:rPr>
                <w:color w:val="FFFFFF"/>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233408D8" w14:textId="7700E04E" w:rsidR="00857C63" w:rsidRPr="009340AF" w:rsidRDefault="004C3732" w:rsidP="004C3732">
            <w:pPr>
              <w:jc w:val="right"/>
              <w:rPr>
                <w:sz w:val="18"/>
                <w:szCs w:val="18"/>
              </w:rPr>
            </w:pPr>
            <w:r w:rsidRPr="009340AF">
              <w:rPr>
                <w:color w:val="FFFFFF"/>
                <w:sz w:val="18"/>
                <w:szCs w:val="18"/>
              </w:rPr>
              <w:t>Value</w:t>
            </w:r>
          </w:p>
        </w:tc>
      </w:tr>
      <w:tr w:rsidR="00857C63" w:rsidRPr="009340AF" w14:paraId="7DE38B65"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367ED1A" w14:textId="0C5A9732" w:rsidR="00857C63" w:rsidRPr="009340AF" w:rsidRDefault="00857C63" w:rsidP="00857C63">
            <w:pPr>
              <w:spacing w:before="20" w:after="20"/>
              <w:rPr>
                <w:sz w:val="18"/>
                <w:szCs w:val="18"/>
              </w:rPr>
            </w:pPr>
            <w:r w:rsidRPr="009340AF">
              <w:rPr>
                <w:color w:val="000000"/>
                <w:sz w:val="18"/>
                <w:szCs w:val="18"/>
              </w:rPr>
              <w:t xml:space="preserve">Total number of households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4FFC4F4" w14:textId="2C8E0193" w:rsidR="00857C63" w:rsidRPr="009340AF" w:rsidRDefault="00857C63" w:rsidP="00857C63">
            <w:pPr>
              <w:spacing w:before="20" w:after="20"/>
              <w:rPr>
                <w:sz w:val="18"/>
                <w:szCs w:val="18"/>
              </w:rPr>
            </w:pPr>
            <w:r>
              <w:rPr>
                <w:color w:val="000000"/>
                <w:sz w:val="18"/>
                <w:szCs w:val="18"/>
              </w:rPr>
              <w:t>2016</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07B467C" w14:textId="3376A860" w:rsidR="00857C63" w:rsidRPr="009340AF" w:rsidRDefault="00E82E2D"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3339B8E" w14:textId="58A597F9" w:rsidR="00857C63" w:rsidRPr="002B152F" w:rsidRDefault="00CF0A5C" w:rsidP="00CF0A5C">
            <w:pPr>
              <w:spacing w:before="20" w:after="20"/>
              <w:jc w:val="right"/>
              <w:rPr>
                <w:color w:val="C00000"/>
                <w:sz w:val="18"/>
                <w:szCs w:val="18"/>
              </w:rPr>
            </w:pPr>
            <w:r w:rsidRPr="002B152F">
              <w:rPr>
                <w:color w:val="C00000"/>
                <w:sz w:val="18"/>
                <w:szCs w:val="18"/>
              </w:rPr>
              <w:t>16,100</w:t>
            </w:r>
          </w:p>
        </w:tc>
      </w:tr>
      <w:tr w:rsidR="00857C63" w:rsidRPr="009340AF" w14:paraId="141AA34F"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D67A8B7" w14:textId="7106720C" w:rsidR="00857C63" w:rsidRPr="009340AF" w:rsidRDefault="00857C63" w:rsidP="00857C63">
            <w:pPr>
              <w:spacing w:before="20" w:after="20"/>
              <w:rPr>
                <w:sz w:val="18"/>
                <w:szCs w:val="18"/>
              </w:rPr>
            </w:pPr>
            <w:r w:rsidRPr="009340AF">
              <w:rPr>
                <w:color w:val="000000"/>
                <w:sz w:val="18"/>
                <w:szCs w:val="18"/>
              </w:rPr>
              <w:t xml:space="preserv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CC0343F" w14:textId="2EA833C9" w:rsidR="00857C63" w:rsidRPr="009340AF" w:rsidRDefault="00857C63" w:rsidP="00857C63">
            <w:pPr>
              <w:spacing w:before="20" w:after="20"/>
              <w:rPr>
                <w:sz w:val="18"/>
                <w:szCs w:val="18"/>
              </w:rPr>
            </w:pPr>
            <w:r>
              <w:rPr>
                <w:color w:val="000000"/>
                <w:sz w:val="18"/>
                <w:szCs w:val="18"/>
              </w:rPr>
              <w:t>2021</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30D963E" w14:textId="3393B7A9" w:rsidR="00857C63" w:rsidRPr="009340AF" w:rsidRDefault="00E82E2D" w:rsidP="00CF0A5C">
            <w:pPr>
              <w:spacing w:before="20" w:after="20"/>
              <w:ind w:left="76"/>
              <w:rPr>
                <w:i/>
                <w:color w:val="004F87"/>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4A11E77" w14:textId="37564760" w:rsidR="00857C63" w:rsidRPr="002B152F" w:rsidRDefault="00CF0A5C" w:rsidP="00CF0A5C">
            <w:pPr>
              <w:spacing w:before="20" w:after="20"/>
              <w:jc w:val="right"/>
              <w:rPr>
                <w:color w:val="C00000"/>
                <w:sz w:val="18"/>
                <w:szCs w:val="18"/>
              </w:rPr>
            </w:pPr>
            <w:r w:rsidRPr="002B152F">
              <w:rPr>
                <w:color w:val="C00000"/>
                <w:sz w:val="18"/>
                <w:szCs w:val="18"/>
              </w:rPr>
              <w:t>17,185</w:t>
            </w:r>
          </w:p>
        </w:tc>
      </w:tr>
      <w:tr w:rsidR="00857C63" w:rsidRPr="009340AF" w14:paraId="02A21882"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CF7CCA3" w14:textId="1E45DBD6" w:rsidR="00857C63" w:rsidRPr="004C3E8A" w:rsidRDefault="00857C63" w:rsidP="00857C63">
            <w:pPr>
              <w:spacing w:before="20" w:after="20"/>
              <w:rPr>
                <w:sz w:val="18"/>
                <w:szCs w:val="18"/>
                <w:highlight w:val="magenta"/>
              </w:rPr>
            </w:pPr>
            <w:r>
              <w:rPr>
                <w:color w:val="000000"/>
                <w:sz w:val="18"/>
                <w:szCs w:val="18"/>
              </w:rPr>
              <w:t xml:space="preserve">Annual household income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972793C" w14:textId="5BAE9F0F" w:rsidR="00857C63" w:rsidRPr="004C3E8A" w:rsidRDefault="00857C63" w:rsidP="00857C63">
            <w:pPr>
              <w:spacing w:before="20" w:after="20"/>
              <w:rPr>
                <w:sz w:val="18"/>
                <w:szCs w:val="18"/>
                <w:highlight w:val="magenta"/>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7F2B404" w14:textId="36D048A8" w:rsidR="00857C63" w:rsidRPr="009340AF" w:rsidRDefault="00E82E2D" w:rsidP="00CF0A5C">
            <w:pPr>
              <w:spacing w:before="20" w:after="20"/>
              <w:ind w:left="76"/>
              <w:rPr>
                <w:i/>
                <w:color w:val="004F87"/>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7A1BB7B" w14:textId="242E2BB4" w:rsidR="00857C63" w:rsidRPr="002B152F" w:rsidRDefault="00E82E2D" w:rsidP="00CF0A5C">
            <w:pPr>
              <w:spacing w:before="20" w:after="20"/>
              <w:jc w:val="right"/>
              <w:rPr>
                <w:color w:val="C00000"/>
                <w:sz w:val="18"/>
                <w:szCs w:val="18"/>
              </w:rPr>
            </w:pPr>
            <w:r w:rsidRPr="002B152F">
              <w:rPr>
                <w:color w:val="C00000"/>
                <w:sz w:val="18"/>
                <w:szCs w:val="18"/>
              </w:rPr>
              <w:t>$83,400</w:t>
            </w:r>
          </w:p>
        </w:tc>
      </w:tr>
      <w:tr w:rsidR="00857C63" w:rsidRPr="009340AF" w14:paraId="1A30BAA2"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F92D6E5" w14:textId="703248E7" w:rsidR="00857C63" w:rsidRPr="004C3E8A" w:rsidRDefault="00CF0A5C" w:rsidP="00857C63">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F4AD45A" w14:textId="79973A79" w:rsidR="00857C63" w:rsidRPr="004C3E8A" w:rsidRDefault="00857C63" w:rsidP="00857C63">
            <w:pPr>
              <w:spacing w:before="20" w:after="20"/>
              <w:rPr>
                <w:sz w:val="18"/>
                <w:szCs w:val="18"/>
                <w:highlight w:val="magenta"/>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27ED2B9" w14:textId="77FFBA6F" w:rsidR="00857C63" w:rsidRPr="009340AF" w:rsidRDefault="00E82E2D"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4C16446" w14:textId="245C98C1" w:rsidR="00857C63" w:rsidRPr="002B152F" w:rsidRDefault="00E82E2D" w:rsidP="00CF0A5C">
            <w:pPr>
              <w:spacing w:before="20" w:after="20"/>
              <w:jc w:val="right"/>
              <w:rPr>
                <w:color w:val="C00000"/>
                <w:sz w:val="18"/>
                <w:szCs w:val="18"/>
              </w:rPr>
            </w:pPr>
            <w:r w:rsidRPr="002B152F">
              <w:rPr>
                <w:color w:val="C00000"/>
                <w:sz w:val="18"/>
                <w:szCs w:val="18"/>
              </w:rPr>
              <w:t>$66,000</w:t>
            </w:r>
          </w:p>
        </w:tc>
      </w:tr>
      <w:tr w:rsidR="00857C63" w:rsidRPr="009340AF" w14:paraId="68E55BAC"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A748D3A" w14:textId="7CFA71A5" w:rsidR="00857C63" w:rsidRPr="004C3E8A" w:rsidRDefault="00857C63" w:rsidP="00857C63">
            <w:pPr>
              <w:spacing w:before="20" w:after="20"/>
              <w:rPr>
                <w:sz w:val="18"/>
                <w:szCs w:val="18"/>
                <w:highlight w:val="magenta"/>
              </w:rPr>
            </w:pPr>
            <w:r>
              <w:rPr>
                <w:color w:val="000000"/>
                <w:sz w:val="18"/>
                <w:szCs w:val="18"/>
              </w:rPr>
              <w:t xml:space="preserve">Annual tenant household income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45AC2A3" w14:textId="67E5776E" w:rsidR="00857C63" w:rsidRPr="004C3E8A" w:rsidRDefault="00857C63" w:rsidP="00857C63">
            <w:pPr>
              <w:spacing w:before="20" w:after="20"/>
              <w:rPr>
                <w:sz w:val="18"/>
                <w:szCs w:val="18"/>
                <w:highlight w:val="magenta"/>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61EACC8" w14:textId="1537717C" w:rsidR="00857C63" w:rsidRPr="009340AF" w:rsidRDefault="00E82E2D" w:rsidP="00CF0A5C">
            <w:pPr>
              <w:spacing w:before="20" w:after="20"/>
              <w:ind w:left="76"/>
              <w:rPr>
                <w:i/>
                <w:color w:val="8AA2BA" w:themeColor="accent1" w:themeShade="BF"/>
                <w:sz w:val="18"/>
                <w:szCs w:val="18"/>
              </w:rPr>
            </w:pPr>
            <w:r>
              <w:rPr>
                <w:color w:val="000000"/>
                <w:sz w:val="18"/>
                <w:szCs w:val="18"/>
              </w:rPr>
              <w:t>Estimate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8E9B583" w14:textId="7EEF3530" w:rsidR="00857C63" w:rsidRPr="002B152F" w:rsidRDefault="00E82E2D" w:rsidP="00CF0A5C">
            <w:pPr>
              <w:spacing w:before="20" w:after="20"/>
              <w:jc w:val="right"/>
              <w:rPr>
                <w:color w:val="C00000"/>
                <w:sz w:val="18"/>
                <w:szCs w:val="18"/>
              </w:rPr>
            </w:pPr>
            <w:r w:rsidRPr="002B152F">
              <w:rPr>
                <w:color w:val="C00000"/>
                <w:sz w:val="18"/>
                <w:szCs w:val="18"/>
              </w:rPr>
              <w:t>$80,700</w:t>
            </w:r>
          </w:p>
        </w:tc>
      </w:tr>
      <w:tr w:rsidR="00857C63" w:rsidRPr="009340AF" w14:paraId="5F89B75F"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1FAC3B4" w14:textId="3CB911AC" w:rsidR="00857C63" w:rsidRPr="004C3E8A" w:rsidRDefault="00CF0A5C" w:rsidP="00857C63">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C32B1A6" w14:textId="30B166DA" w:rsidR="00857C63" w:rsidRPr="004C3E8A" w:rsidRDefault="00857C63" w:rsidP="00857C63">
            <w:pPr>
              <w:spacing w:before="20" w:after="20"/>
              <w:rPr>
                <w:sz w:val="18"/>
                <w:szCs w:val="18"/>
                <w:highlight w:val="magenta"/>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66053D2" w14:textId="09CCF35E" w:rsidR="00857C63" w:rsidRPr="009340AF" w:rsidRDefault="00CF0A5C" w:rsidP="00CF0A5C">
            <w:pPr>
              <w:spacing w:before="20" w:after="20"/>
              <w:ind w:left="76"/>
              <w:rPr>
                <w:i/>
                <w:color w:val="004F87"/>
                <w:sz w:val="18"/>
                <w:szCs w:val="18"/>
              </w:rPr>
            </w:pPr>
            <w:r>
              <w:rPr>
                <w:color w:val="000000"/>
                <w:sz w:val="18"/>
                <w:szCs w:val="18"/>
              </w:rPr>
              <w:t>Estimate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FD5FE4D" w14:textId="3D01B08C" w:rsidR="00857C63" w:rsidRPr="002B152F" w:rsidRDefault="00CF0A5C" w:rsidP="00CF0A5C">
            <w:pPr>
              <w:spacing w:before="20" w:after="20"/>
              <w:jc w:val="right"/>
              <w:rPr>
                <w:color w:val="C00000"/>
                <w:sz w:val="18"/>
                <w:szCs w:val="18"/>
              </w:rPr>
            </w:pPr>
            <w:r w:rsidRPr="002B152F">
              <w:rPr>
                <w:color w:val="C00000"/>
                <w:sz w:val="18"/>
                <w:szCs w:val="18"/>
              </w:rPr>
              <w:t>$63,900</w:t>
            </w:r>
          </w:p>
        </w:tc>
      </w:tr>
      <w:tr w:rsidR="00857C63" w:rsidRPr="009340AF" w14:paraId="54C2E74C"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14CAAD4" w14:textId="6F1ED05D" w:rsidR="00857C63" w:rsidRPr="004C3E8A" w:rsidRDefault="00857C63" w:rsidP="00857C63">
            <w:pPr>
              <w:spacing w:before="20" w:after="20"/>
              <w:rPr>
                <w:sz w:val="18"/>
                <w:szCs w:val="18"/>
                <w:highlight w:val="magenta"/>
              </w:rPr>
            </w:pPr>
            <w:r>
              <w:rPr>
                <w:color w:val="000000"/>
                <w:sz w:val="18"/>
                <w:szCs w:val="18"/>
              </w:rPr>
              <w:t>Annual owner household income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5424F66" w14:textId="202E9624" w:rsidR="00857C63" w:rsidRPr="004C3E8A" w:rsidRDefault="00857C63" w:rsidP="00857C63">
            <w:pPr>
              <w:spacing w:before="20" w:after="20"/>
              <w:rPr>
                <w:sz w:val="18"/>
                <w:szCs w:val="18"/>
                <w:highlight w:val="magenta"/>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01A551A" w14:textId="3828829F" w:rsidR="00857C63" w:rsidRPr="009340AF" w:rsidRDefault="00E82E2D" w:rsidP="00CF0A5C">
            <w:pPr>
              <w:spacing w:before="20" w:after="20"/>
              <w:ind w:left="76"/>
              <w:rPr>
                <w:i/>
                <w:color w:val="004F87"/>
                <w:sz w:val="18"/>
                <w:szCs w:val="18"/>
              </w:rPr>
            </w:pPr>
            <w:r>
              <w:rPr>
                <w:color w:val="000000"/>
                <w:sz w:val="18"/>
                <w:szCs w:val="18"/>
              </w:rPr>
              <w:t>Estimate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BECC15D" w14:textId="68769EE6" w:rsidR="00857C63" w:rsidRPr="002B152F" w:rsidRDefault="00E82E2D" w:rsidP="00CF0A5C">
            <w:pPr>
              <w:spacing w:before="20" w:after="20"/>
              <w:jc w:val="right"/>
              <w:rPr>
                <w:color w:val="C00000"/>
                <w:sz w:val="18"/>
                <w:szCs w:val="18"/>
              </w:rPr>
            </w:pPr>
            <w:r w:rsidRPr="002B152F">
              <w:rPr>
                <w:color w:val="C00000"/>
                <w:sz w:val="18"/>
                <w:szCs w:val="18"/>
              </w:rPr>
              <w:t>$101,300</w:t>
            </w:r>
          </w:p>
        </w:tc>
      </w:tr>
      <w:tr w:rsidR="00857C63" w:rsidRPr="009340AF" w14:paraId="1DE489A5"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43038A2" w14:textId="7CA9FD62" w:rsidR="00857C63" w:rsidRPr="004C3E8A" w:rsidRDefault="00CF0A5C" w:rsidP="00857C63">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8F97983" w14:textId="34C844C2" w:rsidR="00857C63" w:rsidRPr="004C3E8A" w:rsidRDefault="00857C63" w:rsidP="00857C63">
            <w:pPr>
              <w:spacing w:before="20" w:after="20"/>
              <w:rPr>
                <w:sz w:val="18"/>
                <w:szCs w:val="18"/>
                <w:highlight w:val="magenta"/>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358ACD0" w14:textId="39123D81" w:rsidR="00857C63" w:rsidRPr="009340AF" w:rsidRDefault="00CF0A5C" w:rsidP="00CF0A5C">
            <w:pPr>
              <w:spacing w:before="20" w:after="20"/>
              <w:ind w:left="76"/>
              <w:rPr>
                <w:i/>
                <w:color w:val="8AA2BA" w:themeColor="accent1" w:themeShade="BF"/>
                <w:sz w:val="18"/>
                <w:szCs w:val="18"/>
              </w:rPr>
            </w:pPr>
            <w:r>
              <w:rPr>
                <w:color w:val="000000"/>
                <w:sz w:val="18"/>
                <w:szCs w:val="18"/>
              </w:rPr>
              <w:t>Estimate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5B78E8C" w14:textId="05DC5F02" w:rsidR="00857C63" w:rsidRPr="002B152F" w:rsidRDefault="00E82E2D" w:rsidP="00CF0A5C">
            <w:pPr>
              <w:spacing w:before="20" w:after="20"/>
              <w:jc w:val="right"/>
              <w:rPr>
                <w:color w:val="C00000"/>
                <w:sz w:val="18"/>
                <w:szCs w:val="18"/>
              </w:rPr>
            </w:pPr>
            <w:r w:rsidRPr="002B152F">
              <w:rPr>
                <w:color w:val="C00000"/>
                <w:sz w:val="18"/>
                <w:szCs w:val="18"/>
              </w:rPr>
              <w:t>$80,200</w:t>
            </w:r>
          </w:p>
        </w:tc>
      </w:tr>
      <w:tr w:rsidR="00857C63" w:rsidRPr="009340AF" w14:paraId="1818E34F"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3815149" w14:textId="0C0DDB83" w:rsidR="00857C63" w:rsidRPr="009340AF" w:rsidRDefault="00857C63" w:rsidP="00857C63">
            <w:pPr>
              <w:spacing w:before="20" w:after="20"/>
              <w:rPr>
                <w:sz w:val="18"/>
                <w:szCs w:val="18"/>
              </w:rPr>
            </w:pPr>
            <w:r w:rsidRPr="009340AF">
              <w:rPr>
                <w:color w:val="000000"/>
                <w:sz w:val="18"/>
                <w:szCs w:val="18"/>
              </w:rPr>
              <w:t>Average household size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3184F42" w14:textId="5907B154" w:rsidR="00857C63" w:rsidRPr="009340AF" w:rsidRDefault="00857C63" w:rsidP="00857C63">
            <w:pPr>
              <w:spacing w:before="20" w:after="20"/>
              <w:rPr>
                <w:sz w:val="18"/>
                <w:szCs w:val="18"/>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37375EF" w14:textId="60E538BE"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6A58CD8" w14:textId="3334A05F" w:rsidR="00857C63" w:rsidRPr="002B152F" w:rsidRDefault="00CF0A5C" w:rsidP="00CF0A5C">
            <w:pPr>
              <w:spacing w:before="20" w:after="20"/>
              <w:jc w:val="right"/>
              <w:rPr>
                <w:color w:val="C00000"/>
                <w:sz w:val="18"/>
                <w:szCs w:val="18"/>
              </w:rPr>
            </w:pPr>
            <w:r w:rsidRPr="002B152F">
              <w:rPr>
                <w:color w:val="C00000"/>
                <w:sz w:val="18"/>
                <w:szCs w:val="18"/>
              </w:rPr>
              <w:t>2.2</w:t>
            </w:r>
          </w:p>
        </w:tc>
      </w:tr>
      <w:tr w:rsidR="00857C63" w:rsidRPr="009340AF" w14:paraId="0E7378E0"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DD500F4" w14:textId="6414D57E" w:rsidR="00857C63" w:rsidRPr="009340AF" w:rsidRDefault="00571BE8" w:rsidP="00857C63">
            <w:pPr>
              <w:spacing w:before="20" w:after="20"/>
              <w:rPr>
                <w:sz w:val="18"/>
                <w:szCs w:val="18"/>
              </w:rPr>
            </w:pPr>
            <w:r w:rsidRPr="009340AF">
              <w:rPr>
                <w:color w:val="000000"/>
                <w:sz w:val="18"/>
                <w:szCs w:val="18"/>
              </w:rPr>
              <w:t>Household b</w:t>
            </w:r>
            <w:r w:rsidR="00857C63" w:rsidRPr="009340AF">
              <w:rPr>
                <w:color w:val="000000"/>
                <w:sz w:val="18"/>
                <w:szCs w:val="18"/>
              </w:rPr>
              <w:t>reakdown by size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F924D68" w14:textId="0CE3FAE2" w:rsidR="00857C63" w:rsidRPr="009340AF" w:rsidRDefault="00857C63" w:rsidP="00857C63">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87929E8" w14:textId="58224213" w:rsidR="00857C63" w:rsidRPr="009340AF" w:rsidRDefault="00CF0A5C" w:rsidP="00CF0A5C">
            <w:pPr>
              <w:spacing w:before="20" w:after="20"/>
              <w:ind w:left="76"/>
              <w:rPr>
                <w:i/>
                <w:color w:val="004F87"/>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AB07488" w14:textId="03AE9B3F" w:rsidR="00857C63" w:rsidRPr="002B152F" w:rsidRDefault="00CF0A5C" w:rsidP="00CF0A5C">
            <w:pPr>
              <w:spacing w:before="20" w:after="20"/>
              <w:jc w:val="right"/>
              <w:rPr>
                <w:color w:val="C00000"/>
                <w:sz w:val="18"/>
                <w:szCs w:val="18"/>
              </w:rPr>
            </w:pPr>
            <w:r w:rsidRPr="002B152F">
              <w:rPr>
                <w:color w:val="C00000"/>
                <w:sz w:val="18"/>
                <w:szCs w:val="18"/>
              </w:rPr>
              <w:t>17,185</w:t>
            </w:r>
          </w:p>
        </w:tc>
      </w:tr>
      <w:tr w:rsidR="00857C63" w:rsidRPr="009340AF" w14:paraId="221A0247"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EF0D953" w14:textId="2C694F71" w:rsidR="00857C63" w:rsidRPr="009340AF" w:rsidRDefault="00CF0A5C" w:rsidP="00857C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8CE4EF1" w14:textId="6E7C3977" w:rsidR="00857C63" w:rsidRPr="009340AF" w:rsidRDefault="00857C63" w:rsidP="00857C63">
            <w:pPr>
              <w:spacing w:before="20" w:after="20"/>
              <w:rPr>
                <w:sz w:val="18"/>
                <w:szCs w:val="18"/>
              </w:rPr>
            </w:pPr>
            <w:r>
              <w:rPr>
                <w:color w:val="000000"/>
                <w:sz w:val="18"/>
                <w:szCs w:val="18"/>
              </w:rPr>
              <w:t>1 person</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1178AA8" w14:textId="0330F13C"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DB77541" w14:textId="1B094715" w:rsidR="00857C63" w:rsidRPr="002B152F" w:rsidRDefault="00CF0A5C" w:rsidP="00CF0A5C">
            <w:pPr>
              <w:spacing w:before="20" w:after="20"/>
              <w:jc w:val="right"/>
              <w:rPr>
                <w:color w:val="C00000"/>
                <w:sz w:val="18"/>
                <w:szCs w:val="18"/>
              </w:rPr>
            </w:pPr>
            <w:r w:rsidRPr="002B152F">
              <w:rPr>
                <w:color w:val="C00000"/>
                <w:sz w:val="18"/>
                <w:szCs w:val="18"/>
              </w:rPr>
              <w:t>6,090</w:t>
            </w:r>
          </w:p>
        </w:tc>
      </w:tr>
      <w:tr w:rsidR="00857C63" w:rsidRPr="009340AF" w14:paraId="75FFEC2D"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AD61217" w14:textId="59B8B31B" w:rsidR="00857C63" w:rsidRPr="009340AF" w:rsidRDefault="00CF0A5C" w:rsidP="00857C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180F450" w14:textId="4D2A9136" w:rsidR="00857C63" w:rsidRPr="009340AF" w:rsidRDefault="00857C63" w:rsidP="00857C63">
            <w:pPr>
              <w:spacing w:before="20" w:after="20"/>
              <w:rPr>
                <w:sz w:val="18"/>
                <w:szCs w:val="18"/>
              </w:rPr>
            </w:pPr>
            <w:r>
              <w:rPr>
                <w:color w:val="000000"/>
                <w:sz w:val="18"/>
                <w:szCs w:val="18"/>
              </w:rPr>
              <w:t>2 persons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B6483DC" w14:textId="3E18B5C6" w:rsidR="00857C63" w:rsidRPr="009340AF" w:rsidRDefault="00CF0A5C" w:rsidP="00CF0A5C">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B2999D9" w14:textId="52FA49E5" w:rsidR="00857C63" w:rsidRPr="002B152F" w:rsidRDefault="00CF0A5C" w:rsidP="00CF0A5C">
            <w:pPr>
              <w:spacing w:before="20" w:after="20"/>
              <w:jc w:val="right"/>
              <w:rPr>
                <w:color w:val="C00000"/>
                <w:sz w:val="18"/>
                <w:szCs w:val="18"/>
              </w:rPr>
            </w:pPr>
            <w:r w:rsidRPr="002B152F">
              <w:rPr>
                <w:color w:val="C00000"/>
                <w:sz w:val="18"/>
                <w:szCs w:val="18"/>
              </w:rPr>
              <w:t>5,860</w:t>
            </w:r>
          </w:p>
        </w:tc>
      </w:tr>
      <w:tr w:rsidR="00857C63" w:rsidRPr="009340AF" w14:paraId="229004E0"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6146C16" w14:textId="60263E26" w:rsidR="00857C63" w:rsidRPr="009340AF" w:rsidRDefault="00CF0A5C" w:rsidP="00857C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8837E02" w14:textId="2CF4BCC1" w:rsidR="00857C63" w:rsidRPr="009340AF" w:rsidRDefault="00857C63" w:rsidP="00857C63">
            <w:pPr>
              <w:spacing w:before="20" w:after="20"/>
              <w:rPr>
                <w:sz w:val="18"/>
                <w:szCs w:val="18"/>
              </w:rPr>
            </w:pPr>
            <w:r>
              <w:rPr>
                <w:color w:val="000000"/>
                <w:sz w:val="18"/>
                <w:szCs w:val="18"/>
              </w:rPr>
              <w:t>3 persons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9B85DA7" w14:textId="68427555"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785C980" w14:textId="7A8E19C0" w:rsidR="00857C63" w:rsidRPr="002B152F" w:rsidRDefault="00CF0A5C" w:rsidP="00CF0A5C">
            <w:pPr>
              <w:spacing w:before="20" w:after="20"/>
              <w:jc w:val="right"/>
              <w:rPr>
                <w:color w:val="C00000"/>
                <w:sz w:val="18"/>
                <w:szCs w:val="18"/>
              </w:rPr>
            </w:pPr>
            <w:r w:rsidRPr="002B152F">
              <w:rPr>
                <w:color w:val="C00000"/>
                <w:sz w:val="18"/>
                <w:szCs w:val="18"/>
              </w:rPr>
              <w:t>2,470</w:t>
            </w:r>
          </w:p>
        </w:tc>
      </w:tr>
      <w:tr w:rsidR="00857C63" w:rsidRPr="009340AF" w14:paraId="5EAE2307"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A17C2E5" w14:textId="7374ED79" w:rsidR="00857C63" w:rsidRPr="009340AF" w:rsidRDefault="00CF0A5C" w:rsidP="00857C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C9C8389" w14:textId="6143C4EB" w:rsidR="00857C63" w:rsidRPr="009340AF" w:rsidRDefault="00857C63" w:rsidP="00857C63">
            <w:pPr>
              <w:spacing w:before="20" w:after="20"/>
              <w:rPr>
                <w:sz w:val="18"/>
                <w:szCs w:val="18"/>
              </w:rPr>
            </w:pPr>
            <w:r>
              <w:rPr>
                <w:color w:val="000000"/>
                <w:sz w:val="18"/>
                <w:szCs w:val="18"/>
              </w:rPr>
              <w:t>4 persons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0860E3C" w14:textId="4291FC6A"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B6F0F63" w14:textId="4920045D" w:rsidR="00857C63" w:rsidRPr="002B152F" w:rsidRDefault="00CF0A5C" w:rsidP="00CF0A5C">
            <w:pPr>
              <w:spacing w:before="20" w:after="20"/>
              <w:jc w:val="right"/>
              <w:rPr>
                <w:color w:val="C00000"/>
                <w:sz w:val="18"/>
                <w:szCs w:val="18"/>
              </w:rPr>
            </w:pPr>
            <w:r w:rsidRPr="002B152F">
              <w:rPr>
                <w:color w:val="C00000"/>
                <w:sz w:val="18"/>
                <w:szCs w:val="18"/>
              </w:rPr>
              <w:t>1,790</w:t>
            </w:r>
          </w:p>
        </w:tc>
      </w:tr>
      <w:tr w:rsidR="00857C63" w:rsidRPr="009340AF" w14:paraId="212220FD"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982AA1E" w14:textId="78A45F96" w:rsidR="00857C63" w:rsidRPr="009340AF" w:rsidRDefault="00CF0A5C" w:rsidP="00857C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4C5344B" w14:textId="2BC090CC" w:rsidR="00857C63" w:rsidRPr="009340AF" w:rsidRDefault="00857C63" w:rsidP="00857C63">
            <w:pPr>
              <w:spacing w:before="20" w:after="20"/>
              <w:rPr>
                <w:sz w:val="18"/>
                <w:szCs w:val="18"/>
              </w:rPr>
            </w:pPr>
            <w:r>
              <w:rPr>
                <w:color w:val="000000"/>
                <w:sz w:val="18"/>
                <w:szCs w:val="18"/>
              </w:rPr>
              <w:t>5 or more persons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ADC01C6" w14:textId="5DBC6915"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C73CA3C" w14:textId="5955C01A" w:rsidR="00857C63" w:rsidRPr="002B152F" w:rsidRDefault="00CF0A5C" w:rsidP="00CF0A5C">
            <w:pPr>
              <w:spacing w:before="20" w:after="20"/>
              <w:jc w:val="right"/>
              <w:rPr>
                <w:color w:val="C00000"/>
                <w:sz w:val="18"/>
                <w:szCs w:val="18"/>
              </w:rPr>
            </w:pPr>
            <w:r w:rsidRPr="002B152F">
              <w:rPr>
                <w:color w:val="C00000"/>
                <w:sz w:val="18"/>
                <w:szCs w:val="18"/>
              </w:rPr>
              <w:t>975</w:t>
            </w:r>
          </w:p>
        </w:tc>
      </w:tr>
      <w:tr w:rsidR="00857C63" w:rsidRPr="009340AF" w14:paraId="3BA12960"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5583E70" w14:textId="1FBA83C5" w:rsidR="00857C63" w:rsidRPr="009340AF" w:rsidRDefault="00857C63" w:rsidP="00857C63">
            <w:pPr>
              <w:spacing w:before="20" w:after="20"/>
              <w:rPr>
                <w:sz w:val="18"/>
                <w:szCs w:val="18"/>
              </w:rPr>
            </w:pPr>
            <w:r w:rsidRPr="009340AF">
              <w:rPr>
                <w:color w:val="000000"/>
                <w:sz w:val="18"/>
                <w:szCs w:val="18"/>
              </w:rPr>
              <w:t>Tenant households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5600ED4" w14:textId="1BA63242" w:rsidR="00857C63" w:rsidRPr="009340AF" w:rsidRDefault="00857C63" w:rsidP="00857C63">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28A64A8" w14:textId="06B94790"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125A113" w14:textId="1571938D" w:rsidR="00857C63" w:rsidRPr="002B152F" w:rsidRDefault="00CF0A5C" w:rsidP="00CF0A5C">
            <w:pPr>
              <w:spacing w:before="20" w:after="20"/>
              <w:jc w:val="right"/>
              <w:rPr>
                <w:color w:val="C00000"/>
                <w:sz w:val="18"/>
                <w:szCs w:val="18"/>
              </w:rPr>
            </w:pPr>
            <w:r w:rsidRPr="002B152F">
              <w:rPr>
                <w:color w:val="C00000"/>
                <w:sz w:val="18"/>
                <w:szCs w:val="18"/>
              </w:rPr>
              <w:t>9,305</w:t>
            </w:r>
          </w:p>
        </w:tc>
      </w:tr>
      <w:tr w:rsidR="00857C63" w:rsidRPr="009340AF" w14:paraId="1C7A3874"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0BD08B0" w14:textId="5A9F9C8C" w:rsidR="00857C63" w:rsidRPr="009340AF" w:rsidRDefault="00857C63" w:rsidP="00857C63">
            <w:pPr>
              <w:spacing w:before="20" w:after="20"/>
              <w:rPr>
                <w:sz w:val="18"/>
                <w:szCs w:val="18"/>
              </w:rPr>
            </w:pPr>
            <w:r w:rsidRPr="009340AF">
              <w:rPr>
                <w:color w:val="000000"/>
                <w:sz w:val="18"/>
                <w:szCs w:val="18"/>
              </w:rPr>
              <w:t xml:space="preserv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F032658" w14:textId="61C55264" w:rsidR="00857C63" w:rsidRPr="009340AF" w:rsidRDefault="00857C63" w:rsidP="00857C63">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816F112" w14:textId="369375F9" w:rsidR="00857C63" w:rsidRPr="009340AF" w:rsidRDefault="00CF0A5C" w:rsidP="00CF0A5C">
            <w:pPr>
              <w:spacing w:before="20" w:after="20"/>
              <w:ind w:left="76"/>
              <w:rPr>
                <w:i/>
                <w:color w:val="004F87"/>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6E2F914" w14:textId="70453953" w:rsidR="00857C63" w:rsidRPr="002B152F" w:rsidRDefault="00CF0A5C" w:rsidP="00CF0A5C">
            <w:pPr>
              <w:spacing w:before="20" w:after="20"/>
              <w:jc w:val="right"/>
              <w:rPr>
                <w:color w:val="C00000"/>
                <w:sz w:val="18"/>
                <w:szCs w:val="18"/>
              </w:rPr>
            </w:pPr>
            <w:r w:rsidRPr="002B152F">
              <w:rPr>
                <w:color w:val="C00000"/>
                <w:sz w:val="18"/>
                <w:szCs w:val="18"/>
              </w:rPr>
              <w:t>54%</w:t>
            </w:r>
          </w:p>
        </w:tc>
      </w:tr>
      <w:tr w:rsidR="00857C63" w:rsidRPr="009340AF" w14:paraId="72E7CE19"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7D478DC" w14:textId="7DACBC53" w:rsidR="00857C63" w:rsidRPr="009340AF" w:rsidRDefault="00857C63" w:rsidP="00857C63">
            <w:pPr>
              <w:spacing w:before="20" w:after="20"/>
              <w:rPr>
                <w:sz w:val="18"/>
                <w:szCs w:val="18"/>
              </w:rPr>
            </w:pPr>
            <w:r w:rsidRPr="009340AF">
              <w:rPr>
                <w:color w:val="000000"/>
                <w:sz w:val="18"/>
                <w:szCs w:val="18"/>
              </w:rPr>
              <w:t>Owner households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D2D44AC" w14:textId="2EF3FCF2" w:rsidR="00857C63" w:rsidRPr="009340AF" w:rsidRDefault="00857C63" w:rsidP="00857C63">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458D799" w14:textId="46FAD929" w:rsidR="00857C63" w:rsidRPr="009340AF" w:rsidRDefault="00CF0A5C" w:rsidP="00CF0A5C">
            <w:pPr>
              <w:spacing w:before="20" w:after="20"/>
              <w:ind w:left="76"/>
              <w:rPr>
                <w:i/>
                <w:color w:val="004F87"/>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CB04F87" w14:textId="1477214B" w:rsidR="00857C63" w:rsidRPr="002B152F" w:rsidRDefault="00CF0A5C" w:rsidP="00CF0A5C">
            <w:pPr>
              <w:spacing w:before="20" w:after="20"/>
              <w:jc w:val="right"/>
              <w:rPr>
                <w:color w:val="C00000"/>
                <w:sz w:val="18"/>
                <w:szCs w:val="18"/>
              </w:rPr>
            </w:pPr>
            <w:r w:rsidRPr="002B152F">
              <w:rPr>
                <w:color w:val="C00000"/>
                <w:sz w:val="18"/>
                <w:szCs w:val="18"/>
              </w:rPr>
              <w:t>7,875</w:t>
            </w:r>
          </w:p>
        </w:tc>
      </w:tr>
      <w:tr w:rsidR="00857C63" w:rsidRPr="009340AF" w14:paraId="62A6A9B9"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1DA900A" w14:textId="2754A1DE" w:rsidR="00857C63" w:rsidRPr="009340AF" w:rsidRDefault="00CF0A5C" w:rsidP="00857C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8D4AC51" w14:textId="4D1FCD8A" w:rsidR="00857C63" w:rsidRPr="009340AF" w:rsidRDefault="00857C63" w:rsidP="00857C63">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78FA213" w14:textId="6E8F8189"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1E393B8" w14:textId="6FDABBA2" w:rsidR="00857C63" w:rsidRPr="002B152F" w:rsidRDefault="00CF0A5C" w:rsidP="00CF0A5C">
            <w:pPr>
              <w:spacing w:before="20" w:after="20"/>
              <w:jc w:val="right"/>
              <w:rPr>
                <w:color w:val="C00000"/>
                <w:sz w:val="18"/>
                <w:szCs w:val="18"/>
              </w:rPr>
            </w:pPr>
            <w:r w:rsidRPr="002B152F">
              <w:rPr>
                <w:color w:val="C00000"/>
                <w:sz w:val="18"/>
                <w:szCs w:val="18"/>
              </w:rPr>
              <w:t>46%</w:t>
            </w:r>
          </w:p>
        </w:tc>
      </w:tr>
      <w:tr w:rsidR="00857C63" w:rsidRPr="009340AF" w14:paraId="7F3B6AEE" w14:textId="77777777" w:rsidTr="0052731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EC9FAAB" w14:textId="521AFDD6" w:rsidR="00857C63" w:rsidRPr="009340AF" w:rsidRDefault="00857C63" w:rsidP="00857C63">
            <w:pPr>
              <w:spacing w:before="20" w:after="20"/>
              <w:rPr>
                <w:sz w:val="18"/>
                <w:szCs w:val="18"/>
              </w:rPr>
            </w:pPr>
            <w:r w:rsidRPr="009340AF">
              <w:rPr>
                <w:color w:val="000000"/>
                <w:sz w:val="18"/>
                <w:szCs w:val="18"/>
              </w:rPr>
              <w:t>% tenant HH in subsidized housing</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5A25182" w14:textId="4F2D28D2" w:rsidR="00857C63" w:rsidRPr="009340AF" w:rsidRDefault="00857C63" w:rsidP="00857C63">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A0002BE" w14:textId="6AC38E16"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F1DA479" w14:textId="7B95244A" w:rsidR="00857C63" w:rsidRPr="002B152F" w:rsidRDefault="00CF0A5C" w:rsidP="00CF0A5C">
            <w:pPr>
              <w:spacing w:before="20" w:after="20"/>
              <w:jc w:val="right"/>
              <w:rPr>
                <w:color w:val="C00000"/>
                <w:sz w:val="18"/>
                <w:szCs w:val="18"/>
              </w:rPr>
            </w:pPr>
            <w:r w:rsidRPr="002B152F">
              <w:rPr>
                <w:color w:val="C00000"/>
                <w:sz w:val="18"/>
                <w:szCs w:val="18"/>
              </w:rPr>
              <w:t>17%</w:t>
            </w:r>
          </w:p>
        </w:tc>
      </w:tr>
      <w:tr w:rsidR="006F28EF" w:rsidRPr="009340AF" w14:paraId="39FADA71" w14:textId="77777777" w:rsidTr="006F28EF">
        <w:tc>
          <w:tcPr>
            <w:tcW w:w="32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25706481" w14:textId="0586C386" w:rsidR="006F28EF" w:rsidRPr="009340AF" w:rsidRDefault="006F28EF" w:rsidP="006F28EF">
            <w:pPr>
              <w:spacing w:before="20" w:after="20"/>
              <w:rPr>
                <w:color w:val="000000"/>
                <w:sz w:val="18"/>
                <w:szCs w:val="18"/>
              </w:rPr>
            </w:pPr>
            <w:r>
              <w:rPr>
                <w:color w:val="000000"/>
                <w:sz w:val="18"/>
                <w:szCs w:val="18"/>
              </w:rPr>
              <w:t>Households within 800m of high-order transit</w:t>
            </w:r>
          </w:p>
        </w:tc>
        <w:tc>
          <w:tcPr>
            <w:tcW w:w="252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63CC65A1" w14:textId="1E07A72D" w:rsidR="006F28EF" w:rsidRDefault="006F28EF" w:rsidP="006F28EF">
            <w:pPr>
              <w:spacing w:before="20" w:after="20"/>
              <w:rPr>
                <w:color w:val="000000"/>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vAlign w:val="center"/>
          </w:tcPr>
          <w:p w14:paraId="3363B73E" w14:textId="26A5255E" w:rsidR="006F28EF" w:rsidRDefault="006F28EF" w:rsidP="006F28EF">
            <w:pPr>
              <w:spacing w:before="20" w:after="20"/>
              <w:ind w:left="76"/>
              <w:rPr>
                <w:color w:val="000000"/>
                <w:sz w:val="18"/>
                <w:szCs w:val="18"/>
              </w:rPr>
            </w:pPr>
            <w:r>
              <w:rPr>
                <w:color w:val="000000"/>
                <w:sz w:val="18"/>
                <w:szCs w:val="18"/>
              </w:rPr>
              <w:t>Table 23-10-0313 (estimate)</w:t>
            </w:r>
          </w:p>
        </w:tc>
        <w:tc>
          <w:tcPr>
            <w:tcW w:w="180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137992A1" w14:textId="28974D95" w:rsidR="006F28EF" w:rsidRPr="002B152F" w:rsidRDefault="006F28EF" w:rsidP="006F28EF">
            <w:pPr>
              <w:spacing w:before="20" w:after="20"/>
              <w:jc w:val="right"/>
              <w:rPr>
                <w:color w:val="C00000"/>
                <w:sz w:val="18"/>
                <w:szCs w:val="18"/>
              </w:rPr>
            </w:pPr>
            <w:r w:rsidRPr="002B152F">
              <w:rPr>
                <w:color w:val="C00000"/>
                <w:sz w:val="18"/>
                <w:szCs w:val="18"/>
              </w:rPr>
              <w:t>2,475</w:t>
            </w:r>
          </w:p>
        </w:tc>
      </w:tr>
      <w:tr w:rsidR="00857C63" w:rsidRPr="009340AF" w14:paraId="15BEB27C" w14:textId="77777777" w:rsidTr="006F28E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5821669" w14:textId="034CDABF" w:rsidR="00857C63" w:rsidRPr="009340AF" w:rsidRDefault="00857C63" w:rsidP="00857C63">
            <w:pPr>
              <w:spacing w:before="20" w:after="20"/>
              <w:rPr>
                <w:sz w:val="18"/>
                <w:szCs w:val="18"/>
              </w:rPr>
            </w:pPr>
            <w:r w:rsidRPr="009340AF">
              <w:rPr>
                <w:color w:val="000000"/>
                <w:sz w:val="18"/>
                <w:szCs w:val="18"/>
              </w:rPr>
              <w:t>One-parent families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AA28DFE" w14:textId="162CFDE2" w:rsidR="00857C63" w:rsidRPr="009340AF" w:rsidRDefault="00857C63" w:rsidP="00857C63">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D51E572" w14:textId="4AC8ADBE" w:rsidR="00857C63" w:rsidRPr="009340AF" w:rsidRDefault="00CF0A5C" w:rsidP="00CF0A5C">
            <w:pPr>
              <w:spacing w:before="20" w:after="20"/>
              <w:ind w:left="76"/>
              <w:rPr>
                <w:i/>
                <w:color w:val="004F87"/>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92E0691" w14:textId="0F99B875" w:rsidR="00857C63" w:rsidRPr="002B152F" w:rsidRDefault="00CF0A5C" w:rsidP="00CF0A5C">
            <w:pPr>
              <w:spacing w:before="20" w:after="20"/>
              <w:jc w:val="right"/>
              <w:rPr>
                <w:color w:val="C00000"/>
                <w:sz w:val="18"/>
                <w:szCs w:val="18"/>
              </w:rPr>
            </w:pPr>
            <w:r w:rsidRPr="002B152F">
              <w:rPr>
                <w:color w:val="C00000"/>
                <w:sz w:val="18"/>
                <w:szCs w:val="18"/>
              </w:rPr>
              <w:t>1,475</w:t>
            </w:r>
          </w:p>
        </w:tc>
      </w:tr>
      <w:tr w:rsidR="00857C63" w:rsidRPr="009340AF" w14:paraId="09602F81" w14:textId="77777777" w:rsidTr="006F28E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FD1EF4D" w14:textId="782E4232" w:rsidR="00857C63" w:rsidRPr="009340AF" w:rsidRDefault="00CF0A5C" w:rsidP="00857C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3D635EA" w14:textId="3B585666" w:rsidR="00857C63" w:rsidRPr="009340AF" w:rsidRDefault="00857C63" w:rsidP="00857C63">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D650571" w14:textId="1A80EC0C"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BDF1CCA" w14:textId="2B49C9AE" w:rsidR="00857C63" w:rsidRPr="002B152F" w:rsidRDefault="00CF0A5C" w:rsidP="00CF0A5C">
            <w:pPr>
              <w:spacing w:before="20" w:after="20"/>
              <w:jc w:val="right"/>
              <w:rPr>
                <w:color w:val="C00000"/>
                <w:sz w:val="18"/>
                <w:szCs w:val="18"/>
              </w:rPr>
            </w:pPr>
            <w:r w:rsidRPr="002B152F">
              <w:rPr>
                <w:color w:val="C00000"/>
                <w:sz w:val="18"/>
                <w:szCs w:val="18"/>
              </w:rPr>
              <w:t>9%</w:t>
            </w:r>
          </w:p>
        </w:tc>
      </w:tr>
      <w:tr w:rsidR="00857C63" w:rsidRPr="009340AF" w14:paraId="4D5E60B4" w14:textId="77777777" w:rsidTr="006F28EF">
        <w:tc>
          <w:tcPr>
            <w:tcW w:w="32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4A0B0B3B" w14:textId="27D246A7" w:rsidR="00857C63" w:rsidRPr="009340AF" w:rsidRDefault="00857C63" w:rsidP="00857C63">
            <w:pPr>
              <w:spacing w:before="20" w:after="20"/>
              <w:rPr>
                <w:sz w:val="18"/>
                <w:szCs w:val="18"/>
              </w:rPr>
            </w:pPr>
            <w:r w:rsidRPr="009340AF">
              <w:rPr>
                <w:color w:val="000000"/>
                <w:sz w:val="18"/>
                <w:szCs w:val="18"/>
              </w:rPr>
              <w:t>Parent is a woman+</w:t>
            </w:r>
          </w:p>
        </w:tc>
        <w:tc>
          <w:tcPr>
            <w:tcW w:w="252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24BAA616" w14:textId="5148D5A6" w:rsidR="00857C63" w:rsidRPr="009340AF" w:rsidRDefault="00857C63" w:rsidP="00857C63">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vAlign w:val="center"/>
          </w:tcPr>
          <w:p w14:paraId="10F69787" w14:textId="1711E6BE"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278250B1" w14:textId="032815CC" w:rsidR="00857C63" w:rsidRPr="002B152F" w:rsidRDefault="00CF0A5C" w:rsidP="00CF0A5C">
            <w:pPr>
              <w:spacing w:before="20" w:after="20"/>
              <w:jc w:val="right"/>
              <w:rPr>
                <w:color w:val="C00000"/>
                <w:sz w:val="18"/>
                <w:szCs w:val="18"/>
              </w:rPr>
            </w:pPr>
            <w:r w:rsidRPr="002B152F">
              <w:rPr>
                <w:color w:val="C00000"/>
                <w:sz w:val="18"/>
                <w:szCs w:val="18"/>
              </w:rPr>
              <w:t>1,300</w:t>
            </w:r>
          </w:p>
        </w:tc>
      </w:tr>
      <w:tr w:rsidR="00857C63" w:rsidRPr="009340AF" w14:paraId="6A9F0A39" w14:textId="77777777" w:rsidTr="006F28EF">
        <w:tc>
          <w:tcPr>
            <w:tcW w:w="3239"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8B0C164" w14:textId="230D1A6D" w:rsidR="00857C63" w:rsidRPr="009340AF" w:rsidRDefault="00857C63" w:rsidP="00857C63">
            <w:pPr>
              <w:spacing w:before="20" w:after="20"/>
              <w:rPr>
                <w:sz w:val="18"/>
                <w:szCs w:val="18"/>
              </w:rPr>
            </w:pPr>
            <w:r w:rsidRPr="009340AF">
              <w:rPr>
                <w:color w:val="000000"/>
                <w:sz w:val="18"/>
                <w:szCs w:val="18"/>
              </w:rPr>
              <w:t>Parent is a man+</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FF7F7A9" w14:textId="600AC46B" w:rsidR="00857C63" w:rsidRPr="009340AF" w:rsidRDefault="00857C63" w:rsidP="00857C63">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8638A55" w14:textId="5A2B3E4F" w:rsidR="00857C63" w:rsidRPr="009340AF" w:rsidRDefault="00CF0A5C" w:rsidP="00CF0A5C">
            <w:pPr>
              <w:spacing w:before="20" w:after="20"/>
              <w:ind w:left="76"/>
              <w:rPr>
                <w:i/>
                <w:color w:val="8AA2BA" w:themeColor="accent1" w:themeShade="BF"/>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6E50289" w14:textId="17664425" w:rsidR="00857C63" w:rsidRPr="002B152F" w:rsidRDefault="00CF0A5C" w:rsidP="00CF0A5C">
            <w:pPr>
              <w:spacing w:before="20" w:after="20"/>
              <w:jc w:val="right"/>
              <w:rPr>
                <w:color w:val="C00000"/>
                <w:sz w:val="18"/>
                <w:szCs w:val="18"/>
              </w:rPr>
            </w:pPr>
            <w:r w:rsidRPr="002B152F">
              <w:rPr>
                <w:color w:val="C00000"/>
                <w:sz w:val="18"/>
                <w:szCs w:val="18"/>
              </w:rPr>
              <w:t>160</w:t>
            </w:r>
          </w:p>
        </w:tc>
      </w:tr>
      <w:tr w:rsidR="00857C63" w:rsidRPr="009340AF" w14:paraId="10154F53" w14:textId="77777777" w:rsidTr="006F28EF">
        <w:tc>
          <w:tcPr>
            <w:tcW w:w="32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72581F58" w14:textId="42F6C25C" w:rsidR="00857C63" w:rsidRPr="009340AF" w:rsidRDefault="00857C63" w:rsidP="00857C63">
            <w:pPr>
              <w:spacing w:before="20" w:after="20"/>
              <w:rPr>
                <w:sz w:val="18"/>
                <w:szCs w:val="18"/>
              </w:rPr>
            </w:pPr>
            <w:r w:rsidRPr="009340AF">
              <w:rPr>
                <w:color w:val="000000"/>
                <w:sz w:val="18"/>
                <w:szCs w:val="18"/>
              </w:rPr>
              <w:t>H</w:t>
            </w:r>
            <w:r w:rsidR="00571BE8" w:rsidRPr="009340AF">
              <w:rPr>
                <w:color w:val="000000"/>
                <w:sz w:val="18"/>
                <w:szCs w:val="18"/>
              </w:rPr>
              <w:t>ousehold</w:t>
            </w:r>
            <w:r w:rsidRPr="009340AF">
              <w:rPr>
                <w:color w:val="000000"/>
                <w:sz w:val="18"/>
                <w:szCs w:val="18"/>
              </w:rPr>
              <w:t xml:space="preserve"> by </w:t>
            </w:r>
            <w:r w:rsidR="00571BE8" w:rsidRPr="009340AF">
              <w:rPr>
                <w:color w:val="000000"/>
                <w:sz w:val="18"/>
                <w:szCs w:val="18"/>
              </w:rPr>
              <w:t>i</w:t>
            </w:r>
            <w:r w:rsidRPr="009340AF">
              <w:rPr>
                <w:color w:val="000000"/>
                <w:sz w:val="18"/>
                <w:szCs w:val="18"/>
              </w:rPr>
              <w:t xml:space="preserve">ncome </w:t>
            </w:r>
            <w:r w:rsidR="00571BE8" w:rsidRPr="009340AF">
              <w:rPr>
                <w:color w:val="000000"/>
                <w:sz w:val="18"/>
                <w:szCs w:val="18"/>
              </w:rPr>
              <w:t>c</w:t>
            </w:r>
            <w:r w:rsidRPr="009340AF">
              <w:rPr>
                <w:color w:val="000000"/>
                <w:sz w:val="18"/>
                <w:szCs w:val="18"/>
              </w:rPr>
              <w:t>ategory</w:t>
            </w:r>
          </w:p>
        </w:tc>
        <w:tc>
          <w:tcPr>
            <w:tcW w:w="252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39B76FBA" w14:textId="67AEFC58" w:rsidR="00857C63" w:rsidRPr="009340AF" w:rsidRDefault="00571BE8" w:rsidP="00857C63">
            <w:pPr>
              <w:spacing w:before="20" w:after="20"/>
              <w:rPr>
                <w:sz w:val="18"/>
                <w:szCs w:val="18"/>
              </w:rPr>
            </w:pPr>
            <w:r>
              <w:rPr>
                <w:color w:val="000000"/>
                <w:sz w:val="18"/>
                <w:szCs w:val="18"/>
              </w:rPr>
              <w:t xml:space="preserve">Very </w:t>
            </w:r>
            <w:r w:rsidR="001750EF">
              <w:rPr>
                <w:color w:val="000000"/>
                <w:sz w:val="18"/>
                <w:szCs w:val="18"/>
              </w:rPr>
              <w:t>l</w:t>
            </w:r>
            <w:r>
              <w:rPr>
                <w:color w:val="000000"/>
                <w:sz w:val="18"/>
                <w:szCs w:val="18"/>
              </w:rPr>
              <w:t>ow (up to 20% AMHI)</w:t>
            </w:r>
          </w:p>
        </w:tc>
        <w:tc>
          <w:tcPr>
            <w:tcW w:w="1800" w:type="dxa"/>
            <w:tcBorders>
              <w:top w:val="single" w:sz="1" w:space="0" w:color="BDC3C7"/>
              <w:left w:val="single" w:sz="1" w:space="0" w:color="BDC3C7"/>
              <w:bottom w:val="single" w:sz="1" w:space="0" w:color="BDC3C7"/>
              <w:right w:val="single" w:sz="1" w:space="0" w:color="BDC3C7"/>
            </w:tcBorders>
            <w:vAlign w:val="center"/>
          </w:tcPr>
          <w:p w14:paraId="1D0FFE59" w14:textId="71F3237E" w:rsidR="00857C63" w:rsidRPr="009340AF" w:rsidRDefault="00CF0A5C" w:rsidP="00CF0A5C">
            <w:pPr>
              <w:spacing w:before="20" w:after="20"/>
              <w:ind w:left="76"/>
              <w:rPr>
                <w:i/>
                <w:color w:val="8AA2BA" w:themeColor="accent1" w:themeShade="BF"/>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4D45F6AE" w14:textId="43F0C2EA" w:rsidR="00857C63" w:rsidRPr="002B152F" w:rsidRDefault="00CF0A5C" w:rsidP="00CF0A5C">
            <w:pPr>
              <w:spacing w:before="20" w:after="20"/>
              <w:jc w:val="right"/>
              <w:rPr>
                <w:color w:val="C00000"/>
                <w:sz w:val="18"/>
                <w:szCs w:val="18"/>
              </w:rPr>
            </w:pPr>
            <w:r w:rsidRPr="002B152F">
              <w:rPr>
                <w:color w:val="C00000"/>
                <w:sz w:val="18"/>
                <w:szCs w:val="18"/>
              </w:rPr>
              <w:t>480</w:t>
            </w:r>
          </w:p>
        </w:tc>
      </w:tr>
      <w:tr w:rsidR="00571BE8" w:rsidRPr="009340AF" w14:paraId="6CD8C36B" w14:textId="77777777" w:rsidTr="006F28EF">
        <w:tc>
          <w:tcPr>
            <w:tcW w:w="32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1C90DC07" w14:textId="6C885687" w:rsidR="00571BE8" w:rsidRPr="009340AF" w:rsidRDefault="00CF0A5C" w:rsidP="00571BE8">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7C55A6D8" w14:textId="6D5498FB" w:rsidR="00571BE8" w:rsidRPr="009340AF" w:rsidRDefault="00571BE8" w:rsidP="00571BE8">
            <w:pPr>
              <w:spacing w:before="20" w:after="20"/>
              <w:rPr>
                <w:sz w:val="18"/>
                <w:szCs w:val="18"/>
              </w:rPr>
            </w:pPr>
            <w:r w:rsidRPr="009340AF">
              <w:rPr>
                <w:color w:val="000000"/>
                <w:sz w:val="18"/>
                <w:szCs w:val="18"/>
              </w:rPr>
              <w:t>Low (21–50% AMHI)</w:t>
            </w:r>
          </w:p>
        </w:tc>
        <w:tc>
          <w:tcPr>
            <w:tcW w:w="1800" w:type="dxa"/>
            <w:tcBorders>
              <w:top w:val="single" w:sz="1" w:space="0" w:color="BDC3C7"/>
              <w:left w:val="single" w:sz="1" w:space="0" w:color="BDC3C7"/>
              <w:bottom w:val="single" w:sz="1" w:space="0" w:color="BDC3C7"/>
              <w:right w:val="single" w:sz="1" w:space="0" w:color="BDC3C7"/>
            </w:tcBorders>
            <w:vAlign w:val="center"/>
          </w:tcPr>
          <w:p w14:paraId="065A53CB" w14:textId="2EAA5FC0" w:rsidR="00571BE8" w:rsidRPr="009340AF" w:rsidRDefault="00CF0A5C" w:rsidP="00CF0A5C">
            <w:pPr>
              <w:spacing w:before="20" w:after="20"/>
              <w:ind w:left="76"/>
              <w:rPr>
                <w:i/>
                <w:color w:val="004F87"/>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7CEEB669" w14:textId="73CC6C23" w:rsidR="00571BE8" w:rsidRPr="002B152F" w:rsidRDefault="00CF0A5C" w:rsidP="00CF0A5C">
            <w:pPr>
              <w:spacing w:before="20" w:after="20"/>
              <w:jc w:val="right"/>
              <w:rPr>
                <w:color w:val="C00000"/>
                <w:sz w:val="18"/>
                <w:szCs w:val="18"/>
              </w:rPr>
            </w:pPr>
            <w:r w:rsidRPr="002B152F">
              <w:rPr>
                <w:color w:val="C00000"/>
                <w:sz w:val="18"/>
                <w:szCs w:val="18"/>
              </w:rPr>
              <w:t>2,975</w:t>
            </w:r>
          </w:p>
        </w:tc>
      </w:tr>
      <w:tr w:rsidR="00571BE8" w:rsidRPr="009340AF" w14:paraId="1229AB8B" w14:textId="77777777" w:rsidTr="006F28EF">
        <w:tc>
          <w:tcPr>
            <w:tcW w:w="32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52CDC1A7" w14:textId="0F55D129" w:rsidR="00571BE8" w:rsidRPr="009340AF" w:rsidRDefault="00CF0A5C" w:rsidP="00571BE8">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3A8AFF28" w14:textId="13BFA785" w:rsidR="00571BE8" w:rsidRPr="009340AF" w:rsidRDefault="00571BE8" w:rsidP="00571BE8">
            <w:pPr>
              <w:spacing w:before="20" w:after="20"/>
              <w:rPr>
                <w:sz w:val="18"/>
                <w:szCs w:val="18"/>
              </w:rPr>
            </w:pPr>
            <w:r w:rsidRPr="009340AF">
              <w:rPr>
                <w:color w:val="000000"/>
                <w:sz w:val="18"/>
                <w:szCs w:val="18"/>
              </w:rPr>
              <w:t>Moderate (51–80% AMHI)</w:t>
            </w:r>
          </w:p>
        </w:tc>
        <w:tc>
          <w:tcPr>
            <w:tcW w:w="1800" w:type="dxa"/>
            <w:tcBorders>
              <w:top w:val="single" w:sz="1" w:space="0" w:color="BDC3C7"/>
              <w:left w:val="single" w:sz="1" w:space="0" w:color="BDC3C7"/>
              <w:bottom w:val="single" w:sz="1" w:space="0" w:color="BDC3C7"/>
              <w:right w:val="single" w:sz="1" w:space="0" w:color="BDC3C7"/>
            </w:tcBorders>
            <w:vAlign w:val="center"/>
          </w:tcPr>
          <w:p w14:paraId="396AE926" w14:textId="6896A38F" w:rsidR="00571BE8" w:rsidRPr="009340AF" w:rsidRDefault="00CF0A5C" w:rsidP="00CF0A5C">
            <w:pPr>
              <w:spacing w:before="20" w:after="20"/>
              <w:ind w:left="76"/>
              <w:rPr>
                <w:i/>
                <w:color w:val="004F87"/>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016B730F" w14:textId="039145D6" w:rsidR="00571BE8" w:rsidRPr="002B152F" w:rsidRDefault="00CF0A5C" w:rsidP="00CF0A5C">
            <w:pPr>
              <w:spacing w:before="20" w:after="20"/>
              <w:jc w:val="right"/>
              <w:rPr>
                <w:color w:val="C00000"/>
                <w:sz w:val="18"/>
                <w:szCs w:val="18"/>
              </w:rPr>
            </w:pPr>
            <w:r w:rsidRPr="002B152F">
              <w:rPr>
                <w:color w:val="C00000"/>
                <w:sz w:val="18"/>
                <w:szCs w:val="18"/>
              </w:rPr>
              <w:t>3,210</w:t>
            </w:r>
          </w:p>
        </w:tc>
      </w:tr>
      <w:tr w:rsidR="00571BE8" w:rsidRPr="009340AF" w14:paraId="50EBDB7E" w14:textId="77777777" w:rsidTr="006F28EF">
        <w:tc>
          <w:tcPr>
            <w:tcW w:w="32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63A6A399" w14:textId="28492C00" w:rsidR="00571BE8" w:rsidRPr="009340AF" w:rsidRDefault="00CF0A5C" w:rsidP="00571BE8">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0ADF2174" w14:textId="4E209744" w:rsidR="00571BE8" w:rsidRPr="009340AF" w:rsidRDefault="00571BE8" w:rsidP="00571BE8">
            <w:pPr>
              <w:spacing w:before="20" w:after="20"/>
              <w:rPr>
                <w:sz w:val="18"/>
                <w:szCs w:val="18"/>
              </w:rPr>
            </w:pPr>
            <w:r w:rsidRPr="009340AF">
              <w:rPr>
                <w:color w:val="000000"/>
                <w:sz w:val="18"/>
                <w:szCs w:val="18"/>
              </w:rPr>
              <w:t>Median (81–120% AMHI)</w:t>
            </w:r>
          </w:p>
        </w:tc>
        <w:tc>
          <w:tcPr>
            <w:tcW w:w="1800" w:type="dxa"/>
            <w:tcBorders>
              <w:top w:val="single" w:sz="1" w:space="0" w:color="BDC3C7"/>
              <w:left w:val="single" w:sz="1" w:space="0" w:color="BDC3C7"/>
              <w:bottom w:val="single" w:sz="1" w:space="0" w:color="BDC3C7"/>
              <w:right w:val="single" w:sz="1" w:space="0" w:color="BDC3C7"/>
            </w:tcBorders>
            <w:vAlign w:val="center"/>
          </w:tcPr>
          <w:p w14:paraId="14E50DD9" w14:textId="6DB79B0C" w:rsidR="00571BE8" w:rsidRPr="009340AF" w:rsidRDefault="00CF0A5C" w:rsidP="00CF0A5C">
            <w:pPr>
              <w:spacing w:before="20" w:after="20"/>
              <w:ind w:left="76"/>
              <w:rPr>
                <w:i/>
                <w:color w:val="004F87"/>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2D131A7C" w14:textId="74D8E94E" w:rsidR="00571BE8" w:rsidRPr="002B152F" w:rsidRDefault="00CF0A5C" w:rsidP="00CF0A5C">
            <w:pPr>
              <w:spacing w:before="20" w:after="20"/>
              <w:jc w:val="right"/>
              <w:rPr>
                <w:color w:val="C00000"/>
                <w:sz w:val="18"/>
                <w:szCs w:val="18"/>
              </w:rPr>
            </w:pPr>
            <w:r w:rsidRPr="002B152F">
              <w:rPr>
                <w:color w:val="C00000"/>
                <w:sz w:val="18"/>
                <w:szCs w:val="18"/>
              </w:rPr>
              <w:t>3,520</w:t>
            </w:r>
          </w:p>
        </w:tc>
      </w:tr>
      <w:tr w:rsidR="00571BE8" w:rsidRPr="009340AF" w14:paraId="1105C176" w14:textId="77777777" w:rsidTr="006F28EF">
        <w:tc>
          <w:tcPr>
            <w:tcW w:w="32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03503F74" w14:textId="54121D89" w:rsidR="00571BE8" w:rsidRPr="009340AF" w:rsidRDefault="00CF0A5C" w:rsidP="00571BE8">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389EEDFA" w14:textId="6FD34E43" w:rsidR="00571BE8" w:rsidRPr="009340AF" w:rsidRDefault="00571BE8" w:rsidP="00571BE8">
            <w:pPr>
              <w:spacing w:before="20" w:after="20"/>
              <w:rPr>
                <w:sz w:val="18"/>
                <w:szCs w:val="18"/>
              </w:rPr>
            </w:pPr>
            <w:r w:rsidRPr="009340AF">
              <w:rPr>
                <w:color w:val="000000"/>
                <w:sz w:val="18"/>
                <w:szCs w:val="18"/>
              </w:rPr>
              <w:t>High (&gt;120% AMHI)</w:t>
            </w:r>
          </w:p>
        </w:tc>
        <w:tc>
          <w:tcPr>
            <w:tcW w:w="1800" w:type="dxa"/>
            <w:tcBorders>
              <w:top w:val="single" w:sz="1" w:space="0" w:color="BDC3C7"/>
              <w:left w:val="single" w:sz="1" w:space="0" w:color="BDC3C7"/>
              <w:bottom w:val="single" w:sz="1" w:space="0" w:color="BDC3C7"/>
              <w:right w:val="single" w:sz="1" w:space="0" w:color="BDC3C7"/>
            </w:tcBorders>
            <w:vAlign w:val="center"/>
          </w:tcPr>
          <w:p w14:paraId="78AD468C" w14:textId="5D216A2D" w:rsidR="00571BE8" w:rsidRPr="009340AF" w:rsidRDefault="00CF0A5C" w:rsidP="00CF0A5C">
            <w:pPr>
              <w:spacing w:before="20" w:after="20"/>
              <w:ind w:left="76"/>
              <w:rPr>
                <w:i/>
                <w:color w:val="004F87"/>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441C6970" w14:textId="3C150008" w:rsidR="00571BE8" w:rsidRPr="002B152F" w:rsidRDefault="00CF0A5C" w:rsidP="00CF0A5C">
            <w:pPr>
              <w:spacing w:before="20" w:after="20"/>
              <w:jc w:val="right"/>
              <w:rPr>
                <w:color w:val="C00000"/>
                <w:sz w:val="18"/>
                <w:szCs w:val="18"/>
              </w:rPr>
            </w:pPr>
            <w:r w:rsidRPr="002B152F">
              <w:rPr>
                <w:color w:val="C00000"/>
                <w:sz w:val="18"/>
                <w:szCs w:val="18"/>
              </w:rPr>
              <w:t>6,900</w:t>
            </w:r>
          </w:p>
        </w:tc>
      </w:tr>
    </w:tbl>
    <w:p w14:paraId="24DB8231" w14:textId="77777777" w:rsidR="0043538E" w:rsidRDefault="000511ED">
      <w:r>
        <w:br w:type="page"/>
      </w:r>
    </w:p>
    <w:p w14:paraId="141E5FBB" w14:textId="270CC6F5" w:rsidR="0043538E" w:rsidRPr="00042C80" w:rsidRDefault="00642684" w:rsidP="004608FD">
      <w:pPr>
        <w:rPr>
          <w:b/>
          <w:bCs/>
        </w:rPr>
      </w:pPr>
      <w:r w:rsidRPr="00042C80">
        <w:rPr>
          <w:b/>
          <w:bCs/>
        </w:rPr>
        <w:lastRenderedPageBreak/>
        <w:t>Table 3.4.1: Economy and Labour Force</w:t>
      </w:r>
    </w:p>
    <w:p w14:paraId="6A4AF24E" w14:textId="77777777" w:rsidR="00642684" w:rsidRDefault="00642684" w:rsidP="004608FD"/>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642684" w:rsidRPr="00642684" w14:paraId="0B2A131D" w14:textId="77777777" w:rsidTr="003C59F9">
        <w:trPr>
          <w:tblHeader/>
        </w:trPr>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AA3A5B6" w14:textId="77777777" w:rsidR="00642684" w:rsidRPr="00642684" w:rsidRDefault="00642684">
            <w:pPr>
              <w:rPr>
                <w:sz w:val="18"/>
                <w:szCs w:val="18"/>
              </w:rPr>
            </w:pPr>
            <w:r w:rsidRPr="00642684">
              <w:rPr>
                <w:color w:val="FFFFFF"/>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31927A9" w14:textId="77777777" w:rsidR="00642684" w:rsidRPr="00642684" w:rsidRDefault="00642684" w:rsidP="00642684">
            <w:pPr>
              <w:rPr>
                <w:sz w:val="18"/>
                <w:szCs w:val="18"/>
              </w:rPr>
            </w:pPr>
            <w:r w:rsidRPr="00642684">
              <w:rPr>
                <w:color w:val="FFFFFF"/>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Pr>
          <w:p w14:paraId="277F18DA" w14:textId="052E185E" w:rsidR="00642684" w:rsidRPr="00642684" w:rsidRDefault="00642684" w:rsidP="00A8494A">
            <w:pPr>
              <w:ind w:left="76"/>
              <w:rPr>
                <w:color w:val="FFFFFF"/>
                <w:sz w:val="18"/>
                <w:szCs w:val="18"/>
              </w:rPr>
            </w:pPr>
            <w:r>
              <w:rPr>
                <w:color w:val="FFFFFF"/>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0713517E" w14:textId="56C0B116" w:rsidR="00642684" w:rsidRPr="00642684" w:rsidRDefault="00642684" w:rsidP="00642684">
            <w:pPr>
              <w:jc w:val="right"/>
              <w:rPr>
                <w:sz w:val="18"/>
                <w:szCs w:val="18"/>
              </w:rPr>
            </w:pPr>
            <w:r>
              <w:rPr>
                <w:color w:val="FFFFFF"/>
                <w:sz w:val="18"/>
                <w:szCs w:val="18"/>
              </w:rPr>
              <w:t>Value</w:t>
            </w:r>
          </w:p>
        </w:tc>
      </w:tr>
      <w:tr w:rsidR="00642684" w:rsidRPr="00642684" w14:paraId="5FE52F0C"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82BE5D2" w14:textId="7DC731FF" w:rsidR="00642684" w:rsidRPr="00642684" w:rsidRDefault="00642684">
            <w:pPr>
              <w:spacing w:before="20" w:after="20"/>
              <w:rPr>
                <w:sz w:val="18"/>
                <w:szCs w:val="18"/>
              </w:rPr>
            </w:pPr>
            <w:r w:rsidRPr="00642684">
              <w:rPr>
                <w:color w:val="000000"/>
                <w:sz w:val="18"/>
                <w:szCs w:val="18"/>
              </w:rPr>
              <w:t xml:space="preserve">Workers in labour force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71CA285" w14:textId="77AE71A5" w:rsidR="00642684" w:rsidRPr="00642684" w:rsidRDefault="00642684" w:rsidP="00642684">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909D45F" w14:textId="1E70EEAD"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093C47A" w14:textId="0DBDAEC2" w:rsidR="00642684" w:rsidRPr="002B152F" w:rsidRDefault="00A8494A" w:rsidP="00642684">
            <w:pPr>
              <w:spacing w:before="20" w:after="20"/>
              <w:jc w:val="right"/>
              <w:rPr>
                <w:color w:val="C00000"/>
                <w:sz w:val="18"/>
                <w:szCs w:val="18"/>
              </w:rPr>
            </w:pPr>
            <w:r w:rsidRPr="002B152F">
              <w:rPr>
                <w:color w:val="C00000"/>
                <w:sz w:val="18"/>
                <w:szCs w:val="18"/>
              </w:rPr>
              <w:t>21,155</w:t>
            </w:r>
          </w:p>
        </w:tc>
      </w:tr>
      <w:tr w:rsidR="00642684" w:rsidRPr="00642684" w14:paraId="5DE5DE6D"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64AB812" w14:textId="50EB9DBA" w:rsidR="00642684" w:rsidRPr="00642684" w:rsidRDefault="00642684">
            <w:pPr>
              <w:spacing w:before="20" w:after="20"/>
              <w:rPr>
                <w:sz w:val="18"/>
                <w:szCs w:val="18"/>
              </w:rPr>
            </w:pPr>
            <w:r w:rsidRPr="00642684">
              <w:rPr>
                <w:color w:val="000000"/>
                <w:sz w:val="18"/>
                <w:szCs w:val="18"/>
              </w:rPr>
              <w:t>Workers by industry</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B848D24" w14:textId="24FFB3E7" w:rsidR="00642684" w:rsidRPr="002B152F" w:rsidRDefault="00A8494A" w:rsidP="00642684">
            <w:pPr>
              <w:spacing w:before="20" w:after="20"/>
              <w:rPr>
                <w:color w:val="C00000"/>
                <w:sz w:val="18"/>
                <w:szCs w:val="18"/>
              </w:rPr>
            </w:pPr>
            <w:r w:rsidRPr="002B152F">
              <w:rPr>
                <w:color w:val="C00000"/>
                <w:sz w:val="18"/>
                <w:szCs w:val="18"/>
              </w:rPr>
              <w:t>Retail trade [44-45]</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A8FFFF7" w14:textId="64CC4EE0"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72768A2" w14:textId="0DAD5745" w:rsidR="00642684" w:rsidRPr="002B152F" w:rsidRDefault="00A8494A" w:rsidP="00642684">
            <w:pPr>
              <w:spacing w:before="20" w:after="20"/>
              <w:jc w:val="right"/>
              <w:rPr>
                <w:color w:val="C00000"/>
                <w:sz w:val="18"/>
                <w:szCs w:val="18"/>
              </w:rPr>
            </w:pPr>
            <w:r w:rsidRPr="002B152F">
              <w:rPr>
                <w:color w:val="C00000"/>
                <w:sz w:val="18"/>
                <w:szCs w:val="18"/>
              </w:rPr>
              <w:t>2,785</w:t>
            </w:r>
          </w:p>
        </w:tc>
      </w:tr>
      <w:tr w:rsidR="00642684" w:rsidRPr="00642684" w14:paraId="44333CA6"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692D1B0" w14:textId="0027D674"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98341D3" w14:textId="1D5E529E" w:rsidR="00642684" w:rsidRPr="002B152F" w:rsidRDefault="00A8494A" w:rsidP="00642684">
            <w:pPr>
              <w:spacing w:before="20" w:after="20"/>
              <w:rPr>
                <w:color w:val="C00000"/>
                <w:sz w:val="18"/>
                <w:szCs w:val="18"/>
              </w:rPr>
            </w:pPr>
            <w:r w:rsidRPr="002B152F">
              <w:rPr>
                <w:color w:val="C00000"/>
                <w:sz w:val="18"/>
                <w:szCs w:val="18"/>
              </w:rPr>
              <w:t>Health care and social assistance [62]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54C238F" w14:textId="41BD993D"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B812348" w14:textId="747939B4" w:rsidR="00642684" w:rsidRPr="002B152F" w:rsidRDefault="00A8494A" w:rsidP="00642684">
            <w:pPr>
              <w:spacing w:before="20" w:after="20"/>
              <w:jc w:val="right"/>
              <w:rPr>
                <w:color w:val="C00000"/>
                <w:sz w:val="18"/>
                <w:szCs w:val="18"/>
              </w:rPr>
            </w:pPr>
            <w:r w:rsidRPr="002B152F">
              <w:rPr>
                <w:color w:val="C00000"/>
                <w:sz w:val="18"/>
                <w:szCs w:val="18"/>
              </w:rPr>
              <w:t>2,775</w:t>
            </w:r>
          </w:p>
        </w:tc>
      </w:tr>
      <w:tr w:rsidR="00642684" w:rsidRPr="00642684" w14:paraId="42C97970"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CAA8EAF" w14:textId="6001990D"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630BC5F" w14:textId="5B285EA4" w:rsidR="00642684" w:rsidRPr="002B152F" w:rsidRDefault="00A8494A" w:rsidP="00642684">
            <w:pPr>
              <w:spacing w:before="20" w:after="20"/>
              <w:rPr>
                <w:color w:val="C00000"/>
                <w:sz w:val="18"/>
                <w:szCs w:val="18"/>
              </w:rPr>
            </w:pPr>
            <w:r w:rsidRPr="002B152F">
              <w:rPr>
                <w:color w:val="C00000"/>
                <w:sz w:val="18"/>
                <w:szCs w:val="18"/>
              </w:rPr>
              <w:t>Public administration [91]</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972467D" w14:textId="0C98AC65"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6B75877" w14:textId="03E07808" w:rsidR="00642684" w:rsidRPr="002B152F" w:rsidRDefault="00A8494A" w:rsidP="00642684">
            <w:pPr>
              <w:spacing w:before="20" w:after="20"/>
              <w:jc w:val="right"/>
              <w:rPr>
                <w:color w:val="C00000"/>
                <w:sz w:val="18"/>
                <w:szCs w:val="18"/>
              </w:rPr>
            </w:pPr>
            <w:r w:rsidRPr="002B152F">
              <w:rPr>
                <w:color w:val="C00000"/>
                <w:sz w:val="18"/>
                <w:szCs w:val="18"/>
              </w:rPr>
              <w:t>2,400</w:t>
            </w:r>
          </w:p>
        </w:tc>
      </w:tr>
      <w:tr w:rsidR="00642684" w:rsidRPr="00642684" w14:paraId="1FCD9AAD"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6449DF8" w14:textId="4A956D9C"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16D1C98" w14:textId="0D23E995" w:rsidR="00642684" w:rsidRPr="002B152F" w:rsidRDefault="00A8494A" w:rsidP="00642684">
            <w:pPr>
              <w:spacing w:before="20" w:after="20"/>
              <w:rPr>
                <w:color w:val="C00000"/>
                <w:sz w:val="18"/>
                <w:szCs w:val="18"/>
              </w:rPr>
            </w:pPr>
            <w:r w:rsidRPr="002B152F">
              <w:rPr>
                <w:color w:val="C00000"/>
                <w:sz w:val="18"/>
                <w:szCs w:val="18"/>
              </w:rPr>
              <w:t>Accommodation and food services [72]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3116F9D" w14:textId="55DF1F51"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1EEC377" w14:textId="6E97B036" w:rsidR="00642684" w:rsidRPr="002B152F" w:rsidRDefault="00A8494A" w:rsidP="00642684">
            <w:pPr>
              <w:spacing w:before="20" w:after="20"/>
              <w:jc w:val="right"/>
              <w:rPr>
                <w:color w:val="C00000"/>
                <w:sz w:val="18"/>
                <w:szCs w:val="18"/>
              </w:rPr>
            </w:pPr>
            <w:r w:rsidRPr="002B152F">
              <w:rPr>
                <w:color w:val="C00000"/>
                <w:sz w:val="18"/>
                <w:szCs w:val="18"/>
              </w:rPr>
              <w:t>2,025</w:t>
            </w:r>
          </w:p>
        </w:tc>
      </w:tr>
      <w:tr w:rsidR="00642684" w:rsidRPr="00642684" w14:paraId="62175BDD"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DB3AEA6" w14:textId="3251F72E"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13FDAF0" w14:textId="2B832710" w:rsidR="00642684" w:rsidRPr="002B152F" w:rsidRDefault="00A8494A" w:rsidP="00642684">
            <w:pPr>
              <w:spacing w:before="20" w:after="20"/>
              <w:rPr>
                <w:color w:val="C00000"/>
                <w:sz w:val="18"/>
                <w:szCs w:val="18"/>
              </w:rPr>
            </w:pPr>
            <w:r w:rsidRPr="002B152F">
              <w:rPr>
                <w:color w:val="C00000"/>
                <w:sz w:val="18"/>
                <w:szCs w:val="18"/>
              </w:rPr>
              <w:t>Educational services [61]</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5EBEB7D" w14:textId="4919427D"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9BF11B6" w14:textId="6CD50C16" w:rsidR="00642684" w:rsidRPr="002B152F" w:rsidRDefault="00A8494A" w:rsidP="00642684">
            <w:pPr>
              <w:spacing w:before="20" w:after="20"/>
              <w:jc w:val="right"/>
              <w:rPr>
                <w:color w:val="C00000"/>
                <w:sz w:val="18"/>
                <w:szCs w:val="18"/>
              </w:rPr>
            </w:pPr>
            <w:r w:rsidRPr="002B152F">
              <w:rPr>
                <w:color w:val="C00000"/>
                <w:sz w:val="18"/>
                <w:szCs w:val="18"/>
              </w:rPr>
              <w:t>1,735</w:t>
            </w:r>
          </w:p>
        </w:tc>
      </w:tr>
      <w:tr w:rsidR="00642684" w:rsidRPr="00642684" w14:paraId="4D782039"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52C2AF1" w14:textId="090EDE82"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A782A7A" w14:textId="75DCE7F2" w:rsidR="00642684" w:rsidRPr="002B152F" w:rsidRDefault="00A8494A" w:rsidP="00642684">
            <w:pPr>
              <w:spacing w:before="20" w:after="20"/>
              <w:rPr>
                <w:color w:val="C00000"/>
                <w:sz w:val="18"/>
                <w:szCs w:val="18"/>
              </w:rPr>
            </w:pPr>
            <w:r w:rsidRPr="002B152F">
              <w:rPr>
                <w:color w:val="C00000"/>
                <w:sz w:val="18"/>
                <w:szCs w:val="18"/>
              </w:rPr>
              <w:t>Professional, scientific and technical services [54]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8B8D93E" w14:textId="46813E45"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F027CBC" w14:textId="69976F7F" w:rsidR="00642684" w:rsidRPr="002B152F" w:rsidRDefault="00A8494A" w:rsidP="00642684">
            <w:pPr>
              <w:spacing w:before="20" w:after="20"/>
              <w:jc w:val="right"/>
              <w:rPr>
                <w:color w:val="C00000"/>
                <w:sz w:val="18"/>
                <w:szCs w:val="18"/>
              </w:rPr>
            </w:pPr>
            <w:r w:rsidRPr="002B152F">
              <w:rPr>
                <w:color w:val="C00000"/>
                <w:sz w:val="18"/>
                <w:szCs w:val="18"/>
              </w:rPr>
              <w:t>1,545</w:t>
            </w:r>
          </w:p>
        </w:tc>
      </w:tr>
      <w:tr w:rsidR="00642684" w:rsidRPr="00642684" w14:paraId="2DF1ABD9"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4790227" w14:textId="3C0552F1"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15444AC" w14:textId="7D5ADE95" w:rsidR="00642684" w:rsidRPr="002B152F" w:rsidRDefault="00A8494A" w:rsidP="00642684">
            <w:pPr>
              <w:spacing w:before="20" w:after="20"/>
              <w:rPr>
                <w:color w:val="C00000"/>
                <w:sz w:val="18"/>
                <w:szCs w:val="18"/>
              </w:rPr>
            </w:pPr>
            <w:r w:rsidRPr="002B152F">
              <w:rPr>
                <w:color w:val="C00000"/>
                <w:sz w:val="18"/>
                <w:szCs w:val="18"/>
              </w:rPr>
              <w:t>Construction [23]</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A191C5B" w14:textId="57C83618"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8DB3E4C" w14:textId="671AEF7D" w:rsidR="00642684" w:rsidRPr="002B152F" w:rsidRDefault="00A8494A" w:rsidP="00642684">
            <w:pPr>
              <w:spacing w:before="20" w:after="20"/>
              <w:jc w:val="right"/>
              <w:rPr>
                <w:color w:val="C00000"/>
                <w:sz w:val="18"/>
                <w:szCs w:val="18"/>
              </w:rPr>
            </w:pPr>
            <w:r w:rsidRPr="002B152F">
              <w:rPr>
                <w:color w:val="C00000"/>
                <w:sz w:val="18"/>
                <w:szCs w:val="18"/>
              </w:rPr>
              <w:t>1,190</w:t>
            </w:r>
          </w:p>
        </w:tc>
      </w:tr>
      <w:tr w:rsidR="00642684" w:rsidRPr="00642684" w14:paraId="6A913A83"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B5A78B1" w14:textId="52569698"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8D4D9C2" w14:textId="40BC904C" w:rsidR="00642684" w:rsidRPr="002B152F" w:rsidRDefault="00A8494A" w:rsidP="00642684">
            <w:pPr>
              <w:spacing w:before="20" w:after="20"/>
              <w:rPr>
                <w:color w:val="C00000"/>
                <w:sz w:val="18"/>
                <w:szCs w:val="18"/>
              </w:rPr>
            </w:pPr>
            <w:r w:rsidRPr="002B152F">
              <w:rPr>
                <w:color w:val="C00000"/>
                <w:sz w:val="18"/>
                <w:szCs w:val="18"/>
              </w:rPr>
              <w:t>Manufacturing [31-33]</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AD23209" w14:textId="07AD5710"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8B2B331" w14:textId="17CC1EFA" w:rsidR="00642684" w:rsidRPr="002B152F" w:rsidRDefault="00A8494A" w:rsidP="00642684">
            <w:pPr>
              <w:spacing w:before="20" w:after="20"/>
              <w:jc w:val="right"/>
              <w:rPr>
                <w:color w:val="C00000"/>
                <w:sz w:val="18"/>
                <w:szCs w:val="18"/>
              </w:rPr>
            </w:pPr>
            <w:r w:rsidRPr="002B152F">
              <w:rPr>
                <w:color w:val="C00000"/>
                <w:sz w:val="18"/>
                <w:szCs w:val="18"/>
              </w:rPr>
              <w:t>1,100</w:t>
            </w:r>
          </w:p>
        </w:tc>
      </w:tr>
      <w:tr w:rsidR="00642684" w:rsidRPr="00642684" w14:paraId="7AE290E3"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07E9A04" w14:textId="360A7656"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3E770E7" w14:textId="76C3A6B0" w:rsidR="00642684" w:rsidRPr="002B152F" w:rsidRDefault="00A8494A" w:rsidP="00642684">
            <w:pPr>
              <w:spacing w:before="20" w:after="20"/>
              <w:rPr>
                <w:color w:val="C00000"/>
                <w:sz w:val="18"/>
                <w:szCs w:val="18"/>
              </w:rPr>
            </w:pPr>
            <w:r w:rsidRPr="002B152F">
              <w:rPr>
                <w:color w:val="C00000"/>
                <w:sz w:val="18"/>
                <w:szCs w:val="18"/>
              </w:rPr>
              <w:t>Administrative and support, waste management and remediation services [56]</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5B53FD8" w14:textId="57D4BA8D"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0E34BE0" w14:textId="4C90FE82" w:rsidR="00642684" w:rsidRPr="002B152F" w:rsidRDefault="00A8494A" w:rsidP="00642684">
            <w:pPr>
              <w:spacing w:before="20" w:after="20"/>
              <w:jc w:val="right"/>
              <w:rPr>
                <w:color w:val="C00000"/>
                <w:sz w:val="18"/>
                <w:szCs w:val="18"/>
              </w:rPr>
            </w:pPr>
            <w:r w:rsidRPr="002B152F">
              <w:rPr>
                <w:color w:val="C00000"/>
                <w:sz w:val="18"/>
                <w:szCs w:val="18"/>
              </w:rPr>
              <w:t>990</w:t>
            </w:r>
          </w:p>
        </w:tc>
      </w:tr>
      <w:tr w:rsidR="00642684" w:rsidRPr="00642684" w14:paraId="6FE10BE1"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0DD3D5D" w14:textId="6E1D0918" w:rsidR="00642684" w:rsidRPr="00642684" w:rsidRDefault="00A8494A" w:rsidP="002033F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287FE04" w14:textId="018080C3" w:rsidR="00642684" w:rsidRPr="002B152F" w:rsidRDefault="00A8494A" w:rsidP="00642684">
            <w:pPr>
              <w:spacing w:before="20" w:after="20"/>
              <w:rPr>
                <w:color w:val="C00000"/>
                <w:sz w:val="18"/>
                <w:szCs w:val="18"/>
              </w:rPr>
            </w:pPr>
            <w:r w:rsidRPr="002B152F">
              <w:rPr>
                <w:color w:val="C00000"/>
                <w:sz w:val="18"/>
                <w:szCs w:val="18"/>
              </w:rPr>
              <w:t>Other services (except public administration) [81]</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590538E" w14:textId="3F052DFF"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628A223" w14:textId="6FA8F242" w:rsidR="00642684" w:rsidRPr="002B152F" w:rsidRDefault="00A8494A" w:rsidP="00642684">
            <w:pPr>
              <w:spacing w:before="20" w:after="20"/>
              <w:jc w:val="right"/>
              <w:rPr>
                <w:color w:val="C00000"/>
                <w:sz w:val="18"/>
                <w:szCs w:val="18"/>
              </w:rPr>
            </w:pPr>
            <w:r w:rsidRPr="002B152F">
              <w:rPr>
                <w:color w:val="C00000"/>
                <w:sz w:val="18"/>
                <w:szCs w:val="18"/>
              </w:rPr>
              <w:t>840</w:t>
            </w:r>
          </w:p>
        </w:tc>
      </w:tr>
      <w:tr w:rsidR="00642684" w:rsidRPr="00642684" w14:paraId="21ADD15A"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791978C" w14:textId="4C83ECC5" w:rsidR="00642684" w:rsidRPr="00642684" w:rsidRDefault="00642684">
            <w:pPr>
              <w:spacing w:before="20" w:after="20"/>
              <w:rPr>
                <w:sz w:val="18"/>
                <w:szCs w:val="18"/>
              </w:rPr>
            </w:pPr>
            <w:r w:rsidRPr="00642684">
              <w:rPr>
                <w:color w:val="000000"/>
                <w:sz w:val="18"/>
                <w:szCs w:val="18"/>
              </w:rPr>
              <w:t>Unemployment rate (Percent)</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76FA36A" w14:textId="523441E4" w:rsidR="00642684" w:rsidRPr="00642684" w:rsidRDefault="00642684" w:rsidP="00642684">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A065D16" w14:textId="1352B4BF"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0DCCCE9" w14:textId="21C8929D" w:rsidR="00642684" w:rsidRPr="002B152F" w:rsidRDefault="00A8494A" w:rsidP="00642684">
            <w:pPr>
              <w:spacing w:before="20" w:after="20"/>
              <w:jc w:val="right"/>
              <w:rPr>
                <w:color w:val="C00000"/>
                <w:sz w:val="18"/>
                <w:szCs w:val="18"/>
              </w:rPr>
            </w:pPr>
            <w:r w:rsidRPr="002B152F">
              <w:rPr>
                <w:color w:val="C00000"/>
                <w:sz w:val="18"/>
                <w:szCs w:val="18"/>
              </w:rPr>
              <w:t>9.7%</w:t>
            </w:r>
          </w:p>
        </w:tc>
      </w:tr>
      <w:tr w:rsidR="00642684" w:rsidRPr="00642684" w14:paraId="47308765"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44520D8" w14:textId="65152E9D" w:rsidR="00642684" w:rsidRPr="00642684" w:rsidRDefault="00642684">
            <w:pPr>
              <w:spacing w:before="20" w:after="20"/>
              <w:rPr>
                <w:sz w:val="18"/>
                <w:szCs w:val="18"/>
              </w:rPr>
            </w:pPr>
            <w:r w:rsidRPr="00642684">
              <w:rPr>
                <w:color w:val="000000"/>
                <w:sz w:val="18"/>
                <w:szCs w:val="18"/>
              </w:rPr>
              <w:t>Participation rate (Percent)</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B09CC53" w14:textId="35A022F9" w:rsidR="00642684" w:rsidRPr="00642684" w:rsidRDefault="00642684" w:rsidP="00642684">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37E00BA" w14:textId="1D1ACF0C" w:rsidR="00642684" w:rsidRPr="00642684" w:rsidRDefault="00A8494A"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1F03511" w14:textId="2E35B5E1" w:rsidR="00642684" w:rsidRPr="002B152F" w:rsidRDefault="00A8494A" w:rsidP="00642684">
            <w:pPr>
              <w:spacing w:before="20" w:after="20"/>
              <w:jc w:val="right"/>
              <w:rPr>
                <w:color w:val="C00000"/>
                <w:sz w:val="18"/>
                <w:szCs w:val="18"/>
              </w:rPr>
            </w:pPr>
            <w:r w:rsidRPr="002B152F">
              <w:rPr>
                <w:color w:val="C00000"/>
                <w:sz w:val="18"/>
                <w:szCs w:val="18"/>
              </w:rPr>
              <w:t>65.2%</w:t>
            </w:r>
          </w:p>
        </w:tc>
      </w:tr>
      <w:tr w:rsidR="00642684" w:rsidRPr="00642684" w14:paraId="279C3F40"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BC70CB4" w14:textId="5B23EEAF" w:rsidR="00642684" w:rsidRPr="00A862F8" w:rsidRDefault="00642684">
            <w:pPr>
              <w:spacing w:before="20" w:after="20"/>
              <w:rPr>
                <w:sz w:val="18"/>
                <w:szCs w:val="18"/>
                <w:highlight w:val="magenta"/>
              </w:rPr>
            </w:pPr>
            <w:r>
              <w:rPr>
                <w:color w:val="000000"/>
                <w:sz w:val="18"/>
                <w:szCs w:val="18"/>
              </w:rPr>
              <w:t>All classes of workers (Number)</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E3F1528" w14:textId="6C9F3E17" w:rsidR="00642684" w:rsidRPr="00A862F8" w:rsidRDefault="00642684" w:rsidP="00642684">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57A2E05" w14:textId="7D3CD309"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51B691D" w14:textId="3BD17FBC" w:rsidR="00642684" w:rsidRPr="002B152F" w:rsidRDefault="00A85649" w:rsidP="00642684">
            <w:pPr>
              <w:spacing w:before="20" w:after="20"/>
              <w:jc w:val="right"/>
              <w:rPr>
                <w:color w:val="C00000"/>
                <w:sz w:val="18"/>
                <w:szCs w:val="18"/>
              </w:rPr>
            </w:pPr>
            <w:r w:rsidRPr="002B152F">
              <w:rPr>
                <w:color w:val="C00000"/>
                <w:sz w:val="18"/>
                <w:szCs w:val="18"/>
              </w:rPr>
              <w:t>20,670</w:t>
            </w:r>
          </w:p>
        </w:tc>
      </w:tr>
      <w:tr w:rsidR="00642684" w:rsidRPr="00642684" w14:paraId="23D05F42"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0333931" w14:textId="7165292C"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825D675" w14:textId="25275235" w:rsidR="00642684" w:rsidRPr="00A862F8" w:rsidRDefault="00642684" w:rsidP="00642684">
            <w:pPr>
              <w:spacing w:before="20" w:after="20"/>
              <w:rPr>
                <w:sz w:val="18"/>
                <w:szCs w:val="18"/>
                <w:highlight w:val="magenta"/>
              </w:rPr>
            </w:pPr>
            <w:r>
              <w:rPr>
                <w:color w:val="000000"/>
                <w:sz w:val="18"/>
                <w:szCs w:val="18"/>
              </w:rPr>
              <w:t>Employees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F10AE4A" w14:textId="67BC7BD0"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EA10F30" w14:textId="6546FB30" w:rsidR="00642684" w:rsidRPr="002B152F" w:rsidRDefault="00A85649" w:rsidP="00642684">
            <w:pPr>
              <w:spacing w:before="20" w:after="20"/>
              <w:jc w:val="right"/>
              <w:rPr>
                <w:color w:val="C00000"/>
                <w:sz w:val="18"/>
                <w:szCs w:val="18"/>
              </w:rPr>
            </w:pPr>
            <w:r w:rsidRPr="002B152F">
              <w:rPr>
                <w:color w:val="C00000"/>
                <w:sz w:val="18"/>
                <w:szCs w:val="18"/>
              </w:rPr>
              <w:t>18,625</w:t>
            </w:r>
          </w:p>
        </w:tc>
      </w:tr>
      <w:tr w:rsidR="00642684" w:rsidRPr="00642684" w14:paraId="1C9DACE7"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BE33102" w14:textId="1D19BB50"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5DBDEE3" w14:textId="79DB4A0B" w:rsidR="00642684" w:rsidRPr="00A862F8" w:rsidRDefault="00642684" w:rsidP="00642684">
            <w:pPr>
              <w:spacing w:before="20" w:after="20"/>
              <w:rPr>
                <w:sz w:val="18"/>
                <w:szCs w:val="18"/>
                <w:highlight w:val="magenta"/>
              </w:rPr>
            </w:pPr>
            <w:r>
              <w:rPr>
                <w:color w:val="000000"/>
                <w:sz w:val="18"/>
                <w:szCs w:val="18"/>
              </w:rPr>
              <w:t>Permanent position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5913F92" w14:textId="64E55DC1"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F02770A" w14:textId="219F472C" w:rsidR="00642684" w:rsidRPr="002B152F" w:rsidRDefault="00A85649" w:rsidP="00642684">
            <w:pPr>
              <w:spacing w:before="20" w:after="20"/>
              <w:jc w:val="right"/>
              <w:rPr>
                <w:color w:val="C00000"/>
                <w:sz w:val="18"/>
                <w:szCs w:val="18"/>
              </w:rPr>
            </w:pPr>
            <w:r w:rsidRPr="002B152F">
              <w:rPr>
                <w:color w:val="C00000"/>
                <w:sz w:val="18"/>
                <w:szCs w:val="18"/>
              </w:rPr>
              <w:t>14,060</w:t>
            </w:r>
          </w:p>
        </w:tc>
      </w:tr>
      <w:tr w:rsidR="00642684" w:rsidRPr="00642684" w14:paraId="7B75C6FA"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7FECD8B" w14:textId="45B3B36B"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5202D1B" w14:textId="2F00CD58" w:rsidR="00642684" w:rsidRPr="00A862F8" w:rsidRDefault="00642684" w:rsidP="00642684">
            <w:pPr>
              <w:spacing w:before="20" w:after="20"/>
              <w:rPr>
                <w:sz w:val="18"/>
                <w:szCs w:val="18"/>
                <w:highlight w:val="magenta"/>
              </w:rPr>
            </w:pPr>
            <w:r>
              <w:rPr>
                <w:color w:val="000000"/>
                <w:sz w:val="18"/>
                <w:szCs w:val="18"/>
              </w:rPr>
              <w:t>Temporary position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BF34195" w14:textId="416FE233"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E6F35F5" w14:textId="1726867A" w:rsidR="00642684" w:rsidRPr="002B152F" w:rsidRDefault="00A85649" w:rsidP="00642684">
            <w:pPr>
              <w:spacing w:before="20" w:after="20"/>
              <w:jc w:val="right"/>
              <w:rPr>
                <w:color w:val="C00000"/>
                <w:sz w:val="18"/>
                <w:szCs w:val="18"/>
              </w:rPr>
            </w:pPr>
            <w:r w:rsidRPr="002B152F">
              <w:rPr>
                <w:color w:val="C00000"/>
                <w:sz w:val="18"/>
                <w:szCs w:val="18"/>
              </w:rPr>
              <w:t>4,565</w:t>
            </w:r>
          </w:p>
        </w:tc>
      </w:tr>
      <w:tr w:rsidR="00642684" w:rsidRPr="00642684" w14:paraId="6721D54C"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05F4FE4" w14:textId="267FCCEC"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388CD66" w14:textId="6876E618" w:rsidR="00642684" w:rsidRPr="00A862F8" w:rsidRDefault="00642684" w:rsidP="00642684">
            <w:pPr>
              <w:spacing w:before="20" w:after="20"/>
              <w:rPr>
                <w:sz w:val="18"/>
                <w:szCs w:val="18"/>
                <w:highlight w:val="magenta"/>
              </w:rPr>
            </w:pPr>
            <w:r>
              <w:rPr>
                <w:color w:val="000000"/>
                <w:sz w:val="18"/>
                <w:szCs w:val="18"/>
              </w:rPr>
              <w:t>Fixed term (1+ year)</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FAAAC17" w14:textId="4B7799DC"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23C875E" w14:textId="79837199" w:rsidR="00642684" w:rsidRPr="002B152F" w:rsidRDefault="00A85649" w:rsidP="00642684">
            <w:pPr>
              <w:spacing w:before="20" w:after="20"/>
              <w:jc w:val="right"/>
              <w:rPr>
                <w:color w:val="C00000"/>
                <w:sz w:val="18"/>
                <w:szCs w:val="18"/>
              </w:rPr>
            </w:pPr>
            <w:r w:rsidRPr="002B152F">
              <w:rPr>
                <w:color w:val="C00000"/>
                <w:sz w:val="18"/>
                <w:szCs w:val="18"/>
              </w:rPr>
              <w:t>1,455</w:t>
            </w:r>
          </w:p>
        </w:tc>
      </w:tr>
      <w:tr w:rsidR="00642684" w:rsidRPr="00642684" w14:paraId="4D97D414"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800AEA3" w14:textId="0D09CE27"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D386E84" w14:textId="5B220192" w:rsidR="00642684" w:rsidRPr="00A862F8" w:rsidRDefault="00642684" w:rsidP="00642684">
            <w:pPr>
              <w:spacing w:before="20" w:after="20"/>
              <w:rPr>
                <w:sz w:val="18"/>
                <w:szCs w:val="18"/>
                <w:highlight w:val="magenta"/>
              </w:rPr>
            </w:pPr>
            <w:r>
              <w:rPr>
                <w:color w:val="000000"/>
                <w:sz w:val="18"/>
                <w:szCs w:val="18"/>
              </w:rPr>
              <w:t>Casual, seasonal or short-term (&lt;1 year)</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6B7EC8E" w14:textId="09FC94B1"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8F4ACD9" w14:textId="097715D2" w:rsidR="00642684" w:rsidRPr="002B152F" w:rsidRDefault="00A85649" w:rsidP="00642684">
            <w:pPr>
              <w:spacing w:before="20" w:after="20"/>
              <w:jc w:val="right"/>
              <w:rPr>
                <w:color w:val="C00000"/>
                <w:sz w:val="18"/>
                <w:szCs w:val="18"/>
              </w:rPr>
            </w:pPr>
            <w:r w:rsidRPr="002B152F">
              <w:rPr>
                <w:color w:val="C00000"/>
                <w:sz w:val="18"/>
                <w:szCs w:val="18"/>
              </w:rPr>
              <w:t>3,105</w:t>
            </w:r>
          </w:p>
        </w:tc>
      </w:tr>
      <w:tr w:rsidR="00642684" w:rsidRPr="00642684" w14:paraId="167F00A7"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4AFD589" w14:textId="0B36BCC9"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89FD38A" w14:textId="50C7D27D" w:rsidR="00642684" w:rsidRPr="00A862F8" w:rsidRDefault="00642684" w:rsidP="00642684">
            <w:pPr>
              <w:spacing w:before="20" w:after="20"/>
              <w:rPr>
                <w:sz w:val="18"/>
                <w:szCs w:val="18"/>
                <w:highlight w:val="magenta"/>
              </w:rPr>
            </w:pPr>
            <w:r>
              <w:rPr>
                <w:color w:val="000000"/>
                <w:sz w:val="18"/>
                <w:szCs w:val="18"/>
              </w:rPr>
              <w:t>Self-employed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3734C93" w14:textId="462B50F7"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6834F1E" w14:textId="26255FF2" w:rsidR="00642684" w:rsidRPr="002B152F" w:rsidRDefault="00A85649" w:rsidP="00642684">
            <w:pPr>
              <w:spacing w:before="20" w:after="20"/>
              <w:jc w:val="right"/>
              <w:rPr>
                <w:color w:val="C00000"/>
                <w:sz w:val="18"/>
                <w:szCs w:val="18"/>
              </w:rPr>
            </w:pPr>
            <w:r w:rsidRPr="002B152F">
              <w:rPr>
                <w:color w:val="C00000"/>
                <w:sz w:val="18"/>
                <w:szCs w:val="18"/>
              </w:rPr>
              <w:t>2,040</w:t>
            </w:r>
          </w:p>
        </w:tc>
      </w:tr>
      <w:tr w:rsidR="00642684" w:rsidRPr="00642684" w14:paraId="54E96C63"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148B679" w14:textId="2D4371E8" w:rsidR="00642684" w:rsidRPr="00A862F8" w:rsidRDefault="00642684">
            <w:pPr>
              <w:spacing w:before="20" w:after="20"/>
              <w:rPr>
                <w:sz w:val="18"/>
                <w:szCs w:val="18"/>
                <w:highlight w:val="magenta"/>
              </w:rPr>
            </w:pPr>
            <w:r>
              <w:rPr>
                <w:color w:val="000000"/>
                <w:sz w:val="18"/>
                <w:szCs w:val="18"/>
              </w:rPr>
              <w:t>Commuters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D8D1572" w14:textId="2C0DFCA9" w:rsidR="00642684" w:rsidRPr="00A862F8" w:rsidRDefault="00642684" w:rsidP="00642684">
            <w:pPr>
              <w:spacing w:before="20" w:after="20"/>
              <w:rPr>
                <w:sz w:val="18"/>
                <w:szCs w:val="18"/>
                <w:highlight w:val="magenta"/>
              </w:rPr>
            </w:pPr>
            <w:r>
              <w:rPr>
                <w:color w:val="000000"/>
                <w:sz w:val="18"/>
                <w:szCs w:val="18"/>
              </w:rPr>
              <w:t>Within CSD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CBF2777" w14:textId="0D282CD2"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87CC049" w14:textId="5C83FA82" w:rsidR="00642684" w:rsidRPr="002B152F" w:rsidRDefault="00A85649" w:rsidP="00642684">
            <w:pPr>
              <w:spacing w:before="20" w:after="20"/>
              <w:jc w:val="right"/>
              <w:rPr>
                <w:color w:val="C00000"/>
                <w:sz w:val="18"/>
                <w:szCs w:val="18"/>
              </w:rPr>
            </w:pPr>
            <w:r w:rsidRPr="002B152F">
              <w:rPr>
                <w:color w:val="C00000"/>
                <w:sz w:val="18"/>
                <w:szCs w:val="18"/>
              </w:rPr>
              <w:t>11,675</w:t>
            </w:r>
          </w:p>
        </w:tc>
      </w:tr>
      <w:tr w:rsidR="00642684" w:rsidRPr="00642684" w14:paraId="27D8C436"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9EFF0D4" w14:textId="5D2FF6BE"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4F6A6D8" w14:textId="38582352" w:rsidR="00642684" w:rsidRPr="00A862F8" w:rsidRDefault="00642684" w:rsidP="00642684">
            <w:pPr>
              <w:spacing w:before="20" w:after="20"/>
              <w:rPr>
                <w:sz w:val="18"/>
                <w:szCs w:val="18"/>
                <w:highlight w:val="magenta"/>
              </w:rPr>
            </w:pPr>
            <w:r>
              <w:rPr>
                <w:color w:val="000000"/>
                <w:sz w:val="18"/>
                <w:szCs w:val="18"/>
              </w:rPr>
              <w:t>To different CSD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DCEF7FE" w14:textId="194132A6"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56B7E4B" w14:textId="4FDA3209" w:rsidR="00642684" w:rsidRPr="002B152F" w:rsidRDefault="00A85649" w:rsidP="00642684">
            <w:pPr>
              <w:spacing w:before="20" w:after="20"/>
              <w:jc w:val="right"/>
              <w:rPr>
                <w:color w:val="C00000"/>
                <w:sz w:val="18"/>
                <w:szCs w:val="18"/>
              </w:rPr>
            </w:pPr>
            <w:r w:rsidRPr="002B152F">
              <w:rPr>
                <w:color w:val="C00000"/>
                <w:sz w:val="18"/>
                <w:szCs w:val="18"/>
              </w:rPr>
              <w:t>1,325</w:t>
            </w:r>
          </w:p>
        </w:tc>
      </w:tr>
      <w:tr w:rsidR="00642684" w:rsidRPr="00642684" w14:paraId="0E7D5928"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1EC119A" w14:textId="21885289"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86C0D73" w14:textId="0F992FBB" w:rsidR="00642684" w:rsidRPr="00A862F8" w:rsidRDefault="00642684" w:rsidP="00642684">
            <w:pPr>
              <w:spacing w:before="20" w:after="20"/>
              <w:rPr>
                <w:sz w:val="18"/>
                <w:szCs w:val="18"/>
                <w:highlight w:val="magenta"/>
              </w:rPr>
            </w:pPr>
            <w:r>
              <w:rPr>
                <w:color w:val="000000"/>
                <w:sz w:val="18"/>
                <w:szCs w:val="18"/>
              </w:rPr>
              <w:t>To different CD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C652650" w14:textId="6CA5B642"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44CB9B7" w14:textId="4508F644" w:rsidR="00642684" w:rsidRPr="002B152F" w:rsidRDefault="00A85649" w:rsidP="00642684">
            <w:pPr>
              <w:spacing w:before="20" w:after="20"/>
              <w:jc w:val="right"/>
              <w:rPr>
                <w:color w:val="C00000"/>
                <w:sz w:val="18"/>
                <w:szCs w:val="18"/>
              </w:rPr>
            </w:pPr>
            <w:r w:rsidRPr="002B152F">
              <w:rPr>
                <w:color w:val="C00000"/>
                <w:sz w:val="18"/>
                <w:szCs w:val="18"/>
              </w:rPr>
              <w:t>615</w:t>
            </w:r>
          </w:p>
        </w:tc>
      </w:tr>
      <w:tr w:rsidR="00642684" w:rsidRPr="00642684" w14:paraId="66273A40"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9D2056E" w14:textId="3C4CAF85" w:rsidR="00642684" w:rsidRPr="00A862F8" w:rsidRDefault="00A8494A"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9274C1E" w14:textId="575F1E5F" w:rsidR="00642684" w:rsidRPr="00A862F8" w:rsidRDefault="00642684" w:rsidP="00642684">
            <w:pPr>
              <w:spacing w:before="20" w:after="20"/>
              <w:rPr>
                <w:sz w:val="18"/>
                <w:szCs w:val="18"/>
                <w:highlight w:val="magenta"/>
              </w:rPr>
            </w:pPr>
            <w:r>
              <w:rPr>
                <w:color w:val="000000"/>
                <w:sz w:val="18"/>
                <w:szCs w:val="18"/>
              </w:rPr>
              <w:t>To another province/territory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521EA62" w14:textId="2D54C284" w:rsidR="00642684" w:rsidRPr="00642684" w:rsidRDefault="00A85649" w:rsidP="00A8494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39FD7D1" w14:textId="354D9C75" w:rsidR="00642684" w:rsidRPr="002B152F" w:rsidRDefault="00A85649" w:rsidP="00642684">
            <w:pPr>
              <w:spacing w:before="20" w:after="20"/>
              <w:jc w:val="right"/>
              <w:rPr>
                <w:color w:val="C00000"/>
                <w:sz w:val="18"/>
                <w:szCs w:val="18"/>
              </w:rPr>
            </w:pPr>
            <w:r w:rsidRPr="002B152F">
              <w:rPr>
                <w:color w:val="C00000"/>
                <w:sz w:val="18"/>
                <w:szCs w:val="18"/>
              </w:rPr>
              <w:t>465</w:t>
            </w:r>
          </w:p>
        </w:tc>
      </w:tr>
      <w:tr w:rsidR="00642684" w:rsidRPr="00642684" w14:paraId="1B717218"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9F2947A" w14:textId="7DD1856B" w:rsidR="00642684" w:rsidRPr="00A862F8" w:rsidRDefault="00642684">
            <w:pPr>
              <w:spacing w:before="20" w:after="20"/>
              <w:rPr>
                <w:sz w:val="18"/>
                <w:szCs w:val="18"/>
                <w:highlight w:val="magenta"/>
              </w:rPr>
            </w:pPr>
            <w:r>
              <w:rPr>
                <w:color w:val="000000"/>
                <w:sz w:val="18"/>
                <w:szCs w:val="18"/>
              </w:rPr>
              <w:t>Commuting mode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A36BD06" w14:textId="77BB5B9D" w:rsidR="00642684" w:rsidRPr="00A862F8" w:rsidRDefault="00642684" w:rsidP="00642684">
            <w:pPr>
              <w:spacing w:before="20" w:after="20"/>
              <w:rPr>
                <w:sz w:val="18"/>
                <w:szCs w:val="18"/>
                <w:highlight w:val="magenta"/>
              </w:rPr>
            </w:pPr>
            <w:r>
              <w:rPr>
                <w:color w:val="000000"/>
                <w:sz w:val="18"/>
                <w:szCs w:val="18"/>
              </w:rPr>
              <w:t>Car, truck, or van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5F4686C" w14:textId="18B7C1A3" w:rsidR="00642684" w:rsidRPr="00642684" w:rsidRDefault="00A85649" w:rsidP="008C488E">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0FE6B91" w14:textId="0CB70F00" w:rsidR="00642684" w:rsidRPr="002B152F" w:rsidRDefault="00A85649" w:rsidP="00642684">
            <w:pPr>
              <w:spacing w:before="20" w:after="20"/>
              <w:jc w:val="right"/>
              <w:rPr>
                <w:color w:val="C00000"/>
                <w:sz w:val="18"/>
                <w:szCs w:val="18"/>
              </w:rPr>
            </w:pPr>
            <w:r w:rsidRPr="002B152F">
              <w:rPr>
                <w:color w:val="C00000"/>
                <w:sz w:val="18"/>
                <w:szCs w:val="18"/>
              </w:rPr>
              <w:t>13,525</w:t>
            </w:r>
          </w:p>
        </w:tc>
      </w:tr>
      <w:tr w:rsidR="00642684" w:rsidRPr="00642684" w14:paraId="41FDBD74"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A32C314" w14:textId="246F443E" w:rsidR="00642684" w:rsidRPr="00A862F8" w:rsidRDefault="008C488E"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872D798" w14:textId="375361DD" w:rsidR="00642684" w:rsidRPr="00A862F8" w:rsidRDefault="00642684" w:rsidP="00642684">
            <w:pPr>
              <w:spacing w:before="20" w:after="20"/>
              <w:rPr>
                <w:sz w:val="18"/>
                <w:szCs w:val="18"/>
                <w:highlight w:val="magenta"/>
              </w:rPr>
            </w:pPr>
            <w:r>
              <w:rPr>
                <w:color w:val="000000"/>
                <w:sz w:val="18"/>
                <w:szCs w:val="18"/>
              </w:rPr>
              <w:t>Public transit</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8BAC2D0" w14:textId="2B7DC03D" w:rsidR="00642684" w:rsidRPr="00642684" w:rsidRDefault="00A85649" w:rsidP="008C488E">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8C5A954" w14:textId="6FEC922E" w:rsidR="00642684" w:rsidRPr="002B152F" w:rsidRDefault="00A85649" w:rsidP="00642684">
            <w:pPr>
              <w:spacing w:before="20" w:after="20"/>
              <w:jc w:val="right"/>
              <w:rPr>
                <w:color w:val="C00000"/>
                <w:sz w:val="18"/>
                <w:szCs w:val="18"/>
              </w:rPr>
            </w:pPr>
            <w:r w:rsidRPr="002B152F">
              <w:rPr>
                <w:color w:val="C00000"/>
                <w:sz w:val="18"/>
                <w:szCs w:val="18"/>
              </w:rPr>
              <w:t>635</w:t>
            </w:r>
          </w:p>
        </w:tc>
      </w:tr>
      <w:tr w:rsidR="00642684" w:rsidRPr="00642684" w14:paraId="3FDABC48"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E59DEFC" w14:textId="5BD8B808" w:rsidR="00642684" w:rsidRPr="00A862F8" w:rsidRDefault="008C488E"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8CC4D34" w14:textId="6CA4472F" w:rsidR="00642684" w:rsidRPr="00A862F8" w:rsidRDefault="00642684" w:rsidP="00642684">
            <w:pPr>
              <w:spacing w:before="20" w:after="20"/>
              <w:rPr>
                <w:sz w:val="18"/>
                <w:szCs w:val="18"/>
                <w:highlight w:val="magenta"/>
              </w:rPr>
            </w:pPr>
            <w:r>
              <w:rPr>
                <w:color w:val="000000"/>
                <w:sz w:val="18"/>
                <w:szCs w:val="18"/>
              </w:rPr>
              <w:t>Walked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8E47991" w14:textId="74A84A2B" w:rsidR="00642684" w:rsidRPr="00642684" w:rsidRDefault="00A85649" w:rsidP="008C488E">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0BA8DB1" w14:textId="5D7F3D29" w:rsidR="00642684" w:rsidRPr="002B152F" w:rsidRDefault="00A85649" w:rsidP="00642684">
            <w:pPr>
              <w:spacing w:before="20" w:after="20"/>
              <w:jc w:val="right"/>
              <w:rPr>
                <w:color w:val="C00000"/>
                <w:sz w:val="18"/>
                <w:szCs w:val="18"/>
              </w:rPr>
            </w:pPr>
            <w:r w:rsidRPr="002B152F">
              <w:rPr>
                <w:color w:val="C00000"/>
                <w:sz w:val="18"/>
                <w:szCs w:val="18"/>
              </w:rPr>
              <w:t>1,515</w:t>
            </w:r>
          </w:p>
        </w:tc>
      </w:tr>
      <w:tr w:rsidR="00642684" w:rsidRPr="00642684" w14:paraId="70936125"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575EF19" w14:textId="21CC8547" w:rsidR="00642684" w:rsidRPr="00A862F8" w:rsidRDefault="008C488E" w:rsidP="0064268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8625CDC" w14:textId="2E3B19FA" w:rsidR="00642684" w:rsidRPr="00A862F8" w:rsidRDefault="00642684" w:rsidP="00642684">
            <w:pPr>
              <w:spacing w:before="20" w:after="20"/>
              <w:rPr>
                <w:sz w:val="18"/>
                <w:szCs w:val="18"/>
                <w:highlight w:val="magenta"/>
              </w:rPr>
            </w:pPr>
            <w:r>
              <w:rPr>
                <w:color w:val="000000"/>
                <w:sz w:val="18"/>
                <w:szCs w:val="18"/>
              </w:rPr>
              <w:t>Bicycle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8832628" w14:textId="09A190A3" w:rsidR="00642684" w:rsidRPr="00642684" w:rsidRDefault="00A85649" w:rsidP="008C488E">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0914866" w14:textId="444B686B" w:rsidR="00642684" w:rsidRPr="002B152F" w:rsidRDefault="00A85649" w:rsidP="00642684">
            <w:pPr>
              <w:spacing w:before="20" w:after="20"/>
              <w:jc w:val="right"/>
              <w:rPr>
                <w:color w:val="C00000"/>
                <w:sz w:val="18"/>
                <w:szCs w:val="18"/>
              </w:rPr>
            </w:pPr>
            <w:r w:rsidRPr="002B152F">
              <w:rPr>
                <w:color w:val="C00000"/>
                <w:sz w:val="18"/>
                <w:szCs w:val="18"/>
              </w:rPr>
              <w:t>90</w:t>
            </w:r>
          </w:p>
        </w:tc>
      </w:tr>
      <w:tr w:rsidR="00642684" w:rsidRPr="00642684" w14:paraId="31B6DD23" w14:textId="77777777" w:rsidTr="00A1621D">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102BE74" w14:textId="1FE72889" w:rsidR="00642684" w:rsidRPr="00A862F8" w:rsidRDefault="008C488E" w:rsidP="00642684">
            <w:pPr>
              <w:spacing w:before="20" w:after="20"/>
              <w:rPr>
                <w:sz w:val="18"/>
                <w:szCs w:val="18"/>
                <w:highlight w:val="magenta"/>
              </w:rPr>
            </w:pPr>
            <w:r>
              <w:rPr>
                <w:color w:val="000000"/>
                <w:sz w:val="18"/>
                <w:szCs w:val="18"/>
              </w:rPr>
              <w:lastRenderedPageBreak/>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1514547" w14:textId="734A0A09" w:rsidR="00642684" w:rsidRPr="00A862F8" w:rsidRDefault="00642684" w:rsidP="00642684">
            <w:pPr>
              <w:spacing w:before="20" w:after="20"/>
              <w:rPr>
                <w:sz w:val="18"/>
                <w:szCs w:val="18"/>
                <w:highlight w:val="magenta"/>
              </w:rPr>
            </w:pPr>
            <w:r>
              <w:rPr>
                <w:color w:val="000000"/>
                <w:sz w:val="18"/>
                <w:szCs w:val="18"/>
              </w:rPr>
              <w:t>Other method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2BF401A" w14:textId="359EF32B" w:rsidR="00642684" w:rsidRPr="00642684" w:rsidRDefault="00A85649" w:rsidP="008C488E">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5DB862A" w14:textId="0AEA3369" w:rsidR="00642684" w:rsidRPr="00642684" w:rsidRDefault="00A85649" w:rsidP="00642684">
            <w:pPr>
              <w:spacing w:before="20" w:after="20"/>
              <w:jc w:val="right"/>
              <w:rPr>
                <w:sz w:val="18"/>
                <w:szCs w:val="18"/>
              </w:rPr>
            </w:pPr>
            <w:r w:rsidRPr="002B152F">
              <w:rPr>
                <w:color w:val="C00000"/>
                <w:sz w:val="18"/>
                <w:szCs w:val="18"/>
              </w:rPr>
              <w:t>265</w:t>
            </w:r>
          </w:p>
        </w:tc>
      </w:tr>
    </w:tbl>
    <w:p w14:paraId="4F4E666C" w14:textId="2EB74CE1" w:rsidR="0043538E" w:rsidRDefault="0043538E"/>
    <w:p w14:paraId="0DBC2DDB" w14:textId="69536DC4" w:rsidR="0043538E" w:rsidRPr="00CB1C84" w:rsidRDefault="00CB1C84" w:rsidP="004608FD">
      <w:pPr>
        <w:rPr>
          <w:b/>
          <w:bCs/>
        </w:rPr>
      </w:pPr>
      <w:r w:rsidRPr="00CB1C84">
        <w:rPr>
          <w:b/>
          <w:bCs/>
        </w:rPr>
        <w:t>Table 5.2.1: Housing Units Currently Occupied / Available</w:t>
      </w:r>
    </w:p>
    <w:p w14:paraId="5BA3B85B" w14:textId="77777777" w:rsidR="00CB1C84" w:rsidRDefault="00CB1C84" w:rsidP="004608FD"/>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CB1C84" w:rsidRPr="00CB1C84" w14:paraId="1F73E80F" w14:textId="77777777" w:rsidTr="003C59F9">
        <w:trPr>
          <w:tblHeader/>
        </w:trPr>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6028C49C" w14:textId="77777777" w:rsidR="00CB1C84" w:rsidRPr="00CB1C84" w:rsidRDefault="00CB1C84">
            <w:pPr>
              <w:rPr>
                <w:color w:val="FFFFFF" w:themeColor="background1"/>
                <w:sz w:val="18"/>
                <w:szCs w:val="18"/>
              </w:rPr>
            </w:pPr>
            <w:r w:rsidRPr="00CB1C84">
              <w:rPr>
                <w:color w:val="FFFFFF" w:themeColor="background1"/>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170B8A63" w14:textId="77777777" w:rsidR="00CB1C84" w:rsidRPr="00CB1C84" w:rsidRDefault="00CB1C84" w:rsidP="00CB1C84">
            <w:pPr>
              <w:rPr>
                <w:color w:val="FFFFFF" w:themeColor="background1"/>
                <w:sz w:val="18"/>
                <w:szCs w:val="18"/>
              </w:rPr>
            </w:pPr>
            <w:r w:rsidRPr="00CB1C84">
              <w:rPr>
                <w:color w:val="FFFFFF" w:themeColor="background1"/>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Pr>
          <w:p w14:paraId="57D24053" w14:textId="13154F23" w:rsidR="00CB1C84" w:rsidRPr="00CB1C84" w:rsidRDefault="00CB1C84" w:rsidP="00904668">
            <w:pPr>
              <w:ind w:left="76"/>
              <w:rPr>
                <w:color w:val="FFFFFF" w:themeColor="background1"/>
                <w:sz w:val="18"/>
                <w:szCs w:val="18"/>
              </w:rPr>
            </w:pPr>
            <w:r>
              <w:rPr>
                <w:color w:val="FFFFFF" w:themeColor="background1"/>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30C8B927" w14:textId="07936107" w:rsidR="00CB1C84" w:rsidRPr="00CB1C84" w:rsidRDefault="00CB1C84" w:rsidP="00CB1C84">
            <w:pPr>
              <w:jc w:val="right"/>
              <w:rPr>
                <w:color w:val="FFFFFF" w:themeColor="background1"/>
                <w:sz w:val="18"/>
                <w:szCs w:val="18"/>
              </w:rPr>
            </w:pPr>
            <w:r>
              <w:rPr>
                <w:color w:val="FFFFFF" w:themeColor="background1"/>
                <w:sz w:val="18"/>
                <w:szCs w:val="18"/>
              </w:rPr>
              <w:t>Value</w:t>
            </w:r>
          </w:p>
        </w:tc>
      </w:tr>
      <w:tr w:rsidR="00CB1C84" w:rsidRPr="00CB1C84" w14:paraId="5DF17C7F"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C9A4797" w14:textId="1A8AF78F" w:rsidR="00CB1C84" w:rsidRPr="00CB1C84" w:rsidRDefault="00CB1C84">
            <w:pPr>
              <w:spacing w:before="20" w:after="20"/>
              <w:rPr>
                <w:sz w:val="18"/>
                <w:szCs w:val="18"/>
              </w:rPr>
            </w:pPr>
            <w:r w:rsidRPr="00CB1C84">
              <w:rPr>
                <w:sz w:val="18"/>
                <w:szCs w:val="18"/>
              </w:rPr>
              <w:t>Total private dwellings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5B931EB" w14:textId="4086CBC5" w:rsidR="00CB1C84" w:rsidRPr="00CB1C84" w:rsidRDefault="00CB1C84" w:rsidP="00CB1C84">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8B27B84" w14:textId="64EADD7D"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CBCB17B" w14:textId="2C043A7D" w:rsidR="00CB1C84" w:rsidRPr="002B152F" w:rsidRDefault="00F25ED9" w:rsidP="00CB1C84">
            <w:pPr>
              <w:spacing w:before="20" w:after="20"/>
              <w:jc w:val="right"/>
              <w:rPr>
                <w:color w:val="C00000"/>
                <w:sz w:val="18"/>
                <w:szCs w:val="18"/>
              </w:rPr>
            </w:pPr>
            <w:r w:rsidRPr="002B152F">
              <w:rPr>
                <w:color w:val="C00000"/>
                <w:sz w:val="18"/>
                <w:szCs w:val="18"/>
              </w:rPr>
              <w:t>18,364</w:t>
            </w:r>
          </w:p>
        </w:tc>
      </w:tr>
      <w:tr w:rsidR="00CB1C84" w:rsidRPr="00CB1C84" w14:paraId="639F4DDA"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441F28D" w14:textId="19E812E4" w:rsidR="00CB1C84" w:rsidRPr="00CB1C84" w:rsidRDefault="00CB1C84">
            <w:pPr>
              <w:spacing w:before="20" w:after="20"/>
              <w:rPr>
                <w:sz w:val="18"/>
                <w:szCs w:val="18"/>
              </w:rPr>
            </w:pPr>
            <w:r>
              <w:rPr>
                <w:sz w:val="18"/>
                <w:szCs w:val="18"/>
              </w:rPr>
              <w:t>Dwellings by</w:t>
            </w:r>
            <w:r w:rsidRPr="00CB1C84">
              <w:rPr>
                <w:sz w:val="18"/>
                <w:szCs w:val="18"/>
              </w:rPr>
              <w:t xml:space="preserve"> structural type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102B99B" w14:textId="0B51017A" w:rsidR="00CB1C84" w:rsidRPr="00CB1C84" w:rsidRDefault="00CB1C84" w:rsidP="00CB1C84">
            <w:pPr>
              <w:spacing w:before="20" w:after="20"/>
              <w:rPr>
                <w:sz w:val="18"/>
                <w:szCs w:val="18"/>
              </w:rPr>
            </w:pPr>
            <w:r w:rsidRPr="00CB1C84">
              <w:rPr>
                <w:sz w:val="18"/>
                <w:szCs w:val="18"/>
              </w:rPr>
              <w:t>Single-detached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69FC316" w14:textId="7D6FE281"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097337F" w14:textId="74AC0D1D" w:rsidR="00CB1C84" w:rsidRPr="002B152F" w:rsidRDefault="00F25ED9" w:rsidP="00CB1C84">
            <w:pPr>
              <w:spacing w:before="20" w:after="20"/>
              <w:jc w:val="right"/>
              <w:rPr>
                <w:color w:val="C00000"/>
                <w:sz w:val="18"/>
                <w:szCs w:val="18"/>
              </w:rPr>
            </w:pPr>
            <w:r w:rsidRPr="002B152F">
              <w:rPr>
                <w:color w:val="C00000"/>
                <w:sz w:val="18"/>
                <w:szCs w:val="18"/>
              </w:rPr>
              <w:t>7,485</w:t>
            </w:r>
          </w:p>
        </w:tc>
      </w:tr>
      <w:tr w:rsidR="00CB1C84" w:rsidRPr="00CB1C84" w14:paraId="4587ED18"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17A7F4E" w14:textId="54D6CC9E"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372CEBF" w14:textId="4C6A2182" w:rsidR="00CB1C84" w:rsidRPr="00CB1C84" w:rsidRDefault="00CB1C84" w:rsidP="00CB1C84">
            <w:pPr>
              <w:spacing w:before="20" w:after="20"/>
              <w:rPr>
                <w:sz w:val="18"/>
                <w:szCs w:val="18"/>
              </w:rPr>
            </w:pPr>
            <w:r w:rsidRPr="00CB1C84">
              <w:rPr>
                <w:sz w:val="18"/>
                <w:szCs w:val="18"/>
              </w:rPr>
              <w:t>Semi-detached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2543643" w14:textId="3B2007B8"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6722F28" w14:textId="427F6E23" w:rsidR="00CB1C84" w:rsidRPr="002B152F" w:rsidRDefault="00F25ED9" w:rsidP="00CB1C84">
            <w:pPr>
              <w:spacing w:before="20" w:after="20"/>
              <w:jc w:val="right"/>
              <w:rPr>
                <w:color w:val="C00000"/>
                <w:sz w:val="18"/>
                <w:szCs w:val="18"/>
              </w:rPr>
            </w:pPr>
            <w:r w:rsidRPr="002B152F">
              <w:rPr>
                <w:color w:val="C00000"/>
                <w:sz w:val="18"/>
                <w:szCs w:val="18"/>
              </w:rPr>
              <w:t>1,560</w:t>
            </w:r>
          </w:p>
        </w:tc>
      </w:tr>
      <w:tr w:rsidR="00CB1C84" w:rsidRPr="00CB1C84" w14:paraId="2FD209BF"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A9F8A36" w14:textId="79E4ADA5"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58600F3" w14:textId="2DFDD4E0" w:rsidR="00CB1C84" w:rsidRPr="00CB1C84" w:rsidRDefault="00CB1C84" w:rsidP="00CB1C84">
            <w:pPr>
              <w:spacing w:before="20" w:after="20"/>
              <w:rPr>
                <w:sz w:val="18"/>
                <w:szCs w:val="18"/>
              </w:rPr>
            </w:pPr>
            <w:r w:rsidRPr="00CB1C84">
              <w:rPr>
                <w:sz w:val="18"/>
                <w:szCs w:val="18"/>
              </w:rPr>
              <w:t>Row house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353FC10" w14:textId="0A281F3D"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0DF411F" w14:textId="67D502BB" w:rsidR="00CB1C84" w:rsidRPr="002B152F" w:rsidRDefault="00F25ED9" w:rsidP="00CB1C84">
            <w:pPr>
              <w:spacing w:before="20" w:after="20"/>
              <w:jc w:val="right"/>
              <w:rPr>
                <w:color w:val="C00000"/>
                <w:sz w:val="18"/>
                <w:szCs w:val="18"/>
              </w:rPr>
            </w:pPr>
            <w:r w:rsidRPr="002B152F">
              <w:rPr>
                <w:color w:val="C00000"/>
                <w:sz w:val="18"/>
                <w:szCs w:val="18"/>
              </w:rPr>
              <w:t>575</w:t>
            </w:r>
          </w:p>
        </w:tc>
      </w:tr>
      <w:tr w:rsidR="00CB1C84" w:rsidRPr="00CB1C84" w14:paraId="5C7D9898"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7CCA2CE" w14:textId="5581DCCD"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08E7813" w14:textId="19BB0090" w:rsidR="00CB1C84" w:rsidRPr="00CB1C84" w:rsidRDefault="00CB1C84" w:rsidP="00CB1C84">
            <w:pPr>
              <w:spacing w:before="20" w:after="20"/>
              <w:rPr>
                <w:sz w:val="18"/>
                <w:szCs w:val="18"/>
              </w:rPr>
            </w:pPr>
            <w:r w:rsidRPr="00CB1C84">
              <w:rPr>
                <w:sz w:val="18"/>
                <w:szCs w:val="18"/>
              </w:rPr>
              <w:t>Apartment/flat in duplex</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40A69E1" w14:textId="5154D289"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4A1566F" w14:textId="13DD0AE1" w:rsidR="00CB1C84" w:rsidRPr="002B152F" w:rsidRDefault="00F25ED9" w:rsidP="00CB1C84">
            <w:pPr>
              <w:spacing w:before="20" w:after="20"/>
              <w:jc w:val="right"/>
              <w:rPr>
                <w:color w:val="C00000"/>
                <w:sz w:val="18"/>
                <w:szCs w:val="18"/>
              </w:rPr>
            </w:pPr>
            <w:r w:rsidRPr="002B152F">
              <w:rPr>
                <w:color w:val="C00000"/>
                <w:sz w:val="18"/>
                <w:szCs w:val="18"/>
              </w:rPr>
              <w:t>540</w:t>
            </w:r>
          </w:p>
        </w:tc>
      </w:tr>
      <w:tr w:rsidR="00CB1C84" w:rsidRPr="00CB1C84" w14:paraId="69A74BAD"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953E8DE" w14:textId="214F1FCA"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3196AD6" w14:textId="0CDB75C1" w:rsidR="00CB1C84" w:rsidRPr="00CB1C84" w:rsidRDefault="00CB1C84" w:rsidP="00CB1C84">
            <w:pPr>
              <w:spacing w:before="20" w:after="20"/>
              <w:rPr>
                <w:sz w:val="18"/>
                <w:szCs w:val="18"/>
              </w:rPr>
            </w:pPr>
            <w:r w:rsidRPr="00CB1C84">
              <w:rPr>
                <w:sz w:val="18"/>
                <w:szCs w:val="18"/>
              </w:rPr>
              <w:t>Apartment (&lt;5 storeys)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3E65C59" w14:textId="0D642B5C"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1245396" w14:textId="7221AF9E" w:rsidR="00CB1C84" w:rsidRPr="002B152F" w:rsidRDefault="00F25ED9" w:rsidP="00CB1C84">
            <w:pPr>
              <w:spacing w:before="20" w:after="20"/>
              <w:jc w:val="right"/>
              <w:rPr>
                <w:color w:val="C00000"/>
                <w:sz w:val="18"/>
                <w:szCs w:val="18"/>
              </w:rPr>
            </w:pPr>
            <w:r w:rsidRPr="002B152F">
              <w:rPr>
                <w:color w:val="C00000"/>
                <w:sz w:val="18"/>
                <w:szCs w:val="18"/>
              </w:rPr>
              <w:t>6,700</w:t>
            </w:r>
          </w:p>
        </w:tc>
      </w:tr>
      <w:tr w:rsidR="00CB1C84" w:rsidRPr="00CB1C84" w14:paraId="69C50F85"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20F26CC" w14:textId="7085D6D5"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A504FFB" w14:textId="775B2B98" w:rsidR="00CB1C84" w:rsidRPr="00CB1C84" w:rsidRDefault="00CB1C84" w:rsidP="00CB1C84">
            <w:pPr>
              <w:spacing w:before="20" w:after="20"/>
              <w:rPr>
                <w:sz w:val="18"/>
                <w:szCs w:val="18"/>
              </w:rPr>
            </w:pPr>
            <w:r w:rsidRPr="00CB1C84">
              <w:rPr>
                <w:sz w:val="18"/>
                <w:szCs w:val="18"/>
              </w:rPr>
              <w:t>Apartment (5+ storeys)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8463D66" w14:textId="6056366D"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6190AED" w14:textId="5FFD73CD" w:rsidR="00CB1C84" w:rsidRPr="002B152F" w:rsidRDefault="00F25ED9" w:rsidP="00CB1C84">
            <w:pPr>
              <w:spacing w:before="20" w:after="20"/>
              <w:jc w:val="right"/>
              <w:rPr>
                <w:color w:val="C00000"/>
                <w:sz w:val="18"/>
                <w:szCs w:val="18"/>
              </w:rPr>
            </w:pPr>
            <w:r w:rsidRPr="002B152F">
              <w:rPr>
                <w:color w:val="C00000"/>
                <w:sz w:val="18"/>
                <w:szCs w:val="18"/>
              </w:rPr>
              <w:t>50</w:t>
            </w:r>
          </w:p>
        </w:tc>
      </w:tr>
      <w:tr w:rsidR="00CB1C84" w:rsidRPr="00CB1C84" w14:paraId="15D1CE64"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7F150F6" w14:textId="3EF73043"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FBBB993" w14:textId="181A2ADE" w:rsidR="00CB1C84" w:rsidRPr="00CB1C84" w:rsidRDefault="00CB1C84" w:rsidP="00CB1C84">
            <w:pPr>
              <w:spacing w:before="20" w:after="20"/>
              <w:rPr>
                <w:sz w:val="18"/>
                <w:szCs w:val="18"/>
              </w:rPr>
            </w:pPr>
            <w:r w:rsidRPr="00CB1C84">
              <w:rPr>
                <w:sz w:val="18"/>
                <w:szCs w:val="18"/>
              </w:rPr>
              <w:t>Other single attached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724A95B" w14:textId="61B168D4"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FCAE577" w14:textId="6376085D" w:rsidR="00CB1C84" w:rsidRPr="002B152F" w:rsidRDefault="00F25ED9" w:rsidP="00CB1C84">
            <w:pPr>
              <w:spacing w:before="20" w:after="20"/>
              <w:jc w:val="right"/>
              <w:rPr>
                <w:color w:val="C00000"/>
                <w:sz w:val="18"/>
                <w:szCs w:val="18"/>
              </w:rPr>
            </w:pPr>
            <w:r w:rsidRPr="002B152F">
              <w:rPr>
                <w:color w:val="C00000"/>
                <w:sz w:val="18"/>
                <w:szCs w:val="18"/>
              </w:rPr>
              <w:t>260</w:t>
            </w:r>
          </w:p>
        </w:tc>
      </w:tr>
      <w:tr w:rsidR="00CB1C84" w:rsidRPr="00CB1C84" w14:paraId="00CCF050"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CE782BC" w14:textId="218F15B2"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88F26CF" w14:textId="79D43897" w:rsidR="00CB1C84" w:rsidRPr="00CB1C84" w:rsidRDefault="00CB1C84" w:rsidP="00CB1C84">
            <w:pPr>
              <w:spacing w:before="20" w:after="20"/>
              <w:rPr>
                <w:sz w:val="18"/>
                <w:szCs w:val="18"/>
              </w:rPr>
            </w:pPr>
            <w:r w:rsidRPr="00CB1C84">
              <w:rPr>
                <w:sz w:val="18"/>
                <w:szCs w:val="18"/>
              </w:rPr>
              <w:t>Movable dwelling</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E23B815" w14:textId="5A972BF5" w:rsidR="00CB1C84" w:rsidRPr="00CB1C84" w:rsidRDefault="00F25ED9" w:rsidP="00F25ED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6D0BC1A" w14:textId="2B14BF94" w:rsidR="00CB1C84" w:rsidRPr="002B152F" w:rsidRDefault="00F25ED9" w:rsidP="00CB1C84">
            <w:pPr>
              <w:spacing w:before="20" w:after="20"/>
              <w:jc w:val="right"/>
              <w:rPr>
                <w:color w:val="C00000"/>
                <w:sz w:val="18"/>
                <w:szCs w:val="18"/>
              </w:rPr>
            </w:pPr>
            <w:r w:rsidRPr="002B152F">
              <w:rPr>
                <w:color w:val="C00000"/>
                <w:sz w:val="18"/>
                <w:szCs w:val="18"/>
              </w:rPr>
              <w:t>25</w:t>
            </w:r>
          </w:p>
        </w:tc>
      </w:tr>
      <w:tr w:rsidR="0074627A" w:rsidRPr="00CB1C84" w14:paraId="4DDDE57E" w14:textId="77777777" w:rsidTr="0074627A">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03FC9D3" w14:textId="135DFFBA" w:rsidR="0074627A" w:rsidRDefault="0074627A" w:rsidP="0074627A">
            <w:pPr>
              <w:spacing w:before="20" w:after="20"/>
              <w:rPr>
                <w:color w:val="000000"/>
                <w:sz w:val="18"/>
                <w:szCs w:val="18"/>
              </w:rPr>
            </w:pPr>
            <w:r>
              <w:rPr>
                <w:color w:val="000000"/>
                <w:sz w:val="18"/>
                <w:szCs w:val="18"/>
              </w:rPr>
              <w:t>Dwellings by size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A2E6E21" w14:textId="1828360C" w:rsidR="0074627A" w:rsidRPr="00CB1C84" w:rsidRDefault="0074627A" w:rsidP="0074627A">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243D6F4" w14:textId="59AE3C08" w:rsidR="0074627A" w:rsidRDefault="0074627A" w:rsidP="0074627A">
            <w:pPr>
              <w:spacing w:before="20" w:after="20"/>
              <w:ind w:left="76"/>
              <w:rPr>
                <w:color w:val="000000"/>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F9A4F38" w14:textId="0C41D84D" w:rsidR="0074627A" w:rsidRPr="002B152F" w:rsidRDefault="0074627A" w:rsidP="0074627A">
            <w:pPr>
              <w:spacing w:before="20" w:after="20"/>
              <w:jc w:val="right"/>
              <w:rPr>
                <w:color w:val="C00000"/>
                <w:sz w:val="18"/>
                <w:szCs w:val="18"/>
              </w:rPr>
            </w:pPr>
            <w:r w:rsidRPr="002B152F">
              <w:rPr>
                <w:color w:val="C00000"/>
                <w:sz w:val="18"/>
                <w:szCs w:val="18"/>
              </w:rPr>
              <w:t>190,505</w:t>
            </w:r>
          </w:p>
        </w:tc>
      </w:tr>
      <w:tr w:rsidR="0074627A" w:rsidRPr="00CB1C84" w14:paraId="5C6DD3AB"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12BEFBF" w14:textId="6E67427E"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D99658E" w14:textId="57E60F91" w:rsidR="0074627A" w:rsidRPr="00CB1C84" w:rsidRDefault="0074627A" w:rsidP="0074627A">
            <w:pPr>
              <w:spacing w:before="20" w:after="20"/>
              <w:rPr>
                <w:sz w:val="18"/>
                <w:szCs w:val="18"/>
              </w:rPr>
            </w:pPr>
            <w:r>
              <w:rPr>
                <w:color w:val="000000"/>
                <w:sz w:val="18"/>
                <w:szCs w:val="18"/>
              </w:rPr>
              <w:t>No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F236F44" w14:textId="27A7B5C1"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0D9BE7F" w14:textId="28D08880" w:rsidR="0074627A" w:rsidRPr="002B152F" w:rsidRDefault="0074627A" w:rsidP="0074627A">
            <w:pPr>
              <w:spacing w:before="20" w:after="20"/>
              <w:jc w:val="right"/>
              <w:rPr>
                <w:color w:val="C00000"/>
                <w:sz w:val="18"/>
                <w:szCs w:val="18"/>
              </w:rPr>
            </w:pPr>
            <w:r w:rsidRPr="002B152F">
              <w:rPr>
                <w:color w:val="C00000"/>
                <w:sz w:val="18"/>
                <w:szCs w:val="18"/>
              </w:rPr>
              <w:t>1,470</w:t>
            </w:r>
          </w:p>
        </w:tc>
      </w:tr>
      <w:tr w:rsidR="0074627A" w:rsidRPr="00CB1C84" w14:paraId="36660A8B"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C5E3689" w14:textId="29BFE873"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55F29CB" w14:textId="78FD3563" w:rsidR="0074627A" w:rsidRPr="00CB1C84" w:rsidRDefault="0074627A" w:rsidP="0074627A">
            <w:pPr>
              <w:spacing w:before="20" w:after="20"/>
              <w:rPr>
                <w:sz w:val="18"/>
                <w:szCs w:val="18"/>
              </w:rPr>
            </w:pPr>
            <w:r>
              <w:rPr>
                <w:color w:val="000000"/>
                <w:sz w:val="18"/>
                <w:szCs w:val="18"/>
              </w:rPr>
              <w:t>1 bedroom</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FCC6417" w14:textId="10313AF4"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ED32CAE" w14:textId="231F90B3" w:rsidR="0074627A" w:rsidRPr="002B152F" w:rsidRDefault="0074627A" w:rsidP="0074627A">
            <w:pPr>
              <w:spacing w:before="20" w:after="20"/>
              <w:jc w:val="right"/>
              <w:rPr>
                <w:color w:val="C00000"/>
                <w:sz w:val="18"/>
                <w:szCs w:val="18"/>
              </w:rPr>
            </w:pPr>
            <w:r w:rsidRPr="002B152F">
              <w:rPr>
                <w:color w:val="C00000"/>
                <w:sz w:val="18"/>
                <w:szCs w:val="18"/>
              </w:rPr>
              <w:t>29,525</w:t>
            </w:r>
          </w:p>
        </w:tc>
      </w:tr>
      <w:tr w:rsidR="0074627A" w:rsidRPr="00CB1C84" w14:paraId="03DC7BBD"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3AF4FBD" w14:textId="2877B907"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792C5F2" w14:textId="2C97162B" w:rsidR="0074627A" w:rsidRPr="00CB1C84" w:rsidRDefault="0074627A" w:rsidP="0074627A">
            <w:pPr>
              <w:spacing w:before="20" w:after="20"/>
              <w:rPr>
                <w:sz w:val="18"/>
                <w:szCs w:val="18"/>
              </w:rPr>
            </w:pPr>
            <w:r>
              <w:rPr>
                <w:color w:val="000000"/>
                <w:sz w:val="18"/>
                <w:szCs w:val="18"/>
              </w:rPr>
              <w:t>2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2642CD5" w14:textId="430A891B"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4C0CF45" w14:textId="10FCB326" w:rsidR="0074627A" w:rsidRPr="002B152F" w:rsidRDefault="0074627A" w:rsidP="0074627A">
            <w:pPr>
              <w:spacing w:before="20" w:after="20"/>
              <w:jc w:val="right"/>
              <w:rPr>
                <w:color w:val="C00000"/>
                <w:sz w:val="18"/>
                <w:szCs w:val="18"/>
              </w:rPr>
            </w:pPr>
            <w:r w:rsidRPr="002B152F">
              <w:rPr>
                <w:color w:val="C00000"/>
                <w:sz w:val="18"/>
                <w:szCs w:val="18"/>
              </w:rPr>
              <w:t>52,010</w:t>
            </w:r>
          </w:p>
        </w:tc>
      </w:tr>
      <w:tr w:rsidR="0074627A" w:rsidRPr="00CB1C84" w14:paraId="603FBE71"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C83A3D4" w14:textId="1E9EBFFA"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130CF43" w14:textId="318CDC3C" w:rsidR="0074627A" w:rsidRPr="00CB1C84" w:rsidRDefault="0074627A" w:rsidP="0074627A">
            <w:pPr>
              <w:spacing w:before="20" w:after="20"/>
              <w:rPr>
                <w:sz w:val="18"/>
                <w:szCs w:val="18"/>
              </w:rPr>
            </w:pPr>
            <w:r>
              <w:rPr>
                <w:color w:val="000000"/>
                <w:sz w:val="18"/>
                <w:szCs w:val="18"/>
              </w:rPr>
              <w:t>3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FAA693B" w14:textId="36A79C8E"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88C0F9C" w14:textId="13CCB929" w:rsidR="0074627A" w:rsidRPr="002B152F" w:rsidRDefault="0074627A" w:rsidP="0074627A">
            <w:pPr>
              <w:spacing w:before="20" w:after="20"/>
              <w:jc w:val="right"/>
              <w:rPr>
                <w:color w:val="C00000"/>
                <w:sz w:val="18"/>
                <w:szCs w:val="18"/>
              </w:rPr>
            </w:pPr>
            <w:r w:rsidRPr="002B152F">
              <w:rPr>
                <w:color w:val="C00000"/>
                <w:sz w:val="18"/>
                <w:szCs w:val="18"/>
              </w:rPr>
              <w:t>65,010</w:t>
            </w:r>
          </w:p>
        </w:tc>
      </w:tr>
      <w:tr w:rsidR="0074627A" w:rsidRPr="00CB1C84" w14:paraId="66FECD0A"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879EF0A" w14:textId="74CBA1E1"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8D3FB05" w14:textId="10AD8EEC" w:rsidR="0074627A" w:rsidRPr="00CB1C84" w:rsidRDefault="0074627A" w:rsidP="0074627A">
            <w:pPr>
              <w:spacing w:before="20" w:after="20"/>
              <w:rPr>
                <w:sz w:val="18"/>
                <w:szCs w:val="18"/>
              </w:rPr>
            </w:pPr>
            <w:r>
              <w:rPr>
                <w:color w:val="000000"/>
                <w:sz w:val="18"/>
                <w:szCs w:val="18"/>
              </w:rPr>
              <w:t>4+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94A67C7" w14:textId="4B81A4E6"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751C4FD" w14:textId="5D60D7A7" w:rsidR="0074627A" w:rsidRPr="002B152F" w:rsidRDefault="0074627A" w:rsidP="0074627A">
            <w:pPr>
              <w:spacing w:before="20" w:after="20"/>
              <w:jc w:val="right"/>
              <w:rPr>
                <w:color w:val="C00000"/>
                <w:sz w:val="18"/>
                <w:szCs w:val="18"/>
              </w:rPr>
            </w:pPr>
            <w:r w:rsidRPr="002B152F">
              <w:rPr>
                <w:color w:val="C00000"/>
                <w:sz w:val="18"/>
                <w:szCs w:val="18"/>
              </w:rPr>
              <w:t>42,485</w:t>
            </w:r>
          </w:p>
        </w:tc>
      </w:tr>
      <w:tr w:rsidR="0074627A" w:rsidRPr="00CB1C84" w14:paraId="58056676" w14:textId="77777777" w:rsidTr="0074627A">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F93FC1D" w14:textId="673E1295" w:rsidR="0074627A" w:rsidRDefault="0074627A" w:rsidP="0074627A">
            <w:pPr>
              <w:spacing w:before="20" w:after="20"/>
              <w:rPr>
                <w:color w:val="000000"/>
                <w:sz w:val="18"/>
                <w:szCs w:val="18"/>
              </w:rPr>
            </w:pPr>
            <w:r>
              <w:rPr>
                <w:color w:val="000000"/>
                <w:sz w:val="18"/>
                <w:szCs w:val="18"/>
              </w:rPr>
              <w:t>Dwellings by date built</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B3BADBD" w14:textId="535BD411" w:rsidR="0074627A" w:rsidRPr="00CB1C84" w:rsidRDefault="0074627A" w:rsidP="0074627A">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B851742" w14:textId="04E36646" w:rsidR="0074627A" w:rsidRDefault="0074627A" w:rsidP="0074627A">
            <w:pPr>
              <w:spacing w:before="20" w:after="20"/>
              <w:ind w:left="76"/>
              <w:rPr>
                <w:color w:val="000000"/>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BDA1285" w14:textId="22D73398" w:rsidR="0074627A" w:rsidRPr="002B152F" w:rsidRDefault="0074627A" w:rsidP="0074627A">
            <w:pPr>
              <w:spacing w:before="20" w:after="20"/>
              <w:jc w:val="right"/>
              <w:rPr>
                <w:color w:val="C00000"/>
                <w:sz w:val="18"/>
                <w:szCs w:val="18"/>
              </w:rPr>
            </w:pPr>
            <w:r w:rsidRPr="002B152F">
              <w:rPr>
                <w:color w:val="C00000"/>
                <w:sz w:val="18"/>
                <w:szCs w:val="18"/>
              </w:rPr>
              <w:t>190,505</w:t>
            </w:r>
          </w:p>
        </w:tc>
      </w:tr>
      <w:tr w:rsidR="0074627A" w:rsidRPr="00CB1C84" w14:paraId="620B4A1F"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80CDC23" w14:textId="05D5C38B"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0660CF3" w14:textId="547EF963" w:rsidR="0074627A" w:rsidRPr="00CB1C84" w:rsidRDefault="0074627A" w:rsidP="0074627A">
            <w:pPr>
              <w:spacing w:before="20" w:after="20"/>
              <w:rPr>
                <w:sz w:val="18"/>
                <w:szCs w:val="18"/>
              </w:rPr>
            </w:pPr>
            <w:r>
              <w:rPr>
                <w:color w:val="000000"/>
                <w:sz w:val="18"/>
                <w:szCs w:val="18"/>
              </w:rPr>
              <w:t>1960 or before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C9251E7" w14:textId="6B3F5594"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60B7EC5" w14:textId="0C5988F0" w:rsidR="0074627A" w:rsidRPr="002B152F" w:rsidRDefault="0074627A" w:rsidP="0074627A">
            <w:pPr>
              <w:spacing w:before="20" w:after="20"/>
              <w:jc w:val="right"/>
              <w:rPr>
                <w:color w:val="C00000"/>
                <w:sz w:val="18"/>
                <w:szCs w:val="18"/>
              </w:rPr>
            </w:pPr>
            <w:r w:rsidRPr="002B152F">
              <w:rPr>
                <w:color w:val="C00000"/>
                <w:sz w:val="18"/>
                <w:szCs w:val="18"/>
              </w:rPr>
              <w:t>34,670</w:t>
            </w:r>
          </w:p>
        </w:tc>
      </w:tr>
      <w:tr w:rsidR="0074627A" w:rsidRPr="00CB1C84" w14:paraId="71931257"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6276778" w14:textId="786219D3"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0B94921" w14:textId="3040C21A" w:rsidR="0074627A" w:rsidRPr="00CB1C84" w:rsidRDefault="0074627A" w:rsidP="0074627A">
            <w:pPr>
              <w:spacing w:before="20" w:after="20"/>
              <w:rPr>
                <w:sz w:val="18"/>
                <w:szCs w:val="18"/>
              </w:rPr>
            </w:pPr>
            <w:r>
              <w:rPr>
                <w:color w:val="000000"/>
                <w:sz w:val="18"/>
                <w:szCs w:val="18"/>
              </w:rPr>
              <w:t>1961–1980</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00D5932" w14:textId="5C3A9B75"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F3724FF" w14:textId="4E330B56" w:rsidR="0074627A" w:rsidRPr="002B152F" w:rsidRDefault="0074627A" w:rsidP="0074627A">
            <w:pPr>
              <w:spacing w:before="20" w:after="20"/>
              <w:jc w:val="right"/>
              <w:rPr>
                <w:color w:val="C00000"/>
                <w:sz w:val="18"/>
                <w:szCs w:val="18"/>
              </w:rPr>
            </w:pPr>
            <w:r w:rsidRPr="002B152F">
              <w:rPr>
                <w:color w:val="C00000"/>
                <w:sz w:val="18"/>
                <w:szCs w:val="18"/>
              </w:rPr>
              <w:t>50,975</w:t>
            </w:r>
          </w:p>
        </w:tc>
      </w:tr>
      <w:tr w:rsidR="0074627A" w:rsidRPr="00CB1C84" w14:paraId="05569528"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2338D4A" w14:textId="0DB8F9AD"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EC0291E" w14:textId="543C1CEE" w:rsidR="0074627A" w:rsidRPr="00CB1C84" w:rsidRDefault="0074627A" w:rsidP="0074627A">
            <w:pPr>
              <w:spacing w:before="20" w:after="20"/>
              <w:rPr>
                <w:sz w:val="18"/>
                <w:szCs w:val="18"/>
              </w:rPr>
            </w:pPr>
            <w:r>
              <w:rPr>
                <w:color w:val="000000"/>
                <w:sz w:val="18"/>
                <w:szCs w:val="18"/>
              </w:rPr>
              <w:t>1981–1990</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C93F265" w14:textId="1A2249A2"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CF670EA" w14:textId="44B03A6F" w:rsidR="0074627A" w:rsidRPr="002B152F" w:rsidRDefault="0074627A" w:rsidP="0074627A">
            <w:pPr>
              <w:spacing w:before="20" w:after="20"/>
              <w:jc w:val="right"/>
              <w:rPr>
                <w:color w:val="C00000"/>
                <w:sz w:val="18"/>
                <w:szCs w:val="18"/>
              </w:rPr>
            </w:pPr>
            <w:r w:rsidRPr="002B152F">
              <w:rPr>
                <w:color w:val="C00000"/>
                <w:sz w:val="18"/>
                <w:szCs w:val="18"/>
              </w:rPr>
              <w:t>27,710</w:t>
            </w:r>
          </w:p>
        </w:tc>
      </w:tr>
      <w:tr w:rsidR="0074627A" w:rsidRPr="00CB1C84" w14:paraId="7C3618D0"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5A4D255" w14:textId="217274B0"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F25E68F" w14:textId="13C70D80" w:rsidR="0074627A" w:rsidRPr="00CB1C84" w:rsidRDefault="0074627A" w:rsidP="0074627A">
            <w:pPr>
              <w:spacing w:before="20" w:after="20"/>
              <w:rPr>
                <w:sz w:val="18"/>
                <w:szCs w:val="18"/>
              </w:rPr>
            </w:pPr>
            <w:r>
              <w:rPr>
                <w:color w:val="000000"/>
                <w:sz w:val="18"/>
                <w:szCs w:val="18"/>
              </w:rPr>
              <w:t>1991–2000</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6143F55" w14:textId="6376334E"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C0AFA6D" w14:textId="02757FED" w:rsidR="0074627A" w:rsidRPr="002B152F" w:rsidRDefault="0074627A" w:rsidP="0074627A">
            <w:pPr>
              <w:spacing w:before="20" w:after="20"/>
              <w:jc w:val="right"/>
              <w:rPr>
                <w:color w:val="C00000"/>
                <w:sz w:val="18"/>
                <w:szCs w:val="18"/>
              </w:rPr>
            </w:pPr>
            <w:r w:rsidRPr="002B152F">
              <w:rPr>
                <w:color w:val="C00000"/>
                <w:sz w:val="18"/>
                <w:szCs w:val="18"/>
              </w:rPr>
              <w:t>26,560</w:t>
            </w:r>
          </w:p>
        </w:tc>
      </w:tr>
      <w:tr w:rsidR="0074627A" w:rsidRPr="00CB1C84" w14:paraId="2E98C05B"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262CF16" w14:textId="10C9371B"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3AF4BA4" w14:textId="34712DE9" w:rsidR="0074627A" w:rsidRPr="00CB1C84" w:rsidRDefault="0074627A" w:rsidP="0074627A">
            <w:pPr>
              <w:spacing w:before="20" w:after="20"/>
              <w:rPr>
                <w:sz w:val="18"/>
                <w:szCs w:val="18"/>
              </w:rPr>
            </w:pPr>
            <w:r>
              <w:rPr>
                <w:color w:val="000000"/>
                <w:sz w:val="18"/>
                <w:szCs w:val="18"/>
              </w:rPr>
              <w:t>2001–2005</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9D69901" w14:textId="61C0A30B"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6F5CBD0" w14:textId="2E8862E5" w:rsidR="0074627A" w:rsidRPr="002B152F" w:rsidRDefault="0074627A" w:rsidP="0074627A">
            <w:pPr>
              <w:spacing w:before="20" w:after="20"/>
              <w:jc w:val="right"/>
              <w:rPr>
                <w:color w:val="C00000"/>
                <w:sz w:val="18"/>
                <w:szCs w:val="18"/>
              </w:rPr>
            </w:pPr>
            <w:r w:rsidRPr="002B152F">
              <w:rPr>
                <w:color w:val="C00000"/>
                <w:sz w:val="18"/>
                <w:szCs w:val="18"/>
              </w:rPr>
              <w:t>13,275</w:t>
            </w:r>
          </w:p>
        </w:tc>
      </w:tr>
      <w:tr w:rsidR="0074627A" w:rsidRPr="00CB1C84" w14:paraId="2484AA04"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5183C13" w14:textId="50EAEDA2"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DC576A5" w14:textId="46A30F0B" w:rsidR="0074627A" w:rsidRPr="00CB1C84" w:rsidRDefault="0074627A" w:rsidP="0074627A">
            <w:pPr>
              <w:spacing w:before="20" w:after="20"/>
              <w:rPr>
                <w:sz w:val="18"/>
                <w:szCs w:val="18"/>
              </w:rPr>
            </w:pPr>
            <w:r>
              <w:rPr>
                <w:color w:val="000000"/>
                <w:sz w:val="18"/>
                <w:szCs w:val="18"/>
              </w:rPr>
              <w:t>2006–2010</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7F839A8" w14:textId="1DB5A0D1"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B659EAA" w14:textId="4E282B5D" w:rsidR="0074627A" w:rsidRPr="002B152F" w:rsidRDefault="0074627A" w:rsidP="0074627A">
            <w:pPr>
              <w:spacing w:before="20" w:after="20"/>
              <w:jc w:val="right"/>
              <w:rPr>
                <w:color w:val="C00000"/>
                <w:sz w:val="18"/>
                <w:szCs w:val="18"/>
              </w:rPr>
            </w:pPr>
            <w:r w:rsidRPr="002B152F">
              <w:rPr>
                <w:color w:val="C00000"/>
                <w:sz w:val="18"/>
                <w:szCs w:val="18"/>
              </w:rPr>
              <w:t>12,275</w:t>
            </w:r>
          </w:p>
        </w:tc>
      </w:tr>
      <w:tr w:rsidR="0074627A" w:rsidRPr="00CB1C84" w14:paraId="4C4D66DB"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07B0F28" w14:textId="0A4EB929"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C0131BE" w14:textId="7998D07E" w:rsidR="0074627A" w:rsidRPr="00CB1C84" w:rsidRDefault="0074627A" w:rsidP="0074627A">
            <w:pPr>
              <w:spacing w:before="20" w:after="20"/>
              <w:rPr>
                <w:sz w:val="18"/>
                <w:szCs w:val="18"/>
              </w:rPr>
            </w:pPr>
            <w:r>
              <w:rPr>
                <w:color w:val="000000"/>
                <w:sz w:val="18"/>
                <w:szCs w:val="18"/>
              </w:rPr>
              <w:t>2011–2015</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837B4CD" w14:textId="2A2027EF"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4DE396A" w14:textId="1ACC9274" w:rsidR="0074627A" w:rsidRPr="002B152F" w:rsidRDefault="0074627A" w:rsidP="0074627A">
            <w:pPr>
              <w:spacing w:before="20" w:after="20"/>
              <w:jc w:val="right"/>
              <w:rPr>
                <w:color w:val="C00000"/>
                <w:sz w:val="18"/>
                <w:szCs w:val="18"/>
              </w:rPr>
            </w:pPr>
            <w:r w:rsidRPr="002B152F">
              <w:rPr>
                <w:color w:val="C00000"/>
                <w:sz w:val="18"/>
                <w:szCs w:val="18"/>
              </w:rPr>
              <w:t>11,180</w:t>
            </w:r>
          </w:p>
        </w:tc>
      </w:tr>
      <w:tr w:rsidR="0074627A" w:rsidRPr="00CB1C84" w14:paraId="23D2DFB3" w14:textId="77777777" w:rsidTr="00A31B26">
        <w:trPr>
          <w:trHeight w:val="21"/>
        </w:trPr>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06FC71C" w14:textId="6FE01C4E" w:rsidR="0074627A" w:rsidRPr="00CB1C84" w:rsidRDefault="0074627A" w:rsidP="0074627A">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B36580F" w14:textId="4AADC4F8" w:rsidR="0074627A" w:rsidRPr="00CB1C84" w:rsidRDefault="0074627A" w:rsidP="0074627A">
            <w:pPr>
              <w:spacing w:before="20" w:after="20"/>
              <w:rPr>
                <w:sz w:val="18"/>
                <w:szCs w:val="18"/>
              </w:rPr>
            </w:pPr>
            <w:r>
              <w:rPr>
                <w:color w:val="000000"/>
                <w:sz w:val="18"/>
                <w:szCs w:val="18"/>
              </w:rPr>
              <w:t>2016–2021</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7FB449F" w14:textId="10FEFCDA" w:rsidR="0074627A" w:rsidRPr="00CB1C84" w:rsidRDefault="0074627A" w:rsidP="0074627A">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EDD1DF4" w14:textId="556D9C48" w:rsidR="0074627A" w:rsidRPr="002B152F" w:rsidRDefault="0074627A" w:rsidP="0074627A">
            <w:pPr>
              <w:spacing w:before="20" w:after="20"/>
              <w:jc w:val="right"/>
              <w:rPr>
                <w:color w:val="C00000"/>
                <w:sz w:val="18"/>
                <w:szCs w:val="18"/>
              </w:rPr>
            </w:pPr>
            <w:r w:rsidRPr="002B152F">
              <w:rPr>
                <w:color w:val="C00000"/>
                <w:sz w:val="18"/>
                <w:szCs w:val="18"/>
              </w:rPr>
              <w:t>13,860</w:t>
            </w:r>
          </w:p>
        </w:tc>
      </w:tr>
      <w:tr w:rsidR="00CB1C84" w:rsidRPr="00CB1C84" w14:paraId="1E885993"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BDCA97F" w14:textId="69C5A0D0" w:rsidR="00CB1C84" w:rsidRPr="00CB1C84" w:rsidRDefault="00CB1C84">
            <w:pPr>
              <w:spacing w:before="20" w:after="20"/>
              <w:rPr>
                <w:sz w:val="18"/>
                <w:szCs w:val="18"/>
              </w:rPr>
            </w:pPr>
            <w:r w:rsidRPr="00CB1C84">
              <w:rPr>
                <w:sz w:val="18"/>
                <w:szCs w:val="18"/>
              </w:rPr>
              <w:t>Rental vacancy rate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B5F5451" w14:textId="57B2401D" w:rsidR="00CB1C84" w:rsidRPr="00CB1C84" w:rsidRDefault="00CB1C84" w:rsidP="00CB1C84">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E195DA8" w14:textId="324DFACC" w:rsidR="00CB1C84" w:rsidRPr="00CB1C84" w:rsidRDefault="00F25ED9" w:rsidP="00F25ED9">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3325F8C" w14:textId="01EC6D3B" w:rsidR="00CB1C84" w:rsidRPr="002B152F" w:rsidRDefault="00F25ED9" w:rsidP="00CB1C84">
            <w:pPr>
              <w:spacing w:before="20" w:after="20"/>
              <w:jc w:val="right"/>
              <w:rPr>
                <w:color w:val="C00000"/>
                <w:sz w:val="18"/>
                <w:szCs w:val="18"/>
              </w:rPr>
            </w:pPr>
            <w:r w:rsidRPr="002B152F">
              <w:rPr>
                <w:color w:val="C00000"/>
                <w:sz w:val="18"/>
                <w:szCs w:val="18"/>
              </w:rPr>
              <w:t>1.5%</w:t>
            </w:r>
          </w:p>
        </w:tc>
      </w:tr>
      <w:tr w:rsidR="00CB1C84" w:rsidRPr="00CB1C84" w14:paraId="2687B4CD"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FE11C77" w14:textId="05D5FC1E"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A0DE6AF" w14:textId="113721AA" w:rsidR="00CB1C84" w:rsidRPr="00CB1C84" w:rsidRDefault="00F25ED9" w:rsidP="00CB1C84">
            <w:pPr>
              <w:spacing w:before="20" w:after="20"/>
              <w:rPr>
                <w:sz w:val="18"/>
                <w:szCs w:val="18"/>
              </w:rPr>
            </w:pPr>
            <w:r>
              <w:rPr>
                <w:sz w:val="18"/>
                <w:szCs w:val="18"/>
              </w:rPr>
              <w:t>Studio</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21CBA82" w14:textId="78B29831" w:rsidR="00CB1C84" w:rsidRPr="00CB1C84" w:rsidRDefault="00F25ED9" w:rsidP="00F25ED9">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2579F50" w14:textId="7A7FA44D" w:rsidR="00CB1C84" w:rsidRPr="002B152F" w:rsidRDefault="00F25ED9" w:rsidP="00CB1C84">
            <w:pPr>
              <w:spacing w:before="20" w:after="20"/>
              <w:jc w:val="right"/>
              <w:rPr>
                <w:color w:val="C00000"/>
                <w:sz w:val="18"/>
                <w:szCs w:val="18"/>
              </w:rPr>
            </w:pPr>
            <w:r w:rsidRPr="002B152F">
              <w:rPr>
                <w:color w:val="C00000"/>
                <w:sz w:val="18"/>
                <w:szCs w:val="18"/>
              </w:rPr>
              <w:t>0.0%</w:t>
            </w:r>
          </w:p>
        </w:tc>
      </w:tr>
      <w:tr w:rsidR="00CB1C84" w:rsidRPr="00CB1C84" w14:paraId="4E7B8B29"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F2FF650" w14:textId="5B69D140"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E092CBC" w14:textId="1F8F99CB" w:rsidR="00CB1C84" w:rsidRPr="00CB1C84" w:rsidRDefault="00CB1C84" w:rsidP="00CB1C84">
            <w:pPr>
              <w:spacing w:before="20" w:after="20"/>
              <w:rPr>
                <w:sz w:val="18"/>
                <w:szCs w:val="18"/>
              </w:rPr>
            </w:pPr>
            <w:r w:rsidRPr="00CB1C84">
              <w:rPr>
                <w:sz w:val="18"/>
                <w:szCs w:val="18"/>
              </w:rPr>
              <w:t>1 bedroom</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D5F82C7" w14:textId="5297E5AE" w:rsidR="00CB1C84" w:rsidRPr="00CB1C84" w:rsidRDefault="00F25ED9" w:rsidP="00F25ED9">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10601B0" w14:textId="19F67067" w:rsidR="00CB1C84" w:rsidRPr="002B152F" w:rsidRDefault="00F25ED9" w:rsidP="00CB1C84">
            <w:pPr>
              <w:spacing w:before="20" w:after="20"/>
              <w:jc w:val="right"/>
              <w:rPr>
                <w:color w:val="C00000"/>
                <w:sz w:val="18"/>
                <w:szCs w:val="18"/>
              </w:rPr>
            </w:pPr>
            <w:r w:rsidRPr="002B152F">
              <w:rPr>
                <w:color w:val="C00000"/>
                <w:sz w:val="18"/>
                <w:szCs w:val="18"/>
              </w:rPr>
              <w:t>0.6%</w:t>
            </w:r>
          </w:p>
        </w:tc>
      </w:tr>
      <w:tr w:rsidR="00CB1C84" w:rsidRPr="00CB1C84" w14:paraId="4DE7D1B6"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4969602" w14:textId="06E8F29D"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005BD11" w14:textId="4E80DB3C" w:rsidR="00CB1C84" w:rsidRPr="00CB1C84" w:rsidRDefault="00CB1C84" w:rsidP="00CB1C84">
            <w:pPr>
              <w:spacing w:before="20" w:after="20"/>
              <w:rPr>
                <w:sz w:val="18"/>
                <w:szCs w:val="18"/>
              </w:rPr>
            </w:pPr>
            <w:r w:rsidRPr="00CB1C84">
              <w:rPr>
                <w:sz w:val="18"/>
                <w:szCs w:val="18"/>
              </w:rPr>
              <w:t>2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DD6BFBD" w14:textId="59D66D04" w:rsidR="00CB1C84" w:rsidRPr="00CB1C84" w:rsidRDefault="00F25ED9" w:rsidP="00F25ED9">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7331636" w14:textId="196E4495" w:rsidR="00CB1C84" w:rsidRPr="002B152F" w:rsidRDefault="00F25ED9" w:rsidP="00CB1C84">
            <w:pPr>
              <w:spacing w:before="20" w:after="20"/>
              <w:jc w:val="right"/>
              <w:rPr>
                <w:color w:val="C00000"/>
                <w:sz w:val="18"/>
                <w:szCs w:val="18"/>
              </w:rPr>
            </w:pPr>
            <w:r w:rsidRPr="002B152F">
              <w:rPr>
                <w:color w:val="C00000"/>
                <w:sz w:val="18"/>
                <w:szCs w:val="18"/>
              </w:rPr>
              <w:t>1.8%</w:t>
            </w:r>
          </w:p>
        </w:tc>
      </w:tr>
      <w:tr w:rsidR="00CB1C84" w:rsidRPr="00CB1C84" w14:paraId="65B8E2B9"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1650084" w14:textId="49D96B00" w:rsidR="00CB1C84" w:rsidRPr="00CB1C84" w:rsidRDefault="00F25ED9" w:rsidP="00CB1C84">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AD1BA25" w14:textId="2C8838DB" w:rsidR="00CB1C84" w:rsidRPr="00CB1C84" w:rsidRDefault="00CB1C84" w:rsidP="00CB1C84">
            <w:pPr>
              <w:spacing w:before="20" w:after="20"/>
              <w:rPr>
                <w:sz w:val="18"/>
                <w:szCs w:val="18"/>
              </w:rPr>
            </w:pPr>
            <w:r w:rsidRPr="00CB1C84">
              <w:rPr>
                <w:sz w:val="18"/>
                <w:szCs w:val="18"/>
              </w:rPr>
              <w:t>3+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DF9A8FC" w14:textId="0FF16DCB" w:rsidR="00CB1C84" w:rsidRPr="00CB1C84" w:rsidRDefault="00F25ED9" w:rsidP="00F25ED9">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ADEF063" w14:textId="77190C17" w:rsidR="00CB1C84" w:rsidRPr="002B152F" w:rsidRDefault="00F25ED9" w:rsidP="00CB1C84">
            <w:pPr>
              <w:spacing w:before="20" w:after="20"/>
              <w:jc w:val="right"/>
              <w:rPr>
                <w:color w:val="C00000"/>
                <w:sz w:val="18"/>
                <w:szCs w:val="18"/>
              </w:rPr>
            </w:pPr>
            <w:r w:rsidRPr="002B152F">
              <w:rPr>
                <w:color w:val="C00000"/>
                <w:sz w:val="18"/>
                <w:szCs w:val="18"/>
              </w:rPr>
              <w:t>0.0%</w:t>
            </w:r>
          </w:p>
        </w:tc>
      </w:tr>
      <w:tr w:rsidR="00CB1C84" w:rsidRPr="00CB1C84" w14:paraId="418FC2E2"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0DECE78" w14:textId="552F3A0A" w:rsidR="00CB1C84" w:rsidRPr="00CB1C84" w:rsidRDefault="00CB1C84">
            <w:pPr>
              <w:spacing w:before="20" w:after="20"/>
              <w:rPr>
                <w:sz w:val="18"/>
                <w:szCs w:val="18"/>
              </w:rPr>
            </w:pPr>
            <w:r w:rsidRPr="00CB1C84">
              <w:rPr>
                <w:sz w:val="18"/>
                <w:szCs w:val="18"/>
              </w:rPr>
              <w:t>Primary rental units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EA37D59" w14:textId="15D9797C" w:rsidR="00CB1C84" w:rsidRPr="00CB1C84" w:rsidRDefault="00CB1C84" w:rsidP="00CB1C84">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5C85C7F" w14:textId="1B2E4238" w:rsidR="00CB1C84" w:rsidRPr="00CB1C84" w:rsidRDefault="00F25ED9" w:rsidP="00F25ED9">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10CC288" w14:textId="522875FB" w:rsidR="00CB1C84" w:rsidRPr="002B152F" w:rsidRDefault="00F25ED9" w:rsidP="00CB1C84">
            <w:pPr>
              <w:spacing w:before="20" w:after="20"/>
              <w:jc w:val="right"/>
              <w:rPr>
                <w:color w:val="C00000"/>
                <w:sz w:val="18"/>
                <w:szCs w:val="18"/>
              </w:rPr>
            </w:pPr>
            <w:r w:rsidRPr="002B152F">
              <w:rPr>
                <w:color w:val="C00000"/>
                <w:sz w:val="18"/>
                <w:szCs w:val="18"/>
              </w:rPr>
              <w:t>5,385</w:t>
            </w:r>
          </w:p>
        </w:tc>
      </w:tr>
      <w:tr w:rsidR="00CB1C84" w:rsidRPr="00CB1C84" w14:paraId="5E4CBD49"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3342C05" w14:textId="289E8869" w:rsidR="00CB1C84" w:rsidRPr="00CB1C84" w:rsidRDefault="00CB1C84">
            <w:pPr>
              <w:spacing w:before="20" w:after="20"/>
              <w:rPr>
                <w:sz w:val="18"/>
                <w:szCs w:val="18"/>
              </w:rPr>
            </w:pPr>
            <w:r w:rsidRPr="00CB1C84">
              <w:rPr>
                <w:sz w:val="18"/>
                <w:szCs w:val="18"/>
              </w:rPr>
              <w:lastRenderedPageBreak/>
              <w:t>Secondary rental units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389A671" w14:textId="1521316F" w:rsidR="00CB1C84" w:rsidRPr="00CB1C84" w:rsidRDefault="00CB1C84" w:rsidP="00CB1C84">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752B873" w14:textId="79B60139" w:rsidR="00CB1C84" w:rsidRPr="00CB1C84" w:rsidRDefault="00F25ED9" w:rsidP="00F25ED9">
            <w:pPr>
              <w:spacing w:before="20" w:after="20"/>
              <w:ind w:left="76"/>
              <w:rPr>
                <w:sz w:val="18"/>
                <w:szCs w:val="18"/>
              </w:rPr>
            </w:pPr>
            <w:r>
              <w:rPr>
                <w:color w:val="000000"/>
                <w:sz w:val="18"/>
                <w:szCs w:val="18"/>
              </w:rPr>
              <w:t>Estimate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2C302BD" w14:textId="520BA86D" w:rsidR="00CB1C84" w:rsidRPr="002B152F" w:rsidRDefault="00F25ED9" w:rsidP="00CB1C84">
            <w:pPr>
              <w:spacing w:before="20" w:after="20"/>
              <w:jc w:val="right"/>
              <w:rPr>
                <w:color w:val="C00000"/>
                <w:sz w:val="18"/>
                <w:szCs w:val="18"/>
              </w:rPr>
            </w:pPr>
            <w:r w:rsidRPr="002B152F">
              <w:rPr>
                <w:color w:val="C00000"/>
                <w:sz w:val="18"/>
                <w:szCs w:val="18"/>
              </w:rPr>
              <w:t>8,350</w:t>
            </w:r>
          </w:p>
        </w:tc>
      </w:tr>
      <w:tr w:rsidR="00CB1C84" w:rsidRPr="00CB1C84" w14:paraId="604B4840" w14:textId="77777777" w:rsidTr="00A31B2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106954D" w14:textId="280BB36C" w:rsidR="00CB1C84" w:rsidRPr="00CB1C84" w:rsidRDefault="00CB1C84">
            <w:pPr>
              <w:spacing w:before="20" w:after="20"/>
              <w:rPr>
                <w:sz w:val="18"/>
                <w:szCs w:val="18"/>
              </w:rPr>
            </w:pPr>
            <w:r w:rsidRPr="00CB1C84">
              <w:rPr>
                <w:sz w:val="18"/>
                <w:szCs w:val="18"/>
              </w:rPr>
              <w:t>Short-term rental units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49A8783" w14:textId="61B383D4" w:rsidR="00CB1C84" w:rsidRPr="00CB1C84" w:rsidRDefault="00CB1C84" w:rsidP="00CB1C84">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BA08DE5" w14:textId="15F8734B" w:rsidR="00CB1C84" w:rsidRPr="00CB1C84" w:rsidRDefault="00F25ED9" w:rsidP="00F25ED9">
            <w:pPr>
              <w:spacing w:before="20" w:after="20"/>
              <w:ind w:left="76"/>
              <w:rPr>
                <w:sz w:val="18"/>
                <w:szCs w:val="18"/>
              </w:rPr>
            </w:pPr>
            <w:proofErr w:type="spellStart"/>
            <w:r>
              <w:rPr>
                <w:color w:val="000000"/>
                <w:sz w:val="18"/>
                <w:szCs w:val="18"/>
              </w:rPr>
              <w:t>AirDNA</w:t>
            </w:r>
            <w:proofErr w:type="spellEnd"/>
            <w:r>
              <w:rPr>
                <w:color w:val="000000"/>
                <w:sz w:val="18"/>
                <w:szCs w:val="18"/>
              </w:rPr>
              <w: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74D6C95" w14:textId="79F86B70" w:rsidR="00CB1C84" w:rsidRPr="002B152F" w:rsidRDefault="00F25ED9" w:rsidP="00CB1C84">
            <w:pPr>
              <w:spacing w:before="20" w:after="20"/>
              <w:jc w:val="right"/>
              <w:rPr>
                <w:color w:val="C00000"/>
                <w:sz w:val="18"/>
                <w:szCs w:val="18"/>
              </w:rPr>
            </w:pPr>
            <w:r w:rsidRPr="002B152F">
              <w:rPr>
                <w:color w:val="C00000"/>
                <w:sz w:val="18"/>
                <w:szCs w:val="18"/>
              </w:rPr>
              <w:t>560</w:t>
            </w:r>
          </w:p>
        </w:tc>
      </w:tr>
    </w:tbl>
    <w:p w14:paraId="05128965" w14:textId="77777777" w:rsidR="0043538E" w:rsidRDefault="0043538E" w:rsidP="00DA24F7">
      <w:pPr>
        <w:rPr>
          <w:b/>
        </w:rPr>
      </w:pPr>
    </w:p>
    <w:p w14:paraId="712DE453" w14:textId="64B81535" w:rsidR="004063F3" w:rsidRDefault="004063F3" w:rsidP="00DA24F7">
      <w:pPr>
        <w:rPr>
          <w:b/>
          <w:bCs/>
        </w:rPr>
      </w:pPr>
      <w:r w:rsidRPr="004063F3">
        <w:rPr>
          <w:b/>
          <w:bCs/>
        </w:rPr>
        <w:t>Table 5.7.1: Current Non-Market Housing Units</w:t>
      </w:r>
    </w:p>
    <w:p w14:paraId="574BC10E" w14:textId="77777777" w:rsidR="004063F3" w:rsidRPr="004063F3" w:rsidRDefault="004063F3" w:rsidP="00DA24F7">
      <w:pPr>
        <w:rPr>
          <w:b/>
          <w:bCs/>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4063F3" w:rsidRPr="004063F3" w14:paraId="48456F5A"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69CE061E" w14:textId="77777777" w:rsidR="004063F3" w:rsidRPr="004063F3" w:rsidRDefault="004063F3">
            <w:pPr>
              <w:rPr>
                <w:color w:val="FFFFFF" w:themeColor="background1"/>
                <w:sz w:val="18"/>
                <w:szCs w:val="18"/>
              </w:rPr>
            </w:pPr>
            <w:r w:rsidRPr="004063F3">
              <w:rPr>
                <w:color w:val="FFFFFF" w:themeColor="background1"/>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1FCD93B4" w14:textId="77777777" w:rsidR="004063F3" w:rsidRPr="004063F3" w:rsidRDefault="004063F3" w:rsidP="004063F3">
            <w:pPr>
              <w:rPr>
                <w:color w:val="FFFFFF" w:themeColor="background1"/>
                <w:sz w:val="18"/>
                <w:szCs w:val="18"/>
              </w:rPr>
            </w:pPr>
            <w:r w:rsidRPr="004063F3">
              <w:rPr>
                <w:color w:val="FFFFFF" w:themeColor="background1"/>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vAlign w:val="center"/>
          </w:tcPr>
          <w:p w14:paraId="3970CD7E" w14:textId="4A881337" w:rsidR="004063F3" w:rsidRPr="004063F3" w:rsidRDefault="004533C8" w:rsidP="003C59F9">
            <w:pPr>
              <w:ind w:left="76"/>
              <w:rPr>
                <w:color w:val="FFFFFF" w:themeColor="background1"/>
                <w:sz w:val="18"/>
                <w:szCs w:val="18"/>
              </w:rPr>
            </w:pPr>
            <w:r>
              <w:rPr>
                <w:color w:val="FFFFFF" w:themeColor="background1"/>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2CA81BF6" w14:textId="68D73EF0" w:rsidR="004063F3" w:rsidRPr="004063F3" w:rsidRDefault="004063F3" w:rsidP="004063F3">
            <w:pPr>
              <w:jc w:val="right"/>
              <w:rPr>
                <w:color w:val="FFFFFF" w:themeColor="background1"/>
                <w:sz w:val="18"/>
                <w:szCs w:val="18"/>
              </w:rPr>
            </w:pPr>
            <w:r w:rsidRPr="004063F3">
              <w:rPr>
                <w:color w:val="FFFFFF" w:themeColor="background1"/>
                <w:sz w:val="18"/>
                <w:szCs w:val="18"/>
              </w:rPr>
              <w:t>Value</w:t>
            </w:r>
          </w:p>
        </w:tc>
      </w:tr>
      <w:tr w:rsidR="004063F3" w:rsidRPr="004063F3" w14:paraId="0D959B6D"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ACDB85F" w14:textId="77777777" w:rsidR="004063F3" w:rsidRPr="004063F3" w:rsidRDefault="004063F3">
            <w:pPr>
              <w:spacing w:before="20" w:after="20"/>
              <w:rPr>
                <w:sz w:val="18"/>
                <w:szCs w:val="18"/>
              </w:rPr>
            </w:pPr>
            <w:r w:rsidRPr="004063F3">
              <w:rPr>
                <w:sz w:val="18"/>
                <w:szCs w:val="18"/>
              </w:rPr>
              <w:t>Subsidized housing units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126E4D6" w14:textId="1CC58338" w:rsidR="004063F3" w:rsidRPr="004063F3" w:rsidRDefault="004063F3" w:rsidP="004063F3">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BB46438" w14:textId="6A9D9E79" w:rsidR="004063F3" w:rsidRPr="004063F3" w:rsidRDefault="00A72F26" w:rsidP="003C59F9">
            <w:pPr>
              <w:spacing w:before="20" w:after="20"/>
              <w:ind w:left="76"/>
              <w:rPr>
                <w:sz w:val="18"/>
                <w:szCs w:val="18"/>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C25B4CB" w14:textId="3BD56B2A" w:rsidR="004063F3" w:rsidRPr="002B152F" w:rsidRDefault="00A72F26" w:rsidP="004063F3">
            <w:pPr>
              <w:spacing w:before="20" w:after="20"/>
              <w:jc w:val="right"/>
              <w:rPr>
                <w:color w:val="C00000"/>
                <w:sz w:val="18"/>
                <w:szCs w:val="18"/>
              </w:rPr>
            </w:pPr>
            <w:r w:rsidRPr="002B152F">
              <w:rPr>
                <w:color w:val="C00000"/>
                <w:sz w:val="18"/>
                <w:szCs w:val="18"/>
              </w:rPr>
              <w:t>1,550</w:t>
            </w:r>
          </w:p>
        </w:tc>
      </w:tr>
      <w:tr w:rsidR="004063F3" w:rsidRPr="004063F3" w14:paraId="17C01B6C"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F78699B" w14:textId="77777777" w:rsidR="004063F3" w:rsidRPr="004063F3" w:rsidRDefault="004063F3">
            <w:pPr>
              <w:spacing w:before="20" w:after="20"/>
              <w:rPr>
                <w:sz w:val="18"/>
                <w:szCs w:val="18"/>
              </w:rPr>
            </w:pPr>
            <w:r w:rsidRPr="004063F3">
              <w:rPr>
                <w:sz w:val="18"/>
                <w:szCs w:val="18"/>
              </w:rPr>
              <w:t>Below-market rent units (private)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9784451" w14:textId="6D17D910" w:rsidR="004063F3" w:rsidRPr="004063F3" w:rsidRDefault="004063F3" w:rsidP="004063F3">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8298136" w14:textId="057CF09F" w:rsidR="004063F3" w:rsidRPr="004063F3" w:rsidRDefault="00A72F26" w:rsidP="003C59F9">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5E18534" w14:textId="2527A661" w:rsidR="004063F3" w:rsidRPr="002B152F" w:rsidRDefault="00A72F26" w:rsidP="004063F3">
            <w:pPr>
              <w:spacing w:before="20" w:after="20"/>
              <w:jc w:val="right"/>
              <w:rPr>
                <w:color w:val="C00000"/>
                <w:sz w:val="18"/>
                <w:szCs w:val="18"/>
              </w:rPr>
            </w:pPr>
            <w:r w:rsidRPr="002B152F">
              <w:rPr>
                <w:color w:val="C00000"/>
                <w:sz w:val="18"/>
                <w:szCs w:val="18"/>
              </w:rPr>
              <w:t>5,765</w:t>
            </w:r>
          </w:p>
        </w:tc>
      </w:tr>
      <w:tr w:rsidR="004063F3" w:rsidRPr="004063F3" w14:paraId="62D153F8"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FE8B78E" w14:textId="77777777" w:rsidR="004063F3" w:rsidRPr="004063F3" w:rsidRDefault="004063F3">
            <w:pPr>
              <w:spacing w:before="20" w:after="20"/>
              <w:rPr>
                <w:sz w:val="18"/>
                <w:szCs w:val="18"/>
              </w:rPr>
            </w:pPr>
            <w:r w:rsidRPr="004063F3">
              <w:rPr>
                <w:sz w:val="18"/>
                <w:szCs w:val="18"/>
              </w:rPr>
              <w:t>Co-operative housing units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DD69AB3" w14:textId="4977428D" w:rsidR="004063F3" w:rsidRPr="004063F3" w:rsidRDefault="004063F3" w:rsidP="004063F3">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9B9834B" w14:textId="7D26ADED" w:rsidR="004063F3" w:rsidRPr="004063F3" w:rsidRDefault="00A72F26" w:rsidP="003C59F9">
            <w:pPr>
              <w:spacing w:before="20" w:after="20"/>
              <w:ind w:left="76"/>
              <w:rPr>
                <w:sz w:val="18"/>
                <w:szCs w:val="18"/>
              </w:rPr>
            </w:pPr>
            <w:r>
              <w:rPr>
                <w:color w:val="000000"/>
                <w:sz w:val="18"/>
                <w:szCs w:val="18"/>
              </w:rPr>
              <w:t>Multiple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CF9B63F" w14:textId="4FEB635E" w:rsidR="004063F3" w:rsidRPr="002B152F" w:rsidRDefault="00A72F26" w:rsidP="004063F3">
            <w:pPr>
              <w:spacing w:before="20" w:after="20"/>
              <w:jc w:val="right"/>
              <w:rPr>
                <w:color w:val="C00000"/>
                <w:sz w:val="18"/>
                <w:szCs w:val="18"/>
              </w:rPr>
            </w:pPr>
            <w:r w:rsidRPr="002B152F">
              <w:rPr>
                <w:color w:val="C00000"/>
                <w:sz w:val="18"/>
                <w:szCs w:val="18"/>
              </w:rPr>
              <w:t>160</w:t>
            </w:r>
          </w:p>
        </w:tc>
      </w:tr>
      <w:tr w:rsidR="004063F3" w:rsidRPr="004063F3" w14:paraId="46A49B6A"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38F3D12" w14:textId="77777777" w:rsidR="004063F3" w:rsidRPr="004063F3" w:rsidRDefault="004063F3">
            <w:pPr>
              <w:spacing w:before="20" w:after="20"/>
              <w:rPr>
                <w:sz w:val="18"/>
                <w:szCs w:val="18"/>
              </w:rPr>
            </w:pPr>
            <w:r w:rsidRPr="004063F3">
              <w:rPr>
                <w:sz w:val="18"/>
                <w:szCs w:val="18"/>
              </w:rPr>
              <w:t>Other non-market units (supportive, transitional)</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9268532" w14:textId="77B0443A" w:rsidR="004063F3" w:rsidRPr="004063F3" w:rsidRDefault="004063F3" w:rsidP="004063F3">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8B16589" w14:textId="144FFA2C" w:rsidR="004063F3" w:rsidRPr="004063F3" w:rsidRDefault="00A72F26" w:rsidP="003C59F9">
            <w:pPr>
              <w:spacing w:before="20" w:after="20"/>
              <w:ind w:left="76"/>
              <w:rPr>
                <w:sz w:val="18"/>
                <w:szCs w:val="18"/>
              </w:rPr>
            </w:pPr>
            <w:r>
              <w:rPr>
                <w:color w:val="000000"/>
                <w:sz w:val="18"/>
                <w:szCs w:val="18"/>
              </w:rPr>
              <w:t>Multiple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5D0CF11" w14:textId="5B3D2879" w:rsidR="004063F3" w:rsidRPr="002B152F" w:rsidRDefault="00A72F26" w:rsidP="004063F3">
            <w:pPr>
              <w:spacing w:before="20" w:after="20"/>
              <w:jc w:val="right"/>
              <w:rPr>
                <w:color w:val="C00000"/>
                <w:sz w:val="18"/>
                <w:szCs w:val="18"/>
              </w:rPr>
            </w:pPr>
            <w:r w:rsidRPr="002B152F">
              <w:rPr>
                <w:color w:val="C00000"/>
                <w:sz w:val="18"/>
                <w:szCs w:val="18"/>
              </w:rPr>
              <w:t>210</w:t>
            </w:r>
          </w:p>
        </w:tc>
      </w:tr>
    </w:tbl>
    <w:p w14:paraId="4001A4AE" w14:textId="77777777" w:rsidR="00C2130D" w:rsidRDefault="00C2130D" w:rsidP="00C2130D">
      <w:pPr>
        <w:rPr>
          <w:b/>
          <w:bCs/>
        </w:rPr>
      </w:pPr>
    </w:p>
    <w:p w14:paraId="33EAFBFD" w14:textId="0D137F27" w:rsidR="0043538E" w:rsidRDefault="00BE1950" w:rsidP="00C2130D">
      <w:pPr>
        <w:rPr>
          <w:b/>
          <w:bCs/>
        </w:rPr>
      </w:pPr>
      <w:r w:rsidRPr="00BE1950">
        <w:rPr>
          <w:b/>
          <w:bCs/>
        </w:rPr>
        <w:t>Table 5.9.1: Housing Values</w:t>
      </w:r>
    </w:p>
    <w:p w14:paraId="05FA3721" w14:textId="77777777" w:rsidR="00BE1950" w:rsidRPr="00BE1950" w:rsidRDefault="00BE1950" w:rsidP="00BE1950"/>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BE1950" w:rsidRPr="00BE1950" w14:paraId="789E9445" w14:textId="77777777" w:rsidTr="00370780">
        <w:trPr>
          <w:tblHeader/>
        </w:trPr>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CE0C2C5" w14:textId="77777777" w:rsidR="00BE1950" w:rsidRPr="00BE1950" w:rsidRDefault="00BE1950">
            <w:pPr>
              <w:rPr>
                <w:sz w:val="18"/>
                <w:szCs w:val="18"/>
              </w:rPr>
            </w:pPr>
            <w:r w:rsidRPr="00BE1950">
              <w:rPr>
                <w:color w:val="FFFFFF"/>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359CEAB7" w14:textId="77777777" w:rsidR="00BE1950" w:rsidRPr="00BE1950" w:rsidRDefault="00BE1950" w:rsidP="00BE1950">
            <w:pPr>
              <w:rPr>
                <w:sz w:val="18"/>
                <w:szCs w:val="18"/>
              </w:rPr>
            </w:pPr>
            <w:r w:rsidRPr="00BE1950">
              <w:rPr>
                <w:color w:val="FFFFFF"/>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Pr>
          <w:p w14:paraId="3630C284" w14:textId="771C075D" w:rsidR="00BE1950" w:rsidRPr="00BE1950" w:rsidRDefault="00BE1950" w:rsidP="00892763">
            <w:pPr>
              <w:ind w:left="76"/>
              <w:rPr>
                <w:color w:val="FFFFFF"/>
                <w:sz w:val="18"/>
                <w:szCs w:val="18"/>
              </w:rPr>
            </w:pPr>
            <w:r>
              <w:rPr>
                <w:color w:val="FFFFFF"/>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FE53E94" w14:textId="3A0D8704" w:rsidR="00BE1950" w:rsidRPr="00BE1950" w:rsidRDefault="00BE1950" w:rsidP="00C81FFB">
            <w:pPr>
              <w:jc w:val="right"/>
              <w:rPr>
                <w:sz w:val="18"/>
                <w:szCs w:val="18"/>
              </w:rPr>
            </w:pPr>
            <w:r w:rsidRPr="00BE1950">
              <w:rPr>
                <w:color w:val="FFFFFF"/>
                <w:sz w:val="18"/>
                <w:szCs w:val="18"/>
              </w:rPr>
              <w:t>Value</w:t>
            </w:r>
          </w:p>
        </w:tc>
      </w:tr>
      <w:tr w:rsidR="00BE1950" w:rsidRPr="00BE1950" w14:paraId="29D370D8"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6AB1978" w14:textId="0247BEAE" w:rsidR="00BE1950" w:rsidRPr="00892763" w:rsidRDefault="00BE1950">
            <w:pPr>
              <w:spacing w:before="20" w:after="20"/>
              <w:rPr>
                <w:sz w:val="18"/>
                <w:szCs w:val="18"/>
                <w:highlight w:val="magenta"/>
              </w:rPr>
            </w:pPr>
            <w:r>
              <w:rPr>
                <w:color w:val="000000"/>
                <w:sz w:val="18"/>
                <w:szCs w:val="18"/>
              </w:rPr>
              <w:t>Median monthly tenant shelter costs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CFCFAEB" w14:textId="3F3C6687" w:rsidR="00BE1950" w:rsidRPr="00892763" w:rsidRDefault="00BE1950" w:rsidP="00BE1950">
            <w:pPr>
              <w:spacing w:before="20" w:after="20"/>
              <w:rPr>
                <w:sz w:val="18"/>
                <w:szCs w:val="18"/>
                <w:highlight w:val="magenta"/>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D8321C0" w14:textId="36651F91" w:rsidR="00BE1950" w:rsidRPr="00892763" w:rsidRDefault="00892763" w:rsidP="00892763">
            <w:pPr>
              <w:spacing w:before="20" w:after="20"/>
              <w:ind w:left="76"/>
              <w:rPr>
                <w:sz w:val="18"/>
                <w:szCs w:val="18"/>
                <w:highlight w:val="magenta"/>
              </w:rPr>
            </w:pPr>
            <w:r>
              <w:rPr>
                <w:color w:val="000000"/>
                <w:sz w:val="18"/>
                <w:szCs w:val="18"/>
              </w:rPr>
              <w:t>Census profile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032D99F" w14:textId="1621BDF0" w:rsidR="00BE1950" w:rsidRPr="002B152F" w:rsidRDefault="007353AE" w:rsidP="00C81FFB">
            <w:pPr>
              <w:spacing w:before="20" w:after="20"/>
              <w:jc w:val="right"/>
              <w:rPr>
                <w:color w:val="C00000"/>
                <w:sz w:val="18"/>
                <w:szCs w:val="18"/>
              </w:rPr>
            </w:pPr>
            <w:r w:rsidRPr="002B152F">
              <w:rPr>
                <w:color w:val="C00000"/>
                <w:sz w:val="18"/>
                <w:szCs w:val="18"/>
              </w:rPr>
              <w:t>$980</w:t>
            </w:r>
          </w:p>
        </w:tc>
      </w:tr>
      <w:tr w:rsidR="00BE1950" w:rsidRPr="00BE1950" w14:paraId="4CE681F9"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F9CDE45" w14:textId="57E84B15" w:rsidR="00BE1950" w:rsidRPr="00BE1950" w:rsidRDefault="00BE1950">
            <w:pPr>
              <w:spacing w:before="20" w:after="20"/>
              <w:rPr>
                <w:sz w:val="18"/>
                <w:szCs w:val="18"/>
              </w:rPr>
            </w:pPr>
            <w:r w:rsidRPr="00BE1950">
              <w:rPr>
                <w:sz w:val="18"/>
                <w:szCs w:val="18"/>
              </w:rPr>
              <w:t xml:space="preserve">Purpose-built rental </w:t>
            </w:r>
            <w:r w:rsidR="007F4752">
              <w:rPr>
                <w:sz w:val="18"/>
                <w:szCs w:val="18"/>
              </w:rPr>
              <w:t>price (average)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007C1B4" w14:textId="4DB1E36A" w:rsidR="00BE1950" w:rsidRPr="00BE1950" w:rsidRDefault="007F4752" w:rsidP="00BE1950">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869A5D5" w14:textId="3C6E3CA3" w:rsidR="00BE1950"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49ED88E" w14:textId="6C191EF7" w:rsidR="00BE1950" w:rsidRPr="002B152F" w:rsidRDefault="00892763" w:rsidP="00C81FFB">
            <w:pPr>
              <w:spacing w:before="20" w:after="20"/>
              <w:jc w:val="right"/>
              <w:rPr>
                <w:color w:val="C00000"/>
                <w:sz w:val="18"/>
                <w:szCs w:val="18"/>
              </w:rPr>
            </w:pPr>
            <w:r w:rsidRPr="002B152F">
              <w:rPr>
                <w:color w:val="C00000"/>
                <w:sz w:val="18"/>
                <w:szCs w:val="18"/>
              </w:rPr>
              <w:t>$1,150</w:t>
            </w:r>
          </w:p>
        </w:tc>
      </w:tr>
      <w:tr w:rsidR="007F4752" w:rsidRPr="00BE1950" w14:paraId="31CB1931"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21504C0" w14:textId="1AC5DD33"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B6404AE" w14:textId="72803AFB" w:rsidR="007F4752" w:rsidRPr="00BE1950" w:rsidRDefault="007F4752" w:rsidP="007F4752">
            <w:pPr>
              <w:spacing w:before="20" w:after="20"/>
              <w:rPr>
                <w:sz w:val="18"/>
                <w:szCs w:val="18"/>
              </w:rPr>
            </w:pPr>
            <w:r>
              <w:rPr>
                <w:sz w:val="18"/>
                <w:szCs w:val="18"/>
              </w:rPr>
              <w:t>Studio</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36A45E3" w14:textId="3C63ACB0"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7145344" w14:textId="56E4BF5E" w:rsidR="007F4752" w:rsidRPr="002B152F" w:rsidRDefault="00892763" w:rsidP="00C81FFB">
            <w:pPr>
              <w:spacing w:before="20" w:after="20"/>
              <w:jc w:val="right"/>
              <w:rPr>
                <w:color w:val="C00000"/>
                <w:sz w:val="18"/>
                <w:szCs w:val="18"/>
              </w:rPr>
            </w:pPr>
            <w:r w:rsidRPr="002B152F">
              <w:rPr>
                <w:color w:val="C00000"/>
                <w:sz w:val="18"/>
                <w:szCs w:val="18"/>
              </w:rPr>
              <w:t>x</w:t>
            </w:r>
          </w:p>
        </w:tc>
      </w:tr>
      <w:tr w:rsidR="007F4752" w:rsidRPr="00BE1950" w14:paraId="1CD54342"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7923D33" w14:textId="208E546A"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042A38C" w14:textId="03D55A72" w:rsidR="007F4752" w:rsidRPr="00BE1950" w:rsidRDefault="007F4752" w:rsidP="007F4752">
            <w:pPr>
              <w:spacing w:before="20" w:after="20"/>
              <w:rPr>
                <w:sz w:val="18"/>
                <w:szCs w:val="18"/>
              </w:rPr>
            </w:pPr>
            <w:r w:rsidRPr="00BE1950">
              <w:rPr>
                <w:sz w:val="18"/>
                <w:szCs w:val="18"/>
              </w:rPr>
              <w:t>1 bedroom</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82C489E" w14:textId="2AFB7665"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788F96B" w14:textId="0BF9D643" w:rsidR="007F4752" w:rsidRPr="002B152F" w:rsidRDefault="00892763" w:rsidP="00C81FFB">
            <w:pPr>
              <w:spacing w:before="20" w:after="20"/>
              <w:jc w:val="right"/>
              <w:rPr>
                <w:color w:val="C00000"/>
                <w:sz w:val="18"/>
                <w:szCs w:val="18"/>
              </w:rPr>
            </w:pPr>
            <w:r w:rsidRPr="002B152F">
              <w:rPr>
                <w:color w:val="C00000"/>
                <w:sz w:val="18"/>
                <w:szCs w:val="18"/>
              </w:rPr>
              <w:t>$926</w:t>
            </w:r>
          </w:p>
        </w:tc>
      </w:tr>
      <w:tr w:rsidR="007F4752" w:rsidRPr="00BE1950" w14:paraId="5105788C"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C81F618" w14:textId="0A9D8C74"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0CADC9F" w14:textId="06E2E4B4" w:rsidR="007F4752" w:rsidRPr="00BE1950" w:rsidRDefault="007F4752" w:rsidP="007F4752">
            <w:pPr>
              <w:spacing w:before="20" w:after="20"/>
              <w:rPr>
                <w:sz w:val="18"/>
                <w:szCs w:val="18"/>
              </w:rPr>
            </w:pPr>
            <w:r w:rsidRPr="00BE1950">
              <w:rPr>
                <w:sz w:val="18"/>
                <w:szCs w:val="18"/>
              </w:rPr>
              <w:t>2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398BA05" w14:textId="496C7BB2"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17E9ACC" w14:textId="61D23F3E" w:rsidR="007F4752" w:rsidRPr="002B152F" w:rsidRDefault="00892763" w:rsidP="00C81FFB">
            <w:pPr>
              <w:spacing w:before="20" w:after="20"/>
              <w:jc w:val="right"/>
              <w:rPr>
                <w:color w:val="C00000"/>
                <w:sz w:val="18"/>
                <w:szCs w:val="18"/>
              </w:rPr>
            </w:pPr>
            <w:r w:rsidRPr="002B152F">
              <w:rPr>
                <w:color w:val="C00000"/>
                <w:sz w:val="18"/>
                <w:szCs w:val="18"/>
              </w:rPr>
              <w:t>$1,200</w:t>
            </w:r>
          </w:p>
        </w:tc>
      </w:tr>
      <w:tr w:rsidR="007F4752" w:rsidRPr="00BE1950" w14:paraId="1F6D6F15"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9EE770A" w14:textId="59D116B9"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C598EDB" w14:textId="4B28C97B" w:rsidR="007F4752" w:rsidRPr="00BE1950" w:rsidRDefault="007F4752" w:rsidP="007F4752">
            <w:pPr>
              <w:spacing w:before="20" w:after="20"/>
              <w:rPr>
                <w:sz w:val="18"/>
                <w:szCs w:val="18"/>
              </w:rPr>
            </w:pPr>
            <w:r w:rsidRPr="00BE1950">
              <w:rPr>
                <w:sz w:val="18"/>
                <w:szCs w:val="18"/>
              </w:rPr>
              <w:t>3+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006D710" w14:textId="76C641FB"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2CA2155" w14:textId="2EDE3345" w:rsidR="007F4752" w:rsidRPr="002B152F" w:rsidRDefault="00892763" w:rsidP="00C81FFB">
            <w:pPr>
              <w:spacing w:before="20" w:after="20"/>
              <w:jc w:val="right"/>
              <w:rPr>
                <w:color w:val="C00000"/>
                <w:sz w:val="18"/>
                <w:szCs w:val="18"/>
              </w:rPr>
            </w:pPr>
            <w:r w:rsidRPr="002B152F">
              <w:rPr>
                <w:color w:val="C00000"/>
                <w:sz w:val="18"/>
                <w:szCs w:val="18"/>
              </w:rPr>
              <w:t>x</w:t>
            </w:r>
          </w:p>
        </w:tc>
      </w:tr>
      <w:tr w:rsidR="007F4752" w:rsidRPr="00BE1950" w14:paraId="076E88EA"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44B2AC2" w14:textId="46272FFE" w:rsidR="007F4752" w:rsidRPr="00BE1950" w:rsidRDefault="007F4752" w:rsidP="007F4752">
            <w:pPr>
              <w:spacing w:before="20" w:after="20"/>
              <w:rPr>
                <w:sz w:val="18"/>
                <w:szCs w:val="18"/>
              </w:rPr>
            </w:pPr>
            <w:r w:rsidRPr="00BE1950">
              <w:rPr>
                <w:sz w:val="18"/>
                <w:szCs w:val="18"/>
              </w:rPr>
              <w:t>Purpose-built rental</w:t>
            </w:r>
            <w:r>
              <w:rPr>
                <w:sz w:val="18"/>
                <w:szCs w:val="18"/>
              </w:rPr>
              <w:t xml:space="preserve"> price (median)</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2B432D0" w14:textId="1D6FE278" w:rsidR="007F4752" w:rsidRPr="00BE1950" w:rsidRDefault="007F4752" w:rsidP="007F4752">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669BB43" w14:textId="684FE28B"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60E2357" w14:textId="5BB2DD3D" w:rsidR="007F4752" w:rsidRPr="002B152F" w:rsidRDefault="00892763" w:rsidP="00C81FFB">
            <w:pPr>
              <w:spacing w:before="20" w:after="20"/>
              <w:jc w:val="right"/>
              <w:rPr>
                <w:color w:val="C00000"/>
                <w:sz w:val="18"/>
                <w:szCs w:val="18"/>
              </w:rPr>
            </w:pPr>
            <w:r w:rsidRPr="002B152F">
              <w:rPr>
                <w:color w:val="C00000"/>
                <w:sz w:val="18"/>
                <w:szCs w:val="18"/>
              </w:rPr>
              <w:t>$1,285</w:t>
            </w:r>
          </w:p>
        </w:tc>
      </w:tr>
      <w:tr w:rsidR="007F4752" w:rsidRPr="00BE1950" w14:paraId="59FF6792"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6873759" w14:textId="77DE58D4"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C632FF7" w14:textId="0C3BBDDB" w:rsidR="007F4752" w:rsidRPr="00BE1950" w:rsidRDefault="007F4752" w:rsidP="007F4752">
            <w:pPr>
              <w:spacing w:before="20" w:after="20"/>
              <w:rPr>
                <w:sz w:val="18"/>
                <w:szCs w:val="18"/>
              </w:rPr>
            </w:pPr>
            <w:r>
              <w:rPr>
                <w:sz w:val="18"/>
                <w:szCs w:val="18"/>
              </w:rPr>
              <w:t>Studio</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3198768" w14:textId="6AEF2EDB"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4340062" w14:textId="74E57F84" w:rsidR="007F4752" w:rsidRPr="002B152F" w:rsidRDefault="00892763" w:rsidP="00C81FFB">
            <w:pPr>
              <w:spacing w:before="20" w:after="20"/>
              <w:jc w:val="right"/>
              <w:rPr>
                <w:color w:val="C00000"/>
                <w:sz w:val="18"/>
                <w:szCs w:val="18"/>
              </w:rPr>
            </w:pPr>
            <w:r w:rsidRPr="002B152F">
              <w:rPr>
                <w:color w:val="C00000"/>
                <w:sz w:val="18"/>
                <w:szCs w:val="18"/>
              </w:rPr>
              <w:t>$984</w:t>
            </w:r>
          </w:p>
        </w:tc>
      </w:tr>
      <w:tr w:rsidR="007F4752" w:rsidRPr="00BE1950" w14:paraId="34E3B82B"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635402E" w14:textId="2359E3D1"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3EBED05" w14:textId="7DF10DDD" w:rsidR="007F4752" w:rsidRPr="00BE1950" w:rsidRDefault="007F4752" w:rsidP="007F4752">
            <w:pPr>
              <w:spacing w:before="20" w:after="20"/>
              <w:rPr>
                <w:sz w:val="18"/>
                <w:szCs w:val="18"/>
              </w:rPr>
            </w:pPr>
            <w:r w:rsidRPr="00BE1950">
              <w:rPr>
                <w:sz w:val="18"/>
                <w:szCs w:val="18"/>
              </w:rPr>
              <w:t>1 bedroom</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7E2D98A" w14:textId="23ADC967"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CF09727" w14:textId="5D144078" w:rsidR="007F4752" w:rsidRPr="002B152F" w:rsidRDefault="00892763" w:rsidP="00C81FFB">
            <w:pPr>
              <w:spacing w:before="20" w:after="20"/>
              <w:jc w:val="right"/>
              <w:rPr>
                <w:color w:val="C00000"/>
                <w:sz w:val="18"/>
                <w:szCs w:val="18"/>
              </w:rPr>
            </w:pPr>
            <w:r w:rsidRPr="002B152F">
              <w:rPr>
                <w:color w:val="C00000"/>
                <w:sz w:val="18"/>
                <w:szCs w:val="18"/>
              </w:rPr>
              <w:t>$1,069</w:t>
            </w:r>
          </w:p>
        </w:tc>
      </w:tr>
      <w:tr w:rsidR="007F4752" w:rsidRPr="00BE1950" w14:paraId="1A472014"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F1D0CFC" w14:textId="6CFA2371"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887DE56" w14:textId="3E42ADA8" w:rsidR="007F4752" w:rsidRPr="00BE1950" w:rsidRDefault="007F4752" w:rsidP="007F4752">
            <w:pPr>
              <w:spacing w:before="20" w:after="20"/>
              <w:rPr>
                <w:sz w:val="18"/>
                <w:szCs w:val="18"/>
              </w:rPr>
            </w:pPr>
            <w:r w:rsidRPr="00BE1950">
              <w:rPr>
                <w:sz w:val="18"/>
                <w:szCs w:val="18"/>
              </w:rPr>
              <w:t>2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2425E12" w14:textId="1F0CD48F"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F696B53" w14:textId="4A433336" w:rsidR="007F4752" w:rsidRPr="002B152F" w:rsidRDefault="00892763" w:rsidP="00C81FFB">
            <w:pPr>
              <w:spacing w:before="20" w:after="20"/>
              <w:jc w:val="right"/>
              <w:rPr>
                <w:color w:val="C00000"/>
                <w:sz w:val="18"/>
                <w:szCs w:val="18"/>
              </w:rPr>
            </w:pPr>
            <w:r w:rsidRPr="002B152F">
              <w:rPr>
                <w:color w:val="C00000"/>
                <w:sz w:val="18"/>
                <w:szCs w:val="18"/>
              </w:rPr>
              <w:t>$1,358</w:t>
            </w:r>
          </w:p>
        </w:tc>
      </w:tr>
      <w:tr w:rsidR="007F4752" w:rsidRPr="00BE1950" w14:paraId="0FE6DB28"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5A65956" w14:textId="0F10807A" w:rsidR="007F4752" w:rsidRPr="00BE1950" w:rsidRDefault="00892763" w:rsidP="007F4752">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9BE0950" w14:textId="126AC40B" w:rsidR="007F4752" w:rsidRPr="00BE1950" w:rsidRDefault="007F4752" w:rsidP="007F4752">
            <w:pPr>
              <w:spacing w:before="20" w:after="20"/>
              <w:rPr>
                <w:sz w:val="18"/>
                <w:szCs w:val="18"/>
              </w:rPr>
            </w:pPr>
            <w:r w:rsidRPr="00BE1950">
              <w:rPr>
                <w:sz w:val="18"/>
                <w:szCs w:val="18"/>
              </w:rPr>
              <w:t>3+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5FC86AB" w14:textId="24EF8395" w:rsidR="007F4752" w:rsidRPr="00BE1950" w:rsidRDefault="00892763" w:rsidP="00892763">
            <w:pPr>
              <w:spacing w:before="20" w:after="20"/>
              <w:ind w:left="76"/>
              <w:rPr>
                <w:sz w:val="18"/>
                <w:szCs w:val="18"/>
              </w:rPr>
            </w:pPr>
            <w:r>
              <w:rPr>
                <w:color w:val="000000"/>
                <w:sz w:val="18"/>
                <w:szCs w:val="18"/>
              </w:rPr>
              <w:t>CMHC RMS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A78306F" w14:textId="1397BDB4" w:rsidR="007F4752" w:rsidRPr="002B152F" w:rsidRDefault="00892763" w:rsidP="00C81FFB">
            <w:pPr>
              <w:spacing w:before="20" w:after="20"/>
              <w:jc w:val="right"/>
              <w:rPr>
                <w:color w:val="C00000"/>
                <w:sz w:val="18"/>
                <w:szCs w:val="18"/>
              </w:rPr>
            </w:pPr>
            <w:r w:rsidRPr="002B152F">
              <w:rPr>
                <w:color w:val="C00000"/>
                <w:sz w:val="18"/>
                <w:szCs w:val="18"/>
              </w:rPr>
              <w:t>$1,548</w:t>
            </w:r>
          </w:p>
        </w:tc>
      </w:tr>
      <w:tr w:rsidR="00BE1950" w:rsidRPr="00BE1950" w14:paraId="2E810A3A"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672564A" w14:textId="48C32C33" w:rsidR="00BE1950" w:rsidRPr="00BE1950" w:rsidRDefault="00BE1950">
            <w:pPr>
              <w:spacing w:before="20" w:after="20"/>
              <w:rPr>
                <w:sz w:val="18"/>
                <w:szCs w:val="18"/>
              </w:rPr>
            </w:pPr>
            <w:r w:rsidRPr="00BE1950">
              <w:rPr>
                <w:sz w:val="18"/>
                <w:szCs w:val="18"/>
              </w:rPr>
              <w:t>Sale prices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B6516AC" w14:textId="078A4A61" w:rsidR="00BE1950" w:rsidRPr="00BE1950" w:rsidRDefault="009D03C7" w:rsidP="00BE1950">
            <w:pPr>
              <w:spacing w:before="20" w:after="20"/>
              <w:rPr>
                <w:sz w:val="18"/>
                <w:szCs w:val="18"/>
              </w:rPr>
            </w:pPr>
            <w:r>
              <w:rPr>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DB9D552" w14:textId="5F5414AD" w:rsidR="00BE1950"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0238A65" w14:textId="37AA0C7A" w:rsidR="00BE1950" w:rsidRPr="002B152F" w:rsidRDefault="00892763" w:rsidP="00C81FFB">
            <w:pPr>
              <w:spacing w:before="20" w:after="20"/>
              <w:jc w:val="right"/>
              <w:rPr>
                <w:color w:val="C00000"/>
                <w:sz w:val="18"/>
                <w:szCs w:val="18"/>
              </w:rPr>
            </w:pPr>
            <w:r w:rsidRPr="002B152F">
              <w:rPr>
                <w:color w:val="C00000"/>
                <w:sz w:val="18"/>
                <w:szCs w:val="18"/>
              </w:rPr>
              <w:t>$472,645</w:t>
            </w:r>
          </w:p>
        </w:tc>
      </w:tr>
      <w:tr w:rsidR="00BE1950" w:rsidRPr="00BE1950" w14:paraId="5BC2F6BB"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7721C21" w14:textId="11AD747F" w:rsidR="00BE1950" w:rsidRPr="00BE1950" w:rsidRDefault="00892763">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FADD549" w14:textId="294C842C" w:rsidR="00BE1950" w:rsidRPr="00BE1950" w:rsidRDefault="009D03C7" w:rsidP="00BE1950">
            <w:pPr>
              <w:spacing w:before="20" w:after="20"/>
              <w:rPr>
                <w:sz w:val="18"/>
                <w:szCs w:val="18"/>
              </w:rPr>
            </w:pPr>
            <w:r>
              <w:rPr>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331F244" w14:textId="7777503E" w:rsidR="00BE1950"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ADC2D4F" w14:textId="374E4692" w:rsidR="00BE1950" w:rsidRPr="002B152F" w:rsidRDefault="00892763" w:rsidP="00C81FFB">
            <w:pPr>
              <w:spacing w:before="20" w:after="20"/>
              <w:jc w:val="right"/>
              <w:rPr>
                <w:color w:val="C00000"/>
                <w:sz w:val="18"/>
                <w:szCs w:val="18"/>
              </w:rPr>
            </w:pPr>
            <w:r w:rsidRPr="002B152F">
              <w:rPr>
                <w:color w:val="C00000"/>
                <w:sz w:val="18"/>
                <w:szCs w:val="18"/>
              </w:rPr>
              <w:t>$425,000</w:t>
            </w:r>
          </w:p>
        </w:tc>
      </w:tr>
      <w:tr w:rsidR="00C81FFB" w:rsidRPr="00BE1950" w14:paraId="69F274BE"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1804544" w14:textId="0E239612" w:rsidR="00C81FFB" w:rsidRPr="00BE1950" w:rsidRDefault="00C81FFB" w:rsidP="00C81FFB">
            <w:pPr>
              <w:spacing w:before="20" w:after="20"/>
              <w:rPr>
                <w:sz w:val="18"/>
                <w:szCs w:val="18"/>
              </w:rPr>
            </w:pPr>
            <w:r w:rsidRPr="00BE1950">
              <w:rPr>
                <w:sz w:val="18"/>
                <w:szCs w:val="18"/>
              </w:rPr>
              <w:t>Sale prices by size</w:t>
            </w:r>
            <w:r>
              <w:rPr>
                <w:sz w:val="18"/>
                <w:szCs w:val="18"/>
              </w:rPr>
              <w:t xml:space="preserve"> (average)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0EE19AC" w14:textId="01A388B3" w:rsidR="00C81FFB" w:rsidRPr="00BE1950" w:rsidRDefault="00C81FFB" w:rsidP="00C81FFB">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C3018C5" w14:textId="79BFEC1A"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95B9867" w14:textId="52D1A0AD" w:rsidR="00C81FFB" w:rsidRPr="002B152F" w:rsidRDefault="00892763" w:rsidP="00C81FFB">
            <w:pPr>
              <w:spacing w:before="20" w:after="20"/>
              <w:jc w:val="right"/>
              <w:rPr>
                <w:color w:val="C00000"/>
                <w:sz w:val="18"/>
                <w:szCs w:val="18"/>
              </w:rPr>
            </w:pPr>
            <w:r w:rsidRPr="002B152F">
              <w:rPr>
                <w:color w:val="C00000"/>
                <w:sz w:val="18"/>
                <w:szCs w:val="18"/>
              </w:rPr>
              <w:t>$425,000</w:t>
            </w:r>
          </w:p>
        </w:tc>
      </w:tr>
      <w:tr w:rsidR="00C81FFB" w:rsidRPr="00BE1950" w14:paraId="66AC2CB3"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EAEAA6A" w14:textId="4F0DDC32" w:rsidR="00C81FFB" w:rsidRPr="00BE1950" w:rsidRDefault="00892763" w:rsidP="00C81FFB">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DCC6D1C" w14:textId="69DCB45E" w:rsidR="00C81FFB" w:rsidRPr="00BE1950" w:rsidRDefault="00C81FFB" w:rsidP="00C81FFB">
            <w:pPr>
              <w:spacing w:before="20" w:after="20"/>
              <w:rPr>
                <w:sz w:val="18"/>
                <w:szCs w:val="18"/>
              </w:rPr>
            </w:pPr>
            <w:r>
              <w:rPr>
                <w:sz w:val="18"/>
                <w:szCs w:val="18"/>
              </w:rPr>
              <w:t>Studio</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682CBC0" w14:textId="530060A6"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2CF52E7" w14:textId="5088ACBA" w:rsidR="00C81FFB" w:rsidRPr="002B152F" w:rsidRDefault="00892763" w:rsidP="00C81FFB">
            <w:pPr>
              <w:spacing w:before="20" w:after="20"/>
              <w:jc w:val="right"/>
              <w:rPr>
                <w:color w:val="C00000"/>
                <w:sz w:val="18"/>
                <w:szCs w:val="18"/>
              </w:rPr>
            </w:pPr>
            <w:r w:rsidRPr="002B152F">
              <w:rPr>
                <w:color w:val="C00000"/>
                <w:sz w:val="18"/>
                <w:szCs w:val="18"/>
              </w:rPr>
              <w:t>x</w:t>
            </w:r>
          </w:p>
        </w:tc>
      </w:tr>
      <w:tr w:rsidR="00C81FFB" w:rsidRPr="00BE1950" w14:paraId="57A4E4F5"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5758840" w14:textId="26572F0B" w:rsidR="00C81FFB" w:rsidRPr="00BE1950" w:rsidRDefault="00892763" w:rsidP="00C81FFB">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8F8AFF4" w14:textId="1BB1D89D" w:rsidR="00C81FFB" w:rsidRPr="00BE1950" w:rsidRDefault="00C81FFB" w:rsidP="00C81FFB">
            <w:pPr>
              <w:spacing w:before="20" w:after="20"/>
              <w:rPr>
                <w:sz w:val="18"/>
                <w:szCs w:val="18"/>
              </w:rPr>
            </w:pPr>
            <w:r w:rsidRPr="00BE1950">
              <w:rPr>
                <w:sz w:val="18"/>
                <w:szCs w:val="18"/>
              </w:rPr>
              <w:t>1 bedroom</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E5471A9" w14:textId="10CFAD6B"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7830007" w14:textId="0A3CA60F" w:rsidR="00C81FFB" w:rsidRPr="002B152F" w:rsidRDefault="00892763" w:rsidP="00C81FFB">
            <w:pPr>
              <w:spacing w:before="20" w:after="20"/>
              <w:jc w:val="right"/>
              <w:rPr>
                <w:color w:val="C00000"/>
                <w:sz w:val="18"/>
                <w:szCs w:val="18"/>
              </w:rPr>
            </w:pPr>
            <w:r w:rsidRPr="002B152F">
              <w:rPr>
                <w:color w:val="C00000"/>
                <w:sz w:val="18"/>
                <w:szCs w:val="18"/>
              </w:rPr>
              <w:t>$170,000</w:t>
            </w:r>
          </w:p>
        </w:tc>
      </w:tr>
      <w:tr w:rsidR="00C81FFB" w:rsidRPr="00BE1950" w14:paraId="35FB9670"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BF071BA" w14:textId="53BB4C2A" w:rsidR="00C81FFB" w:rsidRPr="00BE1950" w:rsidRDefault="00892763" w:rsidP="00C81FFB">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247EDE7" w14:textId="01DE8B8F" w:rsidR="00C81FFB" w:rsidRPr="00BE1950" w:rsidRDefault="00C81FFB" w:rsidP="00C81FFB">
            <w:pPr>
              <w:spacing w:before="20" w:after="20"/>
              <w:rPr>
                <w:sz w:val="18"/>
                <w:szCs w:val="18"/>
              </w:rPr>
            </w:pPr>
            <w:r w:rsidRPr="00BE1950">
              <w:rPr>
                <w:sz w:val="18"/>
                <w:szCs w:val="18"/>
              </w:rPr>
              <w:t>2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79B6A9C" w14:textId="519CA6A5"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C7E57D0" w14:textId="01B1DC8B" w:rsidR="00C81FFB" w:rsidRPr="002B152F" w:rsidRDefault="00892763" w:rsidP="00C81FFB">
            <w:pPr>
              <w:spacing w:before="20" w:after="20"/>
              <w:jc w:val="right"/>
              <w:rPr>
                <w:color w:val="C00000"/>
                <w:sz w:val="18"/>
                <w:szCs w:val="18"/>
              </w:rPr>
            </w:pPr>
            <w:r w:rsidRPr="002B152F">
              <w:rPr>
                <w:color w:val="C00000"/>
                <w:sz w:val="18"/>
                <w:szCs w:val="18"/>
              </w:rPr>
              <w:t>$307,500</w:t>
            </w:r>
          </w:p>
        </w:tc>
      </w:tr>
      <w:tr w:rsidR="00C81FFB" w:rsidRPr="00BE1950" w14:paraId="5B9FFDF6"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FC7294C" w14:textId="1F666763" w:rsidR="00C81FFB" w:rsidRPr="00BE1950" w:rsidRDefault="00892763" w:rsidP="00C81FFB">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687FD95" w14:textId="267609C0" w:rsidR="00C81FFB" w:rsidRPr="00BE1950" w:rsidRDefault="00C81FFB" w:rsidP="00C81FFB">
            <w:pPr>
              <w:spacing w:before="20" w:after="20"/>
              <w:rPr>
                <w:sz w:val="18"/>
                <w:szCs w:val="18"/>
              </w:rPr>
            </w:pPr>
            <w:r w:rsidRPr="00BE1950">
              <w:rPr>
                <w:sz w:val="18"/>
                <w:szCs w:val="18"/>
              </w:rPr>
              <w:t>3+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A611992" w14:textId="1960DDB3"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A182715" w14:textId="3425D26D" w:rsidR="00C81FFB" w:rsidRPr="002B152F" w:rsidRDefault="00892763" w:rsidP="00C81FFB">
            <w:pPr>
              <w:spacing w:before="20" w:after="20"/>
              <w:jc w:val="right"/>
              <w:rPr>
                <w:color w:val="C00000"/>
                <w:sz w:val="18"/>
                <w:szCs w:val="18"/>
              </w:rPr>
            </w:pPr>
            <w:r w:rsidRPr="002B152F">
              <w:rPr>
                <w:color w:val="C00000"/>
                <w:sz w:val="18"/>
                <w:szCs w:val="18"/>
              </w:rPr>
              <w:t>$432,500</w:t>
            </w:r>
          </w:p>
        </w:tc>
      </w:tr>
      <w:tr w:rsidR="00C81FFB" w:rsidRPr="00BE1950" w14:paraId="48F9897C"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3DE9C16" w14:textId="54AFD7E5" w:rsidR="00C81FFB" w:rsidRPr="00BE1950" w:rsidRDefault="00C81FFB" w:rsidP="00C81FFB">
            <w:pPr>
              <w:spacing w:before="20" w:after="20"/>
              <w:rPr>
                <w:sz w:val="18"/>
                <w:szCs w:val="18"/>
              </w:rPr>
            </w:pPr>
            <w:r w:rsidRPr="00BE1950">
              <w:rPr>
                <w:sz w:val="18"/>
                <w:szCs w:val="18"/>
              </w:rPr>
              <w:t>Sale prices by size</w:t>
            </w:r>
            <w:r>
              <w:rPr>
                <w:sz w:val="18"/>
                <w:szCs w:val="18"/>
              </w:rPr>
              <w:t xml:space="preserve"> (median)</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E16CA0A" w14:textId="34D06D68" w:rsidR="00C81FFB" w:rsidRPr="00BE1950" w:rsidRDefault="00C81FFB" w:rsidP="00C81FFB">
            <w:pPr>
              <w:spacing w:before="20" w:after="20"/>
              <w:rPr>
                <w:sz w:val="18"/>
                <w:szCs w:val="18"/>
              </w:rPr>
            </w:pPr>
            <w:r>
              <w:rPr>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AB93EAD" w14:textId="3B01FCEF"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B51B780" w14:textId="5651219B" w:rsidR="00C81FFB" w:rsidRPr="002B152F" w:rsidRDefault="00892763" w:rsidP="00C81FFB">
            <w:pPr>
              <w:spacing w:before="20" w:after="20"/>
              <w:jc w:val="right"/>
              <w:rPr>
                <w:color w:val="C00000"/>
                <w:sz w:val="18"/>
                <w:szCs w:val="18"/>
              </w:rPr>
            </w:pPr>
            <w:r w:rsidRPr="002B152F">
              <w:rPr>
                <w:color w:val="C00000"/>
                <w:sz w:val="18"/>
                <w:szCs w:val="18"/>
              </w:rPr>
              <w:t>$472,600</w:t>
            </w:r>
          </w:p>
        </w:tc>
      </w:tr>
      <w:tr w:rsidR="00C81FFB" w:rsidRPr="00BE1950" w14:paraId="75C585FB"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81C27AD" w14:textId="01832DC6" w:rsidR="00C81FFB" w:rsidRPr="00BE1950" w:rsidRDefault="00892763" w:rsidP="00C81FFB">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B2AD237" w14:textId="5FD213F1" w:rsidR="00C81FFB" w:rsidRPr="00BE1950" w:rsidRDefault="00C81FFB" w:rsidP="00C81FFB">
            <w:pPr>
              <w:spacing w:before="20" w:after="20"/>
              <w:rPr>
                <w:sz w:val="18"/>
                <w:szCs w:val="18"/>
              </w:rPr>
            </w:pPr>
            <w:r>
              <w:rPr>
                <w:sz w:val="18"/>
                <w:szCs w:val="18"/>
              </w:rPr>
              <w:t>Studio</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9306E00" w14:textId="1953FA4E"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4CF74EE" w14:textId="45B633CA" w:rsidR="00C81FFB" w:rsidRPr="002B152F" w:rsidRDefault="00892763" w:rsidP="00C81FFB">
            <w:pPr>
              <w:spacing w:before="20" w:after="20"/>
              <w:jc w:val="right"/>
              <w:rPr>
                <w:color w:val="C00000"/>
                <w:sz w:val="18"/>
                <w:szCs w:val="18"/>
              </w:rPr>
            </w:pPr>
            <w:r w:rsidRPr="002B152F">
              <w:rPr>
                <w:color w:val="C00000"/>
                <w:sz w:val="18"/>
                <w:szCs w:val="18"/>
              </w:rPr>
              <w:t>x</w:t>
            </w:r>
          </w:p>
        </w:tc>
      </w:tr>
      <w:tr w:rsidR="00C81FFB" w:rsidRPr="00BE1950" w14:paraId="59C8618F"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5B1DEE0" w14:textId="79EDA1B9" w:rsidR="00C81FFB" w:rsidRPr="00BE1950" w:rsidRDefault="00892763" w:rsidP="00C81FFB">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3C01869" w14:textId="4E2A5356" w:rsidR="00C81FFB" w:rsidRPr="00BE1950" w:rsidRDefault="00C81FFB" w:rsidP="00C81FFB">
            <w:pPr>
              <w:spacing w:before="20" w:after="20"/>
              <w:rPr>
                <w:sz w:val="18"/>
                <w:szCs w:val="18"/>
              </w:rPr>
            </w:pPr>
            <w:r w:rsidRPr="00BE1950">
              <w:rPr>
                <w:sz w:val="18"/>
                <w:szCs w:val="18"/>
              </w:rPr>
              <w:t>1 bedroom</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CB82804" w14:textId="48CBF64A"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B75303C" w14:textId="53B44BE0" w:rsidR="00C81FFB" w:rsidRPr="002B152F" w:rsidRDefault="00892763" w:rsidP="00C81FFB">
            <w:pPr>
              <w:spacing w:before="20" w:after="20"/>
              <w:jc w:val="right"/>
              <w:rPr>
                <w:color w:val="C00000"/>
                <w:sz w:val="18"/>
                <w:szCs w:val="18"/>
              </w:rPr>
            </w:pPr>
            <w:r w:rsidRPr="002B152F">
              <w:rPr>
                <w:color w:val="C00000"/>
                <w:sz w:val="18"/>
                <w:szCs w:val="18"/>
              </w:rPr>
              <w:t>$170,000</w:t>
            </w:r>
          </w:p>
        </w:tc>
      </w:tr>
      <w:tr w:rsidR="00C81FFB" w:rsidRPr="00BE1950" w14:paraId="3EABCAAE"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1DF4BAE" w14:textId="46CFA5CB" w:rsidR="00C81FFB" w:rsidRPr="00BE1950" w:rsidRDefault="00892763" w:rsidP="00C81FFB">
            <w:pPr>
              <w:spacing w:before="20" w:after="20"/>
              <w:rPr>
                <w:sz w:val="18"/>
                <w:szCs w:val="18"/>
              </w:rPr>
            </w:pPr>
            <w:r>
              <w:rPr>
                <w:color w:val="000000"/>
                <w:sz w:val="18"/>
                <w:szCs w:val="18"/>
              </w:rPr>
              <w:lastRenderedPageBreak/>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E675962" w14:textId="675A6582" w:rsidR="00C81FFB" w:rsidRPr="00BE1950" w:rsidRDefault="00C81FFB" w:rsidP="00C81FFB">
            <w:pPr>
              <w:spacing w:before="20" w:after="20"/>
              <w:rPr>
                <w:sz w:val="18"/>
                <w:szCs w:val="18"/>
              </w:rPr>
            </w:pPr>
            <w:r w:rsidRPr="00BE1950">
              <w:rPr>
                <w:sz w:val="18"/>
                <w:szCs w:val="18"/>
              </w:rPr>
              <w:t>2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DDCD226" w14:textId="11F50AB7"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B76FBEF" w14:textId="00A8C3D5" w:rsidR="00C81FFB" w:rsidRPr="002B152F" w:rsidRDefault="00892763" w:rsidP="00C81FFB">
            <w:pPr>
              <w:spacing w:before="20" w:after="20"/>
              <w:jc w:val="right"/>
              <w:rPr>
                <w:color w:val="C00000"/>
                <w:sz w:val="18"/>
                <w:szCs w:val="18"/>
              </w:rPr>
            </w:pPr>
            <w:r w:rsidRPr="002B152F">
              <w:rPr>
                <w:color w:val="C00000"/>
                <w:sz w:val="18"/>
                <w:szCs w:val="18"/>
              </w:rPr>
              <w:t>$311,100</w:t>
            </w:r>
          </w:p>
        </w:tc>
      </w:tr>
      <w:tr w:rsidR="00C81FFB" w:rsidRPr="00BE1950" w14:paraId="0838C5A7" w14:textId="77777777" w:rsidTr="00AF0B72">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7539D36" w14:textId="656D8271" w:rsidR="00C81FFB" w:rsidRPr="00BE1950" w:rsidRDefault="00892763" w:rsidP="00C81FFB">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DC320E5" w14:textId="5C634DEB" w:rsidR="00C81FFB" w:rsidRPr="00BE1950" w:rsidRDefault="00C81FFB" w:rsidP="00C81FFB">
            <w:pPr>
              <w:spacing w:before="20" w:after="20"/>
              <w:rPr>
                <w:sz w:val="18"/>
                <w:szCs w:val="18"/>
              </w:rPr>
            </w:pPr>
            <w:r w:rsidRPr="00BE1950">
              <w:rPr>
                <w:sz w:val="18"/>
                <w:szCs w:val="18"/>
              </w:rPr>
              <w:t>3+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8110C6B" w14:textId="68B10F27" w:rsidR="00C81FFB" w:rsidRPr="00BE1950" w:rsidRDefault="00892763" w:rsidP="00892763">
            <w:pPr>
              <w:spacing w:before="20" w:after="20"/>
              <w:ind w:left="76"/>
              <w:rPr>
                <w:sz w:val="18"/>
                <w:szCs w:val="18"/>
              </w:rPr>
            </w:pPr>
            <w:r>
              <w:rPr>
                <w:color w:val="000000"/>
                <w:sz w:val="18"/>
                <w:szCs w:val="18"/>
              </w:rPr>
              <w:t>MLS®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1D1C9D5" w14:textId="6B9F42C0" w:rsidR="00C81FFB" w:rsidRPr="002B152F" w:rsidRDefault="00892763" w:rsidP="00C81FFB">
            <w:pPr>
              <w:spacing w:before="20" w:after="20"/>
              <w:jc w:val="right"/>
              <w:rPr>
                <w:color w:val="C00000"/>
                <w:sz w:val="18"/>
                <w:szCs w:val="18"/>
              </w:rPr>
            </w:pPr>
            <w:r w:rsidRPr="002B152F">
              <w:rPr>
                <w:color w:val="C00000"/>
                <w:sz w:val="18"/>
                <w:szCs w:val="18"/>
              </w:rPr>
              <w:t>$486,900</w:t>
            </w:r>
          </w:p>
        </w:tc>
      </w:tr>
    </w:tbl>
    <w:p w14:paraId="0D5890C1" w14:textId="77777777" w:rsidR="002906D7" w:rsidRDefault="002906D7" w:rsidP="00DA24F7"/>
    <w:p w14:paraId="73C3A4E1" w14:textId="05A4144E" w:rsidR="002906D7" w:rsidRDefault="002906D7" w:rsidP="00DA24F7">
      <w:pPr>
        <w:rPr>
          <w:b/>
          <w:bCs/>
        </w:rPr>
      </w:pPr>
      <w:r w:rsidRPr="002906D7">
        <w:rPr>
          <w:b/>
          <w:bCs/>
        </w:rPr>
        <w:t xml:space="preserve">Table 5.9.2: Change in Housing Stock </w:t>
      </w:r>
    </w:p>
    <w:p w14:paraId="0F379DE4" w14:textId="77777777" w:rsidR="002906D7" w:rsidRPr="002906D7" w:rsidRDefault="002906D7" w:rsidP="00DA24F7">
      <w:pPr>
        <w:rPr>
          <w:b/>
          <w:bCs/>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632244" w:rsidRPr="002906D7" w14:paraId="3E43D7B1"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3EBA9CE9" w14:textId="77777777" w:rsidR="00632244" w:rsidRPr="002906D7" w:rsidRDefault="00632244">
            <w:pPr>
              <w:rPr>
                <w:color w:val="FFFFFF" w:themeColor="background1"/>
                <w:sz w:val="18"/>
                <w:szCs w:val="18"/>
              </w:rPr>
            </w:pPr>
            <w:r w:rsidRPr="002906D7">
              <w:rPr>
                <w:color w:val="FFFFFF" w:themeColor="background1"/>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1822598F" w14:textId="77777777" w:rsidR="00632244" w:rsidRPr="002906D7" w:rsidRDefault="00632244" w:rsidP="00632244">
            <w:pPr>
              <w:rPr>
                <w:color w:val="FFFFFF" w:themeColor="background1"/>
                <w:sz w:val="18"/>
                <w:szCs w:val="18"/>
              </w:rPr>
            </w:pPr>
            <w:r w:rsidRPr="002906D7">
              <w:rPr>
                <w:color w:val="FFFFFF" w:themeColor="background1"/>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vAlign w:val="center"/>
          </w:tcPr>
          <w:p w14:paraId="2DF2B83D" w14:textId="7B466347" w:rsidR="00632244" w:rsidRDefault="00632244" w:rsidP="00561F7D">
            <w:pPr>
              <w:ind w:left="76"/>
              <w:rPr>
                <w:color w:val="FFFFFF" w:themeColor="background1"/>
                <w:sz w:val="18"/>
                <w:szCs w:val="18"/>
              </w:rPr>
            </w:pPr>
            <w:r>
              <w:rPr>
                <w:color w:val="FFFFFF" w:themeColor="background1"/>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78D27E4A" w14:textId="2CA76C4E" w:rsidR="00632244" w:rsidRPr="002906D7" w:rsidRDefault="00632244" w:rsidP="00632244">
            <w:pPr>
              <w:jc w:val="right"/>
              <w:rPr>
                <w:color w:val="FFFFFF" w:themeColor="background1"/>
                <w:sz w:val="18"/>
                <w:szCs w:val="18"/>
              </w:rPr>
            </w:pPr>
            <w:r>
              <w:rPr>
                <w:color w:val="FFFFFF" w:themeColor="background1"/>
                <w:sz w:val="18"/>
                <w:szCs w:val="18"/>
              </w:rPr>
              <w:t>Value</w:t>
            </w:r>
          </w:p>
        </w:tc>
      </w:tr>
      <w:tr w:rsidR="00632244" w:rsidRPr="002906D7" w14:paraId="277F654C"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BB6700D" w14:textId="25DAFCF8" w:rsidR="00632244" w:rsidRPr="002906D7" w:rsidRDefault="00632244">
            <w:pPr>
              <w:spacing w:before="20" w:after="20"/>
              <w:rPr>
                <w:sz w:val="18"/>
                <w:szCs w:val="18"/>
              </w:rPr>
            </w:pPr>
            <w:r>
              <w:rPr>
                <w:color w:val="000000"/>
                <w:sz w:val="18"/>
                <w:szCs w:val="18"/>
              </w:rPr>
              <w:t>Demolished</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0F578E4" w14:textId="4D5748B5" w:rsidR="00632244" w:rsidRPr="002906D7" w:rsidRDefault="00632244" w:rsidP="00632244">
            <w:pPr>
              <w:spacing w:before="20" w:after="20"/>
              <w:rPr>
                <w:sz w:val="18"/>
                <w:szCs w:val="18"/>
              </w:rPr>
            </w:pPr>
            <w:r>
              <w:rPr>
                <w:color w:val="000000"/>
                <w:sz w:val="18"/>
                <w:szCs w:val="18"/>
              </w:rPr>
              <w:t>Tenant</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487B9CE" w14:textId="4C56B2F9" w:rsidR="00632244" w:rsidRPr="002906D7" w:rsidRDefault="00561F7D" w:rsidP="00561F7D">
            <w:pPr>
              <w:spacing w:before="20" w:after="20"/>
              <w:ind w:left="76"/>
              <w:rPr>
                <w:sz w:val="18"/>
                <w:szCs w:val="18"/>
              </w:rPr>
            </w:pPr>
            <w:r>
              <w:rPr>
                <w:color w:val="000000"/>
                <w:sz w:val="18"/>
                <w:szCs w:val="18"/>
              </w:rPr>
              <w:t>Local gov't</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42B9852" w14:textId="2DF23A51" w:rsidR="00632244" w:rsidRPr="002B152F" w:rsidRDefault="00561F7D" w:rsidP="00632244">
            <w:pPr>
              <w:spacing w:before="20" w:after="20"/>
              <w:jc w:val="right"/>
              <w:rPr>
                <w:color w:val="C00000"/>
                <w:sz w:val="18"/>
                <w:szCs w:val="18"/>
              </w:rPr>
            </w:pPr>
            <w:r w:rsidRPr="002B152F">
              <w:rPr>
                <w:color w:val="C00000"/>
                <w:sz w:val="18"/>
                <w:szCs w:val="18"/>
              </w:rPr>
              <w:t>x</w:t>
            </w:r>
          </w:p>
        </w:tc>
      </w:tr>
      <w:tr w:rsidR="00632244" w:rsidRPr="002906D7" w14:paraId="50D86AD0"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D5DD07A" w14:textId="55DA3F76" w:rsidR="00632244" w:rsidRPr="002906D7" w:rsidRDefault="00632244">
            <w:pPr>
              <w:spacing w:before="20" w:after="20"/>
              <w:rPr>
                <w:sz w:val="18"/>
                <w:szCs w:val="18"/>
              </w:rPr>
            </w:pPr>
            <w:r>
              <w:rPr>
                <w:color w:val="000000"/>
                <w:sz w:val="18"/>
                <w:szCs w:val="18"/>
              </w:rPr>
              <w:t xml:space="preserv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313B72D" w14:textId="096A381E" w:rsidR="00632244" w:rsidRPr="002906D7" w:rsidRDefault="00632244" w:rsidP="00632244">
            <w:pPr>
              <w:spacing w:before="20" w:after="20"/>
              <w:rPr>
                <w:sz w:val="18"/>
                <w:szCs w:val="18"/>
              </w:rPr>
            </w:pPr>
            <w:r>
              <w:rPr>
                <w:color w:val="000000"/>
                <w:sz w:val="18"/>
                <w:szCs w:val="18"/>
              </w:rPr>
              <w:t>Owner</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361B888" w14:textId="1453A442" w:rsidR="00632244" w:rsidRPr="002906D7" w:rsidRDefault="00561F7D" w:rsidP="00561F7D">
            <w:pPr>
              <w:spacing w:before="20" w:after="20"/>
              <w:ind w:left="76"/>
              <w:rPr>
                <w:sz w:val="18"/>
                <w:szCs w:val="18"/>
              </w:rPr>
            </w:pPr>
            <w:r>
              <w:rPr>
                <w:color w:val="000000"/>
                <w:sz w:val="18"/>
                <w:szCs w:val="18"/>
              </w:rPr>
              <w:t>Local gov't</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66737E7" w14:textId="60A4B9FB" w:rsidR="00632244" w:rsidRPr="002B152F" w:rsidRDefault="00561F7D" w:rsidP="00632244">
            <w:pPr>
              <w:spacing w:before="20" w:after="20"/>
              <w:jc w:val="right"/>
              <w:rPr>
                <w:color w:val="C00000"/>
                <w:sz w:val="18"/>
                <w:szCs w:val="18"/>
              </w:rPr>
            </w:pPr>
            <w:r w:rsidRPr="002B152F">
              <w:rPr>
                <w:color w:val="C00000"/>
                <w:sz w:val="18"/>
                <w:szCs w:val="18"/>
              </w:rPr>
              <w:t>x</w:t>
            </w:r>
          </w:p>
        </w:tc>
      </w:tr>
      <w:tr w:rsidR="00632244" w:rsidRPr="002906D7" w14:paraId="61DCDFF7"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9869BDC" w14:textId="010DDBCD" w:rsidR="00632244" w:rsidRPr="00D81F62" w:rsidRDefault="00632244">
            <w:pPr>
              <w:spacing w:before="20" w:after="20"/>
              <w:rPr>
                <w:sz w:val="18"/>
                <w:szCs w:val="18"/>
                <w:highlight w:val="magenta"/>
              </w:rPr>
            </w:pPr>
            <w:r>
              <w:rPr>
                <w:color w:val="000000"/>
                <w:sz w:val="18"/>
                <w:szCs w:val="18"/>
              </w:rPr>
              <w:t>Completed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C1608C8" w14:textId="5F748D6E" w:rsidR="00632244" w:rsidRPr="00D81F62" w:rsidRDefault="00632244" w:rsidP="00632244">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022FF97" w14:textId="05FC7759"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45BD3E5" w14:textId="304813AB" w:rsidR="00632244" w:rsidRPr="002B152F" w:rsidRDefault="00F63526" w:rsidP="00632244">
            <w:pPr>
              <w:spacing w:before="20" w:after="20"/>
              <w:jc w:val="right"/>
              <w:rPr>
                <w:color w:val="C00000"/>
                <w:sz w:val="18"/>
                <w:szCs w:val="18"/>
              </w:rPr>
            </w:pPr>
            <w:r w:rsidRPr="002B152F">
              <w:rPr>
                <w:color w:val="C00000"/>
                <w:sz w:val="18"/>
                <w:szCs w:val="18"/>
              </w:rPr>
              <w:t>693</w:t>
            </w:r>
          </w:p>
        </w:tc>
      </w:tr>
      <w:tr w:rsidR="00632244" w:rsidRPr="002906D7" w14:paraId="33FC59BC"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188F685" w14:textId="75AEFDDA" w:rsidR="00632244" w:rsidRPr="00D81F62" w:rsidRDefault="00561F7D" w:rsidP="008850C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E664CD2" w14:textId="1B8AE715" w:rsidR="00632244" w:rsidRPr="00D81F62" w:rsidRDefault="00632244" w:rsidP="00632244">
            <w:pPr>
              <w:spacing w:before="20" w:after="20"/>
              <w:rPr>
                <w:sz w:val="18"/>
                <w:szCs w:val="18"/>
                <w:highlight w:val="magenta"/>
              </w:rPr>
            </w:pPr>
            <w:r>
              <w:rPr>
                <w:color w:val="000000"/>
                <w:sz w:val="18"/>
                <w:szCs w:val="18"/>
              </w:rPr>
              <w:t>Single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8B4601D" w14:textId="4FE52E81"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59DDB8C" w14:textId="7F8D5CCA" w:rsidR="00632244" w:rsidRPr="002B152F" w:rsidRDefault="00F63526" w:rsidP="00632244">
            <w:pPr>
              <w:spacing w:before="20" w:after="20"/>
              <w:jc w:val="right"/>
              <w:rPr>
                <w:color w:val="C00000"/>
                <w:sz w:val="18"/>
                <w:szCs w:val="18"/>
              </w:rPr>
            </w:pPr>
            <w:r w:rsidRPr="002B152F">
              <w:rPr>
                <w:color w:val="C00000"/>
                <w:sz w:val="18"/>
                <w:szCs w:val="18"/>
              </w:rPr>
              <w:t>94</w:t>
            </w:r>
          </w:p>
        </w:tc>
      </w:tr>
      <w:tr w:rsidR="00632244" w:rsidRPr="002906D7" w14:paraId="43CED4C2"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30B4CE6" w14:textId="0A425901" w:rsidR="00632244" w:rsidRPr="00D81F62" w:rsidRDefault="00561F7D" w:rsidP="008850C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391F7F6" w14:textId="45F7D581" w:rsidR="00632244" w:rsidRPr="00D81F62" w:rsidRDefault="00632244" w:rsidP="00632244">
            <w:pPr>
              <w:spacing w:before="20" w:after="20"/>
              <w:rPr>
                <w:sz w:val="18"/>
                <w:szCs w:val="18"/>
                <w:highlight w:val="magenta"/>
              </w:rPr>
            </w:pPr>
            <w:r>
              <w:rPr>
                <w:color w:val="000000"/>
                <w:sz w:val="18"/>
                <w:szCs w:val="18"/>
              </w:rPr>
              <w:t>Semi-detached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98D44EF" w14:textId="0FB77BBD"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1E25B20" w14:textId="220C4DC5" w:rsidR="00632244" w:rsidRPr="002B152F" w:rsidRDefault="00F63526" w:rsidP="00632244">
            <w:pPr>
              <w:spacing w:before="20" w:after="20"/>
              <w:jc w:val="right"/>
              <w:rPr>
                <w:color w:val="C00000"/>
                <w:sz w:val="18"/>
                <w:szCs w:val="18"/>
              </w:rPr>
            </w:pPr>
            <w:r w:rsidRPr="002B152F">
              <w:rPr>
                <w:color w:val="C00000"/>
                <w:sz w:val="18"/>
                <w:szCs w:val="18"/>
              </w:rPr>
              <w:t>58</w:t>
            </w:r>
          </w:p>
        </w:tc>
      </w:tr>
      <w:tr w:rsidR="00632244" w:rsidRPr="002906D7" w14:paraId="41DC1CE3"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0C4F329" w14:textId="013FE2F7" w:rsidR="00632244" w:rsidRPr="00D81F62" w:rsidRDefault="00561F7D" w:rsidP="008850C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EB1602F" w14:textId="20ACABCA" w:rsidR="00632244" w:rsidRPr="00D81F62" w:rsidRDefault="00632244" w:rsidP="00632244">
            <w:pPr>
              <w:spacing w:before="20" w:after="20"/>
              <w:rPr>
                <w:sz w:val="18"/>
                <w:szCs w:val="18"/>
                <w:highlight w:val="magenta"/>
              </w:rPr>
            </w:pPr>
            <w:r>
              <w:rPr>
                <w:color w:val="000000"/>
                <w:sz w:val="18"/>
                <w:szCs w:val="18"/>
              </w:rPr>
              <w:t>Row</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C039B85" w14:textId="164EFC46"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5C3C152" w14:textId="3FDB0334" w:rsidR="00632244" w:rsidRPr="002B152F" w:rsidRDefault="00F63526" w:rsidP="00632244">
            <w:pPr>
              <w:spacing w:before="20" w:after="20"/>
              <w:jc w:val="right"/>
              <w:rPr>
                <w:color w:val="C00000"/>
                <w:sz w:val="18"/>
                <w:szCs w:val="18"/>
              </w:rPr>
            </w:pPr>
            <w:r w:rsidRPr="002B152F">
              <w:rPr>
                <w:color w:val="C00000"/>
                <w:sz w:val="18"/>
                <w:szCs w:val="18"/>
              </w:rPr>
              <w:t>39</w:t>
            </w:r>
          </w:p>
        </w:tc>
      </w:tr>
      <w:tr w:rsidR="00632244" w:rsidRPr="002906D7" w14:paraId="26148E21"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44D0FD9" w14:textId="1132DD5F" w:rsidR="00632244" w:rsidRPr="00D81F62" w:rsidRDefault="00561F7D" w:rsidP="008850C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B65DA71" w14:textId="63F2DA90" w:rsidR="00632244" w:rsidRPr="00D81F62" w:rsidRDefault="00632244" w:rsidP="00632244">
            <w:pPr>
              <w:spacing w:before="20" w:after="20"/>
              <w:rPr>
                <w:sz w:val="18"/>
                <w:szCs w:val="18"/>
                <w:highlight w:val="magenta"/>
              </w:rPr>
            </w:pPr>
            <w:r>
              <w:rPr>
                <w:color w:val="000000"/>
                <w:sz w:val="18"/>
                <w:szCs w:val="18"/>
              </w:rPr>
              <w:t>Apartment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B7C6271" w14:textId="02111599"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D79D606" w14:textId="257B2606" w:rsidR="00632244" w:rsidRPr="002B152F" w:rsidRDefault="00F63526" w:rsidP="00632244">
            <w:pPr>
              <w:spacing w:before="20" w:after="20"/>
              <w:jc w:val="right"/>
              <w:rPr>
                <w:color w:val="C00000"/>
                <w:sz w:val="18"/>
                <w:szCs w:val="18"/>
              </w:rPr>
            </w:pPr>
            <w:r w:rsidRPr="002B152F">
              <w:rPr>
                <w:color w:val="C00000"/>
                <w:sz w:val="18"/>
                <w:szCs w:val="18"/>
              </w:rPr>
              <w:t>502</w:t>
            </w:r>
          </w:p>
        </w:tc>
      </w:tr>
      <w:tr w:rsidR="00632244" w:rsidRPr="002906D7" w14:paraId="41F8141D"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D9D5BAE" w14:textId="2BE68C04" w:rsidR="00632244" w:rsidRPr="00D81F62" w:rsidRDefault="00632244">
            <w:pPr>
              <w:spacing w:before="20" w:after="20"/>
              <w:rPr>
                <w:sz w:val="18"/>
                <w:szCs w:val="18"/>
                <w:highlight w:val="magenta"/>
              </w:rPr>
            </w:pPr>
            <w:r>
              <w:rPr>
                <w:color w:val="000000"/>
                <w:sz w:val="18"/>
                <w:szCs w:val="18"/>
              </w:rPr>
              <w:t>Completed by tenure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8D31E4B" w14:textId="0DF9FE1B" w:rsidR="00632244" w:rsidRPr="00D81F62" w:rsidRDefault="00632244" w:rsidP="00632244">
            <w:pPr>
              <w:spacing w:before="20" w:after="20"/>
              <w:rPr>
                <w:sz w:val="18"/>
                <w:szCs w:val="18"/>
                <w:highlight w:val="magenta"/>
              </w:rPr>
            </w:pPr>
            <w:r>
              <w:rPr>
                <w:color w:val="000000"/>
                <w:sz w:val="18"/>
                <w:szCs w:val="18"/>
              </w:rPr>
              <w:t>Tenant</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932EA75" w14:textId="79A5E40F"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63DF54A" w14:textId="484805E6" w:rsidR="00632244" w:rsidRPr="002B152F" w:rsidRDefault="00F63526" w:rsidP="00632244">
            <w:pPr>
              <w:spacing w:before="20" w:after="20"/>
              <w:jc w:val="right"/>
              <w:rPr>
                <w:color w:val="C00000"/>
                <w:sz w:val="18"/>
                <w:szCs w:val="18"/>
              </w:rPr>
            </w:pPr>
            <w:r w:rsidRPr="002B152F">
              <w:rPr>
                <w:color w:val="C00000"/>
                <w:sz w:val="18"/>
                <w:szCs w:val="18"/>
              </w:rPr>
              <w:t>498</w:t>
            </w:r>
          </w:p>
        </w:tc>
      </w:tr>
      <w:tr w:rsidR="00632244" w:rsidRPr="002906D7" w14:paraId="129CDC83"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5287CAB" w14:textId="2A0ABD4B" w:rsidR="00632244" w:rsidRPr="00D81F62" w:rsidRDefault="00561F7D" w:rsidP="008850C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D4387AF" w14:textId="78182A56" w:rsidR="00632244" w:rsidRPr="00D81F62" w:rsidRDefault="00632244" w:rsidP="00632244">
            <w:pPr>
              <w:spacing w:before="20" w:after="20"/>
              <w:rPr>
                <w:sz w:val="18"/>
                <w:szCs w:val="18"/>
                <w:highlight w:val="magenta"/>
              </w:rPr>
            </w:pPr>
            <w:r>
              <w:rPr>
                <w:color w:val="000000"/>
                <w:sz w:val="18"/>
                <w:szCs w:val="18"/>
              </w:rPr>
              <w:t>Owner</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E68FFF4" w14:textId="4069783C"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2B91D12" w14:textId="274EBE6F" w:rsidR="00632244" w:rsidRPr="002B152F" w:rsidRDefault="00F63526" w:rsidP="00632244">
            <w:pPr>
              <w:spacing w:before="20" w:after="20"/>
              <w:jc w:val="right"/>
              <w:rPr>
                <w:color w:val="C00000"/>
                <w:sz w:val="18"/>
                <w:szCs w:val="18"/>
              </w:rPr>
            </w:pPr>
            <w:r w:rsidRPr="002B152F">
              <w:rPr>
                <w:color w:val="C00000"/>
                <w:sz w:val="18"/>
                <w:szCs w:val="18"/>
              </w:rPr>
              <w:t>191</w:t>
            </w:r>
          </w:p>
        </w:tc>
      </w:tr>
      <w:tr w:rsidR="00632244" w:rsidRPr="002906D7" w14:paraId="125F3D42"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6C43E13" w14:textId="12E35E1E" w:rsidR="00632244" w:rsidRPr="00D81F62" w:rsidRDefault="00561F7D" w:rsidP="008850C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18E1706" w14:textId="53C7A8FB" w:rsidR="00632244" w:rsidRPr="00D81F62" w:rsidRDefault="00632244" w:rsidP="00632244">
            <w:pPr>
              <w:spacing w:before="20" w:after="20"/>
              <w:rPr>
                <w:sz w:val="18"/>
                <w:szCs w:val="18"/>
                <w:highlight w:val="magenta"/>
              </w:rPr>
            </w:pPr>
            <w:r>
              <w:rPr>
                <w:color w:val="000000"/>
                <w:sz w:val="18"/>
                <w:szCs w:val="18"/>
              </w:rPr>
              <w:t>Condo</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6F04D16" w14:textId="036A1D3D"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3161CE4" w14:textId="5AF42526" w:rsidR="00632244" w:rsidRPr="002B152F" w:rsidRDefault="00F63526" w:rsidP="00632244">
            <w:pPr>
              <w:spacing w:before="20" w:after="20"/>
              <w:jc w:val="right"/>
              <w:rPr>
                <w:color w:val="C00000"/>
                <w:sz w:val="18"/>
                <w:szCs w:val="18"/>
              </w:rPr>
            </w:pPr>
            <w:r w:rsidRPr="002B152F">
              <w:rPr>
                <w:color w:val="C00000"/>
                <w:sz w:val="18"/>
                <w:szCs w:val="18"/>
              </w:rPr>
              <w:t>4</w:t>
            </w:r>
          </w:p>
        </w:tc>
      </w:tr>
      <w:tr w:rsidR="00632244" w:rsidRPr="002906D7" w14:paraId="390D2D4C"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ABDCC10" w14:textId="7909CF22" w:rsidR="00632244" w:rsidRPr="00D81F62" w:rsidRDefault="00561F7D" w:rsidP="008850C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E4A7FC5" w14:textId="54252270" w:rsidR="00632244" w:rsidRPr="00D81F62" w:rsidRDefault="00632244" w:rsidP="00632244">
            <w:pPr>
              <w:spacing w:before="20" w:after="20"/>
              <w:rPr>
                <w:sz w:val="18"/>
                <w:szCs w:val="18"/>
                <w:highlight w:val="magenta"/>
              </w:rPr>
            </w:pPr>
            <w:r>
              <w:rPr>
                <w:color w:val="000000"/>
                <w:sz w:val="18"/>
                <w:szCs w:val="18"/>
              </w:rPr>
              <w:t>Co-op</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733A701" w14:textId="35B6A742"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B146901" w14:textId="6E3CED9C" w:rsidR="00632244" w:rsidRPr="002B152F" w:rsidRDefault="00F63526" w:rsidP="00632244">
            <w:pPr>
              <w:spacing w:before="20" w:after="20"/>
              <w:jc w:val="right"/>
              <w:rPr>
                <w:color w:val="C00000"/>
                <w:sz w:val="18"/>
                <w:szCs w:val="18"/>
              </w:rPr>
            </w:pPr>
            <w:r w:rsidRPr="002B152F">
              <w:rPr>
                <w:color w:val="C00000"/>
                <w:sz w:val="18"/>
                <w:szCs w:val="18"/>
              </w:rPr>
              <w:t>0</w:t>
            </w:r>
          </w:p>
        </w:tc>
      </w:tr>
      <w:tr w:rsidR="00632244" w:rsidRPr="002906D7" w14:paraId="6A627600"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98F7F98" w14:textId="35162A81" w:rsidR="00632244" w:rsidRPr="00D81F62" w:rsidRDefault="00632244" w:rsidP="00632244">
            <w:pPr>
              <w:spacing w:before="20" w:after="20"/>
              <w:rPr>
                <w:sz w:val="18"/>
                <w:szCs w:val="18"/>
                <w:highlight w:val="magenta"/>
              </w:rPr>
            </w:pPr>
            <w:r>
              <w:rPr>
                <w:color w:val="000000"/>
                <w:sz w:val="18"/>
                <w:szCs w:val="18"/>
              </w:rPr>
              <w:t>Starts by structural type and tenure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11ED2E5" w14:textId="1EE191E2" w:rsidR="00632244" w:rsidRPr="00D81F62" w:rsidRDefault="00632244" w:rsidP="00632244">
            <w:pPr>
              <w:spacing w:before="20" w:after="20"/>
              <w:rPr>
                <w:sz w:val="18"/>
                <w:szCs w:val="18"/>
                <w:highlight w:val="magenta"/>
              </w:rPr>
            </w:pPr>
            <w:r>
              <w:rPr>
                <w:color w:val="000000"/>
                <w:sz w:val="18"/>
                <w:szCs w:val="18"/>
              </w:rPr>
              <w:t>Tenant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B0FA36E" w14:textId="5CCF4D83"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68D6B84" w14:textId="26720A01" w:rsidR="00632244" w:rsidRPr="002B152F" w:rsidRDefault="00F63526" w:rsidP="00632244">
            <w:pPr>
              <w:spacing w:before="20" w:after="20"/>
              <w:jc w:val="right"/>
              <w:rPr>
                <w:color w:val="C00000"/>
                <w:sz w:val="18"/>
                <w:szCs w:val="18"/>
              </w:rPr>
            </w:pPr>
            <w:r w:rsidRPr="002B152F">
              <w:rPr>
                <w:color w:val="C00000"/>
                <w:sz w:val="18"/>
                <w:szCs w:val="18"/>
              </w:rPr>
              <w:t>567</w:t>
            </w:r>
          </w:p>
        </w:tc>
      </w:tr>
      <w:tr w:rsidR="00632244" w:rsidRPr="002906D7" w14:paraId="4E04B0E6"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B959D35" w14:textId="31B6EDB7" w:rsidR="00632244" w:rsidRPr="00D81F62" w:rsidRDefault="00561F7D" w:rsidP="0063224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5BCE51B" w14:textId="5739D231" w:rsidR="00632244" w:rsidRPr="00D81F62" w:rsidRDefault="00632244" w:rsidP="00632244">
            <w:pPr>
              <w:spacing w:before="20" w:after="20"/>
              <w:rPr>
                <w:sz w:val="18"/>
                <w:szCs w:val="18"/>
                <w:highlight w:val="magenta"/>
              </w:rPr>
            </w:pPr>
            <w:r>
              <w:rPr>
                <w:color w:val="000000"/>
                <w:sz w:val="18"/>
                <w:szCs w:val="18"/>
              </w:rPr>
              <w:t>Owner</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264B77B" w14:textId="4AF1D718"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AADF10A" w14:textId="2FA9E158" w:rsidR="00632244" w:rsidRPr="002B152F" w:rsidRDefault="00F63526" w:rsidP="00632244">
            <w:pPr>
              <w:spacing w:before="20" w:after="20"/>
              <w:jc w:val="right"/>
              <w:rPr>
                <w:color w:val="C00000"/>
                <w:sz w:val="18"/>
                <w:szCs w:val="18"/>
              </w:rPr>
            </w:pPr>
            <w:r w:rsidRPr="002B152F">
              <w:rPr>
                <w:color w:val="C00000"/>
                <w:sz w:val="18"/>
                <w:szCs w:val="18"/>
              </w:rPr>
              <w:t>188</w:t>
            </w:r>
          </w:p>
        </w:tc>
      </w:tr>
      <w:tr w:rsidR="00632244" w:rsidRPr="002906D7" w14:paraId="0DADD438"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7CFD227" w14:textId="05761BE5" w:rsidR="00632244" w:rsidRPr="00D81F62" w:rsidRDefault="00561F7D" w:rsidP="0063224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ABDE8F9" w14:textId="171E118E" w:rsidR="00632244" w:rsidRPr="00D81F62" w:rsidRDefault="00632244" w:rsidP="00632244">
            <w:pPr>
              <w:spacing w:before="20" w:after="20"/>
              <w:rPr>
                <w:sz w:val="18"/>
                <w:szCs w:val="18"/>
                <w:highlight w:val="magenta"/>
              </w:rPr>
            </w:pPr>
            <w:r>
              <w:rPr>
                <w:color w:val="000000"/>
                <w:sz w:val="18"/>
                <w:szCs w:val="18"/>
              </w:rPr>
              <w:t>Condo</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5094E4E" w14:textId="09A9814C"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29F8B40" w14:textId="02622114" w:rsidR="00632244" w:rsidRPr="002B152F" w:rsidRDefault="00F63526" w:rsidP="00632244">
            <w:pPr>
              <w:spacing w:before="20" w:after="20"/>
              <w:jc w:val="right"/>
              <w:rPr>
                <w:color w:val="C00000"/>
                <w:sz w:val="18"/>
                <w:szCs w:val="18"/>
              </w:rPr>
            </w:pPr>
            <w:r w:rsidRPr="002B152F">
              <w:rPr>
                <w:color w:val="C00000"/>
                <w:sz w:val="18"/>
                <w:szCs w:val="18"/>
              </w:rPr>
              <w:t>56</w:t>
            </w:r>
          </w:p>
        </w:tc>
      </w:tr>
      <w:tr w:rsidR="00632244" w:rsidRPr="002906D7" w14:paraId="42F4EAC3" w14:textId="77777777" w:rsidTr="00632244">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D9AFED2" w14:textId="34392321" w:rsidR="00632244" w:rsidRPr="00D81F62" w:rsidRDefault="00561F7D" w:rsidP="00632244">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E2EC60F" w14:textId="620B0E1E" w:rsidR="00632244" w:rsidRPr="00D81F62" w:rsidRDefault="00632244" w:rsidP="00632244">
            <w:pPr>
              <w:spacing w:before="20" w:after="20"/>
              <w:rPr>
                <w:sz w:val="18"/>
                <w:szCs w:val="18"/>
                <w:highlight w:val="magenta"/>
              </w:rPr>
            </w:pPr>
            <w:r>
              <w:rPr>
                <w:color w:val="000000"/>
                <w:sz w:val="18"/>
                <w:szCs w:val="18"/>
              </w:rPr>
              <w:t>Co-op</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BD82D0E" w14:textId="19CDA755" w:rsidR="00632244" w:rsidRPr="002906D7" w:rsidRDefault="00F63526" w:rsidP="00561F7D">
            <w:pPr>
              <w:spacing w:before="20" w:after="20"/>
              <w:ind w:left="76"/>
              <w:rPr>
                <w:sz w:val="18"/>
                <w:szCs w:val="18"/>
              </w:rPr>
            </w:pPr>
            <w:r>
              <w:rPr>
                <w:color w:val="000000"/>
                <w:sz w:val="18"/>
                <w:szCs w:val="18"/>
              </w:rPr>
              <w:t>CMHC SCSS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3710C63" w14:textId="6CEB9F00" w:rsidR="00632244" w:rsidRPr="002B152F" w:rsidRDefault="00F63526" w:rsidP="00632244">
            <w:pPr>
              <w:spacing w:before="20" w:after="20"/>
              <w:jc w:val="right"/>
              <w:rPr>
                <w:color w:val="C00000"/>
                <w:sz w:val="18"/>
                <w:szCs w:val="18"/>
              </w:rPr>
            </w:pPr>
            <w:r w:rsidRPr="002B152F">
              <w:rPr>
                <w:color w:val="C00000"/>
                <w:sz w:val="18"/>
                <w:szCs w:val="18"/>
              </w:rPr>
              <w:t>0</w:t>
            </w:r>
          </w:p>
        </w:tc>
      </w:tr>
    </w:tbl>
    <w:p w14:paraId="1D1AFB02" w14:textId="4584F8E3" w:rsidR="0043538E" w:rsidRDefault="0043538E" w:rsidP="004608FD"/>
    <w:p w14:paraId="70A7E438" w14:textId="79F4FC12" w:rsidR="007E7866" w:rsidRPr="007E7866" w:rsidRDefault="007E7866" w:rsidP="004608FD">
      <w:pPr>
        <w:rPr>
          <w:b/>
          <w:bCs/>
        </w:rPr>
      </w:pPr>
      <w:r w:rsidRPr="007E7866">
        <w:rPr>
          <w:b/>
          <w:bCs/>
        </w:rPr>
        <w:t>Table 3.6.4: Households in Core Housing Need</w:t>
      </w:r>
    </w:p>
    <w:p w14:paraId="1EA0AA2B" w14:textId="77777777" w:rsidR="007E7866" w:rsidRDefault="007E7866" w:rsidP="004608FD"/>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7E7866" w:rsidRPr="007E7866" w14:paraId="19FAC935" w14:textId="77777777" w:rsidTr="003C59F9">
        <w:trPr>
          <w:tblHeader/>
        </w:trPr>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0C96A26A" w14:textId="77777777" w:rsidR="007E7866" w:rsidRPr="007E7866" w:rsidRDefault="007E7866" w:rsidP="007E7866">
            <w:pPr>
              <w:rPr>
                <w:color w:val="FFFFFF" w:themeColor="background1"/>
                <w:sz w:val="18"/>
                <w:szCs w:val="18"/>
              </w:rPr>
            </w:pPr>
            <w:r w:rsidRPr="007E7866">
              <w:rPr>
                <w:color w:val="FFFFFF" w:themeColor="background1"/>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09E175D5" w14:textId="77777777" w:rsidR="007E7866" w:rsidRPr="007E7866" w:rsidRDefault="007E7866" w:rsidP="007E7866">
            <w:pPr>
              <w:rPr>
                <w:color w:val="FFFFFF" w:themeColor="background1"/>
                <w:sz w:val="18"/>
                <w:szCs w:val="18"/>
              </w:rPr>
            </w:pPr>
            <w:r w:rsidRPr="007E7866">
              <w:rPr>
                <w:color w:val="FFFFFF" w:themeColor="background1"/>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vAlign w:val="center"/>
          </w:tcPr>
          <w:p w14:paraId="59E4DEDE" w14:textId="12497FA9" w:rsidR="007E7866" w:rsidRPr="007E7866" w:rsidRDefault="007E7866" w:rsidP="00E94A0E">
            <w:pPr>
              <w:ind w:left="76"/>
              <w:rPr>
                <w:color w:val="FFFFFF" w:themeColor="background1"/>
                <w:sz w:val="18"/>
                <w:szCs w:val="18"/>
              </w:rPr>
            </w:pPr>
            <w:r>
              <w:rPr>
                <w:color w:val="FFFFFF" w:themeColor="background1"/>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29721E22" w14:textId="0921F384" w:rsidR="007E7866" w:rsidRPr="007E7866" w:rsidRDefault="007E7866" w:rsidP="007E7866">
            <w:pPr>
              <w:jc w:val="right"/>
              <w:rPr>
                <w:color w:val="FFFFFF" w:themeColor="background1"/>
                <w:sz w:val="18"/>
                <w:szCs w:val="18"/>
              </w:rPr>
            </w:pPr>
            <w:r>
              <w:rPr>
                <w:color w:val="FFFFFF" w:themeColor="background1"/>
                <w:sz w:val="18"/>
                <w:szCs w:val="18"/>
              </w:rPr>
              <w:t>Value</w:t>
            </w:r>
          </w:p>
        </w:tc>
      </w:tr>
      <w:tr w:rsidR="007E7866" w:rsidRPr="007E7866" w14:paraId="4C1243E7"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505BB56" w14:textId="6E5636A2" w:rsidR="007E7866" w:rsidRPr="00D8641F" w:rsidRDefault="007E7866" w:rsidP="007E7866">
            <w:pPr>
              <w:spacing w:before="20" w:after="20"/>
              <w:rPr>
                <w:sz w:val="18"/>
                <w:szCs w:val="18"/>
                <w:highlight w:val="magenta"/>
              </w:rPr>
            </w:pPr>
            <w:r>
              <w:rPr>
                <w:color w:val="000000"/>
                <w:sz w:val="18"/>
                <w:szCs w:val="18"/>
              </w:rPr>
              <w:t xml:space="preserve">Affordability – </w:t>
            </w:r>
            <w:r w:rsidR="00A86270">
              <w:rPr>
                <w:color w:val="000000"/>
                <w:sz w:val="18"/>
                <w:szCs w:val="18"/>
              </w:rPr>
              <w:t>o</w:t>
            </w:r>
            <w:r>
              <w:rPr>
                <w:color w:val="000000"/>
                <w:sz w:val="18"/>
                <w:szCs w:val="18"/>
              </w:rPr>
              <w:t xml:space="preserve">wner </w:t>
            </w:r>
            <w:r w:rsidR="00A86270">
              <w:rPr>
                <w:color w:val="000000"/>
                <w:sz w:val="18"/>
                <w:szCs w:val="18"/>
              </w:rPr>
              <w:t xml:space="preserve">/ </w:t>
            </w:r>
            <w:r>
              <w:rPr>
                <w:color w:val="000000"/>
                <w:sz w:val="18"/>
                <w:szCs w:val="18"/>
              </w:rPr>
              <w:t xml:space="preserve">tenant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7F0BE38" w14:textId="118F9D63" w:rsidR="007E7866" w:rsidRPr="00D8641F" w:rsidRDefault="00A86270" w:rsidP="007E7866">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9C68BDF" w14:textId="4D95A420" w:rsidR="007E78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9BE1401" w14:textId="00C62C35" w:rsidR="007E7866" w:rsidRPr="002B152F" w:rsidRDefault="00E94A0E" w:rsidP="007E7866">
            <w:pPr>
              <w:spacing w:before="20" w:after="20"/>
              <w:jc w:val="right"/>
              <w:rPr>
                <w:color w:val="C00000"/>
                <w:sz w:val="18"/>
                <w:szCs w:val="18"/>
              </w:rPr>
            </w:pPr>
            <w:r w:rsidRPr="002B152F">
              <w:rPr>
                <w:color w:val="C00000"/>
                <w:sz w:val="18"/>
                <w:szCs w:val="18"/>
              </w:rPr>
              <w:t>4,050</w:t>
            </w:r>
          </w:p>
        </w:tc>
      </w:tr>
      <w:tr w:rsidR="007E7866" w:rsidRPr="007E7866" w14:paraId="7AAE6B8B"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3C3D114" w14:textId="4D9A92CB" w:rsidR="007E7866" w:rsidRPr="00D8641F" w:rsidRDefault="00E94A0E" w:rsidP="007E7866">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A38D624" w14:textId="6042EA7F" w:rsidR="007E7866" w:rsidRPr="00D8641F" w:rsidRDefault="00A86270" w:rsidP="007E78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DF2214A" w14:textId="022AFDC1" w:rsidR="007E78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17BEFE1" w14:textId="46559301" w:rsidR="007E7866" w:rsidRPr="002B152F" w:rsidRDefault="00E94A0E" w:rsidP="007E7866">
            <w:pPr>
              <w:spacing w:before="20" w:after="20"/>
              <w:jc w:val="right"/>
              <w:rPr>
                <w:color w:val="C00000"/>
                <w:sz w:val="18"/>
                <w:szCs w:val="18"/>
              </w:rPr>
            </w:pPr>
            <w:r w:rsidRPr="002B152F">
              <w:rPr>
                <w:color w:val="C00000"/>
                <w:sz w:val="18"/>
                <w:szCs w:val="18"/>
              </w:rPr>
              <w:t>23.7%</w:t>
            </w:r>
          </w:p>
        </w:tc>
      </w:tr>
      <w:tr w:rsidR="00275E66" w:rsidRPr="007E7866" w14:paraId="06609EBD"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060A76A" w14:textId="70B8DC3C" w:rsidR="00275E66" w:rsidRPr="00D8641F" w:rsidRDefault="00275E66" w:rsidP="00275E66">
            <w:pPr>
              <w:spacing w:before="20" w:after="20"/>
              <w:rPr>
                <w:sz w:val="18"/>
                <w:szCs w:val="18"/>
                <w:highlight w:val="magenta"/>
              </w:rPr>
            </w:pPr>
            <w:r>
              <w:rPr>
                <w:color w:val="000000"/>
                <w:sz w:val="18"/>
                <w:szCs w:val="18"/>
              </w:rPr>
              <w:t>Affordability – owner / tenant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70340FB" w14:textId="54437FD9" w:rsidR="00275E66" w:rsidRPr="00D8641F" w:rsidRDefault="00275E66" w:rsidP="00275E66">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5240309" w14:textId="3C8C8EDC" w:rsidR="00275E66"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2E0D539" w14:textId="77515E64" w:rsidR="00275E66" w:rsidRPr="002B152F" w:rsidRDefault="00E94A0E" w:rsidP="00275E66">
            <w:pPr>
              <w:spacing w:before="20" w:after="20"/>
              <w:jc w:val="right"/>
              <w:rPr>
                <w:color w:val="C00000"/>
                <w:sz w:val="18"/>
                <w:szCs w:val="18"/>
              </w:rPr>
            </w:pPr>
            <w:r w:rsidRPr="002B152F">
              <w:rPr>
                <w:color w:val="C00000"/>
                <w:sz w:val="18"/>
                <w:szCs w:val="18"/>
              </w:rPr>
              <w:t>1,385</w:t>
            </w:r>
          </w:p>
        </w:tc>
      </w:tr>
      <w:tr w:rsidR="00275E66" w:rsidRPr="007E7866" w14:paraId="23843C1A"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3B66086" w14:textId="079F25AE" w:rsidR="00275E66" w:rsidRPr="00D8641F" w:rsidRDefault="00E94A0E" w:rsidP="00275E66">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6A1D76D" w14:textId="514D50EF" w:rsidR="00275E66" w:rsidRPr="00D8641F" w:rsidRDefault="00275E66" w:rsidP="00275E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F670536" w14:textId="1E26BAAA" w:rsidR="00275E66"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9D24A96" w14:textId="4ED3DD6E" w:rsidR="00275E66" w:rsidRPr="002B152F" w:rsidRDefault="00E94A0E" w:rsidP="00275E66">
            <w:pPr>
              <w:spacing w:before="20" w:after="20"/>
              <w:jc w:val="right"/>
              <w:rPr>
                <w:color w:val="C00000"/>
                <w:sz w:val="18"/>
                <w:szCs w:val="18"/>
              </w:rPr>
            </w:pPr>
            <w:r w:rsidRPr="002B152F">
              <w:rPr>
                <w:color w:val="C00000"/>
                <w:sz w:val="18"/>
                <w:szCs w:val="18"/>
              </w:rPr>
              <w:t>8.3%</w:t>
            </w:r>
          </w:p>
        </w:tc>
      </w:tr>
      <w:tr w:rsidR="00275E66" w:rsidRPr="007E7866" w14:paraId="3CA1A481"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3028298" w14:textId="00E1B0ED" w:rsidR="00275E66" w:rsidRPr="00D8641F" w:rsidRDefault="00275E66" w:rsidP="00275E66">
            <w:pPr>
              <w:spacing w:before="20" w:after="20"/>
              <w:rPr>
                <w:sz w:val="18"/>
                <w:szCs w:val="18"/>
                <w:highlight w:val="magenta"/>
              </w:rPr>
            </w:pPr>
            <w:r>
              <w:rPr>
                <w:color w:val="000000"/>
                <w:sz w:val="18"/>
                <w:szCs w:val="18"/>
              </w:rPr>
              <w:t xml:space="preserve">Affordability – tenant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258D032" w14:textId="41D79C64" w:rsidR="00275E66" w:rsidRPr="00D8641F" w:rsidRDefault="00275E66" w:rsidP="00275E66">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685D04F" w14:textId="07976E64" w:rsidR="00275E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437D2E0" w14:textId="57729F6F" w:rsidR="00275E66" w:rsidRPr="002B152F" w:rsidRDefault="00E94A0E" w:rsidP="00275E66">
            <w:pPr>
              <w:spacing w:before="20" w:after="20"/>
              <w:jc w:val="right"/>
              <w:rPr>
                <w:color w:val="C00000"/>
                <w:sz w:val="18"/>
                <w:szCs w:val="18"/>
              </w:rPr>
            </w:pPr>
            <w:r w:rsidRPr="002B152F">
              <w:rPr>
                <w:color w:val="C00000"/>
                <w:sz w:val="18"/>
                <w:szCs w:val="18"/>
              </w:rPr>
              <w:t>3,055</w:t>
            </w:r>
          </w:p>
        </w:tc>
      </w:tr>
      <w:tr w:rsidR="00275E66" w:rsidRPr="007E7866" w14:paraId="5486C650"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030CD7F" w14:textId="635B4C80" w:rsidR="00275E66" w:rsidRPr="00D8641F" w:rsidRDefault="00E94A0E" w:rsidP="00275E66">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B483271" w14:textId="5566C763" w:rsidR="00275E66" w:rsidRPr="00D8641F" w:rsidRDefault="00275E66" w:rsidP="00275E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831BA1C" w14:textId="62FC0B83" w:rsidR="00275E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BC3E075" w14:textId="7A5285AA" w:rsidR="00275E66" w:rsidRPr="002B152F" w:rsidRDefault="00E94A0E" w:rsidP="00275E66">
            <w:pPr>
              <w:spacing w:before="20" w:after="20"/>
              <w:jc w:val="right"/>
              <w:rPr>
                <w:color w:val="C00000"/>
                <w:sz w:val="18"/>
                <w:szCs w:val="18"/>
              </w:rPr>
            </w:pPr>
            <w:r w:rsidRPr="002B152F">
              <w:rPr>
                <w:color w:val="C00000"/>
                <w:sz w:val="18"/>
                <w:szCs w:val="18"/>
              </w:rPr>
              <w:t>33.1%</w:t>
            </w:r>
          </w:p>
        </w:tc>
      </w:tr>
      <w:tr w:rsidR="00275E66" w:rsidRPr="007E7866" w14:paraId="70D6F718"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172D4C9" w14:textId="604DEED7" w:rsidR="00275E66" w:rsidRPr="00D8641F" w:rsidRDefault="00275E66" w:rsidP="00275E66">
            <w:pPr>
              <w:spacing w:before="20" w:after="20"/>
              <w:rPr>
                <w:sz w:val="18"/>
                <w:szCs w:val="18"/>
                <w:highlight w:val="magenta"/>
              </w:rPr>
            </w:pPr>
            <w:r>
              <w:rPr>
                <w:color w:val="000000"/>
                <w:sz w:val="18"/>
                <w:szCs w:val="18"/>
              </w:rPr>
              <w:t>Affordability – tenant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D5A082C" w14:textId="63EAB5DA" w:rsidR="00275E66" w:rsidRPr="00D8641F" w:rsidRDefault="00275E66" w:rsidP="00275E66">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475A33F" w14:textId="3E4F48CF" w:rsidR="00275E66"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1F86211" w14:textId="02A8F429" w:rsidR="00275E66" w:rsidRPr="002B152F" w:rsidRDefault="00E94A0E" w:rsidP="00275E66">
            <w:pPr>
              <w:spacing w:before="20" w:after="20"/>
              <w:jc w:val="right"/>
              <w:rPr>
                <w:color w:val="C00000"/>
                <w:sz w:val="18"/>
                <w:szCs w:val="18"/>
              </w:rPr>
            </w:pPr>
            <w:r w:rsidRPr="002B152F">
              <w:rPr>
                <w:color w:val="C00000"/>
                <w:sz w:val="18"/>
                <w:szCs w:val="18"/>
              </w:rPr>
              <w:t>1,185</w:t>
            </w:r>
          </w:p>
        </w:tc>
      </w:tr>
      <w:tr w:rsidR="00275E66" w:rsidRPr="007E7866" w14:paraId="7CDF5205"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1D25A85" w14:textId="26AB7CE6" w:rsidR="00275E66" w:rsidRPr="00D8641F" w:rsidRDefault="00E94A0E" w:rsidP="00275E66">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DE74B19" w14:textId="771952B3" w:rsidR="00275E66" w:rsidRPr="00D8641F" w:rsidRDefault="00275E66" w:rsidP="00275E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D24E6D0" w14:textId="21868B2D" w:rsidR="00275E66"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D38F36C" w14:textId="4195F16C" w:rsidR="00275E66" w:rsidRPr="002B152F" w:rsidRDefault="00E94A0E" w:rsidP="00275E66">
            <w:pPr>
              <w:spacing w:before="20" w:after="20"/>
              <w:jc w:val="right"/>
              <w:rPr>
                <w:color w:val="C00000"/>
                <w:sz w:val="18"/>
                <w:szCs w:val="18"/>
              </w:rPr>
            </w:pPr>
            <w:r w:rsidRPr="002B152F">
              <w:rPr>
                <w:color w:val="C00000"/>
                <w:sz w:val="18"/>
                <w:szCs w:val="18"/>
              </w:rPr>
              <w:t>13.2%</w:t>
            </w:r>
          </w:p>
        </w:tc>
      </w:tr>
      <w:tr w:rsidR="00275E66" w:rsidRPr="007E7866" w14:paraId="6C1232CD"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E5A7737" w14:textId="45FAB8AB" w:rsidR="00275E66" w:rsidRPr="00D8641F" w:rsidRDefault="00275E66" w:rsidP="00275E66">
            <w:pPr>
              <w:spacing w:before="20" w:after="20"/>
              <w:rPr>
                <w:sz w:val="18"/>
                <w:szCs w:val="18"/>
                <w:highlight w:val="magenta"/>
              </w:rPr>
            </w:pPr>
            <w:r>
              <w:rPr>
                <w:color w:val="000000"/>
                <w:sz w:val="18"/>
                <w:szCs w:val="18"/>
              </w:rPr>
              <w:t xml:space="preserve">Affordability – owner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F9C33F4" w14:textId="00898AEA" w:rsidR="00275E66" w:rsidRPr="00D8641F" w:rsidRDefault="00275E66" w:rsidP="00275E66">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79FE8E3" w14:textId="37A2F399" w:rsidR="00275E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681C93D" w14:textId="0167FE18" w:rsidR="00275E66" w:rsidRPr="002B152F" w:rsidRDefault="00E94A0E" w:rsidP="00275E66">
            <w:pPr>
              <w:spacing w:before="20" w:after="20"/>
              <w:jc w:val="right"/>
              <w:rPr>
                <w:color w:val="C00000"/>
                <w:sz w:val="18"/>
                <w:szCs w:val="18"/>
              </w:rPr>
            </w:pPr>
            <w:r w:rsidRPr="002B152F">
              <w:rPr>
                <w:color w:val="C00000"/>
                <w:sz w:val="18"/>
                <w:szCs w:val="18"/>
              </w:rPr>
              <w:t>985</w:t>
            </w:r>
          </w:p>
        </w:tc>
      </w:tr>
      <w:tr w:rsidR="00275E66" w:rsidRPr="007E7866" w14:paraId="70A93935"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133D63D" w14:textId="0D8B7E91" w:rsidR="00275E66" w:rsidRPr="00D8641F" w:rsidRDefault="00E94A0E" w:rsidP="00275E66">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CAEAE11" w14:textId="3496EC48" w:rsidR="00275E66" w:rsidRPr="00D8641F" w:rsidRDefault="00275E66" w:rsidP="00275E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B1B9A2A" w14:textId="1CF34DA4" w:rsidR="00275E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45875BA" w14:textId="3CF64AFE" w:rsidR="00275E66" w:rsidRPr="002B152F" w:rsidRDefault="00E94A0E" w:rsidP="00275E66">
            <w:pPr>
              <w:spacing w:before="20" w:after="20"/>
              <w:jc w:val="right"/>
              <w:rPr>
                <w:color w:val="C00000"/>
                <w:sz w:val="18"/>
                <w:szCs w:val="18"/>
              </w:rPr>
            </w:pPr>
            <w:r w:rsidRPr="002B152F">
              <w:rPr>
                <w:color w:val="C00000"/>
                <w:sz w:val="18"/>
                <w:szCs w:val="18"/>
              </w:rPr>
              <w:t>12.5%</w:t>
            </w:r>
          </w:p>
        </w:tc>
      </w:tr>
      <w:tr w:rsidR="00275E66" w:rsidRPr="007E7866" w14:paraId="7D1C9B72"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704A1E3" w14:textId="751191E6" w:rsidR="00275E66" w:rsidRPr="00D8641F" w:rsidRDefault="00275E66" w:rsidP="00275E66">
            <w:pPr>
              <w:spacing w:before="20" w:after="20"/>
              <w:rPr>
                <w:sz w:val="18"/>
                <w:szCs w:val="18"/>
                <w:highlight w:val="magenta"/>
              </w:rPr>
            </w:pPr>
            <w:r>
              <w:rPr>
                <w:color w:val="000000"/>
                <w:sz w:val="18"/>
                <w:szCs w:val="18"/>
              </w:rPr>
              <w:lastRenderedPageBreak/>
              <w:t>Affordability – owner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7C35036" w14:textId="199F1027" w:rsidR="00275E66" w:rsidRPr="00D8641F" w:rsidRDefault="00275E66" w:rsidP="00275E66">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5E81A0A" w14:textId="063B720D" w:rsidR="00275E66"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AE92427" w14:textId="319313F2" w:rsidR="00275E66" w:rsidRPr="002B152F" w:rsidRDefault="00E94A0E" w:rsidP="00275E66">
            <w:pPr>
              <w:spacing w:before="20" w:after="20"/>
              <w:jc w:val="right"/>
              <w:rPr>
                <w:color w:val="C00000"/>
                <w:sz w:val="18"/>
                <w:szCs w:val="18"/>
              </w:rPr>
            </w:pPr>
            <w:r w:rsidRPr="002B152F">
              <w:rPr>
                <w:color w:val="C00000"/>
                <w:sz w:val="18"/>
                <w:szCs w:val="18"/>
              </w:rPr>
              <w:t>200</w:t>
            </w:r>
          </w:p>
        </w:tc>
      </w:tr>
      <w:tr w:rsidR="00275E66" w:rsidRPr="007E7866" w14:paraId="716BBE85"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D8455DB" w14:textId="7270FFBB" w:rsidR="00275E66" w:rsidRPr="00D8641F" w:rsidRDefault="00E94A0E" w:rsidP="00275E66">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8DE8CB2" w14:textId="15A50ED0" w:rsidR="00275E66" w:rsidRPr="00D8641F" w:rsidRDefault="00275E66" w:rsidP="00275E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DE9CF99" w14:textId="7835FDBA" w:rsidR="00275E66"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CC87636" w14:textId="4A53C34D" w:rsidR="00275E66" w:rsidRPr="002B152F" w:rsidRDefault="00E94A0E" w:rsidP="00275E66">
            <w:pPr>
              <w:spacing w:before="20" w:after="20"/>
              <w:jc w:val="right"/>
              <w:rPr>
                <w:color w:val="C00000"/>
                <w:sz w:val="18"/>
                <w:szCs w:val="18"/>
              </w:rPr>
            </w:pPr>
            <w:r w:rsidRPr="002B152F">
              <w:rPr>
                <w:color w:val="C00000"/>
                <w:sz w:val="18"/>
                <w:szCs w:val="18"/>
              </w:rPr>
              <w:t>2.6%</w:t>
            </w:r>
          </w:p>
        </w:tc>
      </w:tr>
      <w:tr w:rsidR="0003297A" w:rsidRPr="007E7866" w14:paraId="60F29ED3"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D78EA67" w14:textId="4482EC0F" w:rsidR="0003297A" w:rsidRPr="00D8641F" w:rsidRDefault="0003297A" w:rsidP="0003297A">
            <w:pPr>
              <w:spacing w:before="20" w:after="20"/>
              <w:rPr>
                <w:sz w:val="18"/>
                <w:szCs w:val="18"/>
                <w:highlight w:val="magenta"/>
              </w:rPr>
            </w:pPr>
            <w:r>
              <w:rPr>
                <w:color w:val="000000"/>
                <w:sz w:val="18"/>
                <w:szCs w:val="18"/>
              </w:rPr>
              <w:t xml:space="preserve">Adequacy – owner / tenant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2C55573" w14:textId="32FE18D1"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3EDFD55" w14:textId="590AD6E0"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76BE30F" w14:textId="0FE23E1F" w:rsidR="0003297A" w:rsidRPr="002B152F" w:rsidRDefault="00E94A0E" w:rsidP="0003297A">
            <w:pPr>
              <w:spacing w:before="20" w:after="20"/>
              <w:jc w:val="right"/>
              <w:rPr>
                <w:color w:val="C00000"/>
                <w:sz w:val="18"/>
                <w:szCs w:val="18"/>
              </w:rPr>
            </w:pPr>
            <w:r w:rsidRPr="002B152F">
              <w:rPr>
                <w:color w:val="C00000"/>
                <w:sz w:val="18"/>
                <w:szCs w:val="18"/>
              </w:rPr>
              <w:t>975</w:t>
            </w:r>
          </w:p>
        </w:tc>
      </w:tr>
      <w:tr w:rsidR="0003297A" w:rsidRPr="007E7866" w14:paraId="028D16B3"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6C3DF77" w14:textId="7575F091"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360B7C4" w14:textId="7A4B6A3E"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6E407F8" w14:textId="3A37CD8D"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076A462" w14:textId="09D56BF9" w:rsidR="0003297A" w:rsidRPr="002B152F" w:rsidRDefault="00E94A0E" w:rsidP="0003297A">
            <w:pPr>
              <w:spacing w:before="20" w:after="20"/>
              <w:jc w:val="right"/>
              <w:rPr>
                <w:color w:val="C00000"/>
                <w:sz w:val="18"/>
                <w:szCs w:val="18"/>
              </w:rPr>
            </w:pPr>
            <w:r w:rsidRPr="002B152F">
              <w:rPr>
                <w:color w:val="C00000"/>
                <w:sz w:val="18"/>
                <w:szCs w:val="18"/>
              </w:rPr>
              <w:t>5.7%</w:t>
            </w:r>
          </w:p>
        </w:tc>
      </w:tr>
      <w:tr w:rsidR="0003297A" w:rsidRPr="007E7866" w14:paraId="29E8901E"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9AC955C" w14:textId="0757D140" w:rsidR="0003297A" w:rsidRPr="00D8641F" w:rsidRDefault="0003297A" w:rsidP="0003297A">
            <w:pPr>
              <w:spacing w:before="20" w:after="20"/>
              <w:rPr>
                <w:sz w:val="18"/>
                <w:szCs w:val="18"/>
                <w:highlight w:val="magenta"/>
              </w:rPr>
            </w:pPr>
            <w:r>
              <w:rPr>
                <w:color w:val="000000"/>
                <w:sz w:val="18"/>
                <w:szCs w:val="18"/>
              </w:rPr>
              <w:t>Adequacy – owner / tenant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CEADD70" w14:textId="476FA3E9"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E06E138" w14:textId="20EFEDEC"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93DFB91" w14:textId="2F874D21" w:rsidR="0003297A" w:rsidRPr="002B152F" w:rsidRDefault="00E94A0E" w:rsidP="0003297A">
            <w:pPr>
              <w:spacing w:before="20" w:after="20"/>
              <w:jc w:val="right"/>
              <w:rPr>
                <w:color w:val="C00000"/>
                <w:sz w:val="18"/>
                <w:szCs w:val="18"/>
              </w:rPr>
            </w:pPr>
            <w:r w:rsidRPr="002B152F">
              <w:rPr>
                <w:color w:val="C00000"/>
                <w:sz w:val="18"/>
                <w:szCs w:val="18"/>
              </w:rPr>
              <w:t>180</w:t>
            </w:r>
          </w:p>
        </w:tc>
      </w:tr>
      <w:tr w:rsidR="0003297A" w:rsidRPr="007E7866" w14:paraId="4D84EA55"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9ED8957" w14:textId="74A6AF05"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8BAC286" w14:textId="30373D38"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DE9755C" w14:textId="5234689B"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FC54214" w14:textId="3F9DE54A" w:rsidR="0003297A" w:rsidRPr="002B152F" w:rsidRDefault="00E94A0E" w:rsidP="0003297A">
            <w:pPr>
              <w:spacing w:before="20" w:after="20"/>
              <w:jc w:val="right"/>
              <w:rPr>
                <w:color w:val="C00000"/>
                <w:sz w:val="18"/>
                <w:szCs w:val="18"/>
              </w:rPr>
            </w:pPr>
            <w:r w:rsidRPr="002B152F">
              <w:rPr>
                <w:color w:val="C00000"/>
                <w:sz w:val="18"/>
                <w:szCs w:val="18"/>
              </w:rPr>
              <w:t>1.1%</w:t>
            </w:r>
          </w:p>
        </w:tc>
      </w:tr>
      <w:tr w:rsidR="0003297A" w:rsidRPr="007E7866" w14:paraId="5DA5A155"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F1E9C76" w14:textId="6036EB5E" w:rsidR="0003297A" w:rsidRPr="00D8641F" w:rsidRDefault="0003297A" w:rsidP="0003297A">
            <w:pPr>
              <w:spacing w:before="20" w:after="20"/>
              <w:rPr>
                <w:sz w:val="18"/>
                <w:szCs w:val="18"/>
                <w:highlight w:val="magenta"/>
              </w:rPr>
            </w:pPr>
            <w:r>
              <w:rPr>
                <w:color w:val="000000"/>
                <w:sz w:val="18"/>
                <w:szCs w:val="18"/>
              </w:rPr>
              <w:t xml:space="preserve">Adequacy – tenant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465560C" w14:textId="642EF6BD"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3A0FBC2" w14:textId="78BC8EC4"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EA2FBE0" w14:textId="74BDFACC" w:rsidR="0003297A" w:rsidRPr="002B152F" w:rsidRDefault="00E94A0E" w:rsidP="0003297A">
            <w:pPr>
              <w:spacing w:before="20" w:after="20"/>
              <w:jc w:val="right"/>
              <w:rPr>
                <w:color w:val="C00000"/>
                <w:sz w:val="18"/>
                <w:szCs w:val="18"/>
              </w:rPr>
            </w:pPr>
            <w:r w:rsidRPr="002B152F">
              <w:rPr>
                <w:color w:val="C00000"/>
                <w:sz w:val="18"/>
                <w:szCs w:val="18"/>
              </w:rPr>
              <w:t>475</w:t>
            </w:r>
          </w:p>
        </w:tc>
      </w:tr>
      <w:tr w:rsidR="0003297A" w:rsidRPr="007E7866" w14:paraId="35A342A8"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62B155E" w14:textId="374B5F38"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DDF88AC" w14:textId="06141EFF"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4FF0686" w14:textId="4CF5CD44"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38AF9EF" w14:textId="0CD07F20" w:rsidR="0003297A" w:rsidRPr="002B152F" w:rsidRDefault="00E94A0E" w:rsidP="0003297A">
            <w:pPr>
              <w:spacing w:before="20" w:after="20"/>
              <w:jc w:val="right"/>
              <w:rPr>
                <w:color w:val="C00000"/>
                <w:sz w:val="18"/>
                <w:szCs w:val="18"/>
              </w:rPr>
            </w:pPr>
            <w:r w:rsidRPr="002B152F">
              <w:rPr>
                <w:color w:val="C00000"/>
                <w:sz w:val="18"/>
                <w:szCs w:val="18"/>
              </w:rPr>
              <w:t>5.1%</w:t>
            </w:r>
          </w:p>
        </w:tc>
      </w:tr>
      <w:tr w:rsidR="0003297A" w:rsidRPr="007E7866" w14:paraId="64801049"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340F22F" w14:textId="48240C76" w:rsidR="0003297A" w:rsidRPr="00D8641F" w:rsidRDefault="0003297A" w:rsidP="0003297A">
            <w:pPr>
              <w:spacing w:before="20" w:after="20"/>
              <w:rPr>
                <w:sz w:val="18"/>
                <w:szCs w:val="18"/>
                <w:highlight w:val="magenta"/>
              </w:rPr>
            </w:pPr>
            <w:r>
              <w:rPr>
                <w:color w:val="000000"/>
                <w:sz w:val="18"/>
                <w:szCs w:val="18"/>
              </w:rPr>
              <w:t>Adequacy – tenant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D97D607" w14:textId="334AFD69"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8F2DD21" w14:textId="5EE86535"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4FACC65" w14:textId="147F87B6" w:rsidR="0003297A" w:rsidRPr="002B152F" w:rsidRDefault="00E94A0E" w:rsidP="0003297A">
            <w:pPr>
              <w:spacing w:before="20" w:after="20"/>
              <w:jc w:val="right"/>
              <w:rPr>
                <w:color w:val="C00000"/>
                <w:sz w:val="18"/>
                <w:szCs w:val="18"/>
              </w:rPr>
            </w:pPr>
            <w:r w:rsidRPr="002B152F">
              <w:rPr>
                <w:color w:val="C00000"/>
                <w:sz w:val="18"/>
                <w:szCs w:val="18"/>
              </w:rPr>
              <w:t>125</w:t>
            </w:r>
          </w:p>
        </w:tc>
      </w:tr>
      <w:tr w:rsidR="0003297A" w:rsidRPr="007E7866" w14:paraId="72AA8323"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FFDB94E" w14:textId="7B860257"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3BAB7AE" w14:textId="3C99F780"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FA9AC3C" w14:textId="79B8AC7C"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D257FF5" w14:textId="3CBDF9B9" w:rsidR="0003297A" w:rsidRPr="002B152F" w:rsidRDefault="00E94A0E" w:rsidP="0003297A">
            <w:pPr>
              <w:spacing w:before="20" w:after="20"/>
              <w:jc w:val="right"/>
              <w:rPr>
                <w:color w:val="C00000"/>
                <w:sz w:val="18"/>
                <w:szCs w:val="18"/>
              </w:rPr>
            </w:pPr>
            <w:r w:rsidRPr="002B152F">
              <w:rPr>
                <w:color w:val="C00000"/>
                <w:sz w:val="18"/>
                <w:szCs w:val="18"/>
              </w:rPr>
              <w:t>1.4%</w:t>
            </w:r>
          </w:p>
        </w:tc>
      </w:tr>
      <w:tr w:rsidR="0003297A" w:rsidRPr="007E7866" w14:paraId="3EAA3432"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275CB35" w14:textId="36315654" w:rsidR="0003297A" w:rsidRPr="00D8641F" w:rsidRDefault="0003297A" w:rsidP="0003297A">
            <w:pPr>
              <w:spacing w:before="20" w:after="20"/>
              <w:rPr>
                <w:sz w:val="18"/>
                <w:szCs w:val="18"/>
                <w:highlight w:val="magenta"/>
              </w:rPr>
            </w:pPr>
            <w:r>
              <w:rPr>
                <w:color w:val="000000"/>
                <w:sz w:val="18"/>
                <w:szCs w:val="18"/>
              </w:rPr>
              <w:t xml:space="preserve">Adequacy – owner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C015C89" w14:textId="5A754A49"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1CA246C" w14:textId="60AFB400"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B47DB05" w14:textId="4F9949E7" w:rsidR="0003297A" w:rsidRPr="002B152F" w:rsidRDefault="00E94A0E" w:rsidP="0003297A">
            <w:pPr>
              <w:spacing w:before="20" w:after="20"/>
              <w:jc w:val="right"/>
              <w:rPr>
                <w:color w:val="C00000"/>
                <w:sz w:val="18"/>
                <w:szCs w:val="18"/>
              </w:rPr>
            </w:pPr>
            <w:r w:rsidRPr="002B152F">
              <w:rPr>
                <w:color w:val="C00000"/>
                <w:sz w:val="18"/>
                <w:szCs w:val="18"/>
              </w:rPr>
              <w:t>500</w:t>
            </w:r>
          </w:p>
        </w:tc>
      </w:tr>
      <w:tr w:rsidR="0003297A" w:rsidRPr="007E7866" w14:paraId="68A8F6E1"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2A132DD" w14:textId="46B4FDF5"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D2913D1" w14:textId="3BAED972"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770CB16E" w14:textId="3DD8BEA2"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BE9EFFF" w14:textId="3F162CFC" w:rsidR="0003297A" w:rsidRPr="002B152F" w:rsidRDefault="00E94A0E" w:rsidP="0003297A">
            <w:pPr>
              <w:spacing w:before="20" w:after="20"/>
              <w:jc w:val="right"/>
              <w:rPr>
                <w:color w:val="C00000"/>
                <w:sz w:val="18"/>
                <w:szCs w:val="18"/>
              </w:rPr>
            </w:pPr>
            <w:r w:rsidRPr="002B152F">
              <w:rPr>
                <w:color w:val="C00000"/>
                <w:sz w:val="18"/>
                <w:szCs w:val="18"/>
              </w:rPr>
              <w:t>6.3%</w:t>
            </w:r>
          </w:p>
        </w:tc>
      </w:tr>
      <w:tr w:rsidR="0003297A" w:rsidRPr="007E7866" w14:paraId="56B5FFDE"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5140F7F" w14:textId="3AF359AA" w:rsidR="0003297A" w:rsidRPr="00D8641F" w:rsidRDefault="0003297A" w:rsidP="0003297A">
            <w:pPr>
              <w:spacing w:before="20" w:after="20"/>
              <w:rPr>
                <w:sz w:val="18"/>
                <w:szCs w:val="18"/>
                <w:highlight w:val="magenta"/>
              </w:rPr>
            </w:pPr>
            <w:r>
              <w:rPr>
                <w:color w:val="000000"/>
                <w:sz w:val="18"/>
                <w:szCs w:val="18"/>
              </w:rPr>
              <w:t>Adequacy – owner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DA35B58" w14:textId="7E61C732"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E6E57EB" w14:textId="0823B703"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EF4217F" w14:textId="5D30ACA7" w:rsidR="0003297A" w:rsidRPr="002B152F" w:rsidRDefault="00E94A0E" w:rsidP="0003297A">
            <w:pPr>
              <w:spacing w:before="20" w:after="20"/>
              <w:jc w:val="right"/>
              <w:rPr>
                <w:color w:val="C00000"/>
                <w:sz w:val="18"/>
                <w:szCs w:val="18"/>
              </w:rPr>
            </w:pPr>
            <w:r w:rsidRPr="002B152F">
              <w:rPr>
                <w:color w:val="C00000"/>
                <w:sz w:val="18"/>
                <w:szCs w:val="18"/>
              </w:rPr>
              <w:t>55</w:t>
            </w:r>
          </w:p>
        </w:tc>
      </w:tr>
      <w:tr w:rsidR="0003297A" w:rsidRPr="007E7866" w14:paraId="419741CA"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F25D5B8" w14:textId="2F5C7635"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984C72B" w14:textId="04FB0972"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4FCB655" w14:textId="2DA60FB1"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5D96F7F" w14:textId="56B4B265" w:rsidR="0003297A" w:rsidRPr="002B152F" w:rsidRDefault="00E94A0E" w:rsidP="0003297A">
            <w:pPr>
              <w:spacing w:before="20" w:after="20"/>
              <w:jc w:val="right"/>
              <w:rPr>
                <w:color w:val="C00000"/>
                <w:sz w:val="18"/>
                <w:szCs w:val="18"/>
              </w:rPr>
            </w:pPr>
            <w:r w:rsidRPr="002B152F">
              <w:rPr>
                <w:color w:val="C00000"/>
                <w:sz w:val="18"/>
                <w:szCs w:val="18"/>
              </w:rPr>
              <w:t>0.7%</w:t>
            </w:r>
          </w:p>
        </w:tc>
      </w:tr>
      <w:tr w:rsidR="0003297A" w:rsidRPr="007E7866" w14:paraId="7CC700E5"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2C3B660" w14:textId="675925EB" w:rsidR="0003297A" w:rsidRPr="00D8641F" w:rsidRDefault="0003297A" w:rsidP="0003297A">
            <w:pPr>
              <w:spacing w:before="20" w:after="20"/>
              <w:rPr>
                <w:sz w:val="18"/>
                <w:szCs w:val="18"/>
                <w:highlight w:val="magenta"/>
              </w:rPr>
            </w:pPr>
            <w:r>
              <w:rPr>
                <w:color w:val="000000"/>
                <w:sz w:val="18"/>
                <w:szCs w:val="18"/>
              </w:rPr>
              <w:t xml:space="preserve">Suitability – owner / tenant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9387278" w14:textId="30D886D7"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96A462E" w14:textId="7DB9A737"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58C2728" w14:textId="5650E343" w:rsidR="0003297A" w:rsidRPr="002B152F" w:rsidRDefault="00E94A0E" w:rsidP="0003297A">
            <w:pPr>
              <w:spacing w:before="20" w:after="20"/>
              <w:jc w:val="right"/>
              <w:rPr>
                <w:color w:val="C00000"/>
                <w:sz w:val="18"/>
                <w:szCs w:val="18"/>
              </w:rPr>
            </w:pPr>
            <w:r w:rsidRPr="002B152F">
              <w:rPr>
                <w:color w:val="C00000"/>
                <w:sz w:val="18"/>
                <w:szCs w:val="18"/>
              </w:rPr>
              <w:t>815</w:t>
            </w:r>
          </w:p>
        </w:tc>
      </w:tr>
      <w:tr w:rsidR="0003297A" w:rsidRPr="007E7866" w14:paraId="2816CED8"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97A4973" w14:textId="782B6BF6"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360AF25" w14:textId="1D1EC1A7"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0D21D16" w14:textId="3FF7E0A9"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F2C0DB7" w14:textId="237287B1" w:rsidR="0003297A" w:rsidRPr="002B152F" w:rsidRDefault="00E94A0E" w:rsidP="0003297A">
            <w:pPr>
              <w:spacing w:before="20" w:after="20"/>
              <w:jc w:val="right"/>
              <w:rPr>
                <w:color w:val="C00000"/>
                <w:sz w:val="18"/>
                <w:szCs w:val="18"/>
              </w:rPr>
            </w:pPr>
            <w:r w:rsidRPr="002B152F">
              <w:rPr>
                <w:color w:val="C00000"/>
                <w:sz w:val="18"/>
                <w:szCs w:val="18"/>
              </w:rPr>
              <w:t>4.7%</w:t>
            </w:r>
          </w:p>
        </w:tc>
      </w:tr>
      <w:tr w:rsidR="0003297A" w:rsidRPr="007E7866" w14:paraId="1E946EE8"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E09F223" w14:textId="68742112" w:rsidR="0003297A" w:rsidRPr="00D8641F" w:rsidRDefault="0003297A" w:rsidP="0003297A">
            <w:pPr>
              <w:spacing w:before="20" w:after="20"/>
              <w:rPr>
                <w:sz w:val="18"/>
                <w:szCs w:val="18"/>
                <w:highlight w:val="magenta"/>
              </w:rPr>
            </w:pPr>
            <w:r>
              <w:rPr>
                <w:color w:val="000000"/>
                <w:sz w:val="18"/>
                <w:szCs w:val="18"/>
              </w:rPr>
              <w:t>Suitability – owner / tenant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E9AEF00" w14:textId="22B15F40"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4E40429" w14:textId="099FD85F"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8CF9504" w14:textId="543C57E1" w:rsidR="0003297A" w:rsidRPr="002B152F" w:rsidRDefault="00E94A0E" w:rsidP="0003297A">
            <w:pPr>
              <w:spacing w:before="20" w:after="20"/>
              <w:jc w:val="right"/>
              <w:rPr>
                <w:color w:val="C00000"/>
                <w:sz w:val="18"/>
                <w:szCs w:val="18"/>
              </w:rPr>
            </w:pPr>
            <w:r w:rsidRPr="002B152F">
              <w:rPr>
                <w:color w:val="C00000"/>
                <w:sz w:val="18"/>
                <w:szCs w:val="18"/>
              </w:rPr>
              <w:t>100</w:t>
            </w:r>
          </w:p>
        </w:tc>
      </w:tr>
      <w:tr w:rsidR="0003297A" w:rsidRPr="007E7866" w14:paraId="2AA7BFCD"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F6F7374" w14:textId="2A042264"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1ACF352" w14:textId="79088FF2"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927D246" w14:textId="58871EFD"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2FF63E2" w14:textId="52BCB54A" w:rsidR="0003297A" w:rsidRPr="002B152F" w:rsidRDefault="00E94A0E" w:rsidP="0003297A">
            <w:pPr>
              <w:spacing w:before="20" w:after="20"/>
              <w:jc w:val="right"/>
              <w:rPr>
                <w:color w:val="C00000"/>
                <w:sz w:val="18"/>
                <w:szCs w:val="18"/>
              </w:rPr>
            </w:pPr>
            <w:r w:rsidRPr="002B152F">
              <w:rPr>
                <w:color w:val="C00000"/>
                <w:sz w:val="18"/>
                <w:szCs w:val="18"/>
              </w:rPr>
              <w:t>0.6%</w:t>
            </w:r>
          </w:p>
        </w:tc>
      </w:tr>
      <w:tr w:rsidR="0003297A" w:rsidRPr="007E7866" w14:paraId="2C9A6DF1"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075E821" w14:textId="51E447C9" w:rsidR="0003297A" w:rsidRPr="00D8641F" w:rsidRDefault="0003297A" w:rsidP="0003297A">
            <w:pPr>
              <w:spacing w:before="20" w:after="20"/>
              <w:rPr>
                <w:sz w:val="18"/>
                <w:szCs w:val="18"/>
                <w:highlight w:val="magenta"/>
              </w:rPr>
            </w:pPr>
            <w:r>
              <w:rPr>
                <w:color w:val="000000"/>
                <w:sz w:val="18"/>
                <w:szCs w:val="18"/>
              </w:rPr>
              <w:t xml:space="preserve">Suitability – tenant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656E67F" w14:textId="2968B346"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B56AA9D" w14:textId="30B25B59"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ED56BEF" w14:textId="456733C8" w:rsidR="0003297A" w:rsidRPr="002B152F" w:rsidRDefault="00E94A0E" w:rsidP="0003297A">
            <w:pPr>
              <w:spacing w:before="20" w:after="20"/>
              <w:jc w:val="right"/>
              <w:rPr>
                <w:color w:val="C00000"/>
                <w:sz w:val="18"/>
                <w:szCs w:val="18"/>
              </w:rPr>
            </w:pPr>
            <w:r w:rsidRPr="002B152F">
              <w:rPr>
                <w:color w:val="C00000"/>
                <w:sz w:val="18"/>
                <w:szCs w:val="18"/>
              </w:rPr>
              <w:t>690</w:t>
            </w:r>
          </w:p>
        </w:tc>
      </w:tr>
      <w:tr w:rsidR="0003297A" w:rsidRPr="007E7866" w14:paraId="1DAAD1F6"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B788048" w14:textId="233A6051"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8DE19CF" w14:textId="068038A5"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4EAED25" w14:textId="0009B589"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B90D0E6" w14:textId="0F8606F7" w:rsidR="0003297A" w:rsidRPr="002B152F" w:rsidRDefault="00E94A0E" w:rsidP="0003297A">
            <w:pPr>
              <w:spacing w:before="20" w:after="20"/>
              <w:jc w:val="right"/>
              <w:rPr>
                <w:color w:val="C00000"/>
                <w:sz w:val="18"/>
                <w:szCs w:val="18"/>
              </w:rPr>
            </w:pPr>
            <w:r w:rsidRPr="002B152F">
              <w:rPr>
                <w:color w:val="C00000"/>
                <w:sz w:val="18"/>
                <w:szCs w:val="18"/>
              </w:rPr>
              <w:t>7.4%</w:t>
            </w:r>
          </w:p>
        </w:tc>
      </w:tr>
      <w:tr w:rsidR="0003297A" w:rsidRPr="007E7866" w14:paraId="1B38A725"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D458C01" w14:textId="7898515B" w:rsidR="0003297A" w:rsidRPr="00D8641F" w:rsidRDefault="0003297A" w:rsidP="0003297A">
            <w:pPr>
              <w:spacing w:before="20" w:after="20"/>
              <w:rPr>
                <w:sz w:val="18"/>
                <w:szCs w:val="18"/>
                <w:highlight w:val="magenta"/>
              </w:rPr>
            </w:pPr>
            <w:r>
              <w:rPr>
                <w:color w:val="000000"/>
                <w:sz w:val="18"/>
                <w:szCs w:val="18"/>
              </w:rPr>
              <w:t>Suitability – tenant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018E0B3" w14:textId="7A0D0F80"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26384DA" w14:textId="62189D6E"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57100CE" w14:textId="655C6F95" w:rsidR="0003297A" w:rsidRPr="002B152F" w:rsidRDefault="00E94A0E" w:rsidP="0003297A">
            <w:pPr>
              <w:spacing w:before="20" w:after="20"/>
              <w:jc w:val="right"/>
              <w:rPr>
                <w:color w:val="C00000"/>
                <w:sz w:val="18"/>
                <w:szCs w:val="18"/>
              </w:rPr>
            </w:pPr>
            <w:r w:rsidRPr="002B152F">
              <w:rPr>
                <w:color w:val="C00000"/>
                <w:sz w:val="18"/>
                <w:szCs w:val="18"/>
              </w:rPr>
              <w:t>75</w:t>
            </w:r>
          </w:p>
        </w:tc>
      </w:tr>
      <w:tr w:rsidR="0003297A" w:rsidRPr="007E7866" w14:paraId="410BD2BE"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770F4C8" w14:textId="2631932D"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36B7B4A" w14:textId="1CC86B07"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DCE328C" w14:textId="4FBEA1B7"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D65AF87" w14:textId="5F4ECFD5" w:rsidR="0003297A" w:rsidRPr="002B152F" w:rsidRDefault="00E94A0E" w:rsidP="0003297A">
            <w:pPr>
              <w:spacing w:before="20" w:after="20"/>
              <w:jc w:val="right"/>
              <w:rPr>
                <w:color w:val="C00000"/>
                <w:sz w:val="18"/>
                <w:szCs w:val="18"/>
              </w:rPr>
            </w:pPr>
            <w:r w:rsidRPr="002B152F">
              <w:rPr>
                <w:color w:val="C00000"/>
                <w:sz w:val="18"/>
                <w:szCs w:val="18"/>
              </w:rPr>
              <w:t>0.8%</w:t>
            </w:r>
          </w:p>
        </w:tc>
      </w:tr>
      <w:tr w:rsidR="0003297A" w:rsidRPr="007E7866" w14:paraId="5B579337"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DA090DF" w14:textId="14FC8600" w:rsidR="0003297A" w:rsidRPr="00D8641F" w:rsidRDefault="0003297A" w:rsidP="0003297A">
            <w:pPr>
              <w:spacing w:before="20" w:after="20"/>
              <w:rPr>
                <w:sz w:val="18"/>
                <w:szCs w:val="18"/>
                <w:highlight w:val="magenta"/>
              </w:rPr>
            </w:pPr>
            <w:r>
              <w:rPr>
                <w:color w:val="000000"/>
                <w:sz w:val="18"/>
                <w:szCs w:val="18"/>
              </w:rPr>
              <w:t xml:space="preserve">Suitability – owner HH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3E2B0A7" w14:textId="36644144"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839DFC1" w14:textId="3F28A54B"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A9FB109" w14:textId="155A150D" w:rsidR="0003297A" w:rsidRPr="002B152F" w:rsidRDefault="00E94A0E" w:rsidP="0003297A">
            <w:pPr>
              <w:spacing w:before="20" w:after="20"/>
              <w:jc w:val="right"/>
              <w:rPr>
                <w:color w:val="C00000"/>
                <w:sz w:val="18"/>
                <w:szCs w:val="18"/>
              </w:rPr>
            </w:pPr>
            <w:r w:rsidRPr="002B152F">
              <w:rPr>
                <w:color w:val="C00000"/>
                <w:sz w:val="18"/>
                <w:szCs w:val="18"/>
              </w:rPr>
              <w:t>130</w:t>
            </w:r>
          </w:p>
        </w:tc>
      </w:tr>
      <w:tr w:rsidR="0003297A" w:rsidRPr="007E7866" w14:paraId="399E510F"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9B78304" w14:textId="3BE64F4B"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02A08B9" w14:textId="03F4C71D"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B11D41E" w14:textId="60874D7E" w:rsidR="0003297A" w:rsidRPr="007E7866" w:rsidRDefault="00E94A0E" w:rsidP="00E94A0E">
            <w:pPr>
              <w:spacing w:before="20" w:after="20"/>
              <w:ind w:left="76"/>
              <w:rPr>
                <w:sz w:val="18"/>
                <w:szCs w:val="18"/>
              </w:rPr>
            </w:pPr>
            <w:r>
              <w:rPr>
                <w:color w:val="000000"/>
                <w:sz w:val="18"/>
                <w:szCs w:val="18"/>
              </w:rPr>
              <w:t>Table 98-10-0622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79D53A3" w14:textId="41B4D030" w:rsidR="0003297A" w:rsidRPr="002B152F" w:rsidRDefault="00E94A0E" w:rsidP="0003297A">
            <w:pPr>
              <w:spacing w:before="20" w:after="20"/>
              <w:jc w:val="right"/>
              <w:rPr>
                <w:color w:val="C00000"/>
                <w:sz w:val="18"/>
                <w:szCs w:val="18"/>
              </w:rPr>
            </w:pPr>
            <w:r w:rsidRPr="002B152F">
              <w:rPr>
                <w:color w:val="C00000"/>
                <w:sz w:val="18"/>
                <w:szCs w:val="18"/>
              </w:rPr>
              <w:t>1.7%</w:t>
            </w:r>
          </w:p>
        </w:tc>
      </w:tr>
      <w:tr w:rsidR="0003297A" w:rsidRPr="007E7866" w14:paraId="7C8E3653"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99872CF" w14:textId="2D697CE9" w:rsidR="0003297A" w:rsidRPr="00D8641F" w:rsidRDefault="0003297A" w:rsidP="0003297A">
            <w:pPr>
              <w:spacing w:before="20" w:after="20"/>
              <w:rPr>
                <w:sz w:val="18"/>
                <w:szCs w:val="18"/>
                <w:highlight w:val="magenta"/>
              </w:rPr>
            </w:pPr>
            <w:r>
              <w:rPr>
                <w:color w:val="000000"/>
                <w:sz w:val="18"/>
                <w:szCs w:val="18"/>
              </w:rPr>
              <w:t>Suitability – owner HH in core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879382E" w14:textId="1ADC85AB" w:rsidR="0003297A" w:rsidRPr="00D8641F" w:rsidRDefault="0003297A" w:rsidP="0003297A">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4F5AEA5F" w14:textId="1900A3ED"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D6D1368" w14:textId="489D746B" w:rsidR="0003297A" w:rsidRPr="002B152F" w:rsidRDefault="00E94A0E" w:rsidP="0003297A">
            <w:pPr>
              <w:spacing w:before="20" w:after="20"/>
              <w:jc w:val="right"/>
              <w:rPr>
                <w:color w:val="C00000"/>
                <w:sz w:val="18"/>
                <w:szCs w:val="18"/>
              </w:rPr>
            </w:pPr>
            <w:r w:rsidRPr="002B152F">
              <w:rPr>
                <w:color w:val="C00000"/>
                <w:sz w:val="18"/>
                <w:szCs w:val="18"/>
              </w:rPr>
              <w:t>0</w:t>
            </w:r>
          </w:p>
        </w:tc>
      </w:tr>
      <w:tr w:rsidR="0003297A" w:rsidRPr="007E7866" w14:paraId="6641B13B"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6C6FB2C" w14:textId="5B8804FC" w:rsidR="0003297A" w:rsidRPr="00D8641F" w:rsidRDefault="00E94A0E" w:rsidP="0003297A">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A9EABEA" w14:textId="480CAC49" w:rsidR="0003297A" w:rsidRPr="00D8641F" w:rsidRDefault="0003297A" w:rsidP="0003297A">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EA9231D" w14:textId="293A587E" w:rsidR="0003297A" w:rsidRPr="007E7866" w:rsidRDefault="00E94A0E" w:rsidP="00E94A0E">
            <w:pPr>
              <w:spacing w:before="20" w:after="20"/>
              <w:ind w:left="76"/>
              <w:rPr>
                <w:sz w:val="18"/>
                <w:szCs w:val="18"/>
              </w:rPr>
            </w:pPr>
            <w:r>
              <w:rPr>
                <w:color w:val="000000"/>
                <w:sz w:val="18"/>
                <w:szCs w:val="18"/>
              </w:rPr>
              <w:t>HART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435FD42" w14:textId="3E61A9CC" w:rsidR="0003297A" w:rsidRPr="002B152F" w:rsidRDefault="00E94A0E" w:rsidP="0003297A">
            <w:pPr>
              <w:spacing w:before="20" w:after="20"/>
              <w:jc w:val="right"/>
              <w:rPr>
                <w:color w:val="C00000"/>
                <w:sz w:val="18"/>
                <w:szCs w:val="18"/>
              </w:rPr>
            </w:pPr>
            <w:r w:rsidRPr="002B152F">
              <w:rPr>
                <w:color w:val="C00000"/>
                <w:sz w:val="18"/>
                <w:szCs w:val="18"/>
              </w:rPr>
              <w:t>0.0%</w:t>
            </w:r>
          </w:p>
        </w:tc>
      </w:tr>
      <w:tr w:rsidR="007E7866" w:rsidRPr="007E7866" w14:paraId="7A00921D"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138FFA0" w14:textId="17404C78" w:rsidR="007E7866" w:rsidRPr="00D8641F" w:rsidRDefault="007E7866" w:rsidP="007E7866">
            <w:pPr>
              <w:spacing w:before="20" w:after="20"/>
              <w:rPr>
                <w:sz w:val="18"/>
                <w:szCs w:val="18"/>
                <w:highlight w:val="magenta"/>
              </w:rPr>
            </w:pPr>
            <w:r>
              <w:rPr>
                <w:color w:val="000000"/>
                <w:sz w:val="18"/>
                <w:szCs w:val="18"/>
              </w:rPr>
              <w:t>Total households in core housing need</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2B352C7" w14:textId="732DE788" w:rsidR="007E7866" w:rsidRPr="00D8641F" w:rsidRDefault="0003297A" w:rsidP="007E7866">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2CFD4E3" w14:textId="43184C9C" w:rsidR="007E78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47B51DE" w14:textId="163FCE6C" w:rsidR="007E7866" w:rsidRPr="002B152F" w:rsidRDefault="00E94A0E" w:rsidP="007E7866">
            <w:pPr>
              <w:spacing w:before="20" w:after="20"/>
              <w:jc w:val="right"/>
              <w:rPr>
                <w:color w:val="C00000"/>
                <w:sz w:val="18"/>
                <w:szCs w:val="18"/>
              </w:rPr>
            </w:pPr>
            <w:r w:rsidRPr="002B152F">
              <w:rPr>
                <w:color w:val="C00000"/>
                <w:sz w:val="18"/>
                <w:szCs w:val="18"/>
              </w:rPr>
              <w:t>1,495</w:t>
            </w:r>
          </w:p>
        </w:tc>
      </w:tr>
      <w:tr w:rsidR="007E7866" w:rsidRPr="007E7866" w14:paraId="663F0C9A"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2F259A3" w14:textId="045B048B" w:rsidR="007E7866" w:rsidRPr="00D8641F" w:rsidRDefault="007E7866" w:rsidP="007E7866">
            <w:pPr>
              <w:spacing w:before="20" w:after="20"/>
              <w:rPr>
                <w:sz w:val="18"/>
                <w:szCs w:val="18"/>
                <w:highlight w:val="magenta"/>
              </w:rPr>
            </w:pPr>
            <w:r>
              <w:rPr>
                <w:color w:val="000000"/>
                <w:sz w:val="18"/>
                <w:szCs w:val="18"/>
              </w:rPr>
              <w:t>% tenant HH in core housing need</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6657E16" w14:textId="07C648CD" w:rsidR="007E7866" w:rsidRPr="00D8641F" w:rsidRDefault="003D7124" w:rsidP="007E78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41E87CF" w14:textId="5CE38663" w:rsidR="007E78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EA2CA7E" w14:textId="1FA75A5C" w:rsidR="007E7866" w:rsidRPr="002B152F" w:rsidRDefault="00E94A0E" w:rsidP="007E7866">
            <w:pPr>
              <w:spacing w:before="20" w:after="20"/>
              <w:jc w:val="right"/>
              <w:rPr>
                <w:color w:val="C00000"/>
                <w:sz w:val="18"/>
                <w:szCs w:val="18"/>
              </w:rPr>
            </w:pPr>
            <w:r w:rsidRPr="002B152F">
              <w:rPr>
                <w:color w:val="C00000"/>
                <w:sz w:val="18"/>
                <w:szCs w:val="18"/>
              </w:rPr>
              <w:t>13.9%</w:t>
            </w:r>
          </w:p>
        </w:tc>
      </w:tr>
      <w:tr w:rsidR="007E7866" w:rsidRPr="007E7866" w14:paraId="5846AE1C" w14:textId="77777777" w:rsidTr="006F17E0">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BD35F11" w14:textId="728942A5" w:rsidR="007E7866" w:rsidRPr="00D8641F" w:rsidRDefault="007E7866" w:rsidP="007E7866">
            <w:pPr>
              <w:spacing w:before="20" w:after="20"/>
              <w:rPr>
                <w:sz w:val="18"/>
                <w:szCs w:val="18"/>
                <w:highlight w:val="magenta"/>
              </w:rPr>
            </w:pPr>
            <w:r>
              <w:rPr>
                <w:color w:val="000000"/>
                <w:sz w:val="18"/>
                <w:szCs w:val="18"/>
              </w:rPr>
              <w:t>% owner HH in core housing need</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6F2D0F7" w14:textId="0E91F2DA" w:rsidR="007E7866" w:rsidRPr="00D8641F" w:rsidRDefault="003D7124" w:rsidP="007E7866">
            <w:pPr>
              <w:spacing w:before="20" w:after="20"/>
              <w:rPr>
                <w:sz w:val="18"/>
                <w:szCs w:val="18"/>
                <w:highlight w:val="magenta"/>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C7F4A46" w14:textId="101E58C9" w:rsidR="007E7866" w:rsidRPr="007E7866" w:rsidRDefault="00E94A0E" w:rsidP="00E94A0E">
            <w:pPr>
              <w:spacing w:before="20" w:after="20"/>
              <w:ind w:left="76"/>
              <w:rPr>
                <w:sz w:val="18"/>
                <w:szCs w:val="18"/>
              </w:rPr>
            </w:pPr>
            <w:r>
              <w:rPr>
                <w:color w:val="000000"/>
                <w:sz w:val="18"/>
                <w:szCs w:val="18"/>
              </w:rPr>
              <w:t>Table 98-10-0624</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C4759A3" w14:textId="7740C459" w:rsidR="007E7866" w:rsidRPr="002B152F" w:rsidRDefault="00E94A0E" w:rsidP="007E7866">
            <w:pPr>
              <w:spacing w:before="20" w:after="20"/>
              <w:jc w:val="right"/>
              <w:rPr>
                <w:color w:val="C00000"/>
                <w:sz w:val="18"/>
                <w:szCs w:val="18"/>
              </w:rPr>
            </w:pPr>
            <w:r w:rsidRPr="002B152F">
              <w:rPr>
                <w:color w:val="C00000"/>
                <w:sz w:val="18"/>
                <w:szCs w:val="18"/>
              </w:rPr>
              <w:t>3.2%</w:t>
            </w:r>
          </w:p>
        </w:tc>
      </w:tr>
    </w:tbl>
    <w:p w14:paraId="2A925798" w14:textId="77777777" w:rsidR="0043538E" w:rsidRDefault="0043538E" w:rsidP="00DA24F7"/>
    <w:p w14:paraId="75AB31DE" w14:textId="77777777" w:rsidR="008C5E18" w:rsidRDefault="008C5E18" w:rsidP="00DA24F7"/>
    <w:p w14:paraId="27320857" w14:textId="77777777" w:rsidR="004B0531" w:rsidRDefault="004B0531" w:rsidP="00DA24F7"/>
    <w:p w14:paraId="7684E752" w14:textId="77777777" w:rsidR="004B0531" w:rsidRDefault="004B0531" w:rsidP="00DA24F7"/>
    <w:p w14:paraId="2E37AF1E" w14:textId="77777777" w:rsidR="008C5E18" w:rsidRDefault="008C5E18" w:rsidP="00DA24F7"/>
    <w:p w14:paraId="4B371984" w14:textId="77777777" w:rsidR="0043538E" w:rsidRDefault="000511ED" w:rsidP="008258B2">
      <w:pPr>
        <w:rPr>
          <w:b/>
          <w:bCs/>
        </w:rPr>
      </w:pPr>
      <w:r w:rsidRPr="008258B2">
        <w:rPr>
          <w:b/>
          <w:bCs/>
        </w:rPr>
        <w:lastRenderedPageBreak/>
        <w:t>Income Categories and Affordable Shelter Costs (HART)</w:t>
      </w:r>
    </w:p>
    <w:p w14:paraId="71EB8998" w14:textId="77777777" w:rsidR="008258B2" w:rsidRPr="008258B2" w:rsidRDefault="008258B2" w:rsidP="008258B2">
      <w:pPr>
        <w:rPr>
          <w:b/>
          <w:bCs/>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9"/>
        <w:gridCol w:w="1876"/>
        <w:gridCol w:w="1715"/>
        <w:gridCol w:w="1715"/>
        <w:gridCol w:w="1715"/>
      </w:tblGrid>
      <w:tr w:rsidR="0043538E" w:rsidRPr="0027758E" w14:paraId="68710E81" w14:textId="77777777" w:rsidTr="003C59F9">
        <w:tc>
          <w:tcPr>
            <w:tcW w:w="2339"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1BDAB8BE" w14:textId="77777777" w:rsidR="0043538E" w:rsidRPr="0027758E" w:rsidRDefault="000511ED">
            <w:pPr>
              <w:rPr>
                <w:sz w:val="18"/>
                <w:szCs w:val="18"/>
              </w:rPr>
            </w:pPr>
            <w:r w:rsidRPr="0027758E">
              <w:rPr>
                <w:color w:val="FFFFFF"/>
                <w:sz w:val="18"/>
                <w:szCs w:val="18"/>
              </w:rPr>
              <w:t>Income Category</w:t>
            </w:r>
          </w:p>
        </w:tc>
        <w:tc>
          <w:tcPr>
            <w:tcW w:w="1876"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30EE180F" w14:textId="77777777" w:rsidR="0043538E" w:rsidRPr="0027758E" w:rsidRDefault="000511ED" w:rsidP="0027758E">
            <w:pPr>
              <w:jc w:val="right"/>
              <w:rPr>
                <w:sz w:val="18"/>
                <w:szCs w:val="18"/>
              </w:rPr>
            </w:pPr>
            <w:r w:rsidRPr="0027758E">
              <w:rPr>
                <w:color w:val="FFFFFF"/>
                <w:sz w:val="18"/>
                <w:szCs w:val="18"/>
              </w:rPr>
              <w:t>Income Range</w:t>
            </w:r>
          </w:p>
        </w:tc>
        <w:tc>
          <w:tcPr>
            <w:tcW w:w="1715"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391DB26B" w14:textId="77777777" w:rsidR="0043538E" w:rsidRPr="0027758E" w:rsidRDefault="000511ED" w:rsidP="0027758E">
            <w:pPr>
              <w:jc w:val="right"/>
              <w:rPr>
                <w:sz w:val="18"/>
                <w:szCs w:val="18"/>
              </w:rPr>
            </w:pPr>
            <w:r w:rsidRPr="0027758E">
              <w:rPr>
                <w:color w:val="FFFFFF"/>
                <w:sz w:val="18"/>
                <w:szCs w:val="18"/>
              </w:rPr>
              <w:t>Max Rent (30%)</w:t>
            </w:r>
          </w:p>
        </w:tc>
        <w:tc>
          <w:tcPr>
            <w:tcW w:w="1715"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43528AD6" w14:textId="77777777" w:rsidR="0043538E" w:rsidRPr="0027758E" w:rsidRDefault="000511ED" w:rsidP="0027758E">
            <w:pPr>
              <w:jc w:val="right"/>
              <w:rPr>
                <w:sz w:val="18"/>
                <w:szCs w:val="18"/>
              </w:rPr>
            </w:pPr>
            <w:r w:rsidRPr="0027758E">
              <w:rPr>
                <w:color w:val="FFFFFF"/>
                <w:sz w:val="18"/>
                <w:szCs w:val="18"/>
              </w:rPr>
              <w:t>HH Count</w:t>
            </w:r>
          </w:p>
        </w:tc>
        <w:tc>
          <w:tcPr>
            <w:tcW w:w="1715"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0A51705" w14:textId="77777777" w:rsidR="0043538E" w:rsidRPr="0027758E" w:rsidRDefault="000511ED" w:rsidP="0027758E">
            <w:pPr>
              <w:jc w:val="right"/>
              <w:rPr>
                <w:sz w:val="18"/>
                <w:szCs w:val="18"/>
              </w:rPr>
            </w:pPr>
            <w:r w:rsidRPr="0027758E">
              <w:rPr>
                <w:color w:val="FFFFFF"/>
                <w:sz w:val="18"/>
                <w:szCs w:val="18"/>
              </w:rPr>
              <w:t>% in Core Need</w:t>
            </w:r>
          </w:p>
        </w:tc>
      </w:tr>
      <w:tr w:rsidR="0043538E" w:rsidRPr="0027758E" w14:paraId="7FE26203" w14:textId="77777777" w:rsidTr="003C59F9">
        <w:tc>
          <w:tcPr>
            <w:tcW w:w="2339"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54465616" w14:textId="11A3AA74" w:rsidR="0043538E" w:rsidRPr="0027758E" w:rsidRDefault="000511ED">
            <w:pPr>
              <w:spacing w:before="20" w:after="20"/>
              <w:rPr>
                <w:sz w:val="18"/>
                <w:szCs w:val="18"/>
              </w:rPr>
            </w:pPr>
            <w:r w:rsidRPr="0027758E">
              <w:rPr>
                <w:sz w:val="18"/>
                <w:szCs w:val="18"/>
              </w:rPr>
              <w:t>Very Low</w:t>
            </w:r>
          </w:p>
        </w:tc>
        <w:tc>
          <w:tcPr>
            <w:tcW w:w="1876"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29616110" w14:textId="658E68B0" w:rsidR="0043538E" w:rsidRPr="000D1490" w:rsidRDefault="008C5E18" w:rsidP="0027758E">
            <w:pPr>
              <w:spacing w:before="20" w:after="20"/>
              <w:jc w:val="right"/>
              <w:rPr>
                <w:color w:val="C00000"/>
                <w:sz w:val="18"/>
                <w:szCs w:val="18"/>
              </w:rPr>
            </w:pPr>
            <w:r w:rsidRPr="000D1490">
              <w:rPr>
                <w:color w:val="C00000"/>
                <w:sz w:val="18"/>
                <w:szCs w:val="18"/>
              </w:rPr>
              <w:t>$0 to $13,300</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17D558D7" w14:textId="477167AC" w:rsidR="0043538E" w:rsidRPr="000D1490" w:rsidRDefault="008C5E18" w:rsidP="0027758E">
            <w:pPr>
              <w:spacing w:before="20" w:after="20"/>
              <w:jc w:val="right"/>
              <w:rPr>
                <w:color w:val="C00000"/>
                <w:sz w:val="18"/>
                <w:szCs w:val="18"/>
              </w:rPr>
            </w:pPr>
            <w:r w:rsidRPr="000D1490">
              <w:rPr>
                <w:color w:val="C00000"/>
                <w:sz w:val="18"/>
                <w:szCs w:val="18"/>
              </w:rPr>
              <w:t>$333</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6EBDE228" w14:textId="60438650" w:rsidR="0043538E" w:rsidRPr="000D1490" w:rsidRDefault="008C5E18" w:rsidP="0027758E">
            <w:pPr>
              <w:spacing w:before="20" w:after="20"/>
              <w:jc w:val="right"/>
              <w:rPr>
                <w:color w:val="C00000"/>
                <w:sz w:val="18"/>
                <w:szCs w:val="18"/>
              </w:rPr>
            </w:pPr>
            <w:r w:rsidRPr="000D1490">
              <w:rPr>
                <w:color w:val="C00000"/>
                <w:sz w:val="18"/>
                <w:szCs w:val="18"/>
              </w:rPr>
              <w:t>480</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0599FF43" w14:textId="0BBA85CB" w:rsidR="0043538E" w:rsidRPr="000D1490" w:rsidRDefault="008C5E18" w:rsidP="0027758E">
            <w:pPr>
              <w:spacing w:before="20" w:after="20"/>
              <w:jc w:val="right"/>
              <w:rPr>
                <w:color w:val="C00000"/>
                <w:sz w:val="18"/>
                <w:szCs w:val="18"/>
              </w:rPr>
            </w:pPr>
            <w:r w:rsidRPr="000D1490">
              <w:rPr>
                <w:color w:val="C00000"/>
                <w:sz w:val="18"/>
                <w:szCs w:val="18"/>
              </w:rPr>
              <w:t>35%</w:t>
            </w:r>
          </w:p>
        </w:tc>
      </w:tr>
      <w:tr w:rsidR="0043538E" w:rsidRPr="0027758E" w14:paraId="2EBDDDD0" w14:textId="77777777" w:rsidTr="003C59F9">
        <w:tc>
          <w:tcPr>
            <w:tcW w:w="23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2AD70188" w14:textId="021AF103" w:rsidR="0043538E" w:rsidRPr="0027758E" w:rsidRDefault="000511ED">
            <w:pPr>
              <w:spacing w:before="20" w:after="20"/>
              <w:rPr>
                <w:sz w:val="18"/>
                <w:szCs w:val="18"/>
              </w:rPr>
            </w:pPr>
            <w:r>
              <w:rPr>
                <w:color w:val="000000"/>
                <w:sz w:val="18"/>
                <w:szCs w:val="18"/>
              </w:rPr>
              <w:t>Low</w:t>
            </w:r>
          </w:p>
        </w:tc>
        <w:tc>
          <w:tcPr>
            <w:tcW w:w="1876"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15627C60" w14:textId="03EBF8AB" w:rsidR="0043538E" w:rsidRPr="000D1490" w:rsidRDefault="008C5E18" w:rsidP="0027758E">
            <w:pPr>
              <w:spacing w:before="20" w:after="20"/>
              <w:jc w:val="right"/>
              <w:rPr>
                <w:color w:val="C00000"/>
                <w:sz w:val="18"/>
                <w:szCs w:val="18"/>
              </w:rPr>
            </w:pPr>
            <w:r w:rsidRPr="000D1490">
              <w:rPr>
                <w:color w:val="C00000"/>
                <w:sz w:val="18"/>
                <w:szCs w:val="18"/>
              </w:rPr>
              <w:t>$13,301 to $33,300</w:t>
            </w:r>
          </w:p>
        </w:tc>
        <w:tc>
          <w:tcPr>
            <w:tcW w:w="1715"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7E4A2AAA" w14:textId="7BDC3173" w:rsidR="0043538E" w:rsidRPr="000D1490" w:rsidRDefault="008C5E18" w:rsidP="0027758E">
            <w:pPr>
              <w:spacing w:before="20" w:after="20"/>
              <w:jc w:val="right"/>
              <w:rPr>
                <w:color w:val="C00000"/>
                <w:sz w:val="18"/>
                <w:szCs w:val="18"/>
              </w:rPr>
            </w:pPr>
            <w:r w:rsidRPr="000D1490">
              <w:rPr>
                <w:color w:val="C00000"/>
                <w:sz w:val="18"/>
                <w:szCs w:val="18"/>
              </w:rPr>
              <w:t>$833</w:t>
            </w:r>
          </w:p>
        </w:tc>
        <w:tc>
          <w:tcPr>
            <w:tcW w:w="1715"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7E53BA02" w14:textId="4D47E1A9" w:rsidR="0043538E" w:rsidRPr="000D1490" w:rsidRDefault="008C5E18" w:rsidP="0027758E">
            <w:pPr>
              <w:spacing w:before="20" w:after="20"/>
              <w:jc w:val="right"/>
              <w:rPr>
                <w:color w:val="C00000"/>
                <w:sz w:val="18"/>
                <w:szCs w:val="18"/>
              </w:rPr>
            </w:pPr>
            <w:r w:rsidRPr="000D1490">
              <w:rPr>
                <w:color w:val="C00000"/>
                <w:sz w:val="18"/>
                <w:szCs w:val="18"/>
              </w:rPr>
              <w:t>2,975</w:t>
            </w:r>
          </w:p>
        </w:tc>
        <w:tc>
          <w:tcPr>
            <w:tcW w:w="1715"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6D13E179" w14:textId="4350CD63" w:rsidR="0043538E" w:rsidRPr="000D1490" w:rsidRDefault="008C5E18" w:rsidP="0027758E">
            <w:pPr>
              <w:spacing w:before="20" w:after="20"/>
              <w:jc w:val="right"/>
              <w:rPr>
                <w:color w:val="C00000"/>
                <w:sz w:val="18"/>
                <w:szCs w:val="18"/>
              </w:rPr>
            </w:pPr>
            <w:r w:rsidRPr="000D1490">
              <w:rPr>
                <w:color w:val="C00000"/>
                <w:sz w:val="18"/>
                <w:szCs w:val="18"/>
              </w:rPr>
              <w:t>39%</w:t>
            </w:r>
          </w:p>
        </w:tc>
      </w:tr>
      <w:tr w:rsidR="0043538E" w:rsidRPr="0027758E" w14:paraId="3EECE360" w14:textId="77777777" w:rsidTr="003C59F9">
        <w:tc>
          <w:tcPr>
            <w:tcW w:w="2339"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44F33BF8" w14:textId="53DEFF3B" w:rsidR="0043538E" w:rsidRPr="0027758E" w:rsidRDefault="000511ED">
            <w:pPr>
              <w:spacing w:before="20" w:after="20"/>
              <w:rPr>
                <w:sz w:val="18"/>
                <w:szCs w:val="18"/>
              </w:rPr>
            </w:pPr>
            <w:r w:rsidRPr="0027758E">
              <w:rPr>
                <w:sz w:val="18"/>
                <w:szCs w:val="18"/>
              </w:rPr>
              <w:t>Moderate</w:t>
            </w:r>
          </w:p>
        </w:tc>
        <w:tc>
          <w:tcPr>
            <w:tcW w:w="1876"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425076E7" w14:textId="05181759" w:rsidR="0043538E" w:rsidRPr="000D1490" w:rsidRDefault="008C5E18" w:rsidP="0027758E">
            <w:pPr>
              <w:spacing w:before="20" w:after="20"/>
              <w:jc w:val="right"/>
              <w:rPr>
                <w:color w:val="C00000"/>
                <w:sz w:val="18"/>
                <w:szCs w:val="18"/>
              </w:rPr>
            </w:pPr>
            <w:r w:rsidRPr="000D1490">
              <w:rPr>
                <w:color w:val="C00000"/>
                <w:sz w:val="18"/>
                <w:szCs w:val="18"/>
              </w:rPr>
              <w:t>$33,301 to $53,200</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23EE65A5" w14:textId="42FBC973" w:rsidR="0043538E" w:rsidRPr="000D1490" w:rsidRDefault="008C5E18" w:rsidP="0027758E">
            <w:pPr>
              <w:spacing w:before="20" w:after="20"/>
              <w:jc w:val="right"/>
              <w:rPr>
                <w:color w:val="C00000"/>
                <w:sz w:val="18"/>
                <w:szCs w:val="18"/>
              </w:rPr>
            </w:pPr>
            <w:r w:rsidRPr="000D1490">
              <w:rPr>
                <w:color w:val="C00000"/>
                <w:sz w:val="18"/>
                <w:szCs w:val="18"/>
              </w:rPr>
              <w:t>$1,330</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0BBE29BC" w14:textId="5D295DDF" w:rsidR="0043538E" w:rsidRPr="000D1490" w:rsidRDefault="008C5E18" w:rsidP="0027758E">
            <w:pPr>
              <w:spacing w:before="20" w:after="20"/>
              <w:jc w:val="right"/>
              <w:rPr>
                <w:color w:val="C00000"/>
                <w:sz w:val="18"/>
                <w:szCs w:val="18"/>
              </w:rPr>
            </w:pPr>
            <w:r w:rsidRPr="000D1490">
              <w:rPr>
                <w:color w:val="C00000"/>
                <w:sz w:val="18"/>
                <w:szCs w:val="18"/>
              </w:rPr>
              <w:t>3,210</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1953CD04" w14:textId="6ECC2C9C" w:rsidR="0043538E" w:rsidRPr="000D1490" w:rsidRDefault="008C5E18" w:rsidP="0027758E">
            <w:pPr>
              <w:spacing w:before="20" w:after="20"/>
              <w:jc w:val="right"/>
              <w:rPr>
                <w:color w:val="C00000"/>
                <w:sz w:val="18"/>
                <w:szCs w:val="18"/>
              </w:rPr>
            </w:pPr>
            <w:r w:rsidRPr="000D1490">
              <w:rPr>
                <w:color w:val="C00000"/>
                <w:sz w:val="18"/>
                <w:szCs w:val="18"/>
              </w:rPr>
              <w:t>5%</w:t>
            </w:r>
          </w:p>
        </w:tc>
      </w:tr>
      <w:tr w:rsidR="0043538E" w:rsidRPr="0027758E" w14:paraId="2144B944" w14:textId="77777777" w:rsidTr="003C59F9">
        <w:tc>
          <w:tcPr>
            <w:tcW w:w="2339"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20DBBA4F" w14:textId="1E5A199D" w:rsidR="0043538E" w:rsidRPr="0027758E" w:rsidRDefault="000511ED">
            <w:pPr>
              <w:spacing w:before="20" w:after="20"/>
              <w:rPr>
                <w:sz w:val="18"/>
                <w:szCs w:val="18"/>
              </w:rPr>
            </w:pPr>
            <w:r>
              <w:rPr>
                <w:color w:val="000000"/>
                <w:sz w:val="18"/>
                <w:szCs w:val="18"/>
              </w:rPr>
              <w:t>Median</w:t>
            </w:r>
          </w:p>
        </w:tc>
        <w:tc>
          <w:tcPr>
            <w:tcW w:w="1876"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288739C6" w14:textId="6AD4C18A" w:rsidR="0043538E" w:rsidRPr="000D1490" w:rsidRDefault="008C5E18" w:rsidP="0027758E">
            <w:pPr>
              <w:spacing w:before="20" w:after="20"/>
              <w:jc w:val="right"/>
              <w:rPr>
                <w:color w:val="C00000"/>
                <w:sz w:val="18"/>
                <w:szCs w:val="18"/>
              </w:rPr>
            </w:pPr>
            <w:r w:rsidRPr="000D1490">
              <w:rPr>
                <w:color w:val="C00000"/>
                <w:sz w:val="18"/>
                <w:szCs w:val="18"/>
              </w:rPr>
              <w:t>$53,201 to $79,800</w:t>
            </w:r>
          </w:p>
        </w:tc>
        <w:tc>
          <w:tcPr>
            <w:tcW w:w="1715"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66C028EF" w14:textId="64F53F21" w:rsidR="0043538E" w:rsidRPr="000D1490" w:rsidRDefault="008C5E18" w:rsidP="0027758E">
            <w:pPr>
              <w:spacing w:before="20" w:after="20"/>
              <w:jc w:val="right"/>
              <w:rPr>
                <w:color w:val="C00000"/>
                <w:sz w:val="18"/>
                <w:szCs w:val="18"/>
              </w:rPr>
            </w:pPr>
            <w:r w:rsidRPr="000D1490">
              <w:rPr>
                <w:color w:val="C00000"/>
                <w:sz w:val="18"/>
                <w:szCs w:val="18"/>
              </w:rPr>
              <w:t>$1,995</w:t>
            </w:r>
          </w:p>
        </w:tc>
        <w:tc>
          <w:tcPr>
            <w:tcW w:w="1715"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74EF4804" w14:textId="6A8EC469" w:rsidR="0043538E" w:rsidRPr="000D1490" w:rsidRDefault="008C5E18" w:rsidP="0027758E">
            <w:pPr>
              <w:spacing w:before="20" w:after="20"/>
              <w:jc w:val="right"/>
              <w:rPr>
                <w:color w:val="C00000"/>
                <w:sz w:val="18"/>
                <w:szCs w:val="18"/>
              </w:rPr>
            </w:pPr>
            <w:r w:rsidRPr="000D1490">
              <w:rPr>
                <w:color w:val="C00000"/>
                <w:sz w:val="18"/>
                <w:szCs w:val="18"/>
              </w:rPr>
              <w:t>3,520</w:t>
            </w:r>
          </w:p>
        </w:tc>
        <w:tc>
          <w:tcPr>
            <w:tcW w:w="1715" w:type="dxa"/>
            <w:tcBorders>
              <w:top w:val="single" w:sz="1" w:space="0" w:color="BDC3C7"/>
              <w:left w:val="single" w:sz="1" w:space="0" w:color="BDC3C7"/>
              <w:bottom w:val="single" w:sz="1" w:space="0" w:color="BDC3C7"/>
              <w:right w:val="single" w:sz="1" w:space="0" w:color="BDC3C7"/>
            </w:tcBorders>
            <w:tcMar>
              <w:top w:w="60" w:type="dxa"/>
              <w:left w:w="100" w:type="dxa"/>
              <w:bottom w:w="60" w:type="dxa"/>
              <w:right w:w="100" w:type="dxa"/>
            </w:tcMar>
            <w:vAlign w:val="center"/>
          </w:tcPr>
          <w:p w14:paraId="1AAAB093" w14:textId="002552B9" w:rsidR="0043538E" w:rsidRPr="000D1490" w:rsidRDefault="008C5E18" w:rsidP="0027758E">
            <w:pPr>
              <w:spacing w:before="20" w:after="20"/>
              <w:jc w:val="right"/>
              <w:rPr>
                <w:color w:val="C00000"/>
                <w:sz w:val="18"/>
                <w:szCs w:val="18"/>
              </w:rPr>
            </w:pPr>
            <w:r w:rsidRPr="000D1490">
              <w:rPr>
                <w:color w:val="C00000"/>
                <w:sz w:val="18"/>
                <w:szCs w:val="18"/>
              </w:rPr>
              <w:t>0%</w:t>
            </w:r>
          </w:p>
        </w:tc>
      </w:tr>
      <w:tr w:rsidR="0043538E" w:rsidRPr="0027758E" w14:paraId="18D685BF" w14:textId="77777777" w:rsidTr="003C59F9">
        <w:tc>
          <w:tcPr>
            <w:tcW w:w="2339"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64843294" w14:textId="36DE9723" w:rsidR="0043538E" w:rsidRPr="0027758E" w:rsidRDefault="000511ED">
            <w:pPr>
              <w:spacing w:before="20" w:after="20"/>
              <w:rPr>
                <w:sz w:val="18"/>
                <w:szCs w:val="18"/>
              </w:rPr>
            </w:pPr>
            <w:r w:rsidRPr="0027758E">
              <w:rPr>
                <w:sz w:val="18"/>
                <w:szCs w:val="18"/>
              </w:rPr>
              <w:t>High</w:t>
            </w:r>
          </w:p>
        </w:tc>
        <w:tc>
          <w:tcPr>
            <w:tcW w:w="1876"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3E953F8B" w14:textId="50515047" w:rsidR="0043538E" w:rsidRPr="000D1490" w:rsidRDefault="008C5E18" w:rsidP="0027758E">
            <w:pPr>
              <w:spacing w:before="20" w:after="20"/>
              <w:jc w:val="right"/>
              <w:rPr>
                <w:color w:val="C00000"/>
                <w:sz w:val="18"/>
                <w:szCs w:val="18"/>
              </w:rPr>
            </w:pPr>
            <w:r w:rsidRPr="000D1490">
              <w:rPr>
                <w:color w:val="C00000"/>
                <w:sz w:val="18"/>
                <w:szCs w:val="18"/>
              </w:rPr>
              <w:t>$79,801+</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7EB380EC" w14:textId="3ADDA696" w:rsidR="0043538E" w:rsidRPr="000D1490" w:rsidRDefault="008C5E18" w:rsidP="0027758E">
            <w:pPr>
              <w:spacing w:before="20" w:after="20"/>
              <w:jc w:val="right"/>
              <w:rPr>
                <w:color w:val="C00000"/>
                <w:sz w:val="18"/>
                <w:szCs w:val="18"/>
              </w:rPr>
            </w:pPr>
            <w:r w:rsidRPr="000D1490">
              <w:rPr>
                <w:color w:val="C00000"/>
                <w:sz w:val="18"/>
                <w:szCs w:val="18"/>
              </w:rPr>
              <w:t>$0</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4765DE3C" w14:textId="6CD99315" w:rsidR="0043538E" w:rsidRPr="000D1490" w:rsidRDefault="008C5E18" w:rsidP="0027758E">
            <w:pPr>
              <w:spacing w:before="20" w:after="20"/>
              <w:jc w:val="right"/>
              <w:rPr>
                <w:color w:val="C00000"/>
                <w:sz w:val="18"/>
                <w:szCs w:val="18"/>
              </w:rPr>
            </w:pPr>
            <w:r w:rsidRPr="000D1490">
              <w:rPr>
                <w:color w:val="C00000"/>
                <w:sz w:val="18"/>
                <w:szCs w:val="18"/>
              </w:rPr>
              <w:t>6,900</w:t>
            </w:r>
          </w:p>
        </w:tc>
        <w:tc>
          <w:tcPr>
            <w:tcW w:w="1715" w:type="dxa"/>
            <w:tcBorders>
              <w:top w:val="single" w:sz="1" w:space="0" w:color="BDC3C7"/>
              <w:left w:val="single" w:sz="1" w:space="0" w:color="BDC3C7"/>
              <w:bottom w:val="single" w:sz="1" w:space="0" w:color="BDC3C7"/>
              <w:right w:val="single" w:sz="1" w:space="0" w:color="BDC3C7"/>
            </w:tcBorders>
            <w:shd w:val="clear" w:color="auto" w:fill="F2F3F4"/>
            <w:tcMar>
              <w:top w:w="60" w:type="dxa"/>
              <w:left w:w="100" w:type="dxa"/>
              <w:bottom w:w="60" w:type="dxa"/>
              <w:right w:w="100" w:type="dxa"/>
            </w:tcMar>
            <w:vAlign w:val="center"/>
          </w:tcPr>
          <w:p w14:paraId="2A0B916B" w14:textId="1609D0FF" w:rsidR="0043538E" w:rsidRPr="000D1490" w:rsidRDefault="008C5E18" w:rsidP="0027758E">
            <w:pPr>
              <w:spacing w:before="20" w:after="20"/>
              <w:jc w:val="right"/>
              <w:rPr>
                <w:color w:val="C00000"/>
                <w:sz w:val="18"/>
                <w:szCs w:val="18"/>
              </w:rPr>
            </w:pPr>
            <w:r w:rsidRPr="000D1490">
              <w:rPr>
                <w:color w:val="C00000"/>
                <w:sz w:val="18"/>
                <w:szCs w:val="18"/>
              </w:rPr>
              <w:t>0%</w:t>
            </w:r>
          </w:p>
        </w:tc>
      </w:tr>
    </w:tbl>
    <w:p w14:paraId="78D5BBFC" w14:textId="77777777" w:rsidR="0043538E" w:rsidRDefault="0043538E" w:rsidP="00DA24F7"/>
    <w:p w14:paraId="3A99BD51" w14:textId="77777777" w:rsidR="0043538E" w:rsidRPr="008258B2" w:rsidRDefault="000511ED" w:rsidP="008258B2">
      <w:pPr>
        <w:rPr>
          <w:b/>
          <w:bCs/>
          <w:sz w:val="24"/>
          <w:szCs w:val="24"/>
        </w:rPr>
      </w:pPr>
      <w:r w:rsidRPr="008258B2">
        <w:rPr>
          <w:b/>
          <w:bCs/>
        </w:rPr>
        <w:t>Core Housing Need by Income Category and Household Size</w:t>
      </w:r>
    </w:p>
    <w:tbl>
      <w:tblPr>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69"/>
        <w:gridCol w:w="1169"/>
        <w:gridCol w:w="1170"/>
        <w:gridCol w:w="1169"/>
        <w:gridCol w:w="1169"/>
        <w:gridCol w:w="1170"/>
        <w:gridCol w:w="1169"/>
        <w:gridCol w:w="1170"/>
      </w:tblGrid>
      <w:tr w:rsidR="00D10CC3" w:rsidRPr="0076371A" w14:paraId="6D715FDE" w14:textId="77777777" w:rsidTr="003C59F9">
        <w:trPr>
          <w:trHeight w:val="402"/>
        </w:trPr>
        <w:tc>
          <w:tcPr>
            <w:tcW w:w="1169" w:type="dxa"/>
            <w:shd w:val="clear" w:color="auto" w:fill="42618C" w:themeFill="accent3"/>
            <w:noWrap/>
            <w:vAlign w:val="center"/>
            <w:hideMark/>
          </w:tcPr>
          <w:p w14:paraId="0531B2C7" w14:textId="77777777" w:rsidR="00D10CC3" w:rsidRPr="0076371A" w:rsidRDefault="00D10CC3" w:rsidP="007D171B">
            <w:pPr>
              <w:rPr>
                <w:rFonts w:eastAsia="Times New Roman"/>
                <w:color w:val="FFFFFF"/>
                <w:sz w:val="18"/>
                <w:szCs w:val="18"/>
              </w:rPr>
            </w:pPr>
            <w:r>
              <w:rPr>
                <w:color w:val="FFFFFF"/>
                <w:sz w:val="18"/>
                <w:szCs w:val="18"/>
              </w:rPr>
              <w:t>Income category</w:t>
            </w:r>
          </w:p>
        </w:tc>
        <w:tc>
          <w:tcPr>
            <w:tcW w:w="1169" w:type="dxa"/>
            <w:shd w:val="clear" w:color="auto" w:fill="42618C" w:themeFill="accent3"/>
            <w:noWrap/>
            <w:vAlign w:val="center"/>
            <w:hideMark/>
          </w:tcPr>
          <w:p w14:paraId="5EA425BA" w14:textId="77777777" w:rsidR="00D10CC3" w:rsidRPr="0076371A" w:rsidRDefault="00D10CC3" w:rsidP="007D171B">
            <w:pPr>
              <w:jc w:val="right"/>
              <w:rPr>
                <w:rFonts w:eastAsia="Times New Roman"/>
                <w:color w:val="FFFFFF"/>
                <w:sz w:val="18"/>
                <w:szCs w:val="18"/>
              </w:rPr>
            </w:pPr>
            <w:r>
              <w:rPr>
                <w:color w:val="FFFFFF"/>
                <w:sz w:val="18"/>
                <w:szCs w:val="18"/>
              </w:rPr>
              <w:t>Max affordable shelter cost</w:t>
            </w:r>
          </w:p>
        </w:tc>
        <w:tc>
          <w:tcPr>
            <w:tcW w:w="1170" w:type="dxa"/>
            <w:shd w:val="clear" w:color="auto" w:fill="42618C" w:themeFill="accent3"/>
            <w:noWrap/>
            <w:vAlign w:val="center"/>
            <w:hideMark/>
          </w:tcPr>
          <w:p w14:paraId="5A483B91" w14:textId="77777777" w:rsidR="00D10CC3" w:rsidRPr="0076371A" w:rsidRDefault="00D10CC3" w:rsidP="007D171B">
            <w:pPr>
              <w:jc w:val="right"/>
              <w:rPr>
                <w:rFonts w:eastAsia="Times New Roman"/>
                <w:color w:val="FFFFFF"/>
                <w:sz w:val="18"/>
                <w:szCs w:val="18"/>
              </w:rPr>
            </w:pPr>
            <w:r>
              <w:rPr>
                <w:color w:val="FFFFFF"/>
                <w:sz w:val="18"/>
                <w:szCs w:val="18"/>
              </w:rPr>
              <w:t>Total</w:t>
            </w:r>
          </w:p>
        </w:tc>
        <w:tc>
          <w:tcPr>
            <w:tcW w:w="1169" w:type="dxa"/>
            <w:shd w:val="clear" w:color="auto" w:fill="42618C" w:themeFill="accent3"/>
            <w:noWrap/>
            <w:vAlign w:val="center"/>
            <w:hideMark/>
          </w:tcPr>
          <w:p w14:paraId="20221234" w14:textId="77777777" w:rsidR="00D10CC3" w:rsidRPr="0076371A" w:rsidRDefault="00D10CC3" w:rsidP="007D171B">
            <w:pPr>
              <w:jc w:val="right"/>
              <w:rPr>
                <w:rFonts w:eastAsia="Times New Roman"/>
                <w:color w:val="FFFFFF"/>
                <w:sz w:val="18"/>
                <w:szCs w:val="18"/>
              </w:rPr>
            </w:pPr>
            <w:r>
              <w:rPr>
                <w:color w:val="FFFFFF"/>
                <w:sz w:val="18"/>
                <w:szCs w:val="18"/>
              </w:rPr>
              <w:t>1 person HH</w:t>
            </w:r>
          </w:p>
        </w:tc>
        <w:tc>
          <w:tcPr>
            <w:tcW w:w="1169" w:type="dxa"/>
            <w:shd w:val="clear" w:color="auto" w:fill="42618C" w:themeFill="accent3"/>
            <w:noWrap/>
            <w:vAlign w:val="center"/>
            <w:hideMark/>
          </w:tcPr>
          <w:p w14:paraId="56211747" w14:textId="77777777" w:rsidR="00D10CC3" w:rsidRPr="0076371A" w:rsidRDefault="00D10CC3" w:rsidP="007D171B">
            <w:pPr>
              <w:jc w:val="right"/>
              <w:rPr>
                <w:rFonts w:eastAsia="Times New Roman"/>
                <w:color w:val="FFFFFF"/>
                <w:sz w:val="18"/>
                <w:szCs w:val="18"/>
              </w:rPr>
            </w:pPr>
            <w:r>
              <w:rPr>
                <w:color w:val="FFFFFF"/>
                <w:sz w:val="18"/>
                <w:szCs w:val="18"/>
              </w:rPr>
              <w:t>2 person HH</w:t>
            </w:r>
          </w:p>
        </w:tc>
        <w:tc>
          <w:tcPr>
            <w:tcW w:w="1170" w:type="dxa"/>
            <w:shd w:val="clear" w:color="auto" w:fill="42618C" w:themeFill="accent3"/>
            <w:noWrap/>
            <w:vAlign w:val="center"/>
            <w:hideMark/>
          </w:tcPr>
          <w:p w14:paraId="4E86D615" w14:textId="77777777" w:rsidR="00D10CC3" w:rsidRPr="0076371A" w:rsidRDefault="00D10CC3" w:rsidP="007D171B">
            <w:pPr>
              <w:jc w:val="right"/>
              <w:rPr>
                <w:rFonts w:eastAsia="Times New Roman"/>
                <w:color w:val="FFFFFF"/>
                <w:sz w:val="18"/>
                <w:szCs w:val="18"/>
              </w:rPr>
            </w:pPr>
            <w:r>
              <w:rPr>
                <w:color w:val="FFFFFF"/>
                <w:sz w:val="18"/>
                <w:szCs w:val="18"/>
              </w:rPr>
              <w:t>3 person HH</w:t>
            </w:r>
          </w:p>
        </w:tc>
        <w:tc>
          <w:tcPr>
            <w:tcW w:w="1169" w:type="dxa"/>
            <w:shd w:val="clear" w:color="auto" w:fill="42618C" w:themeFill="accent3"/>
            <w:noWrap/>
            <w:vAlign w:val="center"/>
            <w:hideMark/>
          </w:tcPr>
          <w:p w14:paraId="25CFD4EC" w14:textId="77777777" w:rsidR="00D10CC3" w:rsidRPr="0076371A" w:rsidRDefault="00D10CC3" w:rsidP="007D171B">
            <w:pPr>
              <w:jc w:val="right"/>
              <w:rPr>
                <w:rFonts w:eastAsia="Times New Roman"/>
                <w:color w:val="FFFFFF"/>
                <w:sz w:val="18"/>
                <w:szCs w:val="18"/>
              </w:rPr>
            </w:pPr>
            <w:r>
              <w:rPr>
                <w:color w:val="FFFFFF"/>
                <w:sz w:val="18"/>
                <w:szCs w:val="18"/>
              </w:rPr>
              <w:t>4 person HH</w:t>
            </w:r>
          </w:p>
        </w:tc>
        <w:tc>
          <w:tcPr>
            <w:tcW w:w="1170" w:type="dxa"/>
            <w:shd w:val="clear" w:color="auto" w:fill="42618C" w:themeFill="accent3"/>
            <w:noWrap/>
            <w:vAlign w:val="center"/>
            <w:hideMark/>
          </w:tcPr>
          <w:p w14:paraId="31282DCA" w14:textId="77777777" w:rsidR="00D10CC3" w:rsidRPr="0076371A" w:rsidRDefault="00D10CC3" w:rsidP="007D171B">
            <w:pPr>
              <w:jc w:val="right"/>
              <w:rPr>
                <w:rFonts w:eastAsia="Times New Roman"/>
                <w:color w:val="FFFFFF"/>
                <w:sz w:val="18"/>
                <w:szCs w:val="18"/>
              </w:rPr>
            </w:pPr>
            <w:r>
              <w:rPr>
                <w:color w:val="FFFFFF"/>
                <w:sz w:val="18"/>
                <w:szCs w:val="18"/>
              </w:rPr>
              <w:t>5+ person HH</w:t>
            </w:r>
          </w:p>
        </w:tc>
      </w:tr>
      <w:tr w:rsidR="00D10CC3" w:rsidRPr="0076371A" w14:paraId="491FF6EC" w14:textId="77777777" w:rsidTr="00D10CC3">
        <w:trPr>
          <w:trHeight w:val="402"/>
        </w:trPr>
        <w:tc>
          <w:tcPr>
            <w:tcW w:w="1169" w:type="dxa"/>
            <w:shd w:val="clear" w:color="000000" w:fill="F2F2F2"/>
            <w:noWrap/>
            <w:vAlign w:val="center"/>
            <w:hideMark/>
          </w:tcPr>
          <w:p w14:paraId="3177BE69" w14:textId="77777777" w:rsidR="00D10CC3" w:rsidRPr="0076371A" w:rsidRDefault="00D10CC3" w:rsidP="007D171B">
            <w:pPr>
              <w:rPr>
                <w:rFonts w:eastAsia="Times New Roman"/>
                <w:color w:val="000000"/>
                <w:sz w:val="18"/>
                <w:szCs w:val="18"/>
              </w:rPr>
            </w:pPr>
            <w:r>
              <w:rPr>
                <w:color w:val="000000"/>
                <w:sz w:val="18"/>
                <w:szCs w:val="18"/>
              </w:rPr>
              <w:t>Total</w:t>
            </w:r>
          </w:p>
        </w:tc>
        <w:tc>
          <w:tcPr>
            <w:tcW w:w="1169" w:type="dxa"/>
            <w:shd w:val="clear" w:color="000000" w:fill="808080"/>
            <w:noWrap/>
            <w:vAlign w:val="center"/>
            <w:hideMark/>
          </w:tcPr>
          <w:p w14:paraId="59D0983C" w14:textId="77777777" w:rsidR="00D10CC3" w:rsidRPr="0076371A" w:rsidRDefault="00D10CC3" w:rsidP="007D171B">
            <w:pPr>
              <w:jc w:val="right"/>
              <w:rPr>
                <w:rFonts w:eastAsia="Times New Roman"/>
                <w:color w:val="000000"/>
                <w:sz w:val="18"/>
                <w:szCs w:val="18"/>
              </w:rPr>
            </w:pPr>
            <w:r>
              <w:rPr>
                <w:color w:val="000000"/>
                <w:sz w:val="18"/>
                <w:szCs w:val="18"/>
              </w:rPr>
              <w:t> </w:t>
            </w:r>
          </w:p>
        </w:tc>
        <w:tc>
          <w:tcPr>
            <w:tcW w:w="1170" w:type="dxa"/>
            <w:shd w:val="clear" w:color="000000" w:fill="F2F2F2"/>
            <w:noWrap/>
            <w:vAlign w:val="center"/>
            <w:hideMark/>
          </w:tcPr>
          <w:p w14:paraId="326D2AB0" w14:textId="77777777" w:rsidR="00D10CC3" w:rsidRPr="000D1490" w:rsidRDefault="00D10CC3" w:rsidP="007D171B">
            <w:pPr>
              <w:jc w:val="right"/>
              <w:rPr>
                <w:rFonts w:eastAsia="Times New Roman"/>
                <w:color w:val="C00000"/>
                <w:sz w:val="18"/>
                <w:szCs w:val="18"/>
              </w:rPr>
            </w:pPr>
            <w:r w:rsidRPr="000D1490">
              <w:rPr>
                <w:color w:val="C00000"/>
                <w:sz w:val="18"/>
                <w:szCs w:val="18"/>
              </w:rPr>
              <w:t>1,500</w:t>
            </w:r>
          </w:p>
        </w:tc>
        <w:tc>
          <w:tcPr>
            <w:tcW w:w="1169" w:type="dxa"/>
            <w:shd w:val="clear" w:color="000000" w:fill="F2F2F2"/>
            <w:noWrap/>
            <w:vAlign w:val="center"/>
            <w:hideMark/>
          </w:tcPr>
          <w:p w14:paraId="210B6334" w14:textId="77777777" w:rsidR="00D10CC3" w:rsidRPr="000D1490" w:rsidRDefault="00D10CC3" w:rsidP="007D171B">
            <w:pPr>
              <w:jc w:val="right"/>
              <w:rPr>
                <w:rFonts w:eastAsia="Times New Roman"/>
                <w:color w:val="C00000"/>
                <w:sz w:val="18"/>
                <w:szCs w:val="18"/>
              </w:rPr>
            </w:pPr>
            <w:r w:rsidRPr="000D1490">
              <w:rPr>
                <w:color w:val="C00000"/>
                <w:sz w:val="18"/>
                <w:szCs w:val="18"/>
              </w:rPr>
              <w:t>995</w:t>
            </w:r>
          </w:p>
        </w:tc>
        <w:tc>
          <w:tcPr>
            <w:tcW w:w="1169" w:type="dxa"/>
            <w:shd w:val="clear" w:color="000000" w:fill="F2F2F2"/>
            <w:noWrap/>
            <w:vAlign w:val="center"/>
            <w:hideMark/>
          </w:tcPr>
          <w:p w14:paraId="4CE97D62" w14:textId="77777777" w:rsidR="00D10CC3" w:rsidRPr="000D1490" w:rsidRDefault="00D10CC3" w:rsidP="007D171B">
            <w:pPr>
              <w:jc w:val="right"/>
              <w:rPr>
                <w:rFonts w:eastAsia="Times New Roman"/>
                <w:color w:val="C00000"/>
                <w:sz w:val="18"/>
                <w:szCs w:val="18"/>
              </w:rPr>
            </w:pPr>
            <w:r w:rsidRPr="000D1490">
              <w:rPr>
                <w:color w:val="C00000"/>
                <w:sz w:val="18"/>
                <w:szCs w:val="18"/>
              </w:rPr>
              <w:t>250</w:t>
            </w:r>
          </w:p>
        </w:tc>
        <w:tc>
          <w:tcPr>
            <w:tcW w:w="1170" w:type="dxa"/>
            <w:shd w:val="clear" w:color="000000" w:fill="F2F2F2"/>
            <w:noWrap/>
            <w:vAlign w:val="center"/>
            <w:hideMark/>
          </w:tcPr>
          <w:p w14:paraId="347BFAFC" w14:textId="77777777" w:rsidR="00D10CC3" w:rsidRPr="000D1490" w:rsidRDefault="00D10CC3" w:rsidP="007D171B">
            <w:pPr>
              <w:jc w:val="right"/>
              <w:rPr>
                <w:rFonts w:eastAsia="Times New Roman"/>
                <w:color w:val="C00000"/>
                <w:sz w:val="18"/>
                <w:szCs w:val="18"/>
              </w:rPr>
            </w:pPr>
            <w:r w:rsidRPr="000D1490">
              <w:rPr>
                <w:color w:val="C00000"/>
                <w:sz w:val="18"/>
                <w:szCs w:val="18"/>
              </w:rPr>
              <w:t>135</w:t>
            </w:r>
          </w:p>
        </w:tc>
        <w:tc>
          <w:tcPr>
            <w:tcW w:w="1169" w:type="dxa"/>
            <w:shd w:val="clear" w:color="000000" w:fill="F2F2F2"/>
            <w:noWrap/>
            <w:vAlign w:val="center"/>
            <w:hideMark/>
          </w:tcPr>
          <w:p w14:paraId="13585BFC" w14:textId="77777777" w:rsidR="00D10CC3" w:rsidRPr="000D1490" w:rsidRDefault="00D10CC3" w:rsidP="007D171B">
            <w:pPr>
              <w:jc w:val="right"/>
              <w:rPr>
                <w:rFonts w:eastAsia="Times New Roman"/>
                <w:color w:val="C00000"/>
                <w:sz w:val="18"/>
                <w:szCs w:val="18"/>
              </w:rPr>
            </w:pPr>
            <w:r w:rsidRPr="000D1490">
              <w:rPr>
                <w:color w:val="C00000"/>
                <w:sz w:val="18"/>
                <w:szCs w:val="18"/>
              </w:rPr>
              <w:t>40</w:t>
            </w:r>
          </w:p>
        </w:tc>
        <w:tc>
          <w:tcPr>
            <w:tcW w:w="1170" w:type="dxa"/>
            <w:shd w:val="clear" w:color="000000" w:fill="F2F2F2"/>
            <w:noWrap/>
            <w:vAlign w:val="center"/>
            <w:hideMark/>
          </w:tcPr>
          <w:p w14:paraId="3FCD7C22" w14:textId="77777777" w:rsidR="00D10CC3" w:rsidRPr="000D1490" w:rsidRDefault="00D10CC3" w:rsidP="007D171B">
            <w:pPr>
              <w:jc w:val="right"/>
              <w:rPr>
                <w:rFonts w:eastAsia="Times New Roman"/>
                <w:color w:val="C00000"/>
                <w:sz w:val="18"/>
                <w:szCs w:val="18"/>
              </w:rPr>
            </w:pPr>
            <w:r w:rsidRPr="000D1490">
              <w:rPr>
                <w:color w:val="C00000"/>
                <w:sz w:val="18"/>
                <w:szCs w:val="18"/>
              </w:rPr>
              <w:t>45</w:t>
            </w:r>
          </w:p>
        </w:tc>
      </w:tr>
      <w:tr w:rsidR="00D10CC3" w:rsidRPr="0076371A" w14:paraId="453D107D" w14:textId="77777777" w:rsidTr="00D10CC3">
        <w:trPr>
          <w:trHeight w:val="402"/>
        </w:trPr>
        <w:tc>
          <w:tcPr>
            <w:tcW w:w="1169" w:type="dxa"/>
            <w:noWrap/>
            <w:vAlign w:val="center"/>
            <w:hideMark/>
          </w:tcPr>
          <w:p w14:paraId="6A509C04" w14:textId="77777777" w:rsidR="00D10CC3" w:rsidRPr="0076371A" w:rsidRDefault="00D10CC3" w:rsidP="007D171B">
            <w:pPr>
              <w:rPr>
                <w:rFonts w:eastAsia="Times New Roman"/>
                <w:color w:val="000000"/>
                <w:sz w:val="18"/>
                <w:szCs w:val="18"/>
              </w:rPr>
            </w:pPr>
            <w:r>
              <w:rPr>
                <w:color w:val="000000"/>
                <w:sz w:val="18"/>
                <w:szCs w:val="18"/>
              </w:rPr>
              <w:t>Very low</w:t>
            </w:r>
          </w:p>
        </w:tc>
        <w:tc>
          <w:tcPr>
            <w:tcW w:w="1169" w:type="dxa"/>
            <w:noWrap/>
            <w:vAlign w:val="center"/>
            <w:hideMark/>
          </w:tcPr>
          <w:p w14:paraId="317E2EF4" w14:textId="77777777" w:rsidR="00D10CC3" w:rsidRPr="000D1490" w:rsidRDefault="00D10CC3" w:rsidP="007D171B">
            <w:pPr>
              <w:jc w:val="right"/>
              <w:rPr>
                <w:rFonts w:eastAsia="Times New Roman"/>
                <w:color w:val="C00000"/>
                <w:sz w:val="18"/>
                <w:szCs w:val="18"/>
              </w:rPr>
            </w:pPr>
            <w:r w:rsidRPr="000D1490">
              <w:rPr>
                <w:color w:val="C00000"/>
                <w:sz w:val="18"/>
                <w:szCs w:val="18"/>
              </w:rPr>
              <w:t>$333</w:t>
            </w:r>
          </w:p>
        </w:tc>
        <w:tc>
          <w:tcPr>
            <w:tcW w:w="1170" w:type="dxa"/>
            <w:noWrap/>
            <w:vAlign w:val="center"/>
            <w:hideMark/>
          </w:tcPr>
          <w:p w14:paraId="50DC16E3" w14:textId="77777777" w:rsidR="00D10CC3" w:rsidRPr="000D1490" w:rsidRDefault="00D10CC3" w:rsidP="007D171B">
            <w:pPr>
              <w:jc w:val="right"/>
              <w:rPr>
                <w:rFonts w:eastAsia="Times New Roman"/>
                <w:color w:val="C00000"/>
                <w:sz w:val="18"/>
                <w:szCs w:val="18"/>
              </w:rPr>
            </w:pPr>
            <w:r w:rsidRPr="000D1490">
              <w:rPr>
                <w:color w:val="C00000"/>
                <w:sz w:val="18"/>
                <w:szCs w:val="18"/>
              </w:rPr>
              <w:t>170</w:t>
            </w:r>
          </w:p>
        </w:tc>
        <w:tc>
          <w:tcPr>
            <w:tcW w:w="1169" w:type="dxa"/>
            <w:noWrap/>
            <w:vAlign w:val="center"/>
            <w:hideMark/>
          </w:tcPr>
          <w:p w14:paraId="2666F0E9" w14:textId="77777777" w:rsidR="00D10CC3" w:rsidRPr="000D1490" w:rsidRDefault="00D10CC3" w:rsidP="007D171B">
            <w:pPr>
              <w:jc w:val="right"/>
              <w:rPr>
                <w:rFonts w:eastAsia="Times New Roman"/>
                <w:color w:val="C00000"/>
                <w:sz w:val="18"/>
                <w:szCs w:val="18"/>
              </w:rPr>
            </w:pPr>
            <w:r w:rsidRPr="000D1490">
              <w:rPr>
                <w:color w:val="C00000"/>
                <w:sz w:val="18"/>
                <w:szCs w:val="18"/>
              </w:rPr>
              <w:t>145</w:t>
            </w:r>
          </w:p>
        </w:tc>
        <w:tc>
          <w:tcPr>
            <w:tcW w:w="1169" w:type="dxa"/>
            <w:noWrap/>
            <w:vAlign w:val="center"/>
            <w:hideMark/>
          </w:tcPr>
          <w:p w14:paraId="5634EA71" w14:textId="77777777" w:rsidR="00D10CC3" w:rsidRPr="000D1490" w:rsidRDefault="00D10CC3" w:rsidP="007D171B">
            <w:pPr>
              <w:jc w:val="right"/>
              <w:rPr>
                <w:rFonts w:eastAsia="Times New Roman"/>
                <w:color w:val="C00000"/>
                <w:sz w:val="18"/>
                <w:szCs w:val="18"/>
              </w:rPr>
            </w:pPr>
            <w:r w:rsidRPr="000D1490">
              <w:rPr>
                <w:color w:val="C00000"/>
                <w:sz w:val="18"/>
                <w:szCs w:val="18"/>
              </w:rPr>
              <w:t>15</w:t>
            </w:r>
          </w:p>
        </w:tc>
        <w:tc>
          <w:tcPr>
            <w:tcW w:w="1170" w:type="dxa"/>
            <w:noWrap/>
            <w:vAlign w:val="center"/>
            <w:hideMark/>
          </w:tcPr>
          <w:p w14:paraId="4712DC0C"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noWrap/>
            <w:vAlign w:val="center"/>
            <w:hideMark/>
          </w:tcPr>
          <w:p w14:paraId="3990A0E3"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70" w:type="dxa"/>
            <w:noWrap/>
            <w:vAlign w:val="center"/>
            <w:hideMark/>
          </w:tcPr>
          <w:p w14:paraId="7C78E6D9"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r>
      <w:tr w:rsidR="00D10CC3" w:rsidRPr="0076371A" w14:paraId="11574DD9" w14:textId="77777777" w:rsidTr="00D10CC3">
        <w:trPr>
          <w:trHeight w:val="402"/>
        </w:trPr>
        <w:tc>
          <w:tcPr>
            <w:tcW w:w="1169" w:type="dxa"/>
            <w:shd w:val="clear" w:color="000000" w:fill="F2F2F2"/>
            <w:noWrap/>
            <w:vAlign w:val="center"/>
            <w:hideMark/>
          </w:tcPr>
          <w:p w14:paraId="52AE566A" w14:textId="77777777" w:rsidR="00D10CC3" w:rsidRPr="0076371A" w:rsidRDefault="00D10CC3" w:rsidP="007D171B">
            <w:pPr>
              <w:rPr>
                <w:rFonts w:eastAsia="Times New Roman"/>
                <w:color w:val="000000"/>
                <w:sz w:val="18"/>
                <w:szCs w:val="18"/>
              </w:rPr>
            </w:pPr>
            <w:r>
              <w:rPr>
                <w:color w:val="000000"/>
                <w:sz w:val="18"/>
                <w:szCs w:val="18"/>
              </w:rPr>
              <w:t>Low</w:t>
            </w:r>
          </w:p>
        </w:tc>
        <w:tc>
          <w:tcPr>
            <w:tcW w:w="1169" w:type="dxa"/>
            <w:shd w:val="clear" w:color="000000" w:fill="F2F2F2"/>
            <w:noWrap/>
            <w:vAlign w:val="center"/>
            <w:hideMark/>
          </w:tcPr>
          <w:p w14:paraId="0535F388" w14:textId="77777777" w:rsidR="00D10CC3" w:rsidRPr="000D1490" w:rsidRDefault="00D10CC3" w:rsidP="007D171B">
            <w:pPr>
              <w:jc w:val="right"/>
              <w:rPr>
                <w:rFonts w:eastAsia="Times New Roman"/>
                <w:color w:val="C00000"/>
                <w:sz w:val="18"/>
                <w:szCs w:val="18"/>
              </w:rPr>
            </w:pPr>
            <w:r w:rsidRPr="000D1490">
              <w:rPr>
                <w:color w:val="C00000"/>
                <w:sz w:val="18"/>
                <w:szCs w:val="18"/>
              </w:rPr>
              <w:t>$833</w:t>
            </w:r>
          </w:p>
        </w:tc>
        <w:tc>
          <w:tcPr>
            <w:tcW w:w="1170" w:type="dxa"/>
            <w:shd w:val="clear" w:color="000000" w:fill="F2F2F2"/>
            <w:noWrap/>
            <w:vAlign w:val="center"/>
            <w:hideMark/>
          </w:tcPr>
          <w:p w14:paraId="01CC65C7" w14:textId="77777777" w:rsidR="00D10CC3" w:rsidRPr="000D1490" w:rsidRDefault="00D10CC3" w:rsidP="007D171B">
            <w:pPr>
              <w:jc w:val="right"/>
              <w:rPr>
                <w:rFonts w:eastAsia="Times New Roman"/>
                <w:color w:val="C00000"/>
                <w:sz w:val="18"/>
                <w:szCs w:val="18"/>
              </w:rPr>
            </w:pPr>
            <w:r w:rsidRPr="000D1490">
              <w:rPr>
                <w:color w:val="C00000"/>
                <w:sz w:val="18"/>
                <w:szCs w:val="18"/>
              </w:rPr>
              <w:t>1,155</w:t>
            </w:r>
          </w:p>
        </w:tc>
        <w:tc>
          <w:tcPr>
            <w:tcW w:w="1169" w:type="dxa"/>
            <w:shd w:val="clear" w:color="000000" w:fill="F2F2F2"/>
            <w:noWrap/>
            <w:vAlign w:val="center"/>
            <w:hideMark/>
          </w:tcPr>
          <w:p w14:paraId="19692DB4" w14:textId="77777777" w:rsidR="00D10CC3" w:rsidRPr="000D1490" w:rsidRDefault="00D10CC3" w:rsidP="007D171B">
            <w:pPr>
              <w:jc w:val="right"/>
              <w:rPr>
                <w:rFonts w:eastAsia="Times New Roman"/>
                <w:color w:val="C00000"/>
                <w:sz w:val="18"/>
                <w:szCs w:val="18"/>
              </w:rPr>
            </w:pPr>
            <w:r w:rsidRPr="000D1490">
              <w:rPr>
                <w:color w:val="C00000"/>
                <w:sz w:val="18"/>
                <w:szCs w:val="18"/>
              </w:rPr>
              <w:t>850</w:t>
            </w:r>
          </w:p>
        </w:tc>
        <w:tc>
          <w:tcPr>
            <w:tcW w:w="1169" w:type="dxa"/>
            <w:shd w:val="clear" w:color="000000" w:fill="F2F2F2"/>
            <w:noWrap/>
            <w:vAlign w:val="center"/>
            <w:hideMark/>
          </w:tcPr>
          <w:p w14:paraId="730B24E3" w14:textId="77777777" w:rsidR="00D10CC3" w:rsidRPr="000D1490" w:rsidRDefault="00D10CC3" w:rsidP="007D171B">
            <w:pPr>
              <w:jc w:val="right"/>
              <w:rPr>
                <w:rFonts w:eastAsia="Times New Roman"/>
                <w:color w:val="C00000"/>
                <w:sz w:val="18"/>
                <w:szCs w:val="18"/>
              </w:rPr>
            </w:pPr>
            <w:r w:rsidRPr="000D1490">
              <w:rPr>
                <w:color w:val="C00000"/>
                <w:sz w:val="18"/>
                <w:szCs w:val="18"/>
              </w:rPr>
              <w:t>210</w:t>
            </w:r>
          </w:p>
        </w:tc>
        <w:tc>
          <w:tcPr>
            <w:tcW w:w="1170" w:type="dxa"/>
            <w:shd w:val="clear" w:color="000000" w:fill="F2F2F2"/>
            <w:noWrap/>
            <w:vAlign w:val="center"/>
            <w:hideMark/>
          </w:tcPr>
          <w:p w14:paraId="0D9308C9" w14:textId="77777777" w:rsidR="00D10CC3" w:rsidRPr="000D1490" w:rsidRDefault="00D10CC3" w:rsidP="007D171B">
            <w:pPr>
              <w:jc w:val="right"/>
              <w:rPr>
                <w:rFonts w:eastAsia="Times New Roman"/>
                <w:color w:val="C00000"/>
                <w:sz w:val="18"/>
                <w:szCs w:val="18"/>
              </w:rPr>
            </w:pPr>
            <w:r w:rsidRPr="000D1490">
              <w:rPr>
                <w:color w:val="C00000"/>
                <w:sz w:val="18"/>
                <w:szCs w:val="18"/>
              </w:rPr>
              <w:t>70</w:t>
            </w:r>
          </w:p>
        </w:tc>
        <w:tc>
          <w:tcPr>
            <w:tcW w:w="1169" w:type="dxa"/>
            <w:shd w:val="clear" w:color="000000" w:fill="F2F2F2"/>
            <w:noWrap/>
            <w:vAlign w:val="center"/>
            <w:hideMark/>
          </w:tcPr>
          <w:p w14:paraId="5CC4C549"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70" w:type="dxa"/>
            <w:shd w:val="clear" w:color="000000" w:fill="F2F2F2"/>
            <w:noWrap/>
            <w:vAlign w:val="center"/>
            <w:hideMark/>
          </w:tcPr>
          <w:p w14:paraId="03D15931"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r>
      <w:tr w:rsidR="00D10CC3" w:rsidRPr="0076371A" w14:paraId="3FA9D9C3" w14:textId="77777777" w:rsidTr="00D10CC3">
        <w:trPr>
          <w:trHeight w:val="402"/>
        </w:trPr>
        <w:tc>
          <w:tcPr>
            <w:tcW w:w="1169" w:type="dxa"/>
            <w:noWrap/>
            <w:vAlign w:val="center"/>
            <w:hideMark/>
          </w:tcPr>
          <w:p w14:paraId="5D523547" w14:textId="77777777" w:rsidR="00D10CC3" w:rsidRPr="0076371A" w:rsidRDefault="00D10CC3" w:rsidP="007D171B">
            <w:pPr>
              <w:rPr>
                <w:rFonts w:eastAsia="Times New Roman"/>
                <w:color w:val="000000"/>
                <w:sz w:val="18"/>
                <w:szCs w:val="18"/>
              </w:rPr>
            </w:pPr>
            <w:r>
              <w:rPr>
                <w:color w:val="000000"/>
                <w:sz w:val="18"/>
                <w:szCs w:val="18"/>
              </w:rPr>
              <w:t>Moderate</w:t>
            </w:r>
          </w:p>
        </w:tc>
        <w:tc>
          <w:tcPr>
            <w:tcW w:w="1169" w:type="dxa"/>
            <w:noWrap/>
            <w:vAlign w:val="center"/>
            <w:hideMark/>
          </w:tcPr>
          <w:p w14:paraId="35D2CE85" w14:textId="77777777" w:rsidR="00D10CC3" w:rsidRPr="000D1490" w:rsidRDefault="00D10CC3" w:rsidP="007D171B">
            <w:pPr>
              <w:jc w:val="right"/>
              <w:rPr>
                <w:rFonts w:eastAsia="Times New Roman"/>
                <w:color w:val="C00000"/>
                <w:sz w:val="18"/>
                <w:szCs w:val="18"/>
              </w:rPr>
            </w:pPr>
            <w:r w:rsidRPr="000D1490">
              <w:rPr>
                <w:color w:val="C00000"/>
                <w:sz w:val="18"/>
                <w:szCs w:val="18"/>
              </w:rPr>
              <w:t>$1,330</w:t>
            </w:r>
          </w:p>
        </w:tc>
        <w:tc>
          <w:tcPr>
            <w:tcW w:w="1170" w:type="dxa"/>
            <w:noWrap/>
            <w:vAlign w:val="center"/>
            <w:hideMark/>
          </w:tcPr>
          <w:p w14:paraId="7349831A" w14:textId="77777777" w:rsidR="00D10CC3" w:rsidRPr="000D1490" w:rsidRDefault="00D10CC3" w:rsidP="007D171B">
            <w:pPr>
              <w:jc w:val="right"/>
              <w:rPr>
                <w:rFonts w:eastAsia="Times New Roman"/>
                <w:color w:val="C00000"/>
                <w:sz w:val="18"/>
                <w:szCs w:val="18"/>
              </w:rPr>
            </w:pPr>
            <w:r w:rsidRPr="000D1490">
              <w:rPr>
                <w:color w:val="C00000"/>
                <w:sz w:val="18"/>
                <w:szCs w:val="18"/>
              </w:rPr>
              <w:t>175</w:t>
            </w:r>
          </w:p>
        </w:tc>
        <w:tc>
          <w:tcPr>
            <w:tcW w:w="1169" w:type="dxa"/>
            <w:noWrap/>
            <w:vAlign w:val="center"/>
            <w:hideMark/>
          </w:tcPr>
          <w:p w14:paraId="663784E3"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noWrap/>
            <w:vAlign w:val="center"/>
            <w:hideMark/>
          </w:tcPr>
          <w:p w14:paraId="7AF1EFD3" w14:textId="77777777" w:rsidR="00D10CC3" w:rsidRPr="000D1490" w:rsidRDefault="00D10CC3" w:rsidP="007D171B">
            <w:pPr>
              <w:jc w:val="right"/>
              <w:rPr>
                <w:rFonts w:eastAsia="Times New Roman"/>
                <w:color w:val="C00000"/>
                <w:sz w:val="18"/>
                <w:szCs w:val="18"/>
              </w:rPr>
            </w:pPr>
            <w:r w:rsidRPr="000D1490">
              <w:rPr>
                <w:color w:val="C00000"/>
                <w:sz w:val="18"/>
                <w:szCs w:val="18"/>
              </w:rPr>
              <w:t>25</w:t>
            </w:r>
          </w:p>
        </w:tc>
        <w:tc>
          <w:tcPr>
            <w:tcW w:w="1170" w:type="dxa"/>
            <w:noWrap/>
            <w:vAlign w:val="center"/>
            <w:hideMark/>
          </w:tcPr>
          <w:p w14:paraId="2E8A590E" w14:textId="77777777" w:rsidR="00D10CC3" w:rsidRPr="000D1490" w:rsidRDefault="00D10CC3" w:rsidP="007D171B">
            <w:pPr>
              <w:jc w:val="right"/>
              <w:rPr>
                <w:rFonts w:eastAsia="Times New Roman"/>
                <w:color w:val="C00000"/>
                <w:sz w:val="18"/>
                <w:szCs w:val="18"/>
              </w:rPr>
            </w:pPr>
            <w:r w:rsidRPr="000D1490">
              <w:rPr>
                <w:color w:val="C00000"/>
                <w:sz w:val="18"/>
                <w:szCs w:val="18"/>
              </w:rPr>
              <w:t>65</w:t>
            </w:r>
          </w:p>
        </w:tc>
        <w:tc>
          <w:tcPr>
            <w:tcW w:w="1169" w:type="dxa"/>
            <w:noWrap/>
            <w:vAlign w:val="center"/>
            <w:hideMark/>
          </w:tcPr>
          <w:p w14:paraId="0C873B0A" w14:textId="77777777" w:rsidR="00D10CC3" w:rsidRPr="000D1490" w:rsidRDefault="00D10CC3" w:rsidP="007D171B">
            <w:pPr>
              <w:jc w:val="right"/>
              <w:rPr>
                <w:rFonts w:eastAsia="Times New Roman"/>
                <w:color w:val="C00000"/>
                <w:sz w:val="18"/>
                <w:szCs w:val="18"/>
              </w:rPr>
            </w:pPr>
            <w:r w:rsidRPr="000D1490">
              <w:rPr>
                <w:color w:val="C00000"/>
                <w:sz w:val="18"/>
                <w:szCs w:val="18"/>
              </w:rPr>
              <w:t>40</w:t>
            </w:r>
          </w:p>
        </w:tc>
        <w:tc>
          <w:tcPr>
            <w:tcW w:w="1170" w:type="dxa"/>
            <w:noWrap/>
            <w:vAlign w:val="center"/>
            <w:hideMark/>
          </w:tcPr>
          <w:p w14:paraId="3AF0B704" w14:textId="77777777" w:rsidR="00D10CC3" w:rsidRPr="000D1490" w:rsidRDefault="00D10CC3" w:rsidP="007D171B">
            <w:pPr>
              <w:jc w:val="right"/>
              <w:rPr>
                <w:rFonts w:eastAsia="Times New Roman"/>
                <w:color w:val="C00000"/>
                <w:sz w:val="18"/>
                <w:szCs w:val="18"/>
              </w:rPr>
            </w:pPr>
            <w:r w:rsidRPr="000D1490">
              <w:rPr>
                <w:color w:val="C00000"/>
                <w:sz w:val="18"/>
                <w:szCs w:val="18"/>
              </w:rPr>
              <w:t>45</w:t>
            </w:r>
          </w:p>
        </w:tc>
      </w:tr>
      <w:tr w:rsidR="00D10CC3" w:rsidRPr="0076371A" w14:paraId="6201D4A5" w14:textId="77777777" w:rsidTr="00D10CC3">
        <w:trPr>
          <w:trHeight w:val="402"/>
        </w:trPr>
        <w:tc>
          <w:tcPr>
            <w:tcW w:w="1169" w:type="dxa"/>
            <w:shd w:val="clear" w:color="000000" w:fill="F2F2F2"/>
            <w:noWrap/>
            <w:vAlign w:val="center"/>
            <w:hideMark/>
          </w:tcPr>
          <w:p w14:paraId="7213E85A" w14:textId="77777777" w:rsidR="00D10CC3" w:rsidRPr="0076371A" w:rsidRDefault="00D10CC3" w:rsidP="007D171B">
            <w:pPr>
              <w:rPr>
                <w:rFonts w:eastAsia="Times New Roman"/>
                <w:color w:val="000000"/>
                <w:sz w:val="18"/>
                <w:szCs w:val="18"/>
              </w:rPr>
            </w:pPr>
            <w:r>
              <w:rPr>
                <w:color w:val="000000"/>
                <w:sz w:val="18"/>
                <w:szCs w:val="18"/>
              </w:rPr>
              <w:t>Median</w:t>
            </w:r>
          </w:p>
        </w:tc>
        <w:tc>
          <w:tcPr>
            <w:tcW w:w="1169" w:type="dxa"/>
            <w:shd w:val="clear" w:color="000000" w:fill="F2F2F2"/>
            <w:noWrap/>
            <w:vAlign w:val="center"/>
            <w:hideMark/>
          </w:tcPr>
          <w:p w14:paraId="00C5AEB9" w14:textId="77777777" w:rsidR="00D10CC3" w:rsidRPr="000D1490" w:rsidRDefault="00D10CC3" w:rsidP="007D171B">
            <w:pPr>
              <w:jc w:val="right"/>
              <w:rPr>
                <w:rFonts w:eastAsia="Times New Roman"/>
                <w:color w:val="C00000"/>
                <w:sz w:val="18"/>
                <w:szCs w:val="18"/>
              </w:rPr>
            </w:pPr>
            <w:r w:rsidRPr="000D1490">
              <w:rPr>
                <w:color w:val="C00000"/>
                <w:sz w:val="18"/>
                <w:szCs w:val="18"/>
              </w:rPr>
              <w:t>$1,995</w:t>
            </w:r>
          </w:p>
        </w:tc>
        <w:tc>
          <w:tcPr>
            <w:tcW w:w="1170" w:type="dxa"/>
            <w:shd w:val="clear" w:color="000000" w:fill="F2F2F2"/>
            <w:noWrap/>
            <w:vAlign w:val="center"/>
            <w:hideMark/>
          </w:tcPr>
          <w:p w14:paraId="3ACCA395"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shd w:val="clear" w:color="000000" w:fill="F2F2F2"/>
            <w:noWrap/>
            <w:vAlign w:val="center"/>
            <w:hideMark/>
          </w:tcPr>
          <w:p w14:paraId="57AC63B2"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shd w:val="clear" w:color="000000" w:fill="F2F2F2"/>
            <w:noWrap/>
            <w:vAlign w:val="center"/>
            <w:hideMark/>
          </w:tcPr>
          <w:p w14:paraId="0B797D6F"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70" w:type="dxa"/>
            <w:shd w:val="clear" w:color="000000" w:fill="F2F2F2"/>
            <w:noWrap/>
            <w:vAlign w:val="center"/>
            <w:hideMark/>
          </w:tcPr>
          <w:p w14:paraId="4ECDAFAA"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shd w:val="clear" w:color="000000" w:fill="F2F2F2"/>
            <w:noWrap/>
            <w:vAlign w:val="center"/>
            <w:hideMark/>
          </w:tcPr>
          <w:p w14:paraId="43D8EA45"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70" w:type="dxa"/>
            <w:shd w:val="clear" w:color="000000" w:fill="F2F2F2"/>
            <w:noWrap/>
            <w:vAlign w:val="center"/>
            <w:hideMark/>
          </w:tcPr>
          <w:p w14:paraId="73A026EA"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r>
      <w:tr w:rsidR="00D10CC3" w:rsidRPr="0076371A" w14:paraId="12360EEB" w14:textId="77777777" w:rsidTr="00D10CC3">
        <w:trPr>
          <w:trHeight w:val="402"/>
        </w:trPr>
        <w:tc>
          <w:tcPr>
            <w:tcW w:w="1169" w:type="dxa"/>
            <w:noWrap/>
            <w:vAlign w:val="center"/>
            <w:hideMark/>
          </w:tcPr>
          <w:p w14:paraId="7B479EAC" w14:textId="77777777" w:rsidR="00D10CC3" w:rsidRPr="0076371A" w:rsidRDefault="00D10CC3" w:rsidP="007D171B">
            <w:pPr>
              <w:rPr>
                <w:rFonts w:eastAsia="Times New Roman"/>
                <w:color w:val="000000"/>
                <w:sz w:val="18"/>
                <w:szCs w:val="18"/>
              </w:rPr>
            </w:pPr>
            <w:r>
              <w:rPr>
                <w:color w:val="000000"/>
                <w:sz w:val="18"/>
                <w:szCs w:val="18"/>
              </w:rPr>
              <w:t>High</w:t>
            </w:r>
          </w:p>
        </w:tc>
        <w:tc>
          <w:tcPr>
            <w:tcW w:w="1169" w:type="dxa"/>
            <w:noWrap/>
            <w:vAlign w:val="center"/>
            <w:hideMark/>
          </w:tcPr>
          <w:p w14:paraId="059F196F" w14:textId="77777777" w:rsidR="00D10CC3" w:rsidRPr="000D1490" w:rsidRDefault="00D10CC3" w:rsidP="007D171B">
            <w:pPr>
              <w:jc w:val="right"/>
              <w:rPr>
                <w:rFonts w:eastAsia="Times New Roman"/>
                <w:color w:val="C00000"/>
                <w:sz w:val="18"/>
                <w:szCs w:val="18"/>
              </w:rPr>
            </w:pPr>
            <w:r w:rsidRPr="000D1490">
              <w:rPr>
                <w:color w:val="C00000"/>
                <w:sz w:val="18"/>
                <w:szCs w:val="18"/>
              </w:rPr>
              <w:t>&gt;$1,995</w:t>
            </w:r>
          </w:p>
        </w:tc>
        <w:tc>
          <w:tcPr>
            <w:tcW w:w="1170" w:type="dxa"/>
            <w:noWrap/>
            <w:vAlign w:val="center"/>
            <w:hideMark/>
          </w:tcPr>
          <w:p w14:paraId="439F6EFF"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noWrap/>
            <w:vAlign w:val="center"/>
            <w:hideMark/>
          </w:tcPr>
          <w:p w14:paraId="567204E7"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noWrap/>
            <w:vAlign w:val="center"/>
            <w:hideMark/>
          </w:tcPr>
          <w:p w14:paraId="6F32EAB5"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70" w:type="dxa"/>
            <w:noWrap/>
            <w:vAlign w:val="center"/>
            <w:hideMark/>
          </w:tcPr>
          <w:p w14:paraId="0F6304F6"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69" w:type="dxa"/>
            <w:noWrap/>
            <w:vAlign w:val="center"/>
            <w:hideMark/>
          </w:tcPr>
          <w:p w14:paraId="64C217B9"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c>
          <w:tcPr>
            <w:tcW w:w="1170" w:type="dxa"/>
            <w:noWrap/>
            <w:vAlign w:val="center"/>
            <w:hideMark/>
          </w:tcPr>
          <w:p w14:paraId="0515038E" w14:textId="77777777" w:rsidR="00D10CC3" w:rsidRPr="000D1490" w:rsidRDefault="00D10CC3" w:rsidP="007D171B">
            <w:pPr>
              <w:jc w:val="right"/>
              <w:rPr>
                <w:rFonts w:eastAsia="Times New Roman"/>
                <w:color w:val="C00000"/>
                <w:sz w:val="18"/>
                <w:szCs w:val="18"/>
              </w:rPr>
            </w:pPr>
            <w:r w:rsidRPr="000D1490">
              <w:rPr>
                <w:color w:val="C00000"/>
                <w:sz w:val="18"/>
                <w:szCs w:val="18"/>
              </w:rPr>
              <w:t>0</w:t>
            </w:r>
          </w:p>
        </w:tc>
      </w:tr>
    </w:tbl>
    <w:p w14:paraId="341BE5F1" w14:textId="4AC84DB4" w:rsidR="0043538E" w:rsidRDefault="0043538E" w:rsidP="008258B2"/>
    <w:p w14:paraId="735AAD0B" w14:textId="43352798" w:rsidR="008258B2" w:rsidRDefault="00D81117" w:rsidP="004608FD">
      <w:pPr>
        <w:rPr>
          <w:b/>
        </w:rPr>
      </w:pPr>
      <w:r w:rsidRPr="00D81117">
        <w:rPr>
          <w:b/>
          <w:bCs/>
        </w:rPr>
        <w:t>Table 6.2.1: Projection Parameters</w:t>
      </w:r>
    </w:p>
    <w:p w14:paraId="040D3552" w14:textId="7E1A9028" w:rsidR="0043538E" w:rsidRDefault="00F64522" w:rsidP="00DA24F7">
      <w:r>
        <w:t>See methodology in Housing Needs Assessment Guidebook</w:t>
      </w:r>
    </w:p>
    <w:p w14:paraId="649C6F30" w14:textId="77777777" w:rsidR="00065EB9" w:rsidRDefault="00065EB9" w:rsidP="00DA24F7"/>
    <w:p w14:paraId="3C6531D3" w14:textId="0635FE11" w:rsidR="00065EB9" w:rsidRDefault="0019556D" w:rsidP="00DA24F7">
      <w:pPr>
        <w:rPr>
          <w:b/>
          <w:bCs/>
        </w:rPr>
      </w:pPr>
      <w:r w:rsidRPr="0019556D">
        <w:rPr>
          <w:b/>
          <w:bCs/>
        </w:rPr>
        <w:t>Table 6.3.1: Anticipated Population by 2035</w:t>
      </w:r>
    </w:p>
    <w:p w14:paraId="62C62867" w14:textId="77777777" w:rsidR="0019556D" w:rsidRPr="0019556D" w:rsidRDefault="0019556D" w:rsidP="00DA24F7">
      <w:pPr>
        <w:rPr>
          <w:b/>
          <w:bCs/>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43538E" w14:paraId="30544832"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5E125687" w14:textId="77777777" w:rsidR="0043538E" w:rsidRPr="009460D0" w:rsidRDefault="000511ED">
            <w:pPr>
              <w:rPr>
                <w:sz w:val="18"/>
                <w:szCs w:val="18"/>
              </w:rPr>
            </w:pPr>
            <w:r w:rsidRPr="009460D0">
              <w:rPr>
                <w:color w:val="FFFFFF"/>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008E6E63" w14:textId="77777777" w:rsidR="0043538E" w:rsidRPr="009460D0" w:rsidRDefault="000511ED" w:rsidP="00ED7B44">
            <w:pPr>
              <w:rPr>
                <w:sz w:val="18"/>
                <w:szCs w:val="18"/>
              </w:rPr>
            </w:pPr>
            <w:r w:rsidRPr="009460D0">
              <w:rPr>
                <w:color w:val="FFFFFF"/>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Pr>
          <w:p w14:paraId="68B3229D" w14:textId="6D9468EC" w:rsidR="009460D0" w:rsidRDefault="009460D0" w:rsidP="00AC57A5">
            <w:pPr>
              <w:ind w:left="76"/>
              <w:rPr>
                <w:color w:val="FFFFFF"/>
                <w:sz w:val="18"/>
                <w:szCs w:val="18"/>
              </w:rPr>
            </w:pPr>
            <w:r>
              <w:rPr>
                <w:color w:val="FFFFFF"/>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732D6A4F" w14:textId="2CC6AB6E" w:rsidR="0043538E" w:rsidRPr="009460D0" w:rsidRDefault="009460D0" w:rsidP="009460D0">
            <w:pPr>
              <w:jc w:val="right"/>
              <w:rPr>
                <w:color w:val="FFFFFF" w:themeColor="background1"/>
                <w:sz w:val="18"/>
                <w:szCs w:val="18"/>
              </w:rPr>
            </w:pPr>
            <w:r w:rsidRPr="009460D0">
              <w:rPr>
                <w:color w:val="FFFFFF" w:themeColor="background1"/>
                <w:sz w:val="18"/>
                <w:szCs w:val="18"/>
              </w:rPr>
              <w:t>Value</w:t>
            </w:r>
          </w:p>
        </w:tc>
      </w:tr>
      <w:tr w:rsidR="0043538E" w14:paraId="7322783A"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C626FF8" w14:textId="5A72D0A6" w:rsidR="0043538E" w:rsidRPr="009460D0" w:rsidRDefault="000511ED">
            <w:pPr>
              <w:spacing w:before="20" w:after="20"/>
              <w:rPr>
                <w:sz w:val="18"/>
                <w:szCs w:val="18"/>
              </w:rPr>
            </w:pPr>
            <w:r>
              <w:rPr>
                <w:color w:val="000000"/>
                <w:sz w:val="18"/>
                <w:szCs w:val="18"/>
              </w:rPr>
              <w:t xml:space="preserve">Anticipated population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76E53B6" w14:textId="0AB34CA0" w:rsidR="0043538E" w:rsidRPr="009460D0" w:rsidRDefault="00AC57A5" w:rsidP="00AC57A5">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B91BCC7" w14:textId="60E27A4F"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E8E460F" w14:textId="6E20B005" w:rsidR="0043538E" w:rsidRPr="000D1490" w:rsidRDefault="00AC57A5" w:rsidP="00AC57A5">
            <w:pPr>
              <w:spacing w:before="20" w:after="20"/>
              <w:jc w:val="right"/>
              <w:rPr>
                <w:color w:val="C00000"/>
                <w:sz w:val="18"/>
                <w:szCs w:val="18"/>
              </w:rPr>
            </w:pPr>
            <w:r w:rsidRPr="000D1490">
              <w:rPr>
                <w:color w:val="C00000"/>
                <w:sz w:val="18"/>
                <w:szCs w:val="18"/>
              </w:rPr>
              <w:t>53,870</w:t>
            </w:r>
          </w:p>
        </w:tc>
      </w:tr>
      <w:tr w:rsidR="0043538E" w14:paraId="3C30D8D6"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C6B2D8D" w14:textId="62CA85B3" w:rsidR="0043538E" w:rsidRPr="009460D0" w:rsidRDefault="000511ED">
            <w:pPr>
              <w:spacing w:before="20" w:after="20"/>
              <w:rPr>
                <w:sz w:val="18"/>
                <w:szCs w:val="18"/>
              </w:rPr>
            </w:pPr>
            <w:r>
              <w:rPr>
                <w:color w:val="000000"/>
                <w:sz w:val="18"/>
                <w:szCs w:val="18"/>
              </w:rPr>
              <w:t xml:space="preserve">Anticipated growth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6BF4408" w14:textId="2FD3D6F9" w:rsidR="0043538E" w:rsidRPr="009460D0" w:rsidRDefault="00AC57A5" w:rsidP="00AC57A5">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4EB857A" w14:textId="07D66034"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2A19728" w14:textId="08668E57" w:rsidR="0043538E" w:rsidRPr="000D1490" w:rsidRDefault="00AC57A5" w:rsidP="00AC57A5">
            <w:pPr>
              <w:spacing w:before="20" w:after="20"/>
              <w:jc w:val="right"/>
              <w:rPr>
                <w:color w:val="C00000"/>
                <w:sz w:val="18"/>
                <w:szCs w:val="18"/>
              </w:rPr>
            </w:pPr>
            <w:r w:rsidRPr="000D1490">
              <w:rPr>
                <w:color w:val="C00000"/>
                <w:sz w:val="18"/>
                <w:szCs w:val="18"/>
              </w:rPr>
              <w:t>5,750</w:t>
            </w:r>
          </w:p>
        </w:tc>
      </w:tr>
      <w:tr w:rsidR="0043538E" w14:paraId="5512ECF5"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8FB5499" w14:textId="093A42A1" w:rsidR="0043538E" w:rsidRPr="009460D0" w:rsidRDefault="00AC57A5">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CE936AB" w14:textId="6E5C4E66" w:rsidR="0043538E" w:rsidRPr="009460D0" w:rsidRDefault="00AC57A5" w:rsidP="00AC57A5">
            <w:pPr>
              <w:spacing w:before="20" w:after="20"/>
              <w:rPr>
                <w:sz w:val="18"/>
                <w:szCs w:val="18"/>
              </w:rPr>
            </w:pPr>
            <w:r>
              <w:rPr>
                <w:color w:val="000000"/>
                <w:sz w:val="18"/>
                <w:szCs w:val="18"/>
              </w:rPr>
              <w:t>Percentage</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2D630CA" w14:textId="25313980"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9E303BB" w14:textId="47967090" w:rsidR="0043538E" w:rsidRPr="000D1490" w:rsidRDefault="00AC57A5" w:rsidP="00AC57A5">
            <w:pPr>
              <w:spacing w:before="20" w:after="20"/>
              <w:jc w:val="right"/>
              <w:rPr>
                <w:color w:val="C00000"/>
                <w:sz w:val="18"/>
                <w:szCs w:val="18"/>
              </w:rPr>
            </w:pPr>
            <w:r w:rsidRPr="000D1490">
              <w:rPr>
                <w:color w:val="C00000"/>
                <w:sz w:val="18"/>
                <w:szCs w:val="18"/>
              </w:rPr>
              <w:t>12%</w:t>
            </w:r>
          </w:p>
        </w:tc>
      </w:tr>
      <w:tr w:rsidR="0043538E" w14:paraId="1D8B3B03"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2194C8B" w14:textId="69D602E8" w:rsidR="0043538E" w:rsidRPr="00AC57A5" w:rsidRDefault="000511ED">
            <w:pPr>
              <w:spacing w:before="20" w:after="20"/>
              <w:rPr>
                <w:sz w:val="18"/>
                <w:szCs w:val="18"/>
                <w:highlight w:val="magenta"/>
              </w:rPr>
            </w:pPr>
            <w:r>
              <w:rPr>
                <w:color w:val="000000"/>
                <w:sz w:val="18"/>
                <w:szCs w:val="18"/>
              </w:rPr>
              <w:t xml:space="preserve">Anticipated age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F9A4CA9" w14:textId="24C35E62" w:rsidR="0043538E" w:rsidRPr="00AC57A5" w:rsidRDefault="00AC57A5" w:rsidP="00AC57A5">
            <w:pPr>
              <w:spacing w:before="20" w:after="20"/>
              <w:rPr>
                <w:sz w:val="18"/>
                <w:szCs w:val="18"/>
                <w:highlight w:val="magenta"/>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E1D7E7B" w14:textId="41DE4629" w:rsidR="00AC57A5" w:rsidRDefault="003F42AA" w:rsidP="00AC57A5">
            <w:pPr>
              <w:spacing w:before="20" w:after="20"/>
              <w:ind w:left="76"/>
              <w:rPr>
                <w:color w:val="000000"/>
                <w:sz w:val="18"/>
                <w:szCs w:val="18"/>
              </w:rPr>
            </w:pPr>
            <w:r>
              <w:rPr>
                <w:color w:val="000000"/>
                <w:sz w:val="18"/>
                <w:szCs w:val="18"/>
              </w:rPr>
              <w:t>Estimated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D7BB2E8" w14:textId="4D49C1BA" w:rsidR="0043538E" w:rsidRPr="000D1490" w:rsidRDefault="003F42AA" w:rsidP="00AC57A5">
            <w:pPr>
              <w:spacing w:before="20" w:after="20"/>
              <w:jc w:val="right"/>
              <w:rPr>
                <w:color w:val="C00000"/>
                <w:sz w:val="18"/>
                <w:szCs w:val="18"/>
              </w:rPr>
            </w:pPr>
            <w:r w:rsidRPr="000D1490">
              <w:rPr>
                <w:color w:val="C00000"/>
                <w:sz w:val="18"/>
                <w:szCs w:val="18"/>
              </w:rPr>
              <w:t>42.9</w:t>
            </w:r>
          </w:p>
        </w:tc>
      </w:tr>
      <w:tr w:rsidR="0043538E" w14:paraId="3C7B7AE6"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1639592" w14:textId="28416F1C" w:rsidR="0043538E" w:rsidRPr="00AC57A5" w:rsidRDefault="00AC57A5">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46DAD59" w14:textId="2E6900AB" w:rsidR="0043538E" w:rsidRPr="00AC57A5" w:rsidRDefault="00AC57A5" w:rsidP="00AC57A5">
            <w:pPr>
              <w:spacing w:before="20" w:after="20"/>
              <w:rPr>
                <w:sz w:val="18"/>
                <w:szCs w:val="18"/>
                <w:highlight w:val="magenta"/>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4F471D82" w14:textId="1F4E552F" w:rsidR="00AC57A5" w:rsidRDefault="003F42AA" w:rsidP="00AC57A5">
            <w:pPr>
              <w:spacing w:before="20" w:after="20"/>
              <w:ind w:left="76"/>
              <w:rPr>
                <w:color w:val="000000"/>
                <w:sz w:val="18"/>
                <w:szCs w:val="18"/>
              </w:rPr>
            </w:pPr>
            <w:r>
              <w:rPr>
                <w:color w:val="000000"/>
                <w:sz w:val="18"/>
                <w:szCs w:val="18"/>
              </w:rPr>
              <w:t>Estimated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EA008B9" w14:textId="3869C05B" w:rsidR="0043538E" w:rsidRPr="000D1490" w:rsidRDefault="003F42AA" w:rsidP="00AC57A5">
            <w:pPr>
              <w:spacing w:before="20" w:after="20"/>
              <w:jc w:val="right"/>
              <w:rPr>
                <w:color w:val="C00000"/>
                <w:sz w:val="18"/>
                <w:szCs w:val="18"/>
              </w:rPr>
            </w:pPr>
            <w:r w:rsidRPr="000D1490">
              <w:rPr>
                <w:color w:val="C00000"/>
                <w:sz w:val="18"/>
                <w:szCs w:val="18"/>
              </w:rPr>
              <w:t>39.2</w:t>
            </w:r>
          </w:p>
        </w:tc>
      </w:tr>
      <w:tr w:rsidR="0043538E" w14:paraId="29E3E8C2"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8268D4A" w14:textId="7D35354C" w:rsidR="0043538E" w:rsidRPr="009460D0" w:rsidRDefault="000511ED">
            <w:pPr>
              <w:spacing w:before="20" w:after="20"/>
              <w:rPr>
                <w:sz w:val="18"/>
                <w:szCs w:val="18"/>
              </w:rPr>
            </w:pPr>
            <w:r>
              <w:rPr>
                <w:color w:val="000000"/>
                <w:sz w:val="18"/>
                <w:szCs w:val="18"/>
              </w:rPr>
              <w:t>Age distribution</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A073184" w14:textId="317F69E2" w:rsidR="0043538E" w:rsidRPr="009460D0" w:rsidRDefault="00AC57A5" w:rsidP="00AC57A5">
            <w:pPr>
              <w:spacing w:before="20" w:after="20"/>
              <w:rPr>
                <w:sz w:val="18"/>
                <w:szCs w:val="18"/>
              </w:rPr>
            </w:pPr>
            <w:r>
              <w:rPr>
                <w:color w:val="000000"/>
                <w:sz w:val="18"/>
                <w:szCs w:val="18"/>
              </w:rPr>
              <w:t>0–14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DE8D0C0" w14:textId="2C7AB6E6"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103626D" w14:textId="4FE6D68D" w:rsidR="0043538E" w:rsidRPr="000D1490" w:rsidRDefault="00AC57A5" w:rsidP="00AC57A5">
            <w:pPr>
              <w:spacing w:before="20" w:after="20"/>
              <w:jc w:val="right"/>
              <w:rPr>
                <w:color w:val="C00000"/>
                <w:sz w:val="18"/>
                <w:szCs w:val="18"/>
              </w:rPr>
            </w:pPr>
            <w:r w:rsidRPr="000D1490">
              <w:rPr>
                <w:color w:val="C00000"/>
                <w:sz w:val="18"/>
                <w:szCs w:val="18"/>
              </w:rPr>
              <w:t>5,555</w:t>
            </w:r>
          </w:p>
        </w:tc>
      </w:tr>
      <w:tr w:rsidR="0043538E" w14:paraId="3543CBA7"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7652961" w14:textId="55D3D63D" w:rsidR="0043538E" w:rsidRPr="009460D0" w:rsidRDefault="00AC57A5">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EF12BFA" w14:textId="2B003BCA" w:rsidR="0043538E" w:rsidRPr="009460D0" w:rsidRDefault="00AC57A5" w:rsidP="00AC57A5">
            <w:pPr>
              <w:spacing w:before="20" w:after="20"/>
              <w:rPr>
                <w:sz w:val="18"/>
                <w:szCs w:val="18"/>
              </w:rPr>
            </w:pPr>
            <w:r>
              <w:rPr>
                <w:color w:val="000000"/>
                <w:sz w:val="18"/>
                <w:szCs w:val="18"/>
              </w:rPr>
              <w:t>15–19</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8E9DAE3" w14:textId="5330FCB9"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5310970" w14:textId="01787A7F" w:rsidR="0043538E" w:rsidRPr="000D1490" w:rsidRDefault="00AC57A5" w:rsidP="00AC57A5">
            <w:pPr>
              <w:spacing w:before="20" w:after="20"/>
              <w:jc w:val="right"/>
              <w:rPr>
                <w:color w:val="C00000"/>
                <w:sz w:val="18"/>
                <w:szCs w:val="18"/>
              </w:rPr>
            </w:pPr>
            <w:r w:rsidRPr="000D1490">
              <w:rPr>
                <w:color w:val="C00000"/>
                <w:sz w:val="18"/>
                <w:szCs w:val="18"/>
              </w:rPr>
              <w:t>2,625</w:t>
            </w:r>
          </w:p>
        </w:tc>
      </w:tr>
      <w:tr w:rsidR="0043538E" w14:paraId="2992AFA6"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4E8A7D4" w14:textId="4AF49342" w:rsidR="0043538E" w:rsidRPr="009460D0" w:rsidRDefault="00AC57A5">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C7B218A" w14:textId="6D5C7369" w:rsidR="0043538E" w:rsidRPr="009460D0" w:rsidRDefault="00AC57A5" w:rsidP="00AC57A5">
            <w:pPr>
              <w:spacing w:before="20" w:after="20"/>
              <w:rPr>
                <w:sz w:val="18"/>
                <w:szCs w:val="18"/>
              </w:rPr>
            </w:pPr>
            <w:r>
              <w:rPr>
                <w:color w:val="000000"/>
                <w:sz w:val="18"/>
                <w:szCs w:val="18"/>
              </w:rPr>
              <w:t>20–24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D6D7DF4" w14:textId="22D60BC1"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AC2ADCF" w14:textId="400C0A5C" w:rsidR="0043538E" w:rsidRPr="000D1490" w:rsidRDefault="00AC57A5" w:rsidP="00AC57A5">
            <w:pPr>
              <w:spacing w:before="20" w:after="20"/>
              <w:jc w:val="right"/>
              <w:rPr>
                <w:color w:val="C00000"/>
                <w:sz w:val="18"/>
                <w:szCs w:val="18"/>
              </w:rPr>
            </w:pPr>
            <w:r w:rsidRPr="000D1490">
              <w:rPr>
                <w:color w:val="C00000"/>
                <w:sz w:val="18"/>
                <w:szCs w:val="18"/>
              </w:rPr>
              <w:t>5,305</w:t>
            </w:r>
          </w:p>
        </w:tc>
      </w:tr>
      <w:tr w:rsidR="0043538E" w14:paraId="290D3B68"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B6937C9" w14:textId="08B824F1" w:rsidR="0043538E" w:rsidRPr="009460D0" w:rsidRDefault="00AC57A5">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E8E1AF9" w14:textId="612BF865" w:rsidR="0043538E" w:rsidRPr="009460D0" w:rsidRDefault="00AC57A5" w:rsidP="00AC57A5">
            <w:pPr>
              <w:spacing w:before="20" w:after="20"/>
              <w:rPr>
                <w:sz w:val="18"/>
                <w:szCs w:val="18"/>
              </w:rPr>
            </w:pPr>
            <w:r>
              <w:rPr>
                <w:color w:val="000000"/>
                <w:sz w:val="18"/>
                <w:szCs w:val="18"/>
              </w:rPr>
              <w:t>25–64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B79A66D" w14:textId="68DAEE57"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CAD8D28" w14:textId="53B271FF" w:rsidR="0043538E" w:rsidRPr="000D1490" w:rsidRDefault="00AC57A5" w:rsidP="00AC57A5">
            <w:pPr>
              <w:spacing w:before="20" w:after="20"/>
              <w:jc w:val="right"/>
              <w:rPr>
                <w:color w:val="C00000"/>
                <w:sz w:val="18"/>
                <w:szCs w:val="18"/>
              </w:rPr>
            </w:pPr>
            <w:r w:rsidRPr="000D1490">
              <w:rPr>
                <w:color w:val="C00000"/>
                <w:sz w:val="18"/>
                <w:szCs w:val="18"/>
              </w:rPr>
              <w:t>28,965</w:t>
            </w:r>
          </w:p>
        </w:tc>
      </w:tr>
      <w:tr w:rsidR="0043538E" w14:paraId="2FDA6C01" w14:textId="77777777" w:rsidTr="00B05B28">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BACD2A1" w14:textId="58147AA4" w:rsidR="0043538E" w:rsidRPr="009460D0" w:rsidRDefault="00AC57A5">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0196021" w14:textId="54C69DFD" w:rsidR="0043538E" w:rsidRPr="009460D0" w:rsidRDefault="00AC57A5" w:rsidP="00AC57A5">
            <w:pPr>
              <w:spacing w:before="20" w:after="20"/>
              <w:rPr>
                <w:sz w:val="18"/>
                <w:szCs w:val="18"/>
              </w:rPr>
            </w:pPr>
            <w:r>
              <w:rPr>
                <w:color w:val="000000"/>
                <w:sz w:val="18"/>
                <w:szCs w:val="18"/>
              </w:rPr>
              <w:t>65–84</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E67863C" w14:textId="591F022A"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8898C5B" w14:textId="25AE843D" w:rsidR="0043538E" w:rsidRPr="000D1490" w:rsidRDefault="00AC57A5" w:rsidP="00AC57A5">
            <w:pPr>
              <w:spacing w:before="20" w:after="20"/>
              <w:jc w:val="right"/>
              <w:rPr>
                <w:color w:val="C00000"/>
                <w:sz w:val="18"/>
                <w:szCs w:val="18"/>
              </w:rPr>
            </w:pPr>
            <w:r w:rsidRPr="000D1490">
              <w:rPr>
                <w:color w:val="C00000"/>
                <w:sz w:val="18"/>
                <w:szCs w:val="18"/>
              </w:rPr>
              <w:t>9,290</w:t>
            </w:r>
          </w:p>
        </w:tc>
      </w:tr>
      <w:tr w:rsidR="0043538E" w14:paraId="4551F391" w14:textId="77777777" w:rsidTr="00B05B28">
        <w:trPr>
          <w:trHeight w:val="21"/>
        </w:trPr>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96E403F" w14:textId="1A07B76C" w:rsidR="0043538E" w:rsidRPr="009460D0" w:rsidRDefault="00AC57A5">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5A3A194" w14:textId="6CE837EB" w:rsidR="0043538E" w:rsidRPr="009460D0" w:rsidRDefault="00AC57A5" w:rsidP="00AC57A5">
            <w:pPr>
              <w:spacing w:before="20" w:after="20"/>
              <w:rPr>
                <w:sz w:val="18"/>
                <w:szCs w:val="18"/>
              </w:rPr>
            </w:pPr>
            <w:r>
              <w:rPr>
                <w:color w:val="000000"/>
                <w:sz w:val="18"/>
                <w:szCs w:val="18"/>
              </w:rPr>
              <w:t>85+</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99252A5" w14:textId="1FFE404E" w:rsidR="00AC57A5" w:rsidRDefault="00AC57A5" w:rsidP="00AC57A5">
            <w:pPr>
              <w:spacing w:before="20" w:after="20"/>
              <w:ind w:left="76"/>
              <w:rPr>
                <w:color w:val="000000"/>
                <w:sz w:val="18"/>
                <w:szCs w:val="18"/>
              </w:rPr>
            </w:pPr>
            <w:r>
              <w:rPr>
                <w:color w:val="000000"/>
                <w:sz w:val="18"/>
                <w:szCs w:val="18"/>
              </w:rPr>
              <w:t>Table 17-10-0162</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17A8BCD" w14:textId="2A3D5ED3" w:rsidR="0043538E" w:rsidRPr="000D1490" w:rsidRDefault="00AC57A5" w:rsidP="00AC57A5">
            <w:pPr>
              <w:spacing w:before="20" w:after="20"/>
              <w:jc w:val="right"/>
              <w:rPr>
                <w:color w:val="C00000"/>
                <w:sz w:val="18"/>
                <w:szCs w:val="18"/>
              </w:rPr>
            </w:pPr>
            <w:r w:rsidRPr="000D1490">
              <w:rPr>
                <w:color w:val="C00000"/>
                <w:sz w:val="18"/>
                <w:szCs w:val="18"/>
              </w:rPr>
              <w:t>2,260</w:t>
            </w:r>
          </w:p>
        </w:tc>
      </w:tr>
    </w:tbl>
    <w:p w14:paraId="73F9CF13" w14:textId="77777777" w:rsidR="0043538E" w:rsidRDefault="0043538E" w:rsidP="00DA24F7"/>
    <w:p w14:paraId="02823C64" w14:textId="77777777" w:rsidR="007B3595" w:rsidRDefault="007B3595" w:rsidP="00DA24F7"/>
    <w:p w14:paraId="3FBEA674" w14:textId="74C1E9E7" w:rsidR="00400AD0" w:rsidRPr="00400AD0" w:rsidRDefault="00400AD0" w:rsidP="00DA24F7">
      <w:pPr>
        <w:rPr>
          <w:b/>
          <w:bCs/>
        </w:rPr>
      </w:pPr>
      <w:r w:rsidRPr="00400AD0">
        <w:rPr>
          <w:b/>
          <w:bCs/>
        </w:rPr>
        <w:lastRenderedPageBreak/>
        <w:t>Table 6.3.2: Anticipated Households by 2035</w:t>
      </w:r>
    </w:p>
    <w:p w14:paraId="181A4046" w14:textId="77777777" w:rsidR="00400AD0" w:rsidRDefault="00400AD0" w:rsidP="00DA24F7"/>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8"/>
        <w:gridCol w:w="2520"/>
        <w:gridCol w:w="1800"/>
        <w:gridCol w:w="1800"/>
      </w:tblGrid>
      <w:tr w:rsidR="0043538E" w14:paraId="6DB41E7E" w14:textId="77777777" w:rsidTr="003C59F9">
        <w:trPr>
          <w:tblHeader/>
        </w:trPr>
        <w:tc>
          <w:tcPr>
            <w:tcW w:w="3238"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47DDA385" w14:textId="77777777" w:rsidR="0043538E" w:rsidRPr="00400AD0" w:rsidRDefault="000511ED">
            <w:pPr>
              <w:rPr>
                <w:sz w:val="18"/>
                <w:szCs w:val="18"/>
              </w:rPr>
            </w:pPr>
            <w:r w:rsidRPr="00400AD0">
              <w:rPr>
                <w:color w:val="FFFFFF"/>
                <w:sz w:val="18"/>
                <w:szCs w:val="18"/>
              </w:rPr>
              <w:t>Characteristic</w:t>
            </w:r>
          </w:p>
        </w:tc>
        <w:tc>
          <w:tcPr>
            <w:tcW w:w="252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1CD6FA36" w14:textId="77777777" w:rsidR="0043538E" w:rsidRPr="00400AD0" w:rsidRDefault="000511ED" w:rsidP="00400AD0">
            <w:pPr>
              <w:rPr>
                <w:sz w:val="18"/>
                <w:szCs w:val="18"/>
              </w:rPr>
            </w:pPr>
            <w:r w:rsidRPr="00400AD0">
              <w:rPr>
                <w:color w:val="FFFFFF"/>
                <w:sz w:val="18"/>
                <w:szCs w:val="18"/>
              </w:rPr>
              <w:t>Data</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Pr>
          <w:p w14:paraId="56736F74" w14:textId="6244B3B5" w:rsidR="00400AD0" w:rsidRDefault="00400AD0" w:rsidP="009D446E">
            <w:pPr>
              <w:ind w:left="76"/>
              <w:rPr>
                <w:color w:val="FFFFFF"/>
                <w:sz w:val="18"/>
                <w:szCs w:val="18"/>
              </w:rPr>
            </w:pPr>
            <w:r>
              <w:rPr>
                <w:color w:val="FFFFFF"/>
                <w:sz w:val="18"/>
                <w:szCs w:val="18"/>
              </w:rPr>
              <w:t>Source</w:t>
            </w:r>
          </w:p>
        </w:tc>
        <w:tc>
          <w:tcPr>
            <w:tcW w:w="1800" w:type="dxa"/>
            <w:tcBorders>
              <w:top w:val="single" w:sz="1" w:space="0" w:color="BDC3C7"/>
              <w:left w:val="single" w:sz="1" w:space="0" w:color="BDC3C7"/>
              <w:bottom w:val="single" w:sz="1" w:space="0" w:color="BDC3C7"/>
              <w:right w:val="single" w:sz="1" w:space="0" w:color="BDC3C7"/>
            </w:tcBorders>
            <w:shd w:val="clear" w:color="auto" w:fill="42618C" w:themeFill="accent3"/>
            <w:tcMar>
              <w:top w:w="60" w:type="dxa"/>
              <w:left w:w="100" w:type="dxa"/>
              <w:bottom w:w="60" w:type="dxa"/>
              <w:right w:w="100" w:type="dxa"/>
            </w:tcMar>
            <w:vAlign w:val="center"/>
          </w:tcPr>
          <w:p w14:paraId="7E49BBBC" w14:textId="1031B7C8" w:rsidR="0043538E" w:rsidRPr="00400AD0" w:rsidRDefault="00400AD0" w:rsidP="00400AD0">
            <w:pPr>
              <w:jc w:val="right"/>
              <w:rPr>
                <w:sz w:val="18"/>
                <w:szCs w:val="18"/>
              </w:rPr>
            </w:pPr>
            <w:r w:rsidRPr="00400AD0">
              <w:rPr>
                <w:color w:val="FFFFFF" w:themeColor="background1"/>
                <w:sz w:val="18"/>
                <w:szCs w:val="18"/>
              </w:rPr>
              <w:t>Value</w:t>
            </w:r>
          </w:p>
        </w:tc>
      </w:tr>
      <w:tr w:rsidR="0043538E" w14:paraId="5223A30D"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202CA13" w14:textId="5FB5D468" w:rsidR="0043538E" w:rsidRPr="00400AD0" w:rsidRDefault="000511ED">
            <w:pPr>
              <w:spacing w:before="20" w:after="20"/>
              <w:rPr>
                <w:sz w:val="18"/>
                <w:szCs w:val="18"/>
              </w:rPr>
            </w:pPr>
            <w:r>
              <w:rPr>
                <w:color w:val="000000"/>
                <w:sz w:val="18"/>
                <w:szCs w:val="18"/>
              </w:rPr>
              <w:t>Current number of households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00F0FF2" w14:textId="3C4BABA8" w:rsidR="0043538E" w:rsidRPr="00400AD0" w:rsidRDefault="009D446E" w:rsidP="009D446E">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F2F4631" w14:textId="688496EC"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CE396F9" w14:textId="012154A6" w:rsidR="0043538E" w:rsidRPr="000D1490" w:rsidRDefault="009D446E" w:rsidP="009D446E">
            <w:pPr>
              <w:spacing w:before="20" w:after="20"/>
              <w:jc w:val="right"/>
              <w:rPr>
                <w:color w:val="C00000"/>
                <w:sz w:val="18"/>
                <w:szCs w:val="18"/>
              </w:rPr>
            </w:pPr>
            <w:r w:rsidRPr="000D1490">
              <w:rPr>
                <w:color w:val="C00000"/>
                <w:sz w:val="18"/>
                <w:szCs w:val="18"/>
              </w:rPr>
              <w:t>22,235</w:t>
            </w:r>
          </w:p>
        </w:tc>
      </w:tr>
      <w:tr w:rsidR="0043538E" w14:paraId="07AC64EB"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C330656" w14:textId="32CFC7FD" w:rsidR="0043538E" w:rsidRPr="00400AD0" w:rsidRDefault="000511ED">
            <w:pPr>
              <w:spacing w:before="20" w:after="20"/>
              <w:rPr>
                <w:sz w:val="18"/>
                <w:szCs w:val="18"/>
              </w:rPr>
            </w:pPr>
            <w:r>
              <w:rPr>
                <w:color w:val="000000"/>
                <w:sz w:val="18"/>
                <w:szCs w:val="18"/>
              </w:rPr>
              <w:t>Anticipated number of households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C86D834" w14:textId="4A0DA840" w:rsidR="0043538E" w:rsidRPr="00400AD0" w:rsidRDefault="009D446E" w:rsidP="009D446E">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6E2BAB25" w14:textId="56F80D76"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C20F6E4" w14:textId="1A911104" w:rsidR="0043538E" w:rsidRPr="000D1490" w:rsidRDefault="009D446E" w:rsidP="009D446E">
            <w:pPr>
              <w:spacing w:before="20" w:after="20"/>
              <w:jc w:val="right"/>
              <w:rPr>
                <w:color w:val="C00000"/>
                <w:sz w:val="18"/>
                <w:szCs w:val="18"/>
              </w:rPr>
            </w:pPr>
            <w:r w:rsidRPr="000D1490">
              <w:rPr>
                <w:color w:val="C00000"/>
                <w:sz w:val="18"/>
                <w:szCs w:val="18"/>
              </w:rPr>
              <w:t>26,065</w:t>
            </w:r>
          </w:p>
        </w:tc>
      </w:tr>
      <w:tr w:rsidR="0043538E" w14:paraId="397FC63F"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BA847E9" w14:textId="0D89A815" w:rsidR="0043538E" w:rsidRPr="00E56B05" w:rsidRDefault="000511ED">
            <w:pPr>
              <w:spacing w:before="20" w:after="20"/>
              <w:rPr>
                <w:sz w:val="18"/>
                <w:szCs w:val="18"/>
                <w:highlight w:val="magenta"/>
              </w:rPr>
            </w:pPr>
            <w:r>
              <w:rPr>
                <w:color w:val="000000"/>
                <w:sz w:val="18"/>
                <w:szCs w:val="18"/>
              </w:rPr>
              <w:t xml:space="preserve">Anticipated </w:t>
            </w:r>
            <w:r w:rsidR="009D446E">
              <w:rPr>
                <w:color w:val="000000"/>
                <w:sz w:val="18"/>
                <w:szCs w:val="18"/>
              </w:rPr>
              <w:t>household age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1DBACDC" w14:textId="66D77B71" w:rsidR="0043538E" w:rsidRPr="00E56B05" w:rsidRDefault="009D446E" w:rsidP="009D446E">
            <w:pPr>
              <w:spacing w:before="20" w:after="20"/>
              <w:rPr>
                <w:sz w:val="18"/>
                <w:szCs w:val="18"/>
                <w:highlight w:val="magenta"/>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C55FC66" w14:textId="7BE5A988" w:rsidR="009D446E" w:rsidRDefault="003E6CE2" w:rsidP="009D446E">
            <w:pPr>
              <w:spacing w:before="20" w:after="20"/>
              <w:ind w:left="76"/>
              <w:rPr>
                <w:color w:val="000000"/>
                <w:sz w:val="18"/>
                <w:szCs w:val="18"/>
              </w:rPr>
            </w:pPr>
            <w:r>
              <w:rPr>
                <w:color w:val="000000"/>
                <w:sz w:val="18"/>
                <w:szCs w:val="18"/>
              </w:rPr>
              <w:t>Estimated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3832719" w14:textId="534048C4" w:rsidR="0043538E" w:rsidRPr="000D1490" w:rsidRDefault="003E6CE2" w:rsidP="009D446E">
            <w:pPr>
              <w:spacing w:before="20" w:after="20"/>
              <w:jc w:val="right"/>
              <w:rPr>
                <w:color w:val="C00000"/>
                <w:sz w:val="18"/>
                <w:szCs w:val="18"/>
              </w:rPr>
            </w:pPr>
            <w:r w:rsidRPr="000D1490">
              <w:rPr>
                <w:color w:val="C00000"/>
                <w:sz w:val="18"/>
                <w:szCs w:val="18"/>
              </w:rPr>
              <w:t>51.9</w:t>
            </w:r>
          </w:p>
        </w:tc>
      </w:tr>
      <w:tr w:rsidR="0043538E" w14:paraId="4EF85901"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5E53966" w14:textId="4C6CA746" w:rsidR="0043538E" w:rsidRPr="00E56B05" w:rsidRDefault="009D446E">
            <w:pPr>
              <w:spacing w:before="20" w:after="20"/>
              <w:rPr>
                <w:sz w:val="18"/>
                <w:szCs w:val="18"/>
                <w:highlight w:val="magenta"/>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5D7E813" w14:textId="3CB6AFFD" w:rsidR="0043538E" w:rsidRPr="00E56B05" w:rsidRDefault="009D446E" w:rsidP="009D446E">
            <w:pPr>
              <w:spacing w:before="20" w:after="20"/>
              <w:rPr>
                <w:sz w:val="18"/>
                <w:szCs w:val="18"/>
                <w:highlight w:val="magenta"/>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3C78A56C" w14:textId="1DD07C39" w:rsidR="009D446E" w:rsidRDefault="003E6CE2" w:rsidP="009D446E">
            <w:pPr>
              <w:spacing w:before="20" w:after="20"/>
              <w:ind w:left="76"/>
              <w:rPr>
                <w:color w:val="000000"/>
                <w:sz w:val="18"/>
                <w:szCs w:val="18"/>
              </w:rPr>
            </w:pPr>
            <w:r>
              <w:rPr>
                <w:color w:val="000000"/>
                <w:sz w:val="18"/>
                <w:szCs w:val="18"/>
              </w:rPr>
              <w:t>Estimated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6EF2200" w14:textId="7278F084" w:rsidR="0043538E" w:rsidRPr="000D1490" w:rsidRDefault="003E6CE2" w:rsidP="009D446E">
            <w:pPr>
              <w:spacing w:before="20" w:after="20"/>
              <w:jc w:val="right"/>
              <w:rPr>
                <w:color w:val="C00000"/>
                <w:sz w:val="18"/>
                <w:szCs w:val="18"/>
              </w:rPr>
            </w:pPr>
            <w:r w:rsidRPr="000D1490">
              <w:rPr>
                <w:color w:val="C00000"/>
                <w:sz w:val="18"/>
                <w:szCs w:val="18"/>
              </w:rPr>
              <w:t>51.3</w:t>
            </w:r>
          </w:p>
        </w:tc>
      </w:tr>
      <w:tr w:rsidR="0043538E" w14:paraId="5F1FB973"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87B50B5" w14:textId="0ECCDCE7" w:rsidR="0043538E" w:rsidRPr="00400AD0" w:rsidRDefault="009D446E">
            <w:pPr>
              <w:spacing w:before="20" w:after="20"/>
              <w:rPr>
                <w:sz w:val="18"/>
                <w:szCs w:val="18"/>
              </w:rPr>
            </w:pPr>
            <w:r>
              <w:rPr>
                <w:color w:val="000000"/>
                <w:sz w:val="18"/>
                <w:szCs w:val="18"/>
              </w:rPr>
              <w:t>By tenure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DD40553" w14:textId="00F6501F" w:rsidR="0043538E" w:rsidRPr="00400AD0" w:rsidRDefault="009D446E" w:rsidP="009D446E">
            <w:pPr>
              <w:spacing w:before="20" w:after="20"/>
              <w:rPr>
                <w:sz w:val="18"/>
                <w:szCs w:val="18"/>
              </w:rPr>
            </w:pPr>
            <w:r>
              <w:rPr>
                <w:color w:val="000000"/>
                <w:sz w:val="18"/>
                <w:szCs w:val="18"/>
              </w:rPr>
              <w:t>Tenant</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2C0209EB" w14:textId="4B79E92C"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9DD0543" w14:textId="70252041" w:rsidR="0043538E" w:rsidRPr="000D1490" w:rsidRDefault="009D446E" w:rsidP="009D446E">
            <w:pPr>
              <w:spacing w:before="20" w:after="20"/>
              <w:jc w:val="right"/>
              <w:rPr>
                <w:color w:val="C00000"/>
                <w:sz w:val="18"/>
                <w:szCs w:val="18"/>
              </w:rPr>
            </w:pPr>
            <w:r w:rsidRPr="000D1490">
              <w:rPr>
                <w:color w:val="C00000"/>
                <w:sz w:val="18"/>
                <w:szCs w:val="18"/>
              </w:rPr>
              <w:t>14,450</w:t>
            </w:r>
          </w:p>
        </w:tc>
      </w:tr>
      <w:tr w:rsidR="0043538E" w14:paraId="11ACAF4A"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F1A5002" w14:textId="2388C332"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0F7C57C3" w14:textId="4F694719" w:rsidR="0043538E" w:rsidRPr="00400AD0" w:rsidRDefault="009D446E" w:rsidP="009D446E">
            <w:pPr>
              <w:spacing w:before="20" w:after="20"/>
              <w:rPr>
                <w:sz w:val="18"/>
                <w:szCs w:val="18"/>
              </w:rPr>
            </w:pPr>
            <w:r>
              <w:rPr>
                <w:color w:val="000000"/>
                <w:sz w:val="18"/>
                <w:szCs w:val="18"/>
              </w:rPr>
              <w:t>Owner</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9492C64" w14:textId="7492F29E"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303F910F" w14:textId="789C7E61" w:rsidR="0043538E" w:rsidRPr="000D1490" w:rsidRDefault="009D446E" w:rsidP="009D446E">
            <w:pPr>
              <w:spacing w:before="20" w:after="20"/>
              <w:jc w:val="right"/>
              <w:rPr>
                <w:color w:val="C00000"/>
                <w:sz w:val="18"/>
                <w:szCs w:val="18"/>
              </w:rPr>
            </w:pPr>
            <w:r w:rsidRPr="000D1490">
              <w:rPr>
                <w:color w:val="C00000"/>
                <w:sz w:val="18"/>
                <w:szCs w:val="18"/>
              </w:rPr>
              <w:t>11,615</w:t>
            </w:r>
          </w:p>
        </w:tc>
      </w:tr>
      <w:tr w:rsidR="0043538E" w14:paraId="7D87B0D4"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8CD5E42" w14:textId="4811971B" w:rsidR="0043538E" w:rsidRPr="00400AD0" w:rsidRDefault="009D446E">
            <w:pPr>
              <w:spacing w:before="20" w:after="20"/>
              <w:rPr>
                <w:sz w:val="18"/>
                <w:szCs w:val="18"/>
              </w:rPr>
            </w:pPr>
            <w:r>
              <w:rPr>
                <w:color w:val="000000"/>
                <w:sz w:val="18"/>
                <w:szCs w:val="18"/>
              </w:rPr>
              <w:t>By type</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9A5E28A" w14:textId="2DC80F85" w:rsidR="0043538E" w:rsidRPr="00400AD0" w:rsidRDefault="009D446E" w:rsidP="009D446E">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036E2D86" w14:textId="2984A2B2"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BF0BCCC" w14:textId="387C0DC7" w:rsidR="0043538E" w:rsidRPr="000D1490" w:rsidRDefault="009D446E" w:rsidP="009D446E">
            <w:pPr>
              <w:spacing w:before="20" w:after="20"/>
              <w:jc w:val="right"/>
              <w:rPr>
                <w:color w:val="C00000"/>
                <w:sz w:val="18"/>
                <w:szCs w:val="18"/>
              </w:rPr>
            </w:pPr>
            <w:r w:rsidRPr="000D1490">
              <w:rPr>
                <w:color w:val="C00000"/>
                <w:sz w:val="18"/>
                <w:szCs w:val="18"/>
              </w:rPr>
              <w:t>32,250</w:t>
            </w:r>
          </w:p>
        </w:tc>
      </w:tr>
      <w:tr w:rsidR="009D446E" w:rsidRPr="00400AD0" w14:paraId="4B4CADEF"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A405556" w14:textId="711F5AC3" w:rsidR="009D446E" w:rsidRDefault="009D446E" w:rsidP="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1168F79" w14:textId="599D65BE" w:rsidR="009D446E" w:rsidRDefault="009D446E" w:rsidP="009D446E">
            <w:pPr>
              <w:spacing w:before="20" w:after="20"/>
              <w:rPr>
                <w:sz w:val="18"/>
                <w:szCs w:val="18"/>
              </w:rPr>
            </w:pPr>
            <w:r>
              <w:rPr>
                <w:color w:val="000000"/>
                <w:sz w:val="18"/>
                <w:szCs w:val="18"/>
              </w:rPr>
              <w:t>Single-detached</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98AD685" w14:textId="0A227D30" w:rsidR="009D446E" w:rsidRPr="00400AD0" w:rsidRDefault="009D446E" w:rsidP="009D446E">
            <w:pPr>
              <w:spacing w:before="20" w:after="20"/>
              <w:ind w:left="76"/>
              <w:rPr>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E5483AF" w14:textId="154B286A" w:rsidR="009D446E" w:rsidRPr="000D1490" w:rsidRDefault="009D446E" w:rsidP="009D446E">
            <w:pPr>
              <w:spacing w:before="20" w:after="20"/>
              <w:jc w:val="right"/>
              <w:rPr>
                <w:color w:val="C00000"/>
                <w:sz w:val="18"/>
                <w:szCs w:val="18"/>
              </w:rPr>
            </w:pPr>
            <w:r w:rsidRPr="000D1490">
              <w:rPr>
                <w:color w:val="C00000"/>
                <w:sz w:val="18"/>
                <w:szCs w:val="18"/>
              </w:rPr>
              <w:t>13,575</w:t>
            </w:r>
          </w:p>
        </w:tc>
      </w:tr>
      <w:tr w:rsidR="0043538E" w14:paraId="34B0F59C"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E9B3110" w14:textId="3F233F62"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2B5F7AC" w14:textId="2364BF92" w:rsidR="0043538E" w:rsidRPr="00400AD0" w:rsidRDefault="009D446E" w:rsidP="009D446E">
            <w:pPr>
              <w:spacing w:before="20" w:after="20"/>
              <w:rPr>
                <w:sz w:val="18"/>
                <w:szCs w:val="18"/>
              </w:rPr>
            </w:pPr>
            <w:r>
              <w:rPr>
                <w:color w:val="000000"/>
                <w:sz w:val="18"/>
                <w:szCs w:val="18"/>
              </w:rPr>
              <w:t>Apartment</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17ECCDF" w14:textId="46CABD59"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9EB588D" w14:textId="1A74556C" w:rsidR="0043538E" w:rsidRPr="000D1490" w:rsidRDefault="009D446E" w:rsidP="009D446E">
            <w:pPr>
              <w:spacing w:before="20" w:after="20"/>
              <w:jc w:val="right"/>
              <w:rPr>
                <w:color w:val="C00000"/>
                <w:sz w:val="18"/>
                <w:szCs w:val="18"/>
              </w:rPr>
            </w:pPr>
            <w:r w:rsidRPr="000D1490">
              <w:rPr>
                <w:color w:val="C00000"/>
                <w:sz w:val="18"/>
                <w:szCs w:val="18"/>
              </w:rPr>
              <w:t>12,870</w:t>
            </w:r>
          </w:p>
        </w:tc>
      </w:tr>
      <w:tr w:rsidR="0043538E" w14:paraId="21F2C94F"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3CB3A17" w14:textId="50B47583"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68044B9" w14:textId="2E8FB35B" w:rsidR="0043538E" w:rsidRPr="00400AD0" w:rsidRDefault="009D446E" w:rsidP="009D446E">
            <w:pPr>
              <w:spacing w:before="20" w:after="20"/>
              <w:rPr>
                <w:sz w:val="18"/>
                <w:szCs w:val="18"/>
              </w:rPr>
            </w:pPr>
            <w:r>
              <w:rPr>
                <w:color w:val="000000"/>
                <w:sz w:val="18"/>
                <w:szCs w:val="18"/>
              </w:rPr>
              <w:t>Other</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560C84E8" w14:textId="108AD5C5"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21D921CF" w14:textId="27C3CB26" w:rsidR="0043538E" w:rsidRPr="000D1490" w:rsidRDefault="009D446E" w:rsidP="009D446E">
            <w:pPr>
              <w:spacing w:before="20" w:after="20"/>
              <w:jc w:val="right"/>
              <w:rPr>
                <w:color w:val="C00000"/>
                <w:sz w:val="18"/>
                <w:szCs w:val="18"/>
              </w:rPr>
            </w:pPr>
            <w:r w:rsidRPr="000D1490">
              <w:rPr>
                <w:color w:val="C00000"/>
                <w:sz w:val="18"/>
                <w:szCs w:val="18"/>
              </w:rPr>
              <w:t>5,805</w:t>
            </w:r>
          </w:p>
        </w:tc>
      </w:tr>
      <w:tr w:rsidR="0043538E" w14:paraId="0B528690"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A219DA2" w14:textId="6A06C5AA" w:rsidR="0043538E" w:rsidRPr="00400AD0" w:rsidRDefault="009D446E">
            <w:pPr>
              <w:spacing w:before="20" w:after="20"/>
              <w:rPr>
                <w:sz w:val="18"/>
                <w:szCs w:val="18"/>
              </w:rPr>
            </w:pPr>
            <w:r>
              <w:rPr>
                <w:color w:val="000000"/>
                <w:sz w:val="18"/>
                <w:szCs w:val="18"/>
              </w:rPr>
              <w:t>By bedrooms</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6A94A0E" w14:textId="67B5531B" w:rsidR="0043538E" w:rsidRPr="00400AD0" w:rsidRDefault="009D446E" w:rsidP="009D446E">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D238BDA" w14:textId="2EFC9F29"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78B052D" w14:textId="4A14943E" w:rsidR="0043538E" w:rsidRPr="000D1490" w:rsidRDefault="009D446E" w:rsidP="009D446E">
            <w:pPr>
              <w:spacing w:before="20" w:after="20"/>
              <w:jc w:val="right"/>
              <w:rPr>
                <w:color w:val="C00000"/>
                <w:sz w:val="18"/>
                <w:szCs w:val="18"/>
              </w:rPr>
            </w:pPr>
            <w:r w:rsidRPr="000D1490">
              <w:rPr>
                <w:color w:val="C00000"/>
                <w:sz w:val="18"/>
                <w:szCs w:val="18"/>
              </w:rPr>
              <w:t>32,250</w:t>
            </w:r>
          </w:p>
        </w:tc>
      </w:tr>
      <w:tr w:rsidR="009D446E" w:rsidRPr="00400AD0" w14:paraId="27E61FBD"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964C65F" w14:textId="053A2ED2" w:rsidR="009D446E" w:rsidRPr="00400AD0" w:rsidRDefault="009D446E" w:rsidP="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A1B03C1" w14:textId="686CF72F" w:rsidR="009D446E" w:rsidRPr="00400AD0" w:rsidRDefault="009D446E" w:rsidP="009D446E">
            <w:pPr>
              <w:spacing w:before="20" w:after="20"/>
              <w:rPr>
                <w:sz w:val="18"/>
                <w:szCs w:val="18"/>
              </w:rPr>
            </w:pPr>
            <w:r>
              <w:rPr>
                <w:color w:val="000000"/>
                <w:sz w:val="18"/>
                <w:szCs w:val="18"/>
              </w:rPr>
              <w:t>Studio</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196BC368" w14:textId="225235D5" w:rsidR="009D446E" w:rsidRPr="00400AD0" w:rsidRDefault="009D446E" w:rsidP="009D446E">
            <w:pPr>
              <w:spacing w:before="20" w:after="20"/>
              <w:ind w:left="76"/>
              <w:rPr>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6341A69" w14:textId="49E81632" w:rsidR="009D446E" w:rsidRPr="000D1490" w:rsidRDefault="009D446E" w:rsidP="009D446E">
            <w:pPr>
              <w:spacing w:before="20" w:after="20"/>
              <w:jc w:val="right"/>
              <w:rPr>
                <w:color w:val="C00000"/>
                <w:sz w:val="18"/>
                <w:szCs w:val="18"/>
              </w:rPr>
            </w:pPr>
            <w:r w:rsidRPr="000D1490">
              <w:rPr>
                <w:color w:val="C00000"/>
                <w:sz w:val="18"/>
                <w:szCs w:val="18"/>
              </w:rPr>
              <w:t>195</w:t>
            </w:r>
          </w:p>
        </w:tc>
      </w:tr>
      <w:tr w:rsidR="009D446E" w:rsidRPr="00400AD0" w14:paraId="7AAC1AA0"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CA76081" w14:textId="3E0F8C05" w:rsidR="009D446E" w:rsidRPr="00400AD0" w:rsidRDefault="009D446E" w:rsidP="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C2DED36" w14:textId="1DCD6F27" w:rsidR="009D446E" w:rsidRPr="00400AD0" w:rsidRDefault="009D446E" w:rsidP="009D446E">
            <w:pPr>
              <w:spacing w:before="20" w:after="20"/>
              <w:rPr>
                <w:sz w:val="18"/>
                <w:szCs w:val="18"/>
              </w:rPr>
            </w:pPr>
            <w:r>
              <w:rPr>
                <w:color w:val="000000"/>
                <w:sz w:val="18"/>
                <w:szCs w:val="18"/>
              </w:rPr>
              <w:t>1 bedroom</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78F1FADE" w14:textId="1527A194" w:rsidR="009D446E" w:rsidRPr="00400AD0" w:rsidRDefault="009D446E" w:rsidP="009D446E">
            <w:pPr>
              <w:spacing w:before="20" w:after="20"/>
              <w:ind w:left="76"/>
              <w:rPr>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6321713" w14:textId="24FF15B6" w:rsidR="009D446E" w:rsidRPr="000D1490" w:rsidRDefault="009D446E" w:rsidP="009D446E">
            <w:pPr>
              <w:spacing w:before="20" w:after="20"/>
              <w:jc w:val="right"/>
              <w:rPr>
                <w:color w:val="C00000"/>
                <w:sz w:val="18"/>
                <w:szCs w:val="18"/>
              </w:rPr>
            </w:pPr>
            <w:r w:rsidRPr="000D1490">
              <w:rPr>
                <w:color w:val="C00000"/>
                <w:sz w:val="18"/>
                <w:szCs w:val="18"/>
              </w:rPr>
              <w:t>5,260</w:t>
            </w:r>
          </w:p>
        </w:tc>
      </w:tr>
      <w:tr w:rsidR="0043538E" w14:paraId="6B3B2766"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800F569" w14:textId="719B488F"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7D3B8B3" w14:textId="224CA44C" w:rsidR="0043538E" w:rsidRPr="00400AD0" w:rsidRDefault="009D446E" w:rsidP="009D446E">
            <w:pPr>
              <w:spacing w:before="20" w:after="20"/>
              <w:rPr>
                <w:sz w:val="18"/>
                <w:szCs w:val="18"/>
              </w:rPr>
            </w:pPr>
            <w:r>
              <w:rPr>
                <w:color w:val="000000"/>
                <w:sz w:val="18"/>
                <w:szCs w:val="18"/>
              </w:rPr>
              <w:t>2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10013A7" w14:textId="666CB1CC"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0619918" w14:textId="2A6ED3CE" w:rsidR="0043538E" w:rsidRPr="000D1490" w:rsidRDefault="009D446E" w:rsidP="009D446E">
            <w:pPr>
              <w:spacing w:before="20" w:after="20"/>
              <w:jc w:val="right"/>
              <w:rPr>
                <w:color w:val="C00000"/>
                <w:sz w:val="18"/>
                <w:szCs w:val="18"/>
              </w:rPr>
            </w:pPr>
            <w:r w:rsidRPr="000D1490">
              <w:rPr>
                <w:color w:val="C00000"/>
                <w:sz w:val="18"/>
                <w:szCs w:val="18"/>
              </w:rPr>
              <w:t>11,255</w:t>
            </w:r>
          </w:p>
        </w:tc>
      </w:tr>
      <w:tr w:rsidR="0043538E" w14:paraId="7C3BF928"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76373A8" w14:textId="0579D4AA"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1D58DAC3" w14:textId="0C2CA3B7" w:rsidR="0043538E" w:rsidRPr="00400AD0" w:rsidRDefault="009D446E" w:rsidP="009D446E">
            <w:pPr>
              <w:spacing w:before="20" w:after="20"/>
              <w:rPr>
                <w:sz w:val="18"/>
                <w:szCs w:val="18"/>
              </w:rPr>
            </w:pPr>
            <w:r>
              <w:rPr>
                <w:color w:val="000000"/>
                <w:sz w:val="18"/>
                <w:szCs w:val="18"/>
              </w:rPr>
              <w:t>3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0997B2F1" w14:textId="0DC7866C"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74CD1F70" w14:textId="567AF6CA" w:rsidR="0043538E" w:rsidRPr="000D1490" w:rsidRDefault="009D446E" w:rsidP="009D446E">
            <w:pPr>
              <w:spacing w:before="20" w:after="20"/>
              <w:jc w:val="right"/>
              <w:rPr>
                <w:color w:val="C00000"/>
                <w:sz w:val="18"/>
                <w:szCs w:val="18"/>
              </w:rPr>
            </w:pPr>
            <w:r w:rsidRPr="000D1490">
              <w:rPr>
                <w:color w:val="C00000"/>
                <w:sz w:val="18"/>
                <w:szCs w:val="18"/>
              </w:rPr>
              <w:t>9,470</w:t>
            </w:r>
          </w:p>
        </w:tc>
      </w:tr>
      <w:tr w:rsidR="0043538E" w14:paraId="7D2327AE"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3D25BE9" w14:textId="1B17E7A3"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81CAE2B" w14:textId="4051445A" w:rsidR="0043538E" w:rsidRPr="00400AD0" w:rsidRDefault="009D446E" w:rsidP="009D446E">
            <w:pPr>
              <w:spacing w:before="20" w:after="20"/>
              <w:rPr>
                <w:sz w:val="18"/>
                <w:szCs w:val="18"/>
              </w:rPr>
            </w:pPr>
            <w:r>
              <w:rPr>
                <w:color w:val="000000"/>
                <w:sz w:val="18"/>
                <w:szCs w:val="18"/>
              </w:rPr>
              <w:t>4+ bedrooms</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39293B1B" w14:textId="14BB9B00"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5F528E1F" w14:textId="402F06CD" w:rsidR="0043538E" w:rsidRPr="000D1490" w:rsidRDefault="009D446E" w:rsidP="009D446E">
            <w:pPr>
              <w:spacing w:before="20" w:after="20"/>
              <w:jc w:val="right"/>
              <w:rPr>
                <w:color w:val="C00000"/>
                <w:sz w:val="18"/>
                <w:szCs w:val="18"/>
              </w:rPr>
            </w:pPr>
            <w:r w:rsidRPr="000D1490">
              <w:rPr>
                <w:color w:val="C00000"/>
                <w:sz w:val="18"/>
                <w:szCs w:val="18"/>
              </w:rPr>
              <w:t>6,070</w:t>
            </w:r>
          </w:p>
        </w:tc>
      </w:tr>
      <w:tr w:rsidR="0043538E" w14:paraId="4A676826"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5AB075B" w14:textId="08208CAB" w:rsidR="0043538E" w:rsidRPr="00400AD0" w:rsidRDefault="009D446E">
            <w:pPr>
              <w:spacing w:before="20" w:after="20"/>
              <w:rPr>
                <w:sz w:val="18"/>
                <w:szCs w:val="18"/>
              </w:rPr>
            </w:pPr>
            <w:r>
              <w:rPr>
                <w:color w:val="000000"/>
                <w:sz w:val="18"/>
                <w:szCs w:val="18"/>
              </w:rPr>
              <w:t xml:space="preserve">By income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D45ECB2" w14:textId="06D88069" w:rsidR="0043538E" w:rsidRPr="00400AD0" w:rsidRDefault="009D446E" w:rsidP="009D446E">
            <w:pPr>
              <w:spacing w:before="20" w:after="20"/>
              <w:rPr>
                <w:sz w:val="18"/>
                <w:szCs w:val="18"/>
              </w:rPr>
            </w:pPr>
            <w:r>
              <w:rPr>
                <w:color w:val="000000"/>
                <w:sz w:val="18"/>
                <w:szCs w:val="18"/>
              </w:rPr>
              <w:t>Average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7821292" w14:textId="6460ED91"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E96632C" w14:textId="504772BD" w:rsidR="0043538E" w:rsidRPr="000D1490" w:rsidRDefault="009D446E" w:rsidP="009D446E">
            <w:pPr>
              <w:spacing w:before="20" w:after="20"/>
              <w:jc w:val="right"/>
              <w:rPr>
                <w:color w:val="C00000"/>
                <w:sz w:val="18"/>
                <w:szCs w:val="18"/>
              </w:rPr>
            </w:pPr>
            <w:r w:rsidRPr="000D1490">
              <w:rPr>
                <w:color w:val="C00000"/>
                <w:sz w:val="18"/>
                <w:szCs w:val="18"/>
              </w:rPr>
              <w:t>26,065</w:t>
            </w:r>
          </w:p>
        </w:tc>
      </w:tr>
      <w:tr w:rsidR="0043538E" w14:paraId="0A2635A4"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C13597C" w14:textId="6A6C8358"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D5CE887" w14:textId="3B84A3FD" w:rsidR="0043538E" w:rsidRPr="00400AD0" w:rsidRDefault="009D446E" w:rsidP="009D446E">
            <w:pPr>
              <w:spacing w:before="20" w:after="20"/>
              <w:rPr>
                <w:sz w:val="18"/>
                <w:szCs w:val="18"/>
              </w:rPr>
            </w:pPr>
            <w:r>
              <w:rPr>
                <w:color w:val="000000"/>
                <w:sz w:val="18"/>
                <w:szCs w:val="18"/>
              </w:rPr>
              <w:t>Very low</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398BAD6" w14:textId="4BC7D53F"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0514DE6" w14:textId="35B800FC" w:rsidR="0043538E" w:rsidRPr="000D1490" w:rsidRDefault="009D446E" w:rsidP="009D446E">
            <w:pPr>
              <w:spacing w:before="20" w:after="20"/>
              <w:jc w:val="right"/>
              <w:rPr>
                <w:color w:val="C00000"/>
                <w:sz w:val="18"/>
                <w:szCs w:val="18"/>
              </w:rPr>
            </w:pPr>
            <w:r w:rsidRPr="000D1490">
              <w:rPr>
                <w:color w:val="C00000"/>
                <w:sz w:val="18"/>
                <w:szCs w:val="18"/>
              </w:rPr>
              <w:t>705</w:t>
            </w:r>
          </w:p>
        </w:tc>
      </w:tr>
      <w:tr w:rsidR="0043538E" w14:paraId="1C9CA4F2"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6E49A2F" w14:textId="0150DE2A"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AFBF376" w14:textId="20081EE8" w:rsidR="0043538E" w:rsidRPr="00400AD0" w:rsidRDefault="009D446E" w:rsidP="009D446E">
            <w:pPr>
              <w:spacing w:before="20" w:after="20"/>
              <w:rPr>
                <w:sz w:val="18"/>
                <w:szCs w:val="18"/>
              </w:rPr>
            </w:pPr>
            <w:r>
              <w:rPr>
                <w:color w:val="000000"/>
                <w:sz w:val="18"/>
                <w:szCs w:val="18"/>
              </w:rPr>
              <w:t>Low</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A174C1A" w14:textId="0DC43B26"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EB7CF67" w14:textId="5E62EB77" w:rsidR="0043538E" w:rsidRPr="000D1490" w:rsidRDefault="009D446E" w:rsidP="009D446E">
            <w:pPr>
              <w:spacing w:before="20" w:after="20"/>
              <w:jc w:val="right"/>
              <w:rPr>
                <w:color w:val="C00000"/>
                <w:sz w:val="18"/>
                <w:szCs w:val="18"/>
              </w:rPr>
            </w:pPr>
            <w:r w:rsidRPr="000D1490">
              <w:rPr>
                <w:color w:val="C00000"/>
                <w:sz w:val="18"/>
                <w:szCs w:val="18"/>
              </w:rPr>
              <w:t>4,130</w:t>
            </w:r>
          </w:p>
        </w:tc>
      </w:tr>
      <w:tr w:rsidR="0043538E" w14:paraId="6115C059"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40709B93" w14:textId="7F1E6EC1"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3B0D3111" w14:textId="09DAD629" w:rsidR="0043538E" w:rsidRPr="00400AD0" w:rsidRDefault="009D446E" w:rsidP="009D446E">
            <w:pPr>
              <w:spacing w:before="20" w:after="20"/>
              <w:rPr>
                <w:sz w:val="18"/>
                <w:szCs w:val="18"/>
              </w:rPr>
            </w:pPr>
            <w:r>
              <w:rPr>
                <w:color w:val="000000"/>
                <w:sz w:val="18"/>
                <w:szCs w:val="18"/>
              </w:rPr>
              <w:t>Moderate</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19DE8B29" w14:textId="33A86E20"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4202AC7" w14:textId="072CB06B" w:rsidR="0043538E" w:rsidRPr="000D1490" w:rsidRDefault="009D446E" w:rsidP="009D446E">
            <w:pPr>
              <w:spacing w:before="20" w:after="20"/>
              <w:jc w:val="right"/>
              <w:rPr>
                <w:color w:val="C00000"/>
                <w:sz w:val="18"/>
                <w:szCs w:val="18"/>
              </w:rPr>
            </w:pPr>
            <w:r w:rsidRPr="000D1490">
              <w:rPr>
                <w:color w:val="C00000"/>
                <w:sz w:val="18"/>
                <w:szCs w:val="18"/>
              </w:rPr>
              <w:t>4,760</w:t>
            </w:r>
          </w:p>
        </w:tc>
      </w:tr>
      <w:tr w:rsidR="0043538E" w14:paraId="69695FFF"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A810F0B" w14:textId="2887035C"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42AE45F" w14:textId="2106B25B" w:rsidR="0043538E" w:rsidRPr="00400AD0" w:rsidRDefault="009D446E" w:rsidP="009D446E">
            <w:pPr>
              <w:spacing w:before="20" w:after="20"/>
              <w:rPr>
                <w:sz w:val="18"/>
                <w:szCs w:val="18"/>
              </w:rPr>
            </w:pPr>
            <w:r>
              <w:rPr>
                <w:color w:val="000000"/>
                <w:sz w:val="18"/>
                <w:szCs w:val="18"/>
              </w:rPr>
              <w:t>Median</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65DC66ED" w14:textId="0B222DEF"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5C88065F" w14:textId="3DD42853" w:rsidR="0043538E" w:rsidRPr="000D1490" w:rsidRDefault="009D446E" w:rsidP="009D446E">
            <w:pPr>
              <w:spacing w:before="20" w:after="20"/>
              <w:jc w:val="right"/>
              <w:rPr>
                <w:color w:val="C00000"/>
                <w:sz w:val="18"/>
                <w:szCs w:val="18"/>
              </w:rPr>
            </w:pPr>
            <w:r w:rsidRPr="000D1490">
              <w:rPr>
                <w:color w:val="C00000"/>
                <w:sz w:val="18"/>
                <w:szCs w:val="18"/>
              </w:rPr>
              <w:t>5,475</w:t>
            </w:r>
          </w:p>
        </w:tc>
      </w:tr>
      <w:tr w:rsidR="0043538E" w14:paraId="3FDBC156"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A94B2A6" w14:textId="363D5283" w:rsidR="0043538E" w:rsidRPr="00400AD0" w:rsidRDefault="009D446E">
            <w:pPr>
              <w:spacing w:before="20" w:after="20"/>
              <w:rPr>
                <w:sz w:val="18"/>
                <w:szCs w:val="18"/>
              </w:rPr>
            </w:pPr>
            <w:r>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5964B32" w14:textId="4F269DCD" w:rsidR="0043538E" w:rsidRPr="00400AD0" w:rsidRDefault="009D446E" w:rsidP="009D446E">
            <w:pPr>
              <w:spacing w:before="20" w:after="20"/>
              <w:rPr>
                <w:sz w:val="18"/>
                <w:szCs w:val="18"/>
              </w:rPr>
            </w:pPr>
            <w:r>
              <w:rPr>
                <w:color w:val="000000"/>
                <w:sz w:val="18"/>
                <w:szCs w:val="18"/>
              </w:rPr>
              <w:t>High</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vAlign w:val="center"/>
          </w:tcPr>
          <w:p w14:paraId="22FD62B8" w14:textId="3B1E05E2" w:rsidR="009D446E" w:rsidRDefault="009D446E" w:rsidP="009D446E">
            <w:pPr>
              <w:spacing w:before="20" w:after="20"/>
              <w:ind w:left="76"/>
              <w:rPr>
                <w:color w:val="000000"/>
                <w:sz w:val="18"/>
                <w:szCs w:val="18"/>
              </w:rPr>
            </w:pPr>
            <w:r>
              <w:rPr>
                <w:color w:val="000000"/>
                <w:sz w:val="18"/>
                <w:szCs w:val="18"/>
              </w:rPr>
              <w:t>See methodology</w:t>
            </w:r>
          </w:p>
        </w:tc>
        <w:tc>
          <w:tcPr>
            <w:tcW w:w="180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1CF7C2D" w14:textId="382F0764" w:rsidR="0043538E" w:rsidRPr="000D1490" w:rsidRDefault="009D446E" w:rsidP="009D446E">
            <w:pPr>
              <w:spacing w:before="20" w:after="20"/>
              <w:jc w:val="right"/>
              <w:rPr>
                <w:color w:val="C00000"/>
                <w:sz w:val="18"/>
                <w:szCs w:val="18"/>
              </w:rPr>
            </w:pPr>
            <w:r w:rsidRPr="000D1490">
              <w:rPr>
                <w:color w:val="C00000"/>
                <w:sz w:val="18"/>
                <w:szCs w:val="18"/>
              </w:rPr>
              <w:t>10,990</w:t>
            </w:r>
          </w:p>
        </w:tc>
      </w:tr>
      <w:tr w:rsidR="0043538E" w14:paraId="5221AC2A" w14:textId="77777777" w:rsidTr="004F3A46">
        <w:tc>
          <w:tcPr>
            <w:tcW w:w="3238"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6C94C4CD" w14:textId="20B006F7" w:rsidR="0043538E" w:rsidRPr="00624FDC" w:rsidRDefault="000511ED">
            <w:pPr>
              <w:spacing w:before="20" w:after="20"/>
              <w:rPr>
                <w:sz w:val="18"/>
                <w:szCs w:val="18"/>
                <w:highlight w:val="magenta"/>
              </w:rPr>
            </w:pPr>
            <w:r>
              <w:rPr>
                <w:color w:val="000000"/>
                <w:sz w:val="18"/>
                <w:szCs w:val="18"/>
              </w:rPr>
              <w:t>Average household size</w:t>
            </w:r>
          </w:p>
        </w:tc>
        <w:tc>
          <w:tcPr>
            <w:tcW w:w="252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224ECE08" w14:textId="7691ECAE" w:rsidR="0043538E" w:rsidRPr="00624FDC" w:rsidRDefault="009D446E" w:rsidP="009D446E">
            <w:pPr>
              <w:spacing w:before="20" w:after="20"/>
              <w:rPr>
                <w:sz w:val="18"/>
                <w:szCs w:val="18"/>
                <w:highlight w:val="magenta"/>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vAlign w:val="center"/>
          </w:tcPr>
          <w:p w14:paraId="57A2A307" w14:textId="2CC6A911" w:rsidR="009D446E" w:rsidRDefault="003E6CE2" w:rsidP="009D446E">
            <w:pPr>
              <w:spacing w:before="20" w:after="20"/>
              <w:ind w:left="76"/>
              <w:rPr>
                <w:color w:val="000000"/>
                <w:sz w:val="18"/>
                <w:szCs w:val="18"/>
              </w:rPr>
            </w:pPr>
            <w:r>
              <w:rPr>
                <w:color w:val="000000"/>
                <w:sz w:val="18"/>
                <w:szCs w:val="18"/>
              </w:rPr>
              <w:t>Estimated</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hemeFill="background1"/>
            <w:tcMar>
              <w:top w:w="60" w:type="dxa"/>
              <w:left w:w="100" w:type="dxa"/>
              <w:bottom w:w="60" w:type="dxa"/>
              <w:right w:w="100" w:type="dxa"/>
            </w:tcMar>
            <w:vAlign w:val="center"/>
          </w:tcPr>
          <w:p w14:paraId="4442CF90" w14:textId="20A91FBA" w:rsidR="0043538E" w:rsidRPr="000D1490" w:rsidRDefault="003E6CE2" w:rsidP="009D446E">
            <w:pPr>
              <w:spacing w:before="20" w:after="20"/>
              <w:jc w:val="right"/>
              <w:rPr>
                <w:color w:val="C00000"/>
                <w:sz w:val="18"/>
                <w:szCs w:val="18"/>
              </w:rPr>
            </w:pPr>
            <w:r w:rsidRPr="000D1490">
              <w:rPr>
                <w:color w:val="C00000"/>
                <w:sz w:val="18"/>
                <w:szCs w:val="18"/>
              </w:rPr>
              <w:t>2.2</w:t>
            </w:r>
          </w:p>
        </w:tc>
      </w:tr>
      <w:tr w:rsidR="0043538E" w14:paraId="645B3BDA"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0D6B3D4" w14:textId="1FE000D2" w:rsidR="0043538E" w:rsidRPr="00F72812" w:rsidRDefault="000511ED">
            <w:pPr>
              <w:spacing w:before="20" w:after="20"/>
              <w:rPr>
                <w:sz w:val="18"/>
                <w:szCs w:val="18"/>
              </w:rPr>
            </w:pPr>
            <w:r>
              <w:rPr>
                <w:color w:val="000000"/>
                <w:sz w:val="18"/>
                <w:szCs w:val="18"/>
              </w:rPr>
              <w:t>Draft approved lots</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77BDAD6B" w14:textId="6F413254" w:rsidR="0043538E" w:rsidRPr="00F72812" w:rsidRDefault="009D446E" w:rsidP="009D446E">
            <w:pPr>
              <w:spacing w:before="20" w:after="20"/>
              <w:rPr>
                <w:sz w:val="18"/>
                <w:szCs w:val="18"/>
              </w:rPr>
            </w:pPr>
            <w:r>
              <w:rPr>
                <w:color w:val="000000"/>
                <w:sz w:val="18"/>
                <w:szCs w:val="18"/>
              </w:rPr>
              <w:t>Total</w:t>
            </w:r>
          </w:p>
        </w:tc>
        <w:tc>
          <w:tcPr>
            <w:tcW w:w="1800" w:type="dxa"/>
            <w:tcBorders>
              <w:top w:val="single" w:sz="1" w:space="0" w:color="BDC3C7"/>
              <w:left w:val="single" w:sz="1" w:space="0" w:color="BDC3C7"/>
              <w:bottom w:val="single" w:sz="1" w:space="0" w:color="BDC3C7"/>
              <w:right w:val="single" w:sz="1" w:space="0" w:color="BDC3C7"/>
            </w:tcBorders>
            <w:shd w:val="clear" w:color="auto" w:fill="FFE7BC" w:themeFill="accent5" w:themeFillTint="33"/>
            <w:vAlign w:val="center"/>
          </w:tcPr>
          <w:p w14:paraId="221ACFFE" w14:textId="0A002286" w:rsidR="009D446E" w:rsidRDefault="009D446E" w:rsidP="009D446E">
            <w:pPr>
              <w:spacing w:before="20" w:after="20"/>
              <w:ind w:left="76"/>
              <w:rPr>
                <w:color w:val="000000"/>
                <w:sz w:val="18"/>
                <w:szCs w:val="18"/>
              </w:rPr>
            </w:pPr>
            <w:r>
              <w:rPr>
                <w:color w:val="000000"/>
                <w:sz w:val="18"/>
                <w:szCs w:val="18"/>
              </w:rPr>
              <w:t> </w:t>
            </w:r>
          </w:p>
        </w:tc>
        <w:tc>
          <w:tcPr>
            <w:tcW w:w="1800" w:type="dxa"/>
            <w:tcBorders>
              <w:top w:val="single" w:sz="1" w:space="0" w:color="BDC3C7"/>
              <w:left w:val="single" w:sz="1" w:space="0" w:color="BDC3C7"/>
              <w:bottom w:val="single" w:sz="1" w:space="0" w:color="BDC3C7"/>
              <w:right w:val="single" w:sz="1" w:space="0" w:color="BDC3C7"/>
            </w:tcBorders>
            <w:shd w:val="clear" w:color="auto" w:fill="FFE7BC" w:themeFill="accent5" w:themeFillTint="33"/>
            <w:tcMar>
              <w:top w:w="60" w:type="dxa"/>
              <w:left w:w="100" w:type="dxa"/>
              <w:bottom w:w="60" w:type="dxa"/>
              <w:right w:w="100" w:type="dxa"/>
            </w:tcMar>
            <w:vAlign w:val="center"/>
          </w:tcPr>
          <w:p w14:paraId="42B2E72B" w14:textId="27782C55" w:rsidR="0043538E" w:rsidRPr="00400AD0" w:rsidRDefault="009D446E" w:rsidP="009D446E">
            <w:pPr>
              <w:spacing w:before="20" w:after="20"/>
              <w:jc w:val="right"/>
              <w:rPr>
                <w:sz w:val="18"/>
                <w:szCs w:val="18"/>
              </w:rPr>
            </w:pPr>
            <w:r>
              <w:rPr>
                <w:color w:val="000000"/>
                <w:sz w:val="18"/>
                <w:szCs w:val="18"/>
              </w:rPr>
              <w:t> </w:t>
            </w:r>
          </w:p>
        </w:tc>
      </w:tr>
      <w:tr w:rsidR="0043538E" w14:paraId="38B1D19A"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B14153B" w14:textId="44CE8538" w:rsidR="0043538E" w:rsidRPr="00F72812" w:rsidRDefault="009D446E">
            <w:pPr>
              <w:spacing w:before="20" w:after="20"/>
              <w:rPr>
                <w:sz w:val="18"/>
                <w:szCs w:val="18"/>
              </w:rPr>
            </w:pPr>
            <w:r w:rsidRPr="00F72812">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6C7F35A6" w14:textId="54CC536C" w:rsidR="0043538E" w:rsidRPr="00F72812" w:rsidRDefault="009D446E" w:rsidP="009D446E">
            <w:pPr>
              <w:spacing w:before="20" w:after="20"/>
              <w:rPr>
                <w:sz w:val="18"/>
                <w:szCs w:val="18"/>
              </w:rPr>
            </w:pPr>
            <w:r>
              <w:rPr>
                <w:color w:val="000000"/>
                <w:sz w:val="18"/>
                <w:szCs w:val="18"/>
              </w:rPr>
              <w:t>Tenant</w:t>
            </w:r>
          </w:p>
        </w:tc>
        <w:tc>
          <w:tcPr>
            <w:tcW w:w="1800" w:type="dxa"/>
            <w:tcBorders>
              <w:top w:val="single" w:sz="1" w:space="0" w:color="BDC3C7"/>
              <w:left w:val="single" w:sz="1" w:space="0" w:color="BDC3C7"/>
              <w:bottom w:val="single" w:sz="1" w:space="0" w:color="BDC3C7"/>
              <w:right w:val="single" w:sz="1" w:space="0" w:color="BDC3C7"/>
            </w:tcBorders>
            <w:shd w:val="clear" w:color="auto" w:fill="FFE7BC" w:themeFill="accent5" w:themeFillTint="33"/>
            <w:vAlign w:val="center"/>
          </w:tcPr>
          <w:p w14:paraId="2B37E939" w14:textId="214F5BED" w:rsidR="009D446E" w:rsidRDefault="009D446E" w:rsidP="009D446E">
            <w:pPr>
              <w:spacing w:before="20" w:after="20"/>
              <w:ind w:left="76"/>
              <w:rPr>
                <w:color w:val="000000"/>
                <w:sz w:val="18"/>
                <w:szCs w:val="18"/>
              </w:rPr>
            </w:pPr>
            <w:r>
              <w:rPr>
                <w:color w:val="000000"/>
                <w:sz w:val="18"/>
                <w:szCs w:val="18"/>
              </w:rPr>
              <w:t> </w:t>
            </w:r>
          </w:p>
        </w:tc>
        <w:tc>
          <w:tcPr>
            <w:tcW w:w="1800" w:type="dxa"/>
            <w:tcBorders>
              <w:top w:val="single" w:sz="1" w:space="0" w:color="BDC3C7"/>
              <w:left w:val="single" w:sz="1" w:space="0" w:color="BDC3C7"/>
              <w:bottom w:val="single" w:sz="1" w:space="0" w:color="BDC3C7"/>
              <w:right w:val="single" w:sz="1" w:space="0" w:color="BDC3C7"/>
            </w:tcBorders>
            <w:shd w:val="clear" w:color="auto" w:fill="FFE7BC" w:themeFill="accent5" w:themeFillTint="33"/>
            <w:tcMar>
              <w:top w:w="60" w:type="dxa"/>
              <w:left w:w="100" w:type="dxa"/>
              <w:bottom w:w="60" w:type="dxa"/>
              <w:right w:w="100" w:type="dxa"/>
            </w:tcMar>
            <w:vAlign w:val="center"/>
          </w:tcPr>
          <w:p w14:paraId="673A0A80" w14:textId="49594407" w:rsidR="0043538E" w:rsidRPr="00400AD0" w:rsidRDefault="009D446E" w:rsidP="009D446E">
            <w:pPr>
              <w:spacing w:before="20" w:after="20"/>
              <w:jc w:val="right"/>
              <w:rPr>
                <w:sz w:val="18"/>
                <w:szCs w:val="18"/>
              </w:rPr>
            </w:pPr>
            <w:r>
              <w:rPr>
                <w:color w:val="000000"/>
                <w:sz w:val="18"/>
                <w:szCs w:val="18"/>
              </w:rPr>
              <w:t> </w:t>
            </w:r>
          </w:p>
        </w:tc>
      </w:tr>
      <w:tr w:rsidR="0043538E" w14:paraId="14823615" w14:textId="77777777" w:rsidTr="003C59F9">
        <w:tc>
          <w:tcPr>
            <w:tcW w:w="3238"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18C2D983" w14:textId="38E43B4B" w:rsidR="0043538E" w:rsidRPr="00F72812" w:rsidRDefault="009D446E">
            <w:pPr>
              <w:spacing w:before="20" w:after="20"/>
              <w:rPr>
                <w:sz w:val="18"/>
                <w:szCs w:val="18"/>
              </w:rPr>
            </w:pPr>
            <w:r w:rsidRPr="00F72812">
              <w:rPr>
                <w:color w:val="000000"/>
                <w:sz w:val="18"/>
                <w:szCs w:val="18"/>
              </w:rPr>
              <w:t> </w:t>
            </w:r>
          </w:p>
        </w:tc>
        <w:tc>
          <w:tcPr>
            <w:tcW w:w="2520" w:type="dxa"/>
            <w:tcBorders>
              <w:top w:val="single" w:sz="1" w:space="0" w:color="BDC3C7"/>
              <w:left w:val="single" w:sz="1" w:space="0" w:color="BDC3C7"/>
              <w:bottom w:val="single" w:sz="1" w:space="0" w:color="BDC3C7"/>
              <w:right w:val="single" w:sz="1" w:space="0" w:color="BDC3C7"/>
            </w:tcBorders>
            <w:shd w:val="clear" w:color="auto" w:fill="F2F2F2" w:themeFill="background1" w:themeFillShade="F2"/>
            <w:tcMar>
              <w:top w:w="60" w:type="dxa"/>
              <w:left w:w="100" w:type="dxa"/>
              <w:bottom w:w="60" w:type="dxa"/>
              <w:right w:w="100" w:type="dxa"/>
            </w:tcMar>
            <w:vAlign w:val="center"/>
          </w:tcPr>
          <w:p w14:paraId="061F44E5" w14:textId="33F66E68" w:rsidR="0043538E" w:rsidRPr="00F72812" w:rsidRDefault="009D446E" w:rsidP="009D446E">
            <w:pPr>
              <w:spacing w:before="20" w:after="20"/>
              <w:rPr>
                <w:sz w:val="18"/>
                <w:szCs w:val="18"/>
              </w:rPr>
            </w:pPr>
            <w:r>
              <w:rPr>
                <w:color w:val="000000"/>
                <w:sz w:val="18"/>
                <w:szCs w:val="18"/>
              </w:rPr>
              <w:t>Owner</w:t>
            </w:r>
          </w:p>
        </w:tc>
        <w:tc>
          <w:tcPr>
            <w:tcW w:w="1800" w:type="dxa"/>
            <w:tcBorders>
              <w:top w:val="single" w:sz="1" w:space="0" w:color="BDC3C7"/>
              <w:left w:val="single" w:sz="1" w:space="0" w:color="BDC3C7"/>
              <w:bottom w:val="single" w:sz="1" w:space="0" w:color="BDC3C7"/>
              <w:right w:val="single" w:sz="1" w:space="0" w:color="BDC3C7"/>
            </w:tcBorders>
            <w:shd w:val="clear" w:color="auto" w:fill="FFE7BC" w:themeFill="accent5" w:themeFillTint="33"/>
            <w:vAlign w:val="center"/>
          </w:tcPr>
          <w:p w14:paraId="50B68260" w14:textId="7B4EEECD" w:rsidR="009D446E" w:rsidRDefault="009D446E" w:rsidP="009D446E">
            <w:pPr>
              <w:spacing w:before="20" w:after="20"/>
              <w:ind w:left="76"/>
              <w:rPr>
                <w:color w:val="000000"/>
                <w:sz w:val="18"/>
                <w:szCs w:val="18"/>
              </w:rPr>
            </w:pPr>
            <w:r>
              <w:rPr>
                <w:color w:val="000000"/>
                <w:sz w:val="18"/>
                <w:szCs w:val="18"/>
              </w:rPr>
              <w:t> </w:t>
            </w:r>
          </w:p>
        </w:tc>
        <w:tc>
          <w:tcPr>
            <w:tcW w:w="1800" w:type="dxa"/>
            <w:tcBorders>
              <w:top w:val="single" w:sz="1" w:space="0" w:color="BDC3C7"/>
              <w:left w:val="single" w:sz="1" w:space="0" w:color="BDC3C7"/>
              <w:bottom w:val="single" w:sz="1" w:space="0" w:color="BDC3C7"/>
              <w:right w:val="single" w:sz="1" w:space="0" w:color="BDC3C7"/>
            </w:tcBorders>
            <w:shd w:val="clear" w:color="auto" w:fill="FFE7BC" w:themeFill="accent5" w:themeFillTint="33"/>
            <w:tcMar>
              <w:top w:w="60" w:type="dxa"/>
              <w:left w:w="100" w:type="dxa"/>
              <w:bottom w:w="60" w:type="dxa"/>
              <w:right w:w="100" w:type="dxa"/>
            </w:tcMar>
            <w:vAlign w:val="center"/>
          </w:tcPr>
          <w:p w14:paraId="78A2B18C" w14:textId="1E04EBAC" w:rsidR="0043538E" w:rsidRPr="00400AD0" w:rsidRDefault="009D446E" w:rsidP="009D446E">
            <w:pPr>
              <w:spacing w:before="20" w:after="20"/>
              <w:jc w:val="right"/>
              <w:rPr>
                <w:sz w:val="18"/>
                <w:szCs w:val="18"/>
              </w:rPr>
            </w:pPr>
            <w:r>
              <w:rPr>
                <w:color w:val="000000"/>
                <w:sz w:val="18"/>
                <w:szCs w:val="18"/>
              </w:rPr>
              <w:t> </w:t>
            </w:r>
          </w:p>
        </w:tc>
      </w:tr>
    </w:tbl>
    <w:p w14:paraId="62617E98" w14:textId="77777777" w:rsidR="0043538E" w:rsidRDefault="0043538E" w:rsidP="00DA24F7"/>
    <w:p w14:paraId="0B0B6420" w14:textId="77777777" w:rsidR="00370780" w:rsidRDefault="00370780" w:rsidP="00DA24F7"/>
    <w:p w14:paraId="3A9B17A7" w14:textId="77777777" w:rsidR="00370780" w:rsidRDefault="00370780" w:rsidP="00DA24F7"/>
    <w:p w14:paraId="41AF553F" w14:textId="77777777" w:rsidR="00370780" w:rsidRDefault="00370780" w:rsidP="00DA24F7"/>
    <w:p w14:paraId="30ED4D24" w14:textId="77777777" w:rsidR="00370780" w:rsidRDefault="00370780" w:rsidP="00DA24F7"/>
    <w:p w14:paraId="31D0AAD8" w14:textId="77777777" w:rsidR="00370780" w:rsidRDefault="00370780" w:rsidP="00DA24F7"/>
    <w:p w14:paraId="2CA9EE5D" w14:textId="77777777" w:rsidR="00370780" w:rsidRDefault="00370780" w:rsidP="00DA24F7"/>
    <w:p w14:paraId="0114E5A3" w14:textId="77777777" w:rsidR="00370780" w:rsidRDefault="00370780" w:rsidP="00DA24F7"/>
    <w:p w14:paraId="1930A3C2" w14:textId="784CC7F2" w:rsidR="00370780" w:rsidRDefault="00370780" w:rsidP="00DA24F7"/>
    <w:p w14:paraId="51428B8C" w14:textId="77777777" w:rsidR="0043538E" w:rsidRDefault="000511ED" w:rsidP="00966CD2">
      <w:pPr>
        <w:rPr>
          <w:b/>
        </w:rPr>
      </w:pPr>
      <w:r w:rsidRPr="00966CD2">
        <w:rPr>
          <w:b/>
        </w:rPr>
        <w:lastRenderedPageBreak/>
        <w:t>Table 6.1.1: Projected Households by Household Size and Income Category</w:t>
      </w:r>
    </w:p>
    <w:p w14:paraId="6E9C44BA" w14:textId="77777777" w:rsidR="00966CD2" w:rsidRPr="00966CD2" w:rsidRDefault="00966CD2" w:rsidP="00966CD2">
      <w:pPr>
        <w:rPr>
          <w:b/>
          <w:bCs/>
          <w:sz w:val="24"/>
          <w:szCs w:val="24"/>
        </w:rPr>
      </w:pPr>
    </w:p>
    <w:tbl>
      <w:tblPr>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975"/>
        <w:gridCol w:w="1230"/>
        <w:gridCol w:w="1230"/>
        <w:gridCol w:w="1230"/>
        <w:gridCol w:w="1230"/>
        <w:gridCol w:w="1230"/>
        <w:gridCol w:w="1230"/>
      </w:tblGrid>
      <w:tr w:rsidR="00966CD2" w:rsidRPr="00884E53" w14:paraId="181C8E62" w14:textId="77777777" w:rsidTr="003C59F9">
        <w:trPr>
          <w:trHeight w:val="402"/>
          <w:tblHeader/>
        </w:trPr>
        <w:tc>
          <w:tcPr>
            <w:tcW w:w="1975" w:type="dxa"/>
            <w:shd w:val="clear" w:color="auto" w:fill="42618C" w:themeFill="accent3"/>
            <w:noWrap/>
            <w:vAlign w:val="center"/>
            <w:hideMark/>
          </w:tcPr>
          <w:p w14:paraId="558C423C" w14:textId="77777777" w:rsidR="00966CD2" w:rsidRPr="00884E53" w:rsidRDefault="00966CD2" w:rsidP="007D171B">
            <w:pPr>
              <w:rPr>
                <w:rFonts w:eastAsia="Times New Roman"/>
                <w:color w:val="FFFFFF"/>
                <w:sz w:val="18"/>
                <w:szCs w:val="18"/>
              </w:rPr>
            </w:pPr>
            <w:r w:rsidRPr="00884E53">
              <w:rPr>
                <w:rFonts w:eastAsia="Times New Roman"/>
                <w:color w:val="FFFFFF"/>
                <w:sz w:val="18"/>
                <w:szCs w:val="18"/>
              </w:rPr>
              <w:t>Income category</w:t>
            </w:r>
          </w:p>
        </w:tc>
        <w:tc>
          <w:tcPr>
            <w:tcW w:w="1230" w:type="dxa"/>
            <w:shd w:val="clear" w:color="auto" w:fill="42618C" w:themeFill="accent3"/>
            <w:noWrap/>
            <w:vAlign w:val="center"/>
            <w:hideMark/>
          </w:tcPr>
          <w:p w14:paraId="00D5D9F5" w14:textId="77777777" w:rsidR="00966CD2" w:rsidRPr="00884E53" w:rsidRDefault="00966CD2" w:rsidP="007D171B">
            <w:pPr>
              <w:jc w:val="right"/>
              <w:rPr>
                <w:rFonts w:eastAsia="Times New Roman"/>
                <w:color w:val="FFFFFF"/>
                <w:sz w:val="18"/>
                <w:szCs w:val="18"/>
              </w:rPr>
            </w:pPr>
            <w:r w:rsidRPr="00884E53">
              <w:rPr>
                <w:rFonts w:eastAsia="Times New Roman"/>
                <w:color w:val="FFFFFF"/>
                <w:sz w:val="18"/>
                <w:szCs w:val="18"/>
              </w:rPr>
              <w:t>Total</w:t>
            </w:r>
          </w:p>
        </w:tc>
        <w:tc>
          <w:tcPr>
            <w:tcW w:w="1230" w:type="dxa"/>
            <w:shd w:val="clear" w:color="auto" w:fill="42618C" w:themeFill="accent3"/>
            <w:noWrap/>
            <w:vAlign w:val="center"/>
            <w:hideMark/>
          </w:tcPr>
          <w:p w14:paraId="27173D89" w14:textId="77777777" w:rsidR="00966CD2" w:rsidRPr="00884E53" w:rsidRDefault="00966CD2" w:rsidP="007D171B">
            <w:pPr>
              <w:jc w:val="right"/>
              <w:rPr>
                <w:rFonts w:eastAsia="Times New Roman"/>
                <w:color w:val="FFFFFF"/>
                <w:sz w:val="18"/>
                <w:szCs w:val="18"/>
              </w:rPr>
            </w:pPr>
            <w:r w:rsidRPr="00884E53">
              <w:rPr>
                <w:rFonts w:eastAsia="Times New Roman"/>
                <w:color w:val="FFFFFF"/>
                <w:sz w:val="18"/>
                <w:szCs w:val="18"/>
              </w:rPr>
              <w:t>1 person HH</w:t>
            </w:r>
          </w:p>
        </w:tc>
        <w:tc>
          <w:tcPr>
            <w:tcW w:w="1230" w:type="dxa"/>
            <w:shd w:val="clear" w:color="auto" w:fill="42618C" w:themeFill="accent3"/>
            <w:noWrap/>
            <w:vAlign w:val="center"/>
            <w:hideMark/>
          </w:tcPr>
          <w:p w14:paraId="41A066B8" w14:textId="77777777" w:rsidR="00966CD2" w:rsidRPr="00884E53" w:rsidRDefault="00966CD2" w:rsidP="007D171B">
            <w:pPr>
              <w:jc w:val="right"/>
              <w:rPr>
                <w:rFonts w:eastAsia="Times New Roman"/>
                <w:color w:val="FFFFFF"/>
                <w:sz w:val="18"/>
                <w:szCs w:val="18"/>
              </w:rPr>
            </w:pPr>
            <w:r w:rsidRPr="00884E53">
              <w:rPr>
                <w:rFonts w:eastAsia="Times New Roman"/>
                <w:color w:val="FFFFFF"/>
                <w:sz w:val="18"/>
                <w:szCs w:val="18"/>
              </w:rPr>
              <w:t>2 person HH</w:t>
            </w:r>
          </w:p>
        </w:tc>
        <w:tc>
          <w:tcPr>
            <w:tcW w:w="1230" w:type="dxa"/>
            <w:shd w:val="clear" w:color="auto" w:fill="42618C" w:themeFill="accent3"/>
            <w:noWrap/>
            <w:vAlign w:val="center"/>
            <w:hideMark/>
          </w:tcPr>
          <w:p w14:paraId="41917DCB" w14:textId="77777777" w:rsidR="00966CD2" w:rsidRPr="00884E53" w:rsidRDefault="00966CD2" w:rsidP="007D171B">
            <w:pPr>
              <w:jc w:val="right"/>
              <w:rPr>
                <w:rFonts w:eastAsia="Times New Roman"/>
                <w:color w:val="FFFFFF"/>
                <w:sz w:val="18"/>
                <w:szCs w:val="18"/>
              </w:rPr>
            </w:pPr>
            <w:r w:rsidRPr="00884E53">
              <w:rPr>
                <w:rFonts w:eastAsia="Times New Roman"/>
                <w:color w:val="FFFFFF"/>
                <w:sz w:val="18"/>
                <w:szCs w:val="18"/>
              </w:rPr>
              <w:t>3 person HH</w:t>
            </w:r>
          </w:p>
        </w:tc>
        <w:tc>
          <w:tcPr>
            <w:tcW w:w="1230" w:type="dxa"/>
            <w:shd w:val="clear" w:color="auto" w:fill="42618C" w:themeFill="accent3"/>
            <w:noWrap/>
            <w:vAlign w:val="center"/>
            <w:hideMark/>
          </w:tcPr>
          <w:p w14:paraId="0593A7EC" w14:textId="77777777" w:rsidR="00966CD2" w:rsidRPr="00884E53" w:rsidRDefault="00966CD2" w:rsidP="007D171B">
            <w:pPr>
              <w:jc w:val="right"/>
              <w:rPr>
                <w:rFonts w:eastAsia="Times New Roman"/>
                <w:color w:val="FFFFFF"/>
                <w:sz w:val="18"/>
                <w:szCs w:val="18"/>
              </w:rPr>
            </w:pPr>
            <w:r w:rsidRPr="00884E53">
              <w:rPr>
                <w:rFonts w:eastAsia="Times New Roman"/>
                <w:color w:val="FFFFFF"/>
                <w:sz w:val="18"/>
                <w:szCs w:val="18"/>
              </w:rPr>
              <w:t>4 person HH</w:t>
            </w:r>
          </w:p>
        </w:tc>
        <w:tc>
          <w:tcPr>
            <w:tcW w:w="1230" w:type="dxa"/>
            <w:shd w:val="clear" w:color="auto" w:fill="42618C" w:themeFill="accent3"/>
            <w:noWrap/>
            <w:vAlign w:val="center"/>
            <w:hideMark/>
          </w:tcPr>
          <w:p w14:paraId="0C9DADAD" w14:textId="77777777" w:rsidR="00966CD2" w:rsidRPr="00884E53" w:rsidRDefault="00966CD2" w:rsidP="007D171B">
            <w:pPr>
              <w:jc w:val="right"/>
              <w:rPr>
                <w:rFonts w:eastAsia="Times New Roman"/>
                <w:color w:val="FFFFFF"/>
                <w:sz w:val="18"/>
                <w:szCs w:val="18"/>
              </w:rPr>
            </w:pPr>
            <w:r w:rsidRPr="00884E53">
              <w:rPr>
                <w:rFonts w:eastAsia="Times New Roman"/>
                <w:color w:val="FFFFFF"/>
                <w:sz w:val="18"/>
                <w:szCs w:val="18"/>
              </w:rPr>
              <w:t>5+ person HH</w:t>
            </w:r>
          </w:p>
        </w:tc>
      </w:tr>
      <w:tr w:rsidR="008701CE" w:rsidRPr="00884E53" w14:paraId="1DC52E2F" w14:textId="77777777" w:rsidTr="00966CD2">
        <w:trPr>
          <w:trHeight w:val="402"/>
        </w:trPr>
        <w:tc>
          <w:tcPr>
            <w:tcW w:w="1975" w:type="dxa"/>
            <w:shd w:val="clear" w:color="000000" w:fill="F2F2F2"/>
            <w:noWrap/>
            <w:vAlign w:val="center"/>
            <w:hideMark/>
          </w:tcPr>
          <w:p w14:paraId="1A8EF27C" w14:textId="77777777" w:rsidR="008701CE" w:rsidRPr="00884E53" w:rsidRDefault="008701CE" w:rsidP="008701CE">
            <w:pPr>
              <w:rPr>
                <w:rFonts w:eastAsia="Times New Roman"/>
                <w:color w:val="000000"/>
                <w:sz w:val="18"/>
                <w:szCs w:val="18"/>
              </w:rPr>
            </w:pPr>
            <w:r w:rsidRPr="00884E53">
              <w:rPr>
                <w:rFonts w:eastAsia="Times New Roman"/>
                <w:color w:val="000000"/>
                <w:sz w:val="18"/>
                <w:szCs w:val="18"/>
              </w:rPr>
              <w:t>Total</w:t>
            </w:r>
          </w:p>
        </w:tc>
        <w:tc>
          <w:tcPr>
            <w:tcW w:w="1230" w:type="dxa"/>
            <w:shd w:val="clear" w:color="000000" w:fill="F2F2F2"/>
            <w:noWrap/>
            <w:vAlign w:val="center"/>
            <w:hideMark/>
          </w:tcPr>
          <w:p w14:paraId="78F95151" w14:textId="532A1AD6" w:rsidR="008701CE" w:rsidRPr="000D1490" w:rsidRDefault="008701CE" w:rsidP="008701CE">
            <w:pPr>
              <w:jc w:val="right"/>
              <w:rPr>
                <w:rFonts w:eastAsia="Times New Roman"/>
                <w:color w:val="C00000"/>
                <w:sz w:val="18"/>
                <w:szCs w:val="18"/>
              </w:rPr>
            </w:pPr>
            <w:r w:rsidRPr="000D1490">
              <w:rPr>
                <w:color w:val="C00000"/>
                <w:sz w:val="18"/>
                <w:szCs w:val="18"/>
              </w:rPr>
              <w:t>26,065</w:t>
            </w:r>
          </w:p>
        </w:tc>
        <w:tc>
          <w:tcPr>
            <w:tcW w:w="1230" w:type="dxa"/>
            <w:shd w:val="clear" w:color="000000" w:fill="F2F2F2"/>
            <w:noWrap/>
            <w:vAlign w:val="center"/>
            <w:hideMark/>
          </w:tcPr>
          <w:p w14:paraId="0FB17B34" w14:textId="6CEA4B0C" w:rsidR="008701CE" w:rsidRPr="000D1490" w:rsidRDefault="008701CE" w:rsidP="008701CE">
            <w:pPr>
              <w:jc w:val="right"/>
              <w:rPr>
                <w:rFonts w:eastAsia="Times New Roman"/>
                <w:color w:val="C00000"/>
                <w:sz w:val="18"/>
                <w:szCs w:val="18"/>
              </w:rPr>
            </w:pPr>
            <w:r w:rsidRPr="000D1490">
              <w:rPr>
                <w:color w:val="C00000"/>
                <w:sz w:val="18"/>
                <w:szCs w:val="18"/>
              </w:rPr>
              <w:t>8,115</w:t>
            </w:r>
          </w:p>
        </w:tc>
        <w:tc>
          <w:tcPr>
            <w:tcW w:w="1230" w:type="dxa"/>
            <w:shd w:val="clear" w:color="000000" w:fill="F2F2F2"/>
            <w:noWrap/>
            <w:vAlign w:val="center"/>
            <w:hideMark/>
          </w:tcPr>
          <w:p w14:paraId="26D02739" w14:textId="13638D8B" w:rsidR="008701CE" w:rsidRPr="000D1490" w:rsidRDefault="008701CE" w:rsidP="008701CE">
            <w:pPr>
              <w:jc w:val="right"/>
              <w:rPr>
                <w:rFonts w:eastAsia="Times New Roman"/>
                <w:color w:val="C00000"/>
                <w:sz w:val="18"/>
                <w:szCs w:val="18"/>
              </w:rPr>
            </w:pPr>
            <w:r w:rsidRPr="000D1490">
              <w:rPr>
                <w:color w:val="C00000"/>
                <w:sz w:val="18"/>
                <w:szCs w:val="18"/>
              </w:rPr>
              <w:t>9,825</w:t>
            </w:r>
          </w:p>
        </w:tc>
        <w:tc>
          <w:tcPr>
            <w:tcW w:w="1230" w:type="dxa"/>
            <w:shd w:val="clear" w:color="000000" w:fill="F2F2F2"/>
            <w:noWrap/>
            <w:vAlign w:val="center"/>
            <w:hideMark/>
          </w:tcPr>
          <w:p w14:paraId="1A7D8B6D" w14:textId="5D9B4BE2" w:rsidR="008701CE" w:rsidRPr="000D1490" w:rsidRDefault="008701CE" w:rsidP="008701CE">
            <w:pPr>
              <w:jc w:val="right"/>
              <w:rPr>
                <w:rFonts w:eastAsia="Times New Roman"/>
                <w:color w:val="C00000"/>
                <w:sz w:val="18"/>
                <w:szCs w:val="18"/>
              </w:rPr>
            </w:pPr>
            <w:r w:rsidRPr="000D1490">
              <w:rPr>
                <w:color w:val="C00000"/>
                <w:sz w:val="18"/>
                <w:szCs w:val="18"/>
              </w:rPr>
              <w:t>3,920</w:t>
            </w:r>
          </w:p>
        </w:tc>
        <w:tc>
          <w:tcPr>
            <w:tcW w:w="1230" w:type="dxa"/>
            <w:shd w:val="clear" w:color="000000" w:fill="F2F2F2"/>
            <w:noWrap/>
            <w:vAlign w:val="center"/>
            <w:hideMark/>
          </w:tcPr>
          <w:p w14:paraId="5D5AA6A5" w14:textId="07972B16" w:rsidR="008701CE" w:rsidRPr="000D1490" w:rsidRDefault="008701CE" w:rsidP="008701CE">
            <w:pPr>
              <w:jc w:val="right"/>
              <w:rPr>
                <w:rFonts w:eastAsia="Times New Roman"/>
                <w:color w:val="C00000"/>
                <w:sz w:val="18"/>
                <w:szCs w:val="18"/>
              </w:rPr>
            </w:pPr>
            <w:r w:rsidRPr="000D1490">
              <w:rPr>
                <w:color w:val="C00000"/>
                <w:sz w:val="18"/>
                <w:szCs w:val="18"/>
              </w:rPr>
              <w:t>2,765</w:t>
            </w:r>
          </w:p>
        </w:tc>
        <w:tc>
          <w:tcPr>
            <w:tcW w:w="1230" w:type="dxa"/>
            <w:shd w:val="clear" w:color="000000" w:fill="F2F2F2"/>
            <w:noWrap/>
            <w:vAlign w:val="center"/>
            <w:hideMark/>
          </w:tcPr>
          <w:p w14:paraId="79B7DDCE" w14:textId="73160BD6" w:rsidR="008701CE" w:rsidRPr="000D1490" w:rsidRDefault="008701CE" w:rsidP="008701CE">
            <w:pPr>
              <w:jc w:val="right"/>
              <w:rPr>
                <w:rFonts w:eastAsia="Times New Roman"/>
                <w:color w:val="C00000"/>
                <w:sz w:val="18"/>
                <w:szCs w:val="18"/>
              </w:rPr>
            </w:pPr>
            <w:r w:rsidRPr="000D1490">
              <w:rPr>
                <w:color w:val="C00000"/>
                <w:sz w:val="18"/>
                <w:szCs w:val="18"/>
              </w:rPr>
              <w:t>1,435</w:t>
            </w:r>
          </w:p>
        </w:tc>
      </w:tr>
      <w:tr w:rsidR="008701CE" w:rsidRPr="00884E53" w14:paraId="3B1CAB0F" w14:textId="77777777" w:rsidTr="00966CD2">
        <w:trPr>
          <w:trHeight w:val="402"/>
        </w:trPr>
        <w:tc>
          <w:tcPr>
            <w:tcW w:w="1975" w:type="dxa"/>
            <w:noWrap/>
            <w:vAlign w:val="center"/>
            <w:hideMark/>
          </w:tcPr>
          <w:p w14:paraId="30898EC7" w14:textId="77777777" w:rsidR="008701CE" w:rsidRPr="00884E53" w:rsidRDefault="008701CE" w:rsidP="008701CE">
            <w:pPr>
              <w:rPr>
                <w:rFonts w:eastAsia="Times New Roman"/>
                <w:color w:val="000000"/>
                <w:sz w:val="18"/>
                <w:szCs w:val="18"/>
              </w:rPr>
            </w:pPr>
            <w:r w:rsidRPr="00884E53">
              <w:rPr>
                <w:rFonts w:eastAsia="Times New Roman"/>
                <w:color w:val="000000"/>
                <w:sz w:val="18"/>
                <w:szCs w:val="18"/>
              </w:rPr>
              <w:t>Very low</w:t>
            </w:r>
          </w:p>
        </w:tc>
        <w:tc>
          <w:tcPr>
            <w:tcW w:w="1230" w:type="dxa"/>
            <w:noWrap/>
            <w:vAlign w:val="center"/>
            <w:hideMark/>
          </w:tcPr>
          <w:p w14:paraId="283729A2" w14:textId="7F0E8D7D" w:rsidR="008701CE" w:rsidRPr="000D1490" w:rsidRDefault="008701CE" w:rsidP="008701CE">
            <w:pPr>
              <w:jc w:val="right"/>
              <w:rPr>
                <w:rFonts w:eastAsia="Times New Roman"/>
                <w:color w:val="C00000"/>
                <w:sz w:val="18"/>
                <w:szCs w:val="18"/>
              </w:rPr>
            </w:pPr>
            <w:r w:rsidRPr="000D1490">
              <w:rPr>
                <w:color w:val="C00000"/>
                <w:sz w:val="18"/>
                <w:szCs w:val="18"/>
              </w:rPr>
              <w:t>705</w:t>
            </w:r>
          </w:p>
        </w:tc>
        <w:tc>
          <w:tcPr>
            <w:tcW w:w="1230" w:type="dxa"/>
            <w:noWrap/>
            <w:vAlign w:val="center"/>
            <w:hideMark/>
          </w:tcPr>
          <w:p w14:paraId="6744EE50" w14:textId="606B8BEA" w:rsidR="008701CE" w:rsidRPr="000D1490" w:rsidRDefault="008701CE" w:rsidP="008701CE">
            <w:pPr>
              <w:jc w:val="right"/>
              <w:rPr>
                <w:rFonts w:eastAsia="Times New Roman"/>
                <w:color w:val="C00000"/>
                <w:sz w:val="18"/>
                <w:szCs w:val="18"/>
              </w:rPr>
            </w:pPr>
            <w:r w:rsidRPr="000D1490">
              <w:rPr>
                <w:color w:val="C00000"/>
                <w:sz w:val="18"/>
                <w:szCs w:val="18"/>
              </w:rPr>
              <w:t>385</w:t>
            </w:r>
          </w:p>
        </w:tc>
        <w:tc>
          <w:tcPr>
            <w:tcW w:w="1230" w:type="dxa"/>
            <w:noWrap/>
            <w:vAlign w:val="center"/>
            <w:hideMark/>
          </w:tcPr>
          <w:p w14:paraId="5A775152" w14:textId="68FE68E1" w:rsidR="008701CE" w:rsidRPr="000D1490" w:rsidRDefault="008701CE" w:rsidP="008701CE">
            <w:pPr>
              <w:jc w:val="right"/>
              <w:rPr>
                <w:rFonts w:eastAsia="Times New Roman"/>
                <w:color w:val="C00000"/>
                <w:sz w:val="18"/>
                <w:szCs w:val="18"/>
              </w:rPr>
            </w:pPr>
            <w:r w:rsidRPr="000D1490">
              <w:rPr>
                <w:color w:val="C00000"/>
                <w:sz w:val="18"/>
                <w:szCs w:val="18"/>
              </w:rPr>
              <w:t>210</w:t>
            </w:r>
          </w:p>
        </w:tc>
        <w:tc>
          <w:tcPr>
            <w:tcW w:w="1230" w:type="dxa"/>
            <w:noWrap/>
            <w:vAlign w:val="center"/>
            <w:hideMark/>
          </w:tcPr>
          <w:p w14:paraId="2E77A3F6" w14:textId="4217F209" w:rsidR="008701CE" w:rsidRPr="000D1490" w:rsidRDefault="008701CE" w:rsidP="008701CE">
            <w:pPr>
              <w:jc w:val="right"/>
              <w:rPr>
                <w:rFonts w:eastAsia="Times New Roman"/>
                <w:color w:val="C00000"/>
                <w:sz w:val="18"/>
                <w:szCs w:val="18"/>
              </w:rPr>
            </w:pPr>
            <w:r w:rsidRPr="000D1490">
              <w:rPr>
                <w:color w:val="C00000"/>
                <w:sz w:val="18"/>
                <w:szCs w:val="18"/>
              </w:rPr>
              <w:t>65</w:t>
            </w:r>
          </w:p>
        </w:tc>
        <w:tc>
          <w:tcPr>
            <w:tcW w:w="1230" w:type="dxa"/>
            <w:noWrap/>
            <w:vAlign w:val="center"/>
            <w:hideMark/>
          </w:tcPr>
          <w:p w14:paraId="3ED9E0CB" w14:textId="2DA4086E" w:rsidR="008701CE" w:rsidRPr="000D1490" w:rsidRDefault="008701CE" w:rsidP="008701CE">
            <w:pPr>
              <w:jc w:val="right"/>
              <w:rPr>
                <w:rFonts w:eastAsia="Times New Roman"/>
                <w:color w:val="C00000"/>
                <w:sz w:val="18"/>
                <w:szCs w:val="18"/>
              </w:rPr>
            </w:pPr>
            <w:r w:rsidRPr="000D1490">
              <w:rPr>
                <w:color w:val="C00000"/>
                <w:sz w:val="18"/>
                <w:szCs w:val="18"/>
              </w:rPr>
              <w:t>45</w:t>
            </w:r>
          </w:p>
        </w:tc>
        <w:tc>
          <w:tcPr>
            <w:tcW w:w="1230" w:type="dxa"/>
            <w:noWrap/>
            <w:vAlign w:val="center"/>
            <w:hideMark/>
          </w:tcPr>
          <w:p w14:paraId="4791B013" w14:textId="37041491" w:rsidR="008701CE" w:rsidRPr="000D1490" w:rsidRDefault="008701CE" w:rsidP="008701CE">
            <w:pPr>
              <w:jc w:val="right"/>
              <w:rPr>
                <w:rFonts w:eastAsia="Times New Roman"/>
                <w:color w:val="C00000"/>
                <w:sz w:val="18"/>
                <w:szCs w:val="18"/>
              </w:rPr>
            </w:pPr>
            <w:r w:rsidRPr="000D1490">
              <w:rPr>
                <w:color w:val="C00000"/>
                <w:sz w:val="18"/>
                <w:szCs w:val="18"/>
              </w:rPr>
              <w:t>0</w:t>
            </w:r>
          </w:p>
        </w:tc>
      </w:tr>
      <w:tr w:rsidR="008701CE" w:rsidRPr="00884E53" w14:paraId="6AB31179" w14:textId="77777777" w:rsidTr="00966CD2">
        <w:trPr>
          <w:trHeight w:val="402"/>
        </w:trPr>
        <w:tc>
          <w:tcPr>
            <w:tcW w:w="1975" w:type="dxa"/>
            <w:shd w:val="clear" w:color="000000" w:fill="F2F2F2"/>
            <w:noWrap/>
            <w:vAlign w:val="center"/>
            <w:hideMark/>
          </w:tcPr>
          <w:p w14:paraId="55DB3657" w14:textId="77777777" w:rsidR="008701CE" w:rsidRPr="00884E53" w:rsidRDefault="008701CE" w:rsidP="008701CE">
            <w:pPr>
              <w:rPr>
                <w:rFonts w:eastAsia="Times New Roman"/>
                <w:color w:val="000000"/>
                <w:sz w:val="18"/>
                <w:szCs w:val="18"/>
              </w:rPr>
            </w:pPr>
            <w:r w:rsidRPr="00884E53">
              <w:rPr>
                <w:rFonts w:eastAsia="Times New Roman"/>
                <w:color w:val="000000"/>
                <w:sz w:val="18"/>
                <w:szCs w:val="18"/>
              </w:rPr>
              <w:t>Low</w:t>
            </w:r>
          </w:p>
        </w:tc>
        <w:tc>
          <w:tcPr>
            <w:tcW w:w="1230" w:type="dxa"/>
            <w:shd w:val="clear" w:color="000000" w:fill="F2F2F2"/>
            <w:noWrap/>
            <w:vAlign w:val="center"/>
            <w:hideMark/>
          </w:tcPr>
          <w:p w14:paraId="55C083EB" w14:textId="3A9A2660" w:rsidR="008701CE" w:rsidRPr="000D1490" w:rsidRDefault="008701CE" w:rsidP="008701CE">
            <w:pPr>
              <w:jc w:val="right"/>
              <w:rPr>
                <w:rFonts w:eastAsia="Times New Roman"/>
                <w:color w:val="C00000"/>
                <w:sz w:val="18"/>
                <w:szCs w:val="18"/>
              </w:rPr>
            </w:pPr>
            <w:r w:rsidRPr="000D1490">
              <w:rPr>
                <w:color w:val="C00000"/>
                <w:sz w:val="18"/>
                <w:szCs w:val="18"/>
              </w:rPr>
              <w:t>4,130</w:t>
            </w:r>
          </w:p>
        </w:tc>
        <w:tc>
          <w:tcPr>
            <w:tcW w:w="1230" w:type="dxa"/>
            <w:shd w:val="clear" w:color="000000" w:fill="F2F2F2"/>
            <w:noWrap/>
            <w:vAlign w:val="center"/>
            <w:hideMark/>
          </w:tcPr>
          <w:p w14:paraId="55919FD1" w14:textId="27FCD7D2" w:rsidR="008701CE" w:rsidRPr="000D1490" w:rsidRDefault="008701CE" w:rsidP="008701CE">
            <w:pPr>
              <w:jc w:val="right"/>
              <w:rPr>
                <w:rFonts w:eastAsia="Times New Roman"/>
                <w:color w:val="C00000"/>
                <w:sz w:val="18"/>
                <w:szCs w:val="18"/>
              </w:rPr>
            </w:pPr>
            <w:r w:rsidRPr="000D1490">
              <w:rPr>
                <w:color w:val="C00000"/>
                <w:sz w:val="18"/>
                <w:szCs w:val="18"/>
              </w:rPr>
              <w:t>3,285</w:t>
            </w:r>
          </w:p>
        </w:tc>
        <w:tc>
          <w:tcPr>
            <w:tcW w:w="1230" w:type="dxa"/>
            <w:shd w:val="clear" w:color="000000" w:fill="F2F2F2"/>
            <w:noWrap/>
            <w:vAlign w:val="center"/>
            <w:hideMark/>
          </w:tcPr>
          <w:p w14:paraId="4EACFFC6" w14:textId="058F1412" w:rsidR="008701CE" w:rsidRPr="000D1490" w:rsidRDefault="008701CE" w:rsidP="008701CE">
            <w:pPr>
              <w:jc w:val="right"/>
              <w:rPr>
                <w:rFonts w:eastAsia="Times New Roman"/>
                <w:color w:val="C00000"/>
                <w:sz w:val="18"/>
                <w:szCs w:val="18"/>
              </w:rPr>
            </w:pPr>
            <w:r w:rsidRPr="000D1490">
              <w:rPr>
                <w:color w:val="C00000"/>
                <w:sz w:val="18"/>
                <w:szCs w:val="18"/>
              </w:rPr>
              <w:t>615</w:t>
            </w:r>
          </w:p>
        </w:tc>
        <w:tc>
          <w:tcPr>
            <w:tcW w:w="1230" w:type="dxa"/>
            <w:shd w:val="clear" w:color="000000" w:fill="F2F2F2"/>
            <w:noWrap/>
            <w:vAlign w:val="center"/>
            <w:hideMark/>
          </w:tcPr>
          <w:p w14:paraId="5DDD2984" w14:textId="265F708C" w:rsidR="008701CE" w:rsidRPr="000D1490" w:rsidRDefault="008701CE" w:rsidP="008701CE">
            <w:pPr>
              <w:jc w:val="right"/>
              <w:rPr>
                <w:rFonts w:eastAsia="Times New Roman"/>
                <w:color w:val="C00000"/>
                <w:sz w:val="18"/>
                <w:szCs w:val="18"/>
              </w:rPr>
            </w:pPr>
            <w:r w:rsidRPr="000D1490">
              <w:rPr>
                <w:color w:val="C00000"/>
                <w:sz w:val="18"/>
                <w:szCs w:val="18"/>
              </w:rPr>
              <w:t>170</w:t>
            </w:r>
          </w:p>
        </w:tc>
        <w:tc>
          <w:tcPr>
            <w:tcW w:w="1230" w:type="dxa"/>
            <w:shd w:val="clear" w:color="000000" w:fill="F2F2F2"/>
            <w:noWrap/>
            <w:vAlign w:val="center"/>
            <w:hideMark/>
          </w:tcPr>
          <w:p w14:paraId="088E9DF3" w14:textId="1E35EA7E" w:rsidR="008701CE" w:rsidRPr="000D1490" w:rsidRDefault="008701CE" w:rsidP="008701CE">
            <w:pPr>
              <w:jc w:val="right"/>
              <w:rPr>
                <w:rFonts w:eastAsia="Times New Roman"/>
                <w:color w:val="C00000"/>
                <w:sz w:val="18"/>
                <w:szCs w:val="18"/>
              </w:rPr>
            </w:pPr>
            <w:r w:rsidRPr="000D1490">
              <w:rPr>
                <w:color w:val="C00000"/>
                <w:sz w:val="18"/>
                <w:szCs w:val="18"/>
              </w:rPr>
              <w:t>60</w:t>
            </w:r>
          </w:p>
        </w:tc>
        <w:tc>
          <w:tcPr>
            <w:tcW w:w="1230" w:type="dxa"/>
            <w:shd w:val="clear" w:color="000000" w:fill="F2F2F2"/>
            <w:noWrap/>
            <w:vAlign w:val="center"/>
            <w:hideMark/>
          </w:tcPr>
          <w:p w14:paraId="624E2374" w14:textId="43C10D08" w:rsidR="008701CE" w:rsidRPr="000D1490" w:rsidRDefault="008701CE" w:rsidP="008701CE">
            <w:pPr>
              <w:jc w:val="right"/>
              <w:rPr>
                <w:rFonts w:eastAsia="Times New Roman"/>
                <w:color w:val="C00000"/>
                <w:sz w:val="18"/>
                <w:szCs w:val="18"/>
              </w:rPr>
            </w:pPr>
            <w:r w:rsidRPr="000D1490">
              <w:rPr>
                <w:color w:val="C00000"/>
                <w:sz w:val="18"/>
                <w:szCs w:val="18"/>
              </w:rPr>
              <w:t>0</w:t>
            </w:r>
          </w:p>
        </w:tc>
      </w:tr>
      <w:tr w:rsidR="008701CE" w:rsidRPr="00884E53" w14:paraId="3EC63253" w14:textId="77777777" w:rsidTr="00966CD2">
        <w:trPr>
          <w:trHeight w:val="402"/>
        </w:trPr>
        <w:tc>
          <w:tcPr>
            <w:tcW w:w="1975" w:type="dxa"/>
            <w:noWrap/>
            <w:vAlign w:val="center"/>
            <w:hideMark/>
          </w:tcPr>
          <w:p w14:paraId="72B24438" w14:textId="77777777" w:rsidR="008701CE" w:rsidRPr="00884E53" w:rsidRDefault="008701CE" w:rsidP="008701CE">
            <w:pPr>
              <w:rPr>
                <w:rFonts w:eastAsia="Times New Roman"/>
                <w:color w:val="000000"/>
                <w:sz w:val="18"/>
                <w:szCs w:val="18"/>
              </w:rPr>
            </w:pPr>
            <w:r w:rsidRPr="00884E53">
              <w:rPr>
                <w:rFonts w:eastAsia="Times New Roman"/>
                <w:color w:val="000000"/>
                <w:sz w:val="18"/>
                <w:szCs w:val="18"/>
              </w:rPr>
              <w:t>Moderate</w:t>
            </w:r>
          </w:p>
        </w:tc>
        <w:tc>
          <w:tcPr>
            <w:tcW w:w="1230" w:type="dxa"/>
            <w:noWrap/>
            <w:vAlign w:val="center"/>
            <w:hideMark/>
          </w:tcPr>
          <w:p w14:paraId="3BEFFC73" w14:textId="7112A3BD" w:rsidR="008701CE" w:rsidRPr="000D1490" w:rsidRDefault="008701CE" w:rsidP="008701CE">
            <w:pPr>
              <w:jc w:val="right"/>
              <w:rPr>
                <w:rFonts w:eastAsia="Times New Roman"/>
                <w:color w:val="C00000"/>
                <w:sz w:val="18"/>
                <w:szCs w:val="18"/>
              </w:rPr>
            </w:pPr>
            <w:r w:rsidRPr="000D1490">
              <w:rPr>
                <w:color w:val="C00000"/>
                <w:sz w:val="18"/>
                <w:szCs w:val="18"/>
              </w:rPr>
              <w:t>4,760</w:t>
            </w:r>
          </w:p>
        </w:tc>
        <w:tc>
          <w:tcPr>
            <w:tcW w:w="1230" w:type="dxa"/>
            <w:noWrap/>
            <w:vAlign w:val="center"/>
            <w:hideMark/>
          </w:tcPr>
          <w:p w14:paraId="00B49508" w14:textId="3ECC3DB2" w:rsidR="008701CE" w:rsidRPr="000D1490" w:rsidRDefault="008701CE" w:rsidP="008701CE">
            <w:pPr>
              <w:jc w:val="right"/>
              <w:rPr>
                <w:rFonts w:eastAsia="Times New Roman"/>
                <w:color w:val="C00000"/>
                <w:sz w:val="18"/>
                <w:szCs w:val="18"/>
              </w:rPr>
            </w:pPr>
            <w:r w:rsidRPr="000D1490">
              <w:rPr>
                <w:color w:val="C00000"/>
                <w:sz w:val="18"/>
                <w:szCs w:val="18"/>
              </w:rPr>
              <w:t>2,310</w:t>
            </w:r>
          </w:p>
        </w:tc>
        <w:tc>
          <w:tcPr>
            <w:tcW w:w="1230" w:type="dxa"/>
            <w:noWrap/>
            <w:vAlign w:val="center"/>
            <w:hideMark/>
          </w:tcPr>
          <w:p w14:paraId="2AC611CC" w14:textId="6FC7C4EA" w:rsidR="008701CE" w:rsidRPr="000D1490" w:rsidRDefault="008701CE" w:rsidP="008701CE">
            <w:pPr>
              <w:jc w:val="right"/>
              <w:rPr>
                <w:rFonts w:eastAsia="Times New Roman"/>
                <w:color w:val="C00000"/>
                <w:sz w:val="18"/>
                <w:szCs w:val="18"/>
              </w:rPr>
            </w:pPr>
            <w:r w:rsidRPr="000D1490">
              <w:rPr>
                <w:color w:val="C00000"/>
                <w:sz w:val="18"/>
                <w:szCs w:val="18"/>
              </w:rPr>
              <w:t>1,645</w:t>
            </w:r>
          </w:p>
        </w:tc>
        <w:tc>
          <w:tcPr>
            <w:tcW w:w="1230" w:type="dxa"/>
            <w:noWrap/>
            <w:vAlign w:val="center"/>
            <w:hideMark/>
          </w:tcPr>
          <w:p w14:paraId="0BA59A4D" w14:textId="1667DF5B" w:rsidR="008701CE" w:rsidRPr="000D1490" w:rsidRDefault="008701CE" w:rsidP="008701CE">
            <w:pPr>
              <w:jc w:val="right"/>
              <w:rPr>
                <w:rFonts w:eastAsia="Times New Roman"/>
                <w:color w:val="C00000"/>
                <w:sz w:val="18"/>
                <w:szCs w:val="18"/>
              </w:rPr>
            </w:pPr>
            <w:r w:rsidRPr="000D1490">
              <w:rPr>
                <w:color w:val="C00000"/>
                <w:sz w:val="18"/>
                <w:szCs w:val="18"/>
              </w:rPr>
              <w:t>505</w:t>
            </w:r>
          </w:p>
        </w:tc>
        <w:tc>
          <w:tcPr>
            <w:tcW w:w="1230" w:type="dxa"/>
            <w:noWrap/>
            <w:vAlign w:val="center"/>
            <w:hideMark/>
          </w:tcPr>
          <w:p w14:paraId="6B1D3D1F" w14:textId="0409958F" w:rsidR="008701CE" w:rsidRPr="000D1490" w:rsidRDefault="008701CE" w:rsidP="008701CE">
            <w:pPr>
              <w:jc w:val="right"/>
              <w:rPr>
                <w:rFonts w:eastAsia="Times New Roman"/>
                <w:color w:val="C00000"/>
                <w:sz w:val="18"/>
                <w:szCs w:val="18"/>
              </w:rPr>
            </w:pPr>
            <w:r w:rsidRPr="000D1490">
              <w:rPr>
                <w:color w:val="C00000"/>
                <w:sz w:val="18"/>
                <w:szCs w:val="18"/>
              </w:rPr>
              <w:t>200</w:t>
            </w:r>
          </w:p>
        </w:tc>
        <w:tc>
          <w:tcPr>
            <w:tcW w:w="1230" w:type="dxa"/>
            <w:noWrap/>
            <w:vAlign w:val="center"/>
            <w:hideMark/>
          </w:tcPr>
          <w:p w14:paraId="5BBEB8D9" w14:textId="7057C81F" w:rsidR="008701CE" w:rsidRPr="000D1490" w:rsidRDefault="008701CE" w:rsidP="008701CE">
            <w:pPr>
              <w:jc w:val="right"/>
              <w:rPr>
                <w:rFonts w:eastAsia="Times New Roman"/>
                <w:color w:val="C00000"/>
                <w:sz w:val="18"/>
                <w:szCs w:val="18"/>
              </w:rPr>
            </w:pPr>
            <w:r w:rsidRPr="000D1490">
              <w:rPr>
                <w:color w:val="C00000"/>
                <w:sz w:val="18"/>
                <w:szCs w:val="18"/>
              </w:rPr>
              <w:t>100</w:t>
            </w:r>
          </w:p>
        </w:tc>
      </w:tr>
      <w:tr w:rsidR="008701CE" w:rsidRPr="00884E53" w14:paraId="77971644" w14:textId="77777777" w:rsidTr="00966CD2">
        <w:trPr>
          <w:trHeight w:val="402"/>
        </w:trPr>
        <w:tc>
          <w:tcPr>
            <w:tcW w:w="1975" w:type="dxa"/>
            <w:shd w:val="clear" w:color="000000" w:fill="F2F2F2"/>
            <w:noWrap/>
            <w:vAlign w:val="center"/>
            <w:hideMark/>
          </w:tcPr>
          <w:p w14:paraId="54857DA8" w14:textId="77777777" w:rsidR="008701CE" w:rsidRPr="00884E53" w:rsidRDefault="008701CE" w:rsidP="008701CE">
            <w:pPr>
              <w:rPr>
                <w:rFonts w:eastAsia="Times New Roman"/>
                <w:color w:val="000000"/>
                <w:sz w:val="18"/>
                <w:szCs w:val="18"/>
              </w:rPr>
            </w:pPr>
            <w:r w:rsidRPr="00884E53">
              <w:rPr>
                <w:rFonts w:eastAsia="Times New Roman"/>
                <w:color w:val="000000"/>
                <w:sz w:val="18"/>
                <w:szCs w:val="18"/>
              </w:rPr>
              <w:t>Median</w:t>
            </w:r>
          </w:p>
        </w:tc>
        <w:tc>
          <w:tcPr>
            <w:tcW w:w="1230" w:type="dxa"/>
            <w:shd w:val="clear" w:color="000000" w:fill="F2F2F2"/>
            <w:noWrap/>
            <w:vAlign w:val="center"/>
            <w:hideMark/>
          </w:tcPr>
          <w:p w14:paraId="20327844" w14:textId="48C7F4EE" w:rsidR="008701CE" w:rsidRPr="000D1490" w:rsidRDefault="008701CE" w:rsidP="008701CE">
            <w:pPr>
              <w:jc w:val="right"/>
              <w:rPr>
                <w:rFonts w:eastAsia="Times New Roman"/>
                <w:color w:val="C00000"/>
                <w:sz w:val="18"/>
                <w:szCs w:val="18"/>
              </w:rPr>
            </w:pPr>
            <w:r w:rsidRPr="000D1490">
              <w:rPr>
                <w:color w:val="C00000"/>
                <w:sz w:val="18"/>
                <w:szCs w:val="18"/>
              </w:rPr>
              <w:t>5,475</w:t>
            </w:r>
          </w:p>
        </w:tc>
        <w:tc>
          <w:tcPr>
            <w:tcW w:w="1230" w:type="dxa"/>
            <w:shd w:val="clear" w:color="000000" w:fill="F2F2F2"/>
            <w:noWrap/>
            <w:vAlign w:val="center"/>
            <w:hideMark/>
          </w:tcPr>
          <w:p w14:paraId="4B3C8133" w14:textId="7D003FD6" w:rsidR="008701CE" w:rsidRPr="000D1490" w:rsidRDefault="008701CE" w:rsidP="008701CE">
            <w:pPr>
              <w:jc w:val="right"/>
              <w:rPr>
                <w:rFonts w:eastAsia="Times New Roman"/>
                <w:color w:val="C00000"/>
                <w:sz w:val="18"/>
                <w:szCs w:val="18"/>
              </w:rPr>
            </w:pPr>
            <w:r w:rsidRPr="000D1490">
              <w:rPr>
                <w:color w:val="C00000"/>
                <w:sz w:val="18"/>
                <w:szCs w:val="18"/>
              </w:rPr>
              <w:t>1,350</w:t>
            </w:r>
          </w:p>
        </w:tc>
        <w:tc>
          <w:tcPr>
            <w:tcW w:w="1230" w:type="dxa"/>
            <w:shd w:val="clear" w:color="000000" w:fill="F2F2F2"/>
            <w:noWrap/>
            <w:vAlign w:val="center"/>
            <w:hideMark/>
          </w:tcPr>
          <w:p w14:paraId="6B3559B7" w14:textId="7C60E0F9" w:rsidR="008701CE" w:rsidRPr="000D1490" w:rsidRDefault="008701CE" w:rsidP="008701CE">
            <w:pPr>
              <w:jc w:val="right"/>
              <w:rPr>
                <w:rFonts w:eastAsia="Times New Roman"/>
                <w:color w:val="C00000"/>
                <w:sz w:val="18"/>
                <w:szCs w:val="18"/>
              </w:rPr>
            </w:pPr>
            <w:r w:rsidRPr="000D1490">
              <w:rPr>
                <w:color w:val="C00000"/>
                <w:sz w:val="18"/>
                <w:szCs w:val="18"/>
              </w:rPr>
              <w:t>2,665</w:t>
            </w:r>
          </w:p>
        </w:tc>
        <w:tc>
          <w:tcPr>
            <w:tcW w:w="1230" w:type="dxa"/>
            <w:shd w:val="clear" w:color="000000" w:fill="F2F2F2"/>
            <w:noWrap/>
            <w:vAlign w:val="center"/>
            <w:hideMark/>
          </w:tcPr>
          <w:p w14:paraId="78BFB9AA" w14:textId="40BD40BA" w:rsidR="008701CE" w:rsidRPr="000D1490" w:rsidRDefault="008701CE" w:rsidP="008701CE">
            <w:pPr>
              <w:jc w:val="right"/>
              <w:rPr>
                <w:rFonts w:eastAsia="Times New Roman"/>
                <w:color w:val="C00000"/>
                <w:sz w:val="18"/>
                <w:szCs w:val="18"/>
              </w:rPr>
            </w:pPr>
            <w:r w:rsidRPr="000D1490">
              <w:rPr>
                <w:color w:val="C00000"/>
                <w:sz w:val="18"/>
                <w:szCs w:val="18"/>
              </w:rPr>
              <w:t>870</w:t>
            </w:r>
          </w:p>
        </w:tc>
        <w:tc>
          <w:tcPr>
            <w:tcW w:w="1230" w:type="dxa"/>
            <w:shd w:val="clear" w:color="000000" w:fill="F2F2F2"/>
            <w:noWrap/>
            <w:vAlign w:val="center"/>
            <w:hideMark/>
          </w:tcPr>
          <w:p w14:paraId="6E429615" w14:textId="50B3A8A3" w:rsidR="008701CE" w:rsidRPr="000D1490" w:rsidRDefault="008701CE" w:rsidP="008701CE">
            <w:pPr>
              <w:jc w:val="right"/>
              <w:rPr>
                <w:rFonts w:eastAsia="Times New Roman"/>
                <w:color w:val="C00000"/>
                <w:sz w:val="18"/>
                <w:szCs w:val="18"/>
              </w:rPr>
            </w:pPr>
            <w:r w:rsidRPr="000D1490">
              <w:rPr>
                <w:color w:val="C00000"/>
                <w:sz w:val="18"/>
                <w:szCs w:val="18"/>
              </w:rPr>
              <w:t>355</w:t>
            </w:r>
          </w:p>
        </w:tc>
        <w:tc>
          <w:tcPr>
            <w:tcW w:w="1230" w:type="dxa"/>
            <w:shd w:val="clear" w:color="000000" w:fill="F2F2F2"/>
            <w:noWrap/>
            <w:vAlign w:val="center"/>
            <w:hideMark/>
          </w:tcPr>
          <w:p w14:paraId="0B84900E" w14:textId="57350986" w:rsidR="008701CE" w:rsidRPr="000D1490" w:rsidRDefault="008701CE" w:rsidP="008701CE">
            <w:pPr>
              <w:jc w:val="right"/>
              <w:rPr>
                <w:rFonts w:eastAsia="Times New Roman"/>
                <w:color w:val="C00000"/>
                <w:sz w:val="18"/>
                <w:szCs w:val="18"/>
              </w:rPr>
            </w:pPr>
            <w:r w:rsidRPr="000D1490">
              <w:rPr>
                <w:color w:val="C00000"/>
                <w:sz w:val="18"/>
                <w:szCs w:val="18"/>
              </w:rPr>
              <w:t>235</w:t>
            </w:r>
          </w:p>
        </w:tc>
      </w:tr>
      <w:tr w:rsidR="008701CE" w:rsidRPr="00884E53" w14:paraId="48EA3797" w14:textId="77777777" w:rsidTr="00966CD2">
        <w:trPr>
          <w:trHeight w:val="402"/>
        </w:trPr>
        <w:tc>
          <w:tcPr>
            <w:tcW w:w="1975" w:type="dxa"/>
            <w:noWrap/>
            <w:vAlign w:val="center"/>
            <w:hideMark/>
          </w:tcPr>
          <w:p w14:paraId="7A3E1CD8" w14:textId="77777777" w:rsidR="008701CE" w:rsidRPr="00884E53" w:rsidRDefault="008701CE" w:rsidP="008701CE">
            <w:pPr>
              <w:rPr>
                <w:rFonts w:eastAsia="Times New Roman"/>
                <w:color w:val="000000"/>
                <w:sz w:val="18"/>
                <w:szCs w:val="18"/>
              </w:rPr>
            </w:pPr>
            <w:r w:rsidRPr="00884E53">
              <w:rPr>
                <w:rFonts w:eastAsia="Times New Roman"/>
                <w:color w:val="000000"/>
                <w:sz w:val="18"/>
                <w:szCs w:val="18"/>
              </w:rPr>
              <w:t>High</w:t>
            </w:r>
          </w:p>
        </w:tc>
        <w:tc>
          <w:tcPr>
            <w:tcW w:w="1230" w:type="dxa"/>
            <w:noWrap/>
            <w:vAlign w:val="center"/>
            <w:hideMark/>
          </w:tcPr>
          <w:p w14:paraId="3BE58B45" w14:textId="3518346C" w:rsidR="008701CE" w:rsidRPr="000D1490" w:rsidRDefault="008701CE" w:rsidP="008701CE">
            <w:pPr>
              <w:jc w:val="right"/>
              <w:rPr>
                <w:rFonts w:eastAsia="Times New Roman"/>
                <w:color w:val="C00000"/>
                <w:sz w:val="18"/>
                <w:szCs w:val="18"/>
              </w:rPr>
            </w:pPr>
            <w:r w:rsidRPr="000D1490">
              <w:rPr>
                <w:color w:val="C00000"/>
                <w:sz w:val="18"/>
                <w:szCs w:val="18"/>
              </w:rPr>
              <w:t>10,990</w:t>
            </w:r>
          </w:p>
        </w:tc>
        <w:tc>
          <w:tcPr>
            <w:tcW w:w="1230" w:type="dxa"/>
            <w:noWrap/>
            <w:vAlign w:val="center"/>
            <w:hideMark/>
          </w:tcPr>
          <w:p w14:paraId="701CB932" w14:textId="1E42A47B" w:rsidR="008701CE" w:rsidRPr="000D1490" w:rsidRDefault="008701CE" w:rsidP="008701CE">
            <w:pPr>
              <w:jc w:val="right"/>
              <w:rPr>
                <w:rFonts w:eastAsia="Times New Roman"/>
                <w:color w:val="C00000"/>
                <w:sz w:val="18"/>
                <w:szCs w:val="18"/>
              </w:rPr>
            </w:pPr>
            <w:r w:rsidRPr="000D1490">
              <w:rPr>
                <w:color w:val="C00000"/>
                <w:sz w:val="18"/>
                <w:szCs w:val="18"/>
              </w:rPr>
              <w:t>785</w:t>
            </w:r>
          </w:p>
        </w:tc>
        <w:tc>
          <w:tcPr>
            <w:tcW w:w="1230" w:type="dxa"/>
            <w:noWrap/>
            <w:vAlign w:val="center"/>
            <w:hideMark/>
          </w:tcPr>
          <w:p w14:paraId="18F998EB" w14:textId="6A19636C" w:rsidR="008701CE" w:rsidRPr="000D1490" w:rsidRDefault="008701CE" w:rsidP="008701CE">
            <w:pPr>
              <w:jc w:val="right"/>
              <w:rPr>
                <w:rFonts w:eastAsia="Times New Roman"/>
                <w:color w:val="C00000"/>
                <w:sz w:val="18"/>
                <w:szCs w:val="18"/>
              </w:rPr>
            </w:pPr>
            <w:r w:rsidRPr="000D1490">
              <w:rPr>
                <w:color w:val="C00000"/>
                <w:sz w:val="18"/>
                <w:szCs w:val="18"/>
              </w:rPr>
              <w:t>4,690</w:t>
            </w:r>
          </w:p>
        </w:tc>
        <w:tc>
          <w:tcPr>
            <w:tcW w:w="1230" w:type="dxa"/>
            <w:noWrap/>
            <w:vAlign w:val="center"/>
            <w:hideMark/>
          </w:tcPr>
          <w:p w14:paraId="3A6C3C9F" w14:textId="2DF49F32" w:rsidR="008701CE" w:rsidRPr="000D1490" w:rsidRDefault="008701CE" w:rsidP="008701CE">
            <w:pPr>
              <w:jc w:val="right"/>
              <w:rPr>
                <w:rFonts w:eastAsia="Times New Roman"/>
                <w:color w:val="C00000"/>
                <w:sz w:val="18"/>
                <w:szCs w:val="18"/>
              </w:rPr>
            </w:pPr>
            <w:r w:rsidRPr="000D1490">
              <w:rPr>
                <w:color w:val="C00000"/>
                <w:sz w:val="18"/>
                <w:szCs w:val="18"/>
              </w:rPr>
              <w:t>2,310</w:t>
            </w:r>
          </w:p>
        </w:tc>
        <w:tc>
          <w:tcPr>
            <w:tcW w:w="1230" w:type="dxa"/>
            <w:noWrap/>
            <w:vAlign w:val="center"/>
            <w:hideMark/>
          </w:tcPr>
          <w:p w14:paraId="655E8404" w14:textId="434E658E" w:rsidR="008701CE" w:rsidRPr="000D1490" w:rsidRDefault="008701CE" w:rsidP="008701CE">
            <w:pPr>
              <w:jc w:val="right"/>
              <w:rPr>
                <w:rFonts w:eastAsia="Times New Roman"/>
                <w:color w:val="C00000"/>
                <w:sz w:val="18"/>
                <w:szCs w:val="18"/>
              </w:rPr>
            </w:pPr>
            <w:r w:rsidRPr="000D1490">
              <w:rPr>
                <w:color w:val="C00000"/>
                <w:sz w:val="18"/>
                <w:szCs w:val="18"/>
              </w:rPr>
              <w:t>2,105</w:t>
            </w:r>
          </w:p>
        </w:tc>
        <w:tc>
          <w:tcPr>
            <w:tcW w:w="1230" w:type="dxa"/>
            <w:noWrap/>
            <w:vAlign w:val="center"/>
            <w:hideMark/>
          </w:tcPr>
          <w:p w14:paraId="75FB68A3" w14:textId="1D7B9AC5" w:rsidR="008701CE" w:rsidRPr="000D1490" w:rsidRDefault="008701CE" w:rsidP="008701CE">
            <w:pPr>
              <w:jc w:val="right"/>
              <w:rPr>
                <w:rFonts w:eastAsia="Times New Roman"/>
                <w:color w:val="C00000"/>
                <w:sz w:val="18"/>
                <w:szCs w:val="18"/>
              </w:rPr>
            </w:pPr>
            <w:r w:rsidRPr="000D1490">
              <w:rPr>
                <w:color w:val="C00000"/>
                <w:sz w:val="18"/>
                <w:szCs w:val="18"/>
              </w:rPr>
              <w:t>1,100</w:t>
            </w:r>
          </w:p>
        </w:tc>
      </w:tr>
    </w:tbl>
    <w:p w14:paraId="23DA7862" w14:textId="77777777" w:rsidR="0043538E" w:rsidRDefault="000511ED">
      <w:r>
        <w:br w:type="page"/>
      </w:r>
    </w:p>
    <w:p w14:paraId="00FD1C76" w14:textId="504E027C" w:rsidR="00A55529" w:rsidRDefault="00B14277" w:rsidP="00B308B2">
      <w:pPr>
        <w:pStyle w:val="Heading2"/>
        <w:numPr>
          <w:ilvl w:val="0"/>
          <w:numId w:val="0"/>
        </w:numPr>
        <w:ind w:left="720" w:hanging="720"/>
      </w:pPr>
      <w:bookmarkStart w:id="128" w:name="_Toc223686665"/>
      <w:bookmarkStart w:id="129" w:name="_Toc237355967"/>
      <w:bookmarkStart w:id="130" w:name="_Toc222480703"/>
      <w:r>
        <w:lastRenderedPageBreak/>
        <w:t xml:space="preserve">APPENDIX </w:t>
      </w:r>
      <w:r w:rsidR="00C37FD0">
        <w:t>B</w:t>
      </w:r>
      <w:r w:rsidR="000511ED">
        <w:t xml:space="preserve">: </w:t>
      </w:r>
      <w:r w:rsidR="00A55529">
        <w:t>Federal Template Question Reference Guide</w:t>
      </w:r>
      <w:bookmarkEnd w:id="128"/>
      <w:bookmarkEnd w:id="129"/>
    </w:p>
    <w:p w14:paraId="3A6A4C3A" w14:textId="77777777" w:rsidR="00A55529" w:rsidRDefault="00A55529" w:rsidP="006A43CC"/>
    <w:p w14:paraId="096A4E43" w14:textId="0FC3C963" w:rsidR="0014311F" w:rsidRPr="003C59F9" w:rsidRDefault="0014311F" w:rsidP="006A43CC">
      <w:pPr>
        <w:rPr>
          <w:rFonts w:ascii="Bahnschrift" w:hAnsi="Bahnschrift"/>
          <w:b/>
          <w:bCs/>
          <w:sz w:val="26"/>
          <w:szCs w:val="26"/>
        </w:rPr>
      </w:pPr>
      <w:r w:rsidRPr="003C59F9">
        <w:rPr>
          <w:rFonts w:ascii="Bahnschrift" w:hAnsi="Bahnschrift"/>
          <w:b/>
          <w:bCs/>
          <w:sz w:val="26"/>
          <w:szCs w:val="26"/>
        </w:rPr>
        <w:t xml:space="preserve">TEMPLATE SECTION 1: </w:t>
      </w:r>
      <w:r w:rsidRPr="003C59F9">
        <w:rPr>
          <w:rFonts w:ascii="Bahnschrift" w:hAnsi="Bahnschrift"/>
          <w:sz w:val="26"/>
          <w:szCs w:val="26"/>
        </w:rPr>
        <w:t>Methodology</w:t>
      </w:r>
    </w:p>
    <w:p w14:paraId="62F79CB4" w14:textId="77777777" w:rsidR="0014311F" w:rsidRDefault="0014311F"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A55529" w14:paraId="6BE4A121"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1AFB2ACF" w14:textId="77777777" w:rsidR="00A55529" w:rsidRDefault="00A55529" w:rsidP="006A43CC">
            <w:r w:rsidRPr="004C2B79">
              <w:rPr>
                <w:b/>
                <w:bCs/>
                <w:color w:val="FFFFFF" w:themeColor="background1"/>
                <w:sz w:val="21"/>
                <w:szCs w:val="21"/>
              </w:rPr>
              <w:t xml:space="preserve">1.1  </w:t>
            </w:r>
            <w:r w:rsidRPr="004C2B79">
              <w:rPr>
                <w:color w:val="FFFFFF" w:themeColor="background1"/>
                <w:sz w:val="20"/>
                <w:szCs w:val="20"/>
              </w:rPr>
              <w:t>Provide an overview of the quantitative and qualitative methodology and assumptions used to develop this HNA, including data sources and any data gaps.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30A60398" w14:textId="77777777" w:rsidR="00A55529" w:rsidRDefault="00A55529" w:rsidP="006A43CC">
            <w:pPr>
              <w:jc w:val="center"/>
            </w:pPr>
            <w:r>
              <w:rPr>
                <w:b/>
                <w:bCs/>
                <w:color w:val="7F4F00"/>
                <w:sz w:val="17"/>
                <w:szCs w:val="17"/>
              </w:rPr>
              <w:t>Partially covered - see notes</w:t>
            </w:r>
          </w:p>
        </w:tc>
      </w:tr>
    </w:tbl>
    <w:p w14:paraId="01E33760" w14:textId="382148F0" w:rsidR="00A55529" w:rsidRPr="00A55529" w:rsidRDefault="00A55529" w:rsidP="006A43CC">
      <w:pPr>
        <w:pStyle w:val="ListParagraph"/>
        <w:ind w:left="540"/>
      </w:pPr>
    </w:p>
    <w:p w14:paraId="3FC2CBD1" w14:textId="5D4D5C93" w:rsidR="001F2783" w:rsidRPr="00AF28D1" w:rsidRDefault="00A55529" w:rsidP="00AF28D1">
      <w:pPr>
        <w:pStyle w:val="ListParagraph"/>
        <w:numPr>
          <w:ilvl w:val="0"/>
          <w:numId w:val="5"/>
        </w:numPr>
        <w:jc w:val="both"/>
      </w:pPr>
      <w:r>
        <w:rPr>
          <w:color w:val="000000"/>
          <w:sz w:val="20"/>
          <w:szCs w:val="20"/>
        </w:rPr>
        <w:t>The</w:t>
      </w:r>
      <w:r w:rsidR="002F4B52">
        <w:rPr>
          <w:color w:val="000000"/>
          <w:sz w:val="20"/>
          <w:szCs w:val="20"/>
        </w:rPr>
        <w:t xml:space="preserve"> quantitative and qualitative methodologies are identified in the Housing Needs Assessment Guidebook document</w:t>
      </w:r>
      <w:r w:rsidR="0055238E">
        <w:rPr>
          <w:color w:val="000000"/>
          <w:sz w:val="20"/>
          <w:szCs w:val="20"/>
        </w:rPr>
        <w:t xml:space="preserve">, inclusive of sources and questionnaires used. Users can refer to that section as part of a submission or append </w:t>
      </w:r>
      <w:r w:rsidR="00AF28D1">
        <w:rPr>
          <w:color w:val="000000"/>
          <w:sz w:val="20"/>
          <w:szCs w:val="20"/>
        </w:rPr>
        <w:t>relevant</w:t>
      </w:r>
      <w:r w:rsidR="0055238E">
        <w:rPr>
          <w:color w:val="000000"/>
          <w:sz w:val="20"/>
          <w:szCs w:val="20"/>
        </w:rPr>
        <w:t xml:space="preserve"> methodologies to this document</w:t>
      </w:r>
      <w:r>
        <w:rPr>
          <w:color w:val="000000"/>
          <w:sz w:val="20"/>
          <w:szCs w:val="20"/>
        </w:rPr>
        <w:t xml:space="preserve"> </w:t>
      </w:r>
      <w:r w:rsidR="00AF28D1">
        <w:rPr>
          <w:color w:val="000000"/>
          <w:sz w:val="20"/>
          <w:szCs w:val="20"/>
        </w:rPr>
        <w:t xml:space="preserve">for more information. </w:t>
      </w:r>
    </w:p>
    <w:p w14:paraId="5D8E2294" w14:textId="77777777" w:rsidR="00AF28D1" w:rsidRDefault="00AF28D1" w:rsidP="00AF28D1">
      <w:pPr>
        <w:pStyle w:val="ListParagraph"/>
        <w:ind w:left="5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1F2783" w14:paraId="504C3FF9"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5B8DE836" w14:textId="77777777" w:rsidR="001F2783" w:rsidRDefault="001F2783" w:rsidP="006A43CC">
            <w:r w:rsidRPr="004C2B79">
              <w:rPr>
                <w:b/>
                <w:bCs/>
                <w:color w:val="FFFFFF" w:themeColor="background1"/>
                <w:sz w:val="21"/>
                <w:szCs w:val="21"/>
              </w:rPr>
              <w:t xml:space="preserve">1.2  </w:t>
            </w:r>
            <w:r w:rsidRPr="004C2B79">
              <w:rPr>
                <w:color w:val="FFFFFF" w:themeColor="background1"/>
                <w:sz w:val="20"/>
                <w:szCs w:val="20"/>
              </w:rPr>
              <w:t>Provide an overview of the methodology used to engage with key stakeholder groups (e.g., non-profit housing providers, developers, public entities), including who was engaged, how, and how findings were incorporated.</w:t>
            </w:r>
          </w:p>
        </w:tc>
        <w:tc>
          <w:tcPr>
            <w:tcW w:w="1800" w:type="dxa"/>
            <w:tcBorders>
              <w:top w:val="none" w:sz="0" w:space="0" w:color="FFFFFF"/>
              <w:left w:val="none" w:sz="0" w:space="0" w:color="FFFFFF"/>
              <w:bottom w:val="none" w:sz="0" w:space="0" w:color="FFFFFF"/>
              <w:right w:val="none" w:sz="0" w:space="0" w:color="FFFFFF"/>
            </w:tcBorders>
            <w:shd w:val="clear" w:color="auto" w:fill="FCE4D6"/>
            <w:tcMar>
              <w:top w:w="80" w:type="dxa"/>
              <w:left w:w="100" w:type="dxa"/>
              <w:bottom w:w="80" w:type="dxa"/>
              <w:right w:w="100" w:type="dxa"/>
            </w:tcMar>
            <w:vAlign w:val="center"/>
          </w:tcPr>
          <w:p w14:paraId="6E1254CD" w14:textId="77777777" w:rsidR="001F2783" w:rsidRDefault="001F2783" w:rsidP="006A43CC">
            <w:pPr>
              <w:jc w:val="center"/>
            </w:pPr>
            <w:r>
              <w:rPr>
                <w:b/>
                <w:bCs/>
                <w:color w:val="843C0C"/>
                <w:sz w:val="17"/>
                <w:szCs w:val="17"/>
              </w:rPr>
              <w:t>Must be completed manually</w:t>
            </w:r>
          </w:p>
        </w:tc>
      </w:tr>
    </w:tbl>
    <w:p w14:paraId="1AF3D67C" w14:textId="77777777" w:rsidR="001F2783" w:rsidRPr="001F2783" w:rsidRDefault="001F2783" w:rsidP="006A43CC">
      <w:pPr>
        <w:pStyle w:val="ListParagraph"/>
        <w:ind w:left="540"/>
      </w:pPr>
    </w:p>
    <w:p w14:paraId="09983944" w14:textId="77777777" w:rsidR="002B093F" w:rsidRPr="002B093F" w:rsidRDefault="001F2783" w:rsidP="006A43CC">
      <w:pPr>
        <w:pStyle w:val="ListParagraph"/>
        <w:numPr>
          <w:ilvl w:val="0"/>
          <w:numId w:val="6"/>
        </w:numPr>
        <w:jc w:val="both"/>
      </w:pPr>
      <w:r w:rsidRPr="00A078E5">
        <w:rPr>
          <w:b/>
          <w:bCs/>
          <w:color w:val="843C0C"/>
          <w:sz w:val="20"/>
          <w:szCs w:val="20"/>
          <w:u w:val="single"/>
        </w:rPr>
        <w:t>Action required</w:t>
      </w:r>
      <w:r>
        <w:rPr>
          <w:b/>
          <w:bCs/>
          <w:color w:val="843C0C"/>
          <w:sz w:val="20"/>
          <w:szCs w:val="20"/>
        </w:rPr>
        <w:t xml:space="preserve">: </w:t>
      </w:r>
    </w:p>
    <w:p w14:paraId="183F04E8" w14:textId="6C2604EF" w:rsidR="001F2783" w:rsidRDefault="001F2783" w:rsidP="002B093F">
      <w:pPr>
        <w:pStyle w:val="ListParagraph"/>
        <w:ind w:left="540"/>
        <w:jc w:val="both"/>
      </w:pPr>
      <w:r>
        <w:rPr>
          <w:color w:val="5A0000"/>
          <w:sz w:val="20"/>
          <w:szCs w:val="20"/>
        </w:rPr>
        <w:t xml:space="preserve">This question must be completed </w:t>
      </w:r>
      <w:r w:rsidRPr="00404F71">
        <w:rPr>
          <w:color w:val="5A0000"/>
          <w:sz w:val="20"/>
          <w:szCs w:val="20"/>
        </w:rPr>
        <w:t xml:space="preserve">manually. </w:t>
      </w:r>
      <w:r w:rsidRPr="00404F71">
        <w:rPr>
          <w:b/>
          <w:bCs/>
          <w:color w:val="5A0000"/>
          <w:sz w:val="20"/>
          <w:szCs w:val="20"/>
        </w:rPr>
        <w:t>Appendix</w:t>
      </w:r>
      <w:r w:rsidR="00A078E5" w:rsidRPr="00404F71">
        <w:rPr>
          <w:b/>
          <w:bCs/>
          <w:color w:val="5A0000"/>
          <w:sz w:val="20"/>
          <w:szCs w:val="20"/>
        </w:rPr>
        <w:t xml:space="preserve"> C</w:t>
      </w:r>
      <w:r w:rsidRPr="00404F71">
        <w:rPr>
          <w:color w:val="5A0000"/>
          <w:sz w:val="20"/>
          <w:szCs w:val="20"/>
        </w:rPr>
        <w:t xml:space="preserve"> of</w:t>
      </w:r>
      <w:r>
        <w:rPr>
          <w:color w:val="5A0000"/>
          <w:sz w:val="20"/>
          <w:szCs w:val="20"/>
        </w:rPr>
        <w:t xml:space="preserve"> this report contains a placeholder for community engagement results. </w:t>
      </w:r>
      <w:r w:rsidR="00A078E5">
        <w:rPr>
          <w:color w:val="5A0000"/>
          <w:sz w:val="20"/>
          <w:szCs w:val="20"/>
        </w:rPr>
        <w:t>Users</w:t>
      </w:r>
      <w:r>
        <w:rPr>
          <w:color w:val="5A0000"/>
          <w:sz w:val="20"/>
          <w:szCs w:val="20"/>
        </w:rPr>
        <w:t xml:space="preserve"> should document: who was engaged (by sector and organization type), the type of engagement undertaken (interviews, public survey, focus groups, workshops), and how stakeholder input shaped or validated the HNA findings.</w:t>
      </w:r>
    </w:p>
    <w:p w14:paraId="44ABFCC4" w14:textId="77777777" w:rsidR="001F2783" w:rsidRDefault="001F2783"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1F2783" w14:paraId="5349846B"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150CC5CB" w14:textId="77777777" w:rsidR="001F2783" w:rsidRDefault="001F2783" w:rsidP="006A43CC">
            <w:r w:rsidRPr="004C2B79">
              <w:rPr>
                <w:b/>
                <w:bCs/>
                <w:color w:val="FFFFFF" w:themeColor="background1"/>
                <w:sz w:val="21"/>
                <w:szCs w:val="21"/>
              </w:rPr>
              <w:t xml:space="preserve">1.3  </w:t>
            </w:r>
            <w:r w:rsidRPr="004C2B79">
              <w:rPr>
                <w:color w:val="FFFFFF" w:themeColor="background1"/>
                <w:sz w:val="20"/>
                <w:szCs w:val="20"/>
              </w:rPr>
              <w:t>Provide an overview of the methodology used to engage specifically with priority group populations (see Section 4), including who was engaged and how.</w:t>
            </w:r>
          </w:p>
        </w:tc>
        <w:tc>
          <w:tcPr>
            <w:tcW w:w="1800" w:type="dxa"/>
            <w:tcBorders>
              <w:top w:val="none" w:sz="0" w:space="0" w:color="FFFFFF"/>
              <w:left w:val="none" w:sz="0" w:space="0" w:color="FFFFFF"/>
              <w:bottom w:val="none" w:sz="0" w:space="0" w:color="FFFFFF"/>
              <w:right w:val="none" w:sz="0" w:space="0" w:color="FFFFFF"/>
            </w:tcBorders>
            <w:shd w:val="clear" w:color="auto" w:fill="FCE4D6"/>
            <w:tcMar>
              <w:top w:w="80" w:type="dxa"/>
              <w:left w:w="100" w:type="dxa"/>
              <w:bottom w:w="80" w:type="dxa"/>
              <w:right w:w="100" w:type="dxa"/>
            </w:tcMar>
            <w:vAlign w:val="center"/>
          </w:tcPr>
          <w:p w14:paraId="260CC760" w14:textId="77777777" w:rsidR="001F2783" w:rsidRDefault="001F2783" w:rsidP="006A43CC">
            <w:pPr>
              <w:jc w:val="center"/>
            </w:pPr>
            <w:r>
              <w:rPr>
                <w:b/>
                <w:bCs/>
                <w:color w:val="843C0C"/>
                <w:sz w:val="17"/>
                <w:szCs w:val="17"/>
              </w:rPr>
              <w:t>Must be completed manually</w:t>
            </w:r>
          </w:p>
        </w:tc>
      </w:tr>
    </w:tbl>
    <w:p w14:paraId="037EBAFC" w14:textId="77777777" w:rsidR="0014311F" w:rsidRPr="0014311F" w:rsidRDefault="0014311F" w:rsidP="006A43CC">
      <w:pPr>
        <w:pStyle w:val="ListParagraph"/>
        <w:ind w:left="540"/>
      </w:pPr>
    </w:p>
    <w:p w14:paraId="3B66A71E" w14:textId="77777777" w:rsidR="002B093F" w:rsidRPr="002B093F" w:rsidRDefault="001F2783" w:rsidP="006A43CC">
      <w:pPr>
        <w:pStyle w:val="ListParagraph"/>
        <w:numPr>
          <w:ilvl w:val="0"/>
          <w:numId w:val="6"/>
        </w:numPr>
        <w:jc w:val="both"/>
      </w:pPr>
      <w:r w:rsidRPr="0014311F">
        <w:rPr>
          <w:b/>
          <w:bCs/>
          <w:color w:val="843C0C"/>
          <w:sz w:val="20"/>
          <w:szCs w:val="20"/>
          <w:u w:val="single"/>
        </w:rPr>
        <w:t>Action required</w:t>
      </w:r>
      <w:r>
        <w:rPr>
          <w:b/>
          <w:bCs/>
          <w:color w:val="843C0C"/>
          <w:sz w:val="20"/>
          <w:szCs w:val="20"/>
        </w:rPr>
        <w:t xml:space="preserve">: </w:t>
      </w:r>
    </w:p>
    <w:p w14:paraId="4669CED8" w14:textId="180964A4" w:rsidR="001F2783" w:rsidRDefault="001F2783" w:rsidP="002B093F">
      <w:pPr>
        <w:pStyle w:val="ListParagraph"/>
        <w:ind w:left="540"/>
        <w:jc w:val="both"/>
      </w:pPr>
      <w:r>
        <w:rPr>
          <w:color w:val="5A0000"/>
          <w:sz w:val="20"/>
          <w:szCs w:val="20"/>
        </w:rPr>
        <w:t>This question must be completed manually. The federal template requires that engagement with priority populations be documented separately from general stakeholder engagement. Staff should describe which priority groups were consulted, through what means, and how their input informed the assessment. Any identifying information about private individuals must be anonymized.</w:t>
      </w:r>
    </w:p>
    <w:p w14:paraId="673F4F4A" w14:textId="77777777" w:rsidR="00BF5FBD" w:rsidRDefault="00BF5FBD" w:rsidP="006A43CC"/>
    <w:p w14:paraId="7226CE23" w14:textId="77777777" w:rsidR="00BF5FBD" w:rsidRDefault="00BF5FBD" w:rsidP="006A43CC"/>
    <w:p w14:paraId="02D1C78B" w14:textId="095883D9" w:rsidR="00BF5FBD" w:rsidRPr="003C59F9" w:rsidRDefault="00BF5FBD" w:rsidP="006A43CC">
      <w:pPr>
        <w:rPr>
          <w:rFonts w:ascii="Bahnschrift" w:hAnsi="Bahnschrift"/>
          <w:b/>
          <w:bCs/>
          <w:sz w:val="26"/>
          <w:szCs w:val="26"/>
        </w:rPr>
      </w:pPr>
      <w:r w:rsidRPr="003C59F9">
        <w:rPr>
          <w:rFonts w:ascii="Bahnschrift" w:hAnsi="Bahnschrift"/>
          <w:b/>
          <w:bCs/>
          <w:sz w:val="26"/>
          <w:szCs w:val="26"/>
        </w:rPr>
        <w:t>TEMPLATE SECTION 2: Community Profile and Trends</w:t>
      </w:r>
    </w:p>
    <w:p w14:paraId="6EE92007" w14:textId="77777777" w:rsidR="00BF5FBD" w:rsidRDefault="00BF5FBD"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BF5FBD" w14:paraId="0FBD9CAA"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12D639D4" w14:textId="77777777" w:rsidR="00BF5FBD" w:rsidRDefault="00BF5FBD" w:rsidP="006A43CC">
            <w:r w:rsidRPr="00C80F03">
              <w:rPr>
                <w:b/>
                <w:bCs/>
                <w:color w:val="FFFFFF" w:themeColor="background1"/>
                <w:sz w:val="21"/>
                <w:szCs w:val="21"/>
              </w:rPr>
              <w:t xml:space="preserve">2.1  </w:t>
            </w:r>
            <w:r w:rsidRPr="00C80F03">
              <w:rPr>
                <w:color w:val="FFFFFF" w:themeColor="background1"/>
                <w:sz w:val="20"/>
                <w:szCs w:val="20"/>
              </w:rPr>
              <w:t>Detail the existing municipal housing policy and regulatory context, including approved housing strategies, action plans, and relevant official community plan provisions.</w:t>
            </w:r>
          </w:p>
        </w:tc>
        <w:tc>
          <w:tcPr>
            <w:tcW w:w="1800" w:type="dxa"/>
            <w:tcBorders>
              <w:top w:val="none" w:sz="0" w:space="0" w:color="FFFFFF"/>
              <w:left w:val="none" w:sz="0" w:space="0" w:color="FFFFFF"/>
              <w:bottom w:val="none" w:sz="0" w:space="0" w:color="FFFFFF"/>
              <w:right w:val="none" w:sz="0" w:space="0" w:color="FFFFFF"/>
            </w:tcBorders>
            <w:shd w:val="clear" w:color="auto" w:fill="FCE4D6"/>
            <w:tcMar>
              <w:top w:w="80" w:type="dxa"/>
              <w:left w:w="100" w:type="dxa"/>
              <w:bottom w:w="80" w:type="dxa"/>
              <w:right w:w="100" w:type="dxa"/>
            </w:tcMar>
            <w:vAlign w:val="center"/>
          </w:tcPr>
          <w:p w14:paraId="3F753D4E" w14:textId="77777777" w:rsidR="00BF5FBD" w:rsidRDefault="00BF5FBD" w:rsidP="006A43CC">
            <w:pPr>
              <w:jc w:val="center"/>
            </w:pPr>
            <w:r>
              <w:rPr>
                <w:b/>
                <w:bCs/>
                <w:color w:val="843C0C"/>
                <w:sz w:val="17"/>
                <w:szCs w:val="17"/>
              </w:rPr>
              <w:t>Must be completed manually</w:t>
            </w:r>
          </w:p>
        </w:tc>
      </w:tr>
    </w:tbl>
    <w:p w14:paraId="57D7E026" w14:textId="77777777" w:rsidR="00BF5FBD" w:rsidRPr="00BF5FBD" w:rsidRDefault="00BF5FBD" w:rsidP="006A43CC">
      <w:pPr>
        <w:pStyle w:val="ListParagraph"/>
        <w:ind w:left="540"/>
      </w:pPr>
    </w:p>
    <w:p w14:paraId="590B0D48" w14:textId="77777777" w:rsidR="002B093F" w:rsidRPr="002B093F" w:rsidRDefault="00BF5FBD" w:rsidP="006A43CC">
      <w:pPr>
        <w:pStyle w:val="ListParagraph"/>
        <w:numPr>
          <w:ilvl w:val="0"/>
          <w:numId w:val="6"/>
        </w:numPr>
        <w:jc w:val="both"/>
      </w:pPr>
      <w:r w:rsidRPr="00BF5FBD">
        <w:rPr>
          <w:b/>
          <w:bCs/>
          <w:color w:val="843C0C"/>
          <w:sz w:val="20"/>
          <w:szCs w:val="20"/>
          <w:u w:val="single"/>
        </w:rPr>
        <w:t>Action required</w:t>
      </w:r>
      <w:r>
        <w:rPr>
          <w:b/>
          <w:bCs/>
          <w:color w:val="843C0C"/>
          <w:sz w:val="20"/>
          <w:szCs w:val="20"/>
        </w:rPr>
        <w:t xml:space="preserve">: </w:t>
      </w:r>
    </w:p>
    <w:p w14:paraId="782FCDEB" w14:textId="78686C2E" w:rsidR="00BF5FBD" w:rsidRDefault="00BF5FBD" w:rsidP="002B093F">
      <w:pPr>
        <w:pStyle w:val="ListParagraph"/>
        <w:ind w:left="540"/>
        <w:jc w:val="both"/>
      </w:pPr>
      <w:r>
        <w:rPr>
          <w:color w:val="5A0000"/>
          <w:sz w:val="20"/>
          <w:szCs w:val="20"/>
        </w:rPr>
        <w:t>This question must be completed manually. It requires community-specific knowledge of local housing bylaws, zoning policies, official community plan provisions, and any active housing strategies or action plans. This information is not available through Statistics Canada, CMHC, or any other data source used in this report.</w:t>
      </w:r>
    </w:p>
    <w:p w14:paraId="5903346F" w14:textId="77777777" w:rsidR="006A43CC" w:rsidRDefault="006A43CC" w:rsidP="006A43CC"/>
    <w:p w14:paraId="48C71735" w14:textId="77777777" w:rsidR="00AF28D1" w:rsidRDefault="00AF28D1" w:rsidP="006A43CC"/>
    <w:p w14:paraId="4F3D6D36" w14:textId="77777777" w:rsidR="00AF28D1" w:rsidRDefault="00AF28D1" w:rsidP="006A43CC"/>
    <w:p w14:paraId="72D4496C" w14:textId="77777777" w:rsidR="00AF28D1" w:rsidRDefault="00AF28D1" w:rsidP="006A43CC"/>
    <w:p w14:paraId="1FE2DC5E" w14:textId="77777777" w:rsidR="00AF28D1" w:rsidRDefault="00AF28D1" w:rsidP="006A43CC"/>
    <w:p w14:paraId="18CA5B15" w14:textId="77777777" w:rsidR="00AF28D1" w:rsidRDefault="00AF28D1"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BF5FBD" w14:paraId="0034FA3E"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3FD7B164" w14:textId="77777777" w:rsidR="00BF5FBD" w:rsidRDefault="00BF5FBD" w:rsidP="006A43CC">
            <w:r w:rsidRPr="00866748">
              <w:rPr>
                <w:b/>
                <w:bCs/>
                <w:color w:val="FFFFFF" w:themeColor="background1"/>
                <w:sz w:val="21"/>
                <w:szCs w:val="21"/>
              </w:rPr>
              <w:lastRenderedPageBreak/>
              <w:t xml:space="preserve">2.3  </w:t>
            </w:r>
            <w:r w:rsidRPr="00866748">
              <w:rPr>
                <w:color w:val="FFFFFF" w:themeColor="background1"/>
                <w:sz w:val="20"/>
                <w:szCs w:val="20"/>
              </w:rPr>
              <w:t>How have population changes impacted the local housing market?</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50BD10A9" w14:textId="77777777" w:rsidR="00BF5FBD" w:rsidRDefault="00BF5FBD" w:rsidP="006A43CC">
            <w:pPr>
              <w:jc w:val="center"/>
            </w:pPr>
            <w:r>
              <w:rPr>
                <w:b/>
                <w:bCs/>
                <w:color w:val="7F4F00"/>
                <w:sz w:val="17"/>
                <w:szCs w:val="17"/>
              </w:rPr>
              <w:t>Partially covered - see notes</w:t>
            </w:r>
          </w:p>
        </w:tc>
      </w:tr>
    </w:tbl>
    <w:p w14:paraId="092DF8C4" w14:textId="77777777" w:rsidR="00866748" w:rsidRPr="00866748" w:rsidRDefault="00866748" w:rsidP="006A43CC">
      <w:pPr>
        <w:pStyle w:val="ListParagraph"/>
        <w:ind w:left="540"/>
      </w:pPr>
    </w:p>
    <w:p w14:paraId="6AF2465A" w14:textId="77777777" w:rsidR="00A8456F" w:rsidRPr="00A8456F" w:rsidRDefault="00BF5FBD" w:rsidP="00A8456F">
      <w:pPr>
        <w:pStyle w:val="ListParagraph"/>
        <w:numPr>
          <w:ilvl w:val="0"/>
          <w:numId w:val="5"/>
        </w:numPr>
      </w:pPr>
      <w:r w:rsidRPr="006A43CC">
        <w:rPr>
          <w:b/>
          <w:bCs/>
          <w:color w:val="2E75B6"/>
          <w:sz w:val="20"/>
          <w:szCs w:val="20"/>
          <w:u w:val="single"/>
        </w:rPr>
        <w:t>Data available</w:t>
      </w:r>
      <w:r>
        <w:rPr>
          <w:b/>
          <w:bCs/>
          <w:color w:val="2E75B6"/>
          <w:sz w:val="20"/>
          <w:szCs w:val="20"/>
        </w:rPr>
        <w:t xml:space="preserve">:  </w:t>
      </w:r>
    </w:p>
    <w:p w14:paraId="0B70BDA5" w14:textId="1E5001AB" w:rsidR="00BF5FBD" w:rsidRPr="00A8456F" w:rsidRDefault="00226C12" w:rsidP="00F61705">
      <w:pPr>
        <w:pStyle w:val="ListParagraph"/>
        <w:ind w:left="540"/>
        <w:jc w:val="both"/>
      </w:pPr>
      <w:r w:rsidRPr="00226C12">
        <w:rPr>
          <w:color w:val="000000"/>
          <w:sz w:val="20"/>
          <w:szCs w:val="20"/>
        </w:rPr>
        <w:t>Section 4.1, Tables 4.1-4.3 and Figures 4.1-4.2 provide the quantitative foundation, including population growth rates, age shifts, and migration patterns.</w:t>
      </w:r>
    </w:p>
    <w:p w14:paraId="47248FEF" w14:textId="77777777" w:rsidR="00A8456F" w:rsidRPr="00A8456F" w:rsidRDefault="00BF5FBD" w:rsidP="00F61705">
      <w:pPr>
        <w:pStyle w:val="ListParagraph"/>
        <w:numPr>
          <w:ilvl w:val="0"/>
          <w:numId w:val="6"/>
        </w:numPr>
        <w:jc w:val="both"/>
        <w:rPr>
          <w:b/>
          <w:bCs/>
          <w:color w:val="CFD9E3" w:themeColor="accent1"/>
          <w:sz w:val="26"/>
          <w:szCs w:val="26"/>
        </w:rPr>
      </w:pPr>
      <w:r w:rsidRPr="00866748">
        <w:rPr>
          <w:b/>
          <w:bCs/>
          <w:color w:val="843C0C"/>
          <w:sz w:val="20"/>
          <w:szCs w:val="20"/>
          <w:u w:val="single"/>
        </w:rPr>
        <w:t>Narrative required</w:t>
      </w:r>
      <w:r w:rsidRPr="00866748">
        <w:rPr>
          <w:b/>
          <w:bCs/>
          <w:color w:val="843C0C"/>
          <w:sz w:val="20"/>
          <w:szCs w:val="20"/>
        </w:rPr>
        <w:t xml:space="preserve">: </w:t>
      </w:r>
    </w:p>
    <w:p w14:paraId="20B1EBD5" w14:textId="6FCA8386" w:rsidR="00D67E7A" w:rsidRPr="00D67E7A" w:rsidRDefault="00866748" w:rsidP="00F61705">
      <w:pPr>
        <w:pStyle w:val="ListParagraph"/>
        <w:ind w:left="540"/>
        <w:jc w:val="both"/>
        <w:rPr>
          <w:b/>
          <w:bCs/>
          <w:color w:val="CFD9E3" w:themeColor="accent1"/>
          <w:sz w:val="26"/>
          <w:szCs w:val="26"/>
        </w:rPr>
      </w:pPr>
      <w:r w:rsidRPr="00A8456F">
        <w:rPr>
          <w:color w:val="843C0C"/>
          <w:sz w:val="20"/>
          <w:szCs w:val="20"/>
        </w:rPr>
        <w:t>Users</w:t>
      </w:r>
      <w:r w:rsidRPr="00866748">
        <w:rPr>
          <w:b/>
          <w:bCs/>
          <w:color w:val="843C0C"/>
          <w:sz w:val="20"/>
          <w:szCs w:val="20"/>
        </w:rPr>
        <w:t xml:space="preserve"> </w:t>
      </w:r>
      <w:r w:rsidR="00BF5FBD" w:rsidRPr="00866748">
        <w:rPr>
          <w:color w:val="5A0000"/>
          <w:sz w:val="20"/>
          <w:szCs w:val="20"/>
        </w:rPr>
        <w:t xml:space="preserve">must write a contextual response connecting population trends to observed housing market conditions. </w:t>
      </w:r>
    </w:p>
    <w:p w14:paraId="2A8932FB" w14:textId="77777777" w:rsidR="00D67E7A" w:rsidRDefault="00D67E7A" w:rsidP="006A43CC">
      <w:pPr>
        <w:jc w:val="both"/>
      </w:pPr>
    </w:p>
    <w:p w14:paraId="4E06C980" w14:textId="77777777" w:rsidR="00D67E7A" w:rsidRDefault="00D67E7A" w:rsidP="006A43CC">
      <w:pPr>
        <w:jc w:val="both"/>
      </w:pPr>
    </w:p>
    <w:p w14:paraId="02149922" w14:textId="77777777" w:rsidR="004F1DE3" w:rsidRPr="003C59F9" w:rsidRDefault="00D67E7A" w:rsidP="006A43CC">
      <w:pPr>
        <w:rPr>
          <w:rFonts w:ascii="Bahnschrift" w:hAnsi="Bahnschrift"/>
          <w:b/>
          <w:bCs/>
          <w:sz w:val="26"/>
          <w:szCs w:val="26"/>
        </w:rPr>
      </w:pPr>
      <w:r w:rsidRPr="003C59F9">
        <w:rPr>
          <w:rFonts w:ascii="Bahnschrift" w:hAnsi="Bahnschrift"/>
          <w:b/>
          <w:bCs/>
          <w:sz w:val="26"/>
          <w:szCs w:val="26"/>
        </w:rPr>
        <w:t xml:space="preserve">TEMPLATE SECTION 3: </w:t>
      </w:r>
    </w:p>
    <w:p w14:paraId="457CCB41" w14:textId="54CAC5D7" w:rsidR="00D67E7A" w:rsidRPr="003C59F9" w:rsidRDefault="00D67E7A" w:rsidP="006A43CC">
      <w:pPr>
        <w:rPr>
          <w:rFonts w:ascii="Bahnschrift" w:hAnsi="Bahnschrift"/>
          <w:b/>
          <w:bCs/>
          <w:sz w:val="26"/>
          <w:szCs w:val="26"/>
        </w:rPr>
      </w:pPr>
      <w:r w:rsidRPr="003C59F9">
        <w:rPr>
          <w:rFonts w:ascii="Bahnschrift" w:hAnsi="Bahnschrift"/>
          <w:b/>
          <w:bCs/>
          <w:sz w:val="26"/>
          <w:szCs w:val="26"/>
        </w:rPr>
        <w:t>Household Profiles and Economic Characteristics</w:t>
      </w:r>
    </w:p>
    <w:p w14:paraId="0A0C42F3"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53102019"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13711D73" w14:textId="77777777" w:rsidR="00D67E7A" w:rsidRDefault="00D67E7A" w:rsidP="006A43CC">
            <w:r w:rsidRPr="00C97821">
              <w:rPr>
                <w:b/>
                <w:bCs/>
                <w:color w:val="FFFFFF" w:themeColor="background1"/>
                <w:sz w:val="21"/>
                <w:szCs w:val="21"/>
              </w:rPr>
              <w:t xml:space="preserve">3.2  </w:t>
            </w:r>
            <w:r w:rsidRPr="00C97821">
              <w:rPr>
                <w:color w:val="FFFFFF" w:themeColor="background1"/>
                <w:sz w:val="20"/>
                <w:szCs w:val="20"/>
              </w:rPr>
              <w:t>Provide context for the household data: e.g., prevalence of lone-parent families, significance of the owner/renter income gap, notable household type distributions.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75838EF4" w14:textId="77777777" w:rsidR="00D67E7A" w:rsidRDefault="00D67E7A" w:rsidP="006A43CC">
            <w:pPr>
              <w:jc w:val="center"/>
            </w:pPr>
            <w:r>
              <w:rPr>
                <w:b/>
                <w:bCs/>
                <w:color w:val="7F4F00"/>
                <w:sz w:val="17"/>
                <w:szCs w:val="17"/>
              </w:rPr>
              <w:t>Partially covered - see notes</w:t>
            </w:r>
          </w:p>
        </w:tc>
      </w:tr>
    </w:tbl>
    <w:p w14:paraId="5740179D" w14:textId="77777777" w:rsidR="00F53DDC" w:rsidRPr="00F53DDC" w:rsidRDefault="00F53DDC" w:rsidP="00F53DDC">
      <w:pPr>
        <w:pStyle w:val="ListParagraph"/>
        <w:ind w:left="540"/>
      </w:pPr>
    </w:p>
    <w:p w14:paraId="4B68B947" w14:textId="6124AE50" w:rsidR="002B093F" w:rsidRPr="002B093F" w:rsidRDefault="00D67E7A" w:rsidP="006A43CC">
      <w:pPr>
        <w:pStyle w:val="ListParagraph"/>
        <w:numPr>
          <w:ilvl w:val="0"/>
          <w:numId w:val="5"/>
        </w:numPr>
      </w:pPr>
      <w:r w:rsidRPr="002B093F">
        <w:rPr>
          <w:b/>
          <w:bCs/>
          <w:color w:val="2E75B6"/>
          <w:sz w:val="20"/>
          <w:szCs w:val="20"/>
          <w:u w:val="single"/>
        </w:rPr>
        <w:t>Data available</w:t>
      </w:r>
      <w:r>
        <w:rPr>
          <w:b/>
          <w:bCs/>
          <w:color w:val="2E75B6"/>
          <w:sz w:val="20"/>
          <w:szCs w:val="20"/>
        </w:rPr>
        <w:t xml:space="preserve">:  </w:t>
      </w:r>
    </w:p>
    <w:p w14:paraId="2CAC49DB" w14:textId="6C0E340E" w:rsidR="00D67E7A" w:rsidRDefault="00226C12" w:rsidP="00F61705">
      <w:pPr>
        <w:pStyle w:val="ListParagraph"/>
        <w:ind w:left="540"/>
        <w:jc w:val="both"/>
      </w:pPr>
      <w:r w:rsidRPr="00226C12">
        <w:rPr>
          <w:color w:val="000000"/>
          <w:sz w:val="20"/>
          <w:szCs w:val="20"/>
        </w:rPr>
        <w:t>Interpretive narrative is provided following Table 4.4 (Section 4.2) and Table 5.4 (Section 5.2), covering the income gap between tenure groups and the prevalence of single-person and lone-parent households.</w:t>
      </w:r>
    </w:p>
    <w:p w14:paraId="6A51A6E9" w14:textId="77777777" w:rsidR="002B093F" w:rsidRPr="002B093F" w:rsidRDefault="00D67E7A" w:rsidP="00F61705">
      <w:pPr>
        <w:pStyle w:val="ListParagraph"/>
        <w:numPr>
          <w:ilvl w:val="0"/>
          <w:numId w:val="6"/>
        </w:numPr>
        <w:jc w:val="both"/>
      </w:pPr>
      <w:r w:rsidRPr="002B093F">
        <w:rPr>
          <w:b/>
          <w:bCs/>
          <w:color w:val="843C0C"/>
          <w:sz w:val="20"/>
          <w:szCs w:val="20"/>
          <w:u w:val="single"/>
        </w:rPr>
        <w:t>Narrative required</w:t>
      </w:r>
      <w:r>
        <w:rPr>
          <w:b/>
          <w:bCs/>
          <w:color w:val="843C0C"/>
          <w:sz w:val="20"/>
          <w:szCs w:val="20"/>
        </w:rPr>
        <w:t xml:space="preserve">: </w:t>
      </w:r>
    </w:p>
    <w:p w14:paraId="689A2A2D" w14:textId="50B174C2" w:rsidR="00D67E7A" w:rsidRDefault="00822C6C" w:rsidP="00F61705">
      <w:pPr>
        <w:pStyle w:val="ListParagraph"/>
        <w:ind w:left="540"/>
        <w:jc w:val="both"/>
      </w:pPr>
      <w:r w:rsidRPr="00822C6C">
        <w:rPr>
          <w:color w:val="5A0000"/>
          <w:sz w:val="20"/>
          <w:szCs w:val="20"/>
        </w:rPr>
        <w:t>The Required Response prompt in Section 4.2 asks for community-specific context. Staff should complete this with locally specific observations and any qualitative information that supplements the census data.</w:t>
      </w:r>
    </w:p>
    <w:p w14:paraId="7D50F575"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394EC816"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25E58609" w14:textId="77777777" w:rsidR="00D67E7A" w:rsidRDefault="00D67E7A" w:rsidP="006A43CC">
            <w:r w:rsidRPr="00C97821">
              <w:rPr>
                <w:b/>
                <w:bCs/>
                <w:color w:val="FFFFFF" w:themeColor="background1"/>
                <w:sz w:val="21"/>
                <w:szCs w:val="21"/>
              </w:rPr>
              <w:t xml:space="preserve">3.3  </w:t>
            </w:r>
            <w:r w:rsidRPr="00C97821">
              <w:rPr>
                <w:color w:val="FFFFFF" w:themeColor="background1"/>
                <w:sz w:val="20"/>
                <w:szCs w:val="20"/>
              </w:rPr>
              <w:t>Describe suppression of household formation (e.g., young adults living with family due to affordability) and suppression of housing demand since 2016; describe projected impacts over the next 5-10 years.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7153DCE9" w14:textId="77777777" w:rsidR="00D67E7A" w:rsidRDefault="00D67E7A" w:rsidP="006A43CC">
            <w:pPr>
              <w:jc w:val="center"/>
            </w:pPr>
            <w:r>
              <w:rPr>
                <w:b/>
                <w:bCs/>
                <w:color w:val="7F4F00"/>
                <w:sz w:val="17"/>
                <w:szCs w:val="17"/>
              </w:rPr>
              <w:t>Partially covered - see notes</w:t>
            </w:r>
          </w:p>
        </w:tc>
      </w:tr>
    </w:tbl>
    <w:p w14:paraId="21FE9277" w14:textId="77777777" w:rsidR="006D6968" w:rsidRPr="006D6968" w:rsidRDefault="006D6968" w:rsidP="006D6968">
      <w:pPr>
        <w:pStyle w:val="ListParagraph"/>
        <w:ind w:left="540"/>
      </w:pPr>
    </w:p>
    <w:p w14:paraId="0E031377" w14:textId="77777777" w:rsidR="006D6968" w:rsidRPr="006D6968" w:rsidRDefault="00D67E7A" w:rsidP="006A43CC">
      <w:pPr>
        <w:pStyle w:val="ListParagraph"/>
        <w:numPr>
          <w:ilvl w:val="0"/>
          <w:numId w:val="5"/>
        </w:numPr>
      </w:pPr>
      <w:r w:rsidRPr="0076796F">
        <w:rPr>
          <w:b/>
          <w:bCs/>
          <w:color w:val="2E75B6"/>
          <w:sz w:val="20"/>
          <w:szCs w:val="20"/>
          <w:u w:val="single"/>
        </w:rPr>
        <w:t>Historical suppression (2016-2021)</w:t>
      </w:r>
      <w:r>
        <w:rPr>
          <w:b/>
          <w:bCs/>
          <w:color w:val="2E75B6"/>
          <w:sz w:val="20"/>
          <w:szCs w:val="20"/>
        </w:rPr>
        <w:t xml:space="preserve">:  </w:t>
      </w:r>
    </w:p>
    <w:p w14:paraId="1E5ECE22" w14:textId="422C9822" w:rsidR="00D67E7A" w:rsidRDefault="00822C6C" w:rsidP="00F61705">
      <w:pPr>
        <w:pStyle w:val="ListParagraph"/>
        <w:ind w:left="540"/>
        <w:jc w:val="both"/>
      </w:pPr>
      <w:r w:rsidRPr="00822C6C">
        <w:rPr>
          <w:color w:val="000000"/>
          <w:sz w:val="20"/>
          <w:szCs w:val="20"/>
        </w:rPr>
        <w:t>Section 4.2, Table 4.5: estimated household suppression by age of primary household maintainer, comparing actual household formation against what headship rates from 2016 would predict.</w:t>
      </w:r>
    </w:p>
    <w:p w14:paraId="7F055169" w14:textId="77777777" w:rsidR="006D6968" w:rsidRPr="006D6968" w:rsidRDefault="00D67E7A" w:rsidP="00F61705">
      <w:pPr>
        <w:pStyle w:val="ListParagraph"/>
        <w:numPr>
          <w:ilvl w:val="0"/>
          <w:numId w:val="6"/>
        </w:numPr>
        <w:jc w:val="both"/>
      </w:pPr>
      <w:r w:rsidRPr="006D6968">
        <w:rPr>
          <w:b/>
          <w:bCs/>
          <w:color w:val="843C0C"/>
          <w:sz w:val="20"/>
          <w:szCs w:val="20"/>
          <w:u w:val="single"/>
        </w:rPr>
        <w:t>Forward-looking projections</w:t>
      </w:r>
      <w:r>
        <w:rPr>
          <w:b/>
          <w:bCs/>
          <w:color w:val="843C0C"/>
          <w:sz w:val="20"/>
          <w:szCs w:val="20"/>
        </w:rPr>
        <w:t xml:space="preserve">:  </w:t>
      </w:r>
    </w:p>
    <w:p w14:paraId="3616B589" w14:textId="5FA87AF5" w:rsidR="00D67E7A" w:rsidRDefault="00370206" w:rsidP="00F61705">
      <w:pPr>
        <w:pStyle w:val="ListParagraph"/>
        <w:ind w:left="540"/>
        <w:jc w:val="both"/>
      </w:pPr>
      <w:r w:rsidRPr="00370206">
        <w:rPr>
          <w:color w:val="5A0000"/>
          <w:sz w:val="20"/>
          <w:szCs w:val="20"/>
        </w:rPr>
        <w:t>Projected suppression impacts are not currently produced as a standalone output. Staff should interpret the projection data in Section 8.2 in the context of Table 4.5 to address the forward-looking component of this question.</w:t>
      </w:r>
    </w:p>
    <w:p w14:paraId="203F11AD"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24982A69"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6F285767" w14:textId="77777777" w:rsidR="00D67E7A" w:rsidRDefault="00D67E7A" w:rsidP="006A43CC">
            <w:r w:rsidRPr="00C97821">
              <w:rPr>
                <w:b/>
                <w:bCs/>
                <w:color w:val="FFFFFF" w:themeColor="background1"/>
                <w:sz w:val="21"/>
                <w:szCs w:val="21"/>
              </w:rPr>
              <w:t xml:space="preserve">3.5  </w:t>
            </w:r>
            <w:r w:rsidRPr="00C97821">
              <w:rPr>
                <w:color w:val="FFFFFF" w:themeColor="background1"/>
                <w:sz w:val="20"/>
                <w:szCs w:val="20"/>
              </w:rPr>
              <w:t>How have labour conditions (e.g., precarious employment, seasonal or temporary workforces, sector reliance) impacted housing supply and demand?</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79AE08E5" w14:textId="77777777" w:rsidR="00D67E7A" w:rsidRDefault="00D67E7A" w:rsidP="006A43CC">
            <w:pPr>
              <w:jc w:val="center"/>
            </w:pPr>
            <w:r>
              <w:rPr>
                <w:b/>
                <w:bCs/>
                <w:color w:val="7F4F00"/>
                <w:sz w:val="17"/>
                <w:szCs w:val="17"/>
              </w:rPr>
              <w:t>Partially covered - see notes</w:t>
            </w:r>
          </w:p>
        </w:tc>
      </w:tr>
    </w:tbl>
    <w:p w14:paraId="735BA3EA" w14:textId="77777777" w:rsidR="00CD0CEE" w:rsidRPr="00CD0CEE" w:rsidRDefault="00CD0CEE" w:rsidP="00CD0CEE">
      <w:pPr>
        <w:pStyle w:val="ListParagraph"/>
        <w:ind w:left="540"/>
      </w:pPr>
    </w:p>
    <w:p w14:paraId="0100C554" w14:textId="77777777" w:rsidR="00CD0CEE" w:rsidRPr="00CD0CEE" w:rsidRDefault="00D67E7A" w:rsidP="006A43CC">
      <w:pPr>
        <w:pStyle w:val="ListParagraph"/>
        <w:numPr>
          <w:ilvl w:val="0"/>
          <w:numId w:val="5"/>
        </w:numPr>
      </w:pPr>
      <w:r w:rsidRPr="00CD0CEE">
        <w:rPr>
          <w:b/>
          <w:bCs/>
          <w:color w:val="2E75B6"/>
          <w:sz w:val="20"/>
          <w:szCs w:val="20"/>
          <w:u w:val="single"/>
        </w:rPr>
        <w:t>Data available</w:t>
      </w:r>
      <w:r>
        <w:rPr>
          <w:b/>
          <w:bCs/>
          <w:color w:val="2E75B6"/>
          <w:sz w:val="20"/>
          <w:szCs w:val="20"/>
        </w:rPr>
        <w:t xml:space="preserve">: </w:t>
      </w:r>
    </w:p>
    <w:p w14:paraId="7C9FC34D" w14:textId="47BF9505" w:rsidR="00D67E7A" w:rsidRDefault="00477FC6" w:rsidP="00F61705">
      <w:pPr>
        <w:pStyle w:val="ListParagraph"/>
        <w:ind w:left="540"/>
        <w:jc w:val="both"/>
      </w:pPr>
      <w:r w:rsidRPr="00477FC6">
        <w:rPr>
          <w:color w:val="000000"/>
          <w:sz w:val="20"/>
          <w:szCs w:val="20"/>
        </w:rPr>
        <w:t>Section 5.1 provides the labour force context (Tables 5.1-5.3) and interpretive text on how sector composition and commuting patterns shape housing affordability and demand.</w:t>
      </w:r>
    </w:p>
    <w:p w14:paraId="4118FE1F" w14:textId="77777777" w:rsidR="00CD0CEE" w:rsidRPr="00CD0CEE" w:rsidRDefault="00D67E7A" w:rsidP="00F61705">
      <w:pPr>
        <w:pStyle w:val="ListParagraph"/>
        <w:numPr>
          <w:ilvl w:val="0"/>
          <w:numId w:val="6"/>
        </w:numPr>
        <w:jc w:val="both"/>
      </w:pPr>
      <w:r w:rsidRPr="00CD0CEE">
        <w:rPr>
          <w:b/>
          <w:bCs/>
          <w:color w:val="843C0C"/>
          <w:sz w:val="20"/>
          <w:szCs w:val="20"/>
          <w:u w:val="single"/>
        </w:rPr>
        <w:t>Narrative required</w:t>
      </w:r>
      <w:r>
        <w:rPr>
          <w:b/>
          <w:bCs/>
          <w:color w:val="843C0C"/>
          <w:sz w:val="20"/>
          <w:szCs w:val="20"/>
        </w:rPr>
        <w:t>:</w:t>
      </w:r>
    </w:p>
    <w:p w14:paraId="181453EA" w14:textId="727C2FA7" w:rsidR="00D67E7A" w:rsidRDefault="00477FC6" w:rsidP="00F61705">
      <w:pPr>
        <w:pStyle w:val="ListParagraph"/>
        <w:ind w:left="540"/>
        <w:jc w:val="both"/>
      </w:pPr>
      <w:r w:rsidRPr="00477FC6">
        <w:rPr>
          <w:color w:val="5A0000"/>
          <w:sz w:val="20"/>
          <w:szCs w:val="20"/>
        </w:rPr>
        <w:t>The Required Response prompt in Section 5.1 asks staff to address the impact of labour conditions on housing. This must be written for each specific community</w:t>
      </w:r>
      <w:r w:rsidR="00D67E7A">
        <w:rPr>
          <w:color w:val="5A0000"/>
          <w:sz w:val="20"/>
          <w:szCs w:val="20"/>
        </w:rPr>
        <w:t>.</w:t>
      </w:r>
    </w:p>
    <w:p w14:paraId="33B74851"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40CA1143"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195E1BAD" w14:textId="77777777" w:rsidR="00D67E7A" w:rsidRDefault="00D67E7A" w:rsidP="006A43CC">
            <w:r w:rsidRPr="00C97821">
              <w:rPr>
                <w:b/>
                <w:bCs/>
                <w:color w:val="FFFFFF" w:themeColor="background1"/>
                <w:sz w:val="21"/>
                <w:szCs w:val="21"/>
              </w:rPr>
              <w:lastRenderedPageBreak/>
              <w:t xml:space="preserve">3.7  </w:t>
            </w:r>
            <w:r w:rsidRPr="00C97821">
              <w:rPr>
                <w:color w:val="FFFFFF" w:themeColor="background1"/>
                <w:sz w:val="20"/>
                <w:szCs w:val="20"/>
              </w:rPr>
              <w:t>Any other data or information that expands on or contextualises the household and economic data above.</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4A5883EE" w14:textId="77777777" w:rsidR="00D67E7A" w:rsidRDefault="00D67E7A" w:rsidP="006A43CC">
            <w:pPr>
              <w:jc w:val="center"/>
            </w:pPr>
            <w:r>
              <w:rPr>
                <w:b/>
                <w:bCs/>
                <w:color w:val="7F4F00"/>
                <w:sz w:val="17"/>
                <w:szCs w:val="17"/>
              </w:rPr>
              <w:t>Partially covered - see notes</w:t>
            </w:r>
          </w:p>
        </w:tc>
      </w:tr>
    </w:tbl>
    <w:p w14:paraId="19832010" w14:textId="77777777" w:rsidR="00E11506" w:rsidRPr="00E11506" w:rsidRDefault="00E11506" w:rsidP="00E11506">
      <w:pPr>
        <w:pStyle w:val="ListParagraph"/>
        <w:ind w:left="540"/>
      </w:pPr>
    </w:p>
    <w:p w14:paraId="511BEE1A" w14:textId="77777777" w:rsidR="00E11506" w:rsidRPr="00E11506" w:rsidRDefault="00D67E7A" w:rsidP="006A43CC">
      <w:pPr>
        <w:pStyle w:val="ListParagraph"/>
        <w:numPr>
          <w:ilvl w:val="0"/>
          <w:numId w:val="5"/>
        </w:numPr>
      </w:pPr>
      <w:r w:rsidRPr="00E11506">
        <w:rPr>
          <w:b/>
          <w:bCs/>
          <w:color w:val="2E75B6"/>
          <w:sz w:val="20"/>
          <w:szCs w:val="20"/>
          <w:u w:val="single"/>
        </w:rPr>
        <w:t>Poverty rates</w:t>
      </w:r>
      <w:r>
        <w:rPr>
          <w:b/>
          <w:bCs/>
          <w:color w:val="2E75B6"/>
          <w:sz w:val="20"/>
          <w:szCs w:val="20"/>
        </w:rPr>
        <w:t>:</w:t>
      </w:r>
    </w:p>
    <w:p w14:paraId="2304FBFA" w14:textId="158803D4" w:rsidR="00D67E7A" w:rsidRDefault="00C47E3E" w:rsidP="00F61705">
      <w:pPr>
        <w:pStyle w:val="ListParagraph"/>
        <w:ind w:left="540"/>
        <w:jc w:val="both"/>
      </w:pPr>
      <w:r w:rsidRPr="00C47E3E">
        <w:rPr>
          <w:color w:val="000000"/>
          <w:sz w:val="20"/>
          <w:szCs w:val="20"/>
        </w:rPr>
        <w:t>Section 5.2, Table 5.7: poverty rates by economic family type and age group (Market Basket Measure), from Statistics Canada Table 98-10-0113</w:t>
      </w:r>
      <w:r w:rsidR="00D67E7A">
        <w:rPr>
          <w:color w:val="000000"/>
          <w:sz w:val="20"/>
          <w:szCs w:val="20"/>
        </w:rPr>
        <w:t>.</w:t>
      </w:r>
    </w:p>
    <w:p w14:paraId="708F845C" w14:textId="77777777" w:rsidR="00E11506" w:rsidRPr="00E11506" w:rsidRDefault="00D67E7A" w:rsidP="00F61705">
      <w:pPr>
        <w:pStyle w:val="ListParagraph"/>
        <w:numPr>
          <w:ilvl w:val="0"/>
          <w:numId w:val="5"/>
        </w:numPr>
        <w:jc w:val="both"/>
      </w:pPr>
      <w:r w:rsidRPr="00E11506">
        <w:rPr>
          <w:b/>
          <w:bCs/>
          <w:color w:val="2E75B6"/>
          <w:sz w:val="20"/>
          <w:szCs w:val="20"/>
          <w:u w:val="single"/>
        </w:rPr>
        <w:t>Priority population data</w:t>
      </w:r>
      <w:r>
        <w:rPr>
          <w:b/>
          <w:bCs/>
          <w:color w:val="2E75B6"/>
          <w:sz w:val="20"/>
          <w:szCs w:val="20"/>
        </w:rPr>
        <w:t>:</w:t>
      </w:r>
    </w:p>
    <w:p w14:paraId="114367FC" w14:textId="56D62A7A" w:rsidR="00D67E7A" w:rsidRDefault="00C47E3E" w:rsidP="00F61705">
      <w:pPr>
        <w:pStyle w:val="ListParagraph"/>
        <w:ind w:left="540"/>
        <w:jc w:val="both"/>
      </w:pPr>
      <w:r w:rsidRPr="00C47E3E">
        <w:rPr>
          <w:color w:val="000000"/>
          <w:sz w:val="20"/>
          <w:szCs w:val="20"/>
        </w:rPr>
        <w:t>Section 7.3, Table 7.3: core housing need rates for a range of vulnerable population groups</w:t>
      </w:r>
      <w:r w:rsidR="00D67E7A">
        <w:rPr>
          <w:color w:val="000000"/>
          <w:sz w:val="20"/>
          <w:szCs w:val="20"/>
        </w:rPr>
        <w:t>.</w:t>
      </w:r>
    </w:p>
    <w:p w14:paraId="1BD7715F" w14:textId="77777777" w:rsidR="00E11506" w:rsidRPr="00E11506" w:rsidRDefault="00D67E7A" w:rsidP="00F61705">
      <w:pPr>
        <w:pStyle w:val="ListParagraph"/>
        <w:numPr>
          <w:ilvl w:val="0"/>
          <w:numId w:val="5"/>
        </w:numPr>
        <w:jc w:val="both"/>
      </w:pPr>
      <w:r w:rsidRPr="00E11506">
        <w:rPr>
          <w:b/>
          <w:bCs/>
          <w:color w:val="2E75B6"/>
          <w:sz w:val="20"/>
          <w:szCs w:val="20"/>
          <w:u w:val="single"/>
        </w:rPr>
        <w:t>Students and collective dwellings</w:t>
      </w:r>
      <w:r>
        <w:rPr>
          <w:b/>
          <w:bCs/>
          <w:color w:val="2E75B6"/>
          <w:sz w:val="20"/>
          <w:szCs w:val="20"/>
        </w:rPr>
        <w:t xml:space="preserve">: </w:t>
      </w:r>
    </w:p>
    <w:p w14:paraId="61F8F0EE" w14:textId="011BF47C" w:rsidR="00D67E7A" w:rsidRDefault="00C47E3E" w:rsidP="00F61705">
      <w:pPr>
        <w:pStyle w:val="ListParagraph"/>
        <w:ind w:left="540"/>
        <w:jc w:val="both"/>
      </w:pPr>
      <w:r w:rsidRPr="00C47E3E">
        <w:rPr>
          <w:color w:val="000000"/>
          <w:sz w:val="20"/>
          <w:szCs w:val="20"/>
        </w:rPr>
        <w:t>Sections 9.5 and 9.9 speak to populations excluded from standard CHN measurement (postsecondary students and seniors in collective dwellings)</w:t>
      </w:r>
      <w:r w:rsidR="00D67E7A">
        <w:rPr>
          <w:color w:val="000000"/>
          <w:sz w:val="20"/>
          <w:szCs w:val="20"/>
        </w:rPr>
        <w:t>.</w:t>
      </w:r>
    </w:p>
    <w:p w14:paraId="7FA47287" w14:textId="77777777" w:rsidR="00E11506" w:rsidRPr="00E11506" w:rsidRDefault="00D67E7A" w:rsidP="00F61705">
      <w:pPr>
        <w:pStyle w:val="ListParagraph"/>
        <w:numPr>
          <w:ilvl w:val="0"/>
          <w:numId w:val="6"/>
        </w:numPr>
        <w:jc w:val="both"/>
      </w:pPr>
      <w:r w:rsidRPr="00E11506">
        <w:rPr>
          <w:b/>
          <w:bCs/>
          <w:color w:val="843C0C"/>
          <w:sz w:val="20"/>
          <w:szCs w:val="20"/>
          <w:u w:val="single"/>
        </w:rPr>
        <w:t>Additional local context</w:t>
      </w:r>
      <w:r>
        <w:rPr>
          <w:b/>
          <w:bCs/>
          <w:color w:val="843C0C"/>
          <w:sz w:val="20"/>
          <w:szCs w:val="20"/>
        </w:rPr>
        <w:t>:</w:t>
      </w:r>
    </w:p>
    <w:p w14:paraId="263FD81E" w14:textId="03489CED" w:rsidR="00D67E7A" w:rsidRDefault="00E11506" w:rsidP="00F61705">
      <w:pPr>
        <w:pStyle w:val="ListParagraph"/>
        <w:ind w:left="540"/>
        <w:jc w:val="both"/>
      </w:pPr>
      <w:r>
        <w:rPr>
          <w:color w:val="5A0000"/>
          <w:sz w:val="20"/>
          <w:szCs w:val="20"/>
        </w:rPr>
        <w:t xml:space="preserve">Users </w:t>
      </w:r>
      <w:r w:rsidR="00D67E7A">
        <w:rPr>
          <w:color w:val="5A0000"/>
          <w:sz w:val="20"/>
          <w:szCs w:val="20"/>
        </w:rPr>
        <w:t>may wish to add any locally specific economic context not captured above (e.g., a major employer closure, recent zoning change, significant in-migration event).</w:t>
      </w:r>
    </w:p>
    <w:p w14:paraId="48E07D50" w14:textId="77777777" w:rsidR="00D67E7A" w:rsidRDefault="00D67E7A" w:rsidP="006A43CC">
      <w:pPr>
        <w:jc w:val="both"/>
      </w:pPr>
    </w:p>
    <w:p w14:paraId="0FF298C6" w14:textId="77777777" w:rsidR="00D67E7A" w:rsidRDefault="00D67E7A" w:rsidP="006A43CC">
      <w:pPr>
        <w:jc w:val="both"/>
      </w:pPr>
    </w:p>
    <w:p w14:paraId="5461C503" w14:textId="03C2074F" w:rsidR="00D67E7A" w:rsidRPr="003C59F9" w:rsidRDefault="00D67E7A" w:rsidP="006A43CC">
      <w:pPr>
        <w:rPr>
          <w:rFonts w:ascii="Bahnschrift" w:hAnsi="Bahnschrift"/>
          <w:b/>
          <w:bCs/>
          <w:sz w:val="26"/>
          <w:szCs w:val="26"/>
        </w:rPr>
      </w:pPr>
      <w:r w:rsidRPr="003C59F9">
        <w:rPr>
          <w:rFonts w:ascii="Bahnschrift" w:hAnsi="Bahnschrift"/>
          <w:b/>
          <w:bCs/>
          <w:sz w:val="26"/>
          <w:szCs w:val="26"/>
        </w:rPr>
        <w:t>TEMPLATE SECTION 4: Household Profiles and Economic Characteristics</w:t>
      </w:r>
    </w:p>
    <w:p w14:paraId="21230A09"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2198BBB3"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5844AD78" w14:textId="77777777" w:rsidR="00D67E7A" w:rsidRDefault="00D67E7A" w:rsidP="006A43CC">
            <w:r w:rsidRPr="00C97821">
              <w:rPr>
                <w:b/>
                <w:bCs/>
                <w:color w:val="FFFFFF" w:themeColor="background1"/>
                <w:sz w:val="21"/>
                <w:szCs w:val="21"/>
              </w:rPr>
              <w:t xml:space="preserve">4.1  </w:t>
            </w:r>
            <w:r w:rsidRPr="00C97821">
              <w:rPr>
                <w:color w:val="FFFFFF" w:themeColor="background1"/>
                <w:sz w:val="20"/>
                <w:szCs w:val="20"/>
              </w:rPr>
              <w:t>What information reflects the housing need of the 13 CMHC priority populations? Report CHN rates by priority group where data is available; use qualitative information where it is not.</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5DBFC941" w14:textId="77777777" w:rsidR="00D67E7A" w:rsidRDefault="00D67E7A" w:rsidP="006A43CC">
            <w:pPr>
              <w:jc w:val="center"/>
            </w:pPr>
            <w:r>
              <w:rPr>
                <w:b/>
                <w:bCs/>
                <w:color w:val="7F4F00"/>
                <w:sz w:val="17"/>
                <w:szCs w:val="17"/>
              </w:rPr>
              <w:t>Partially covered - see notes</w:t>
            </w:r>
          </w:p>
        </w:tc>
      </w:tr>
    </w:tbl>
    <w:p w14:paraId="4587C5C6" w14:textId="77777777" w:rsidR="00F61705" w:rsidRPr="00F61705" w:rsidRDefault="00F61705" w:rsidP="00F61705">
      <w:pPr>
        <w:pStyle w:val="ListParagraph"/>
        <w:ind w:left="540"/>
      </w:pPr>
    </w:p>
    <w:p w14:paraId="08203C58" w14:textId="77777777" w:rsidR="00F61705" w:rsidRPr="00F61705" w:rsidRDefault="00D67E7A" w:rsidP="006A43CC">
      <w:pPr>
        <w:pStyle w:val="ListParagraph"/>
        <w:numPr>
          <w:ilvl w:val="0"/>
          <w:numId w:val="5"/>
        </w:numPr>
      </w:pPr>
      <w:r w:rsidRPr="00F61705">
        <w:rPr>
          <w:b/>
          <w:bCs/>
          <w:color w:val="2E75B6"/>
          <w:sz w:val="20"/>
          <w:szCs w:val="20"/>
          <w:u w:val="single"/>
        </w:rPr>
        <w:t>Quantitative data (census-based groups)</w:t>
      </w:r>
      <w:r>
        <w:rPr>
          <w:b/>
          <w:bCs/>
          <w:color w:val="2E75B6"/>
          <w:sz w:val="20"/>
          <w:szCs w:val="20"/>
        </w:rPr>
        <w:t>:</w:t>
      </w:r>
    </w:p>
    <w:p w14:paraId="7B6589E1" w14:textId="398C7B59" w:rsidR="00D67E7A" w:rsidRDefault="00C47E3E" w:rsidP="00F61705">
      <w:pPr>
        <w:pStyle w:val="ListParagraph"/>
        <w:ind w:left="540"/>
        <w:jc w:val="both"/>
      </w:pPr>
      <w:r w:rsidRPr="00C47E3E">
        <w:rPr>
          <w:color w:val="000000"/>
          <w:sz w:val="20"/>
          <w:szCs w:val="20"/>
        </w:rPr>
        <w:t>Section 7.3, Table 7.3: core housing need rates by vulnerable population group compared to regional and provincial benchmarks. Groups covered include: lone parents, women+ led households, single-person households, Indigenous households, visible minority households, immigrant and recent immigrant households, refugee-led households, non-permanent residents, young adults (&lt;25), seniors (65+), elderly persons (85+), households with activity limitations, veterans, and households in poverty</w:t>
      </w:r>
      <w:r w:rsidR="00D67E7A">
        <w:rPr>
          <w:color w:val="000000"/>
          <w:sz w:val="20"/>
          <w:szCs w:val="20"/>
        </w:rPr>
        <w:t>.</w:t>
      </w:r>
    </w:p>
    <w:p w14:paraId="44BDD372" w14:textId="77777777" w:rsidR="00F61705" w:rsidRPr="00F61705" w:rsidRDefault="00D67E7A" w:rsidP="006A43CC">
      <w:pPr>
        <w:pStyle w:val="ListParagraph"/>
        <w:numPr>
          <w:ilvl w:val="0"/>
          <w:numId w:val="6"/>
        </w:numPr>
      </w:pPr>
      <w:r w:rsidRPr="00F61705">
        <w:rPr>
          <w:b/>
          <w:bCs/>
          <w:color w:val="843C0C"/>
          <w:sz w:val="20"/>
          <w:szCs w:val="20"/>
          <w:u w:val="single"/>
        </w:rPr>
        <w:t>Groups not covered by census CHN data</w:t>
      </w:r>
      <w:r>
        <w:rPr>
          <w:b/>
          <w:bCs/>
          <w:color w:val="843C0C"/>
          <w:sz w:val="20"/>
          <w:szCs w:val="20"/>
        </w:rPr>
        <w:t xml:space="preserve">: </w:t>
      </w:r>
    </w:p>
    <w:p w14:paraId="0167845D" w14:textId="0F57A5E6" w:rsidR="00D67E7A" w:rsidRDefault="00D67E7A" w:rsidP="00F61705">
      <w:pPr>
        <w:pStyle w:val="ListParagraph"/>
        <w:ind w:left="540"/>
        <w:jc w:val="both"/>
      </w:pPr>
      <w:r>
        <w:rPr>
          <w:color w:val="5A0000"/>
          <w:sz w:val="20"/>
          <w:szCs w:val="20"/>
        </w:rPr>
        <w:t xml:space="preserve">The following priority groups </w:t>
      </w:r>
      <w:r w:rsidR="00F61705">
        <w:rPr>
          <w:color w:val="5A0000"/>
          <w:sz w:val="20"/>
          <w:szCs w:val="20"/>
        </w:rPr>
        <w:t>should be explored more where possible</w:t>
      </w:r>
      <w:r>
        <w:rPr>
          <w:color w:val="5A0000"/>
          <w:sz w:val="20"/>
          <w:szCs w:val="20"/>
        </w:rPr>
        <w:t>, as they are not disaggregated in census core housing need data</w:t>
      </w:r>
      <w:r w:rsidR="00F61705">
        <w:rPr>
          <w:color w:val="5A0000"/>
          <w:sz w:val="20"/>
          <w:szCs w:val="20"/>
        </w:rPr>
        <w:t xml:space="preserve"> or are suppressed</w:t>
      </w:r>
      <w:r>
        <w:rPr>
          <w:color w:val="5A0000"/>
          <w:sz w:val="20"/>
          <w:szCs w:val="20"/>
        </w:rPr>
        <w:t>: women and children fleeing domestic violence; 2SLGBTQIA+ individuals; people with developmental disabilities; and people dealing with mental health and addictions. Staff should describe what is known about these groups from local service providers, shelter data, or community engagement.</w:t>
      </w:r>
    </w:p>
    <w:p w14:paraId="7B4D8E91"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303CDC79"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69634603" w14:textId="77777777" w:rsidR="00D67E7A" w:rsidRDefault="00D67E7A" w:rsidP="006A43CC">
            <w:r w:rsidRPr="00C97821">
              <w:rPr>
                <w:b/>
                <w:bCs/>
                <w:color w:val="FFFFFF" w:themeColor="background1"/>
                <w:sz w:val="21"/>
                <w:szCs w:val="21"/>
              </w:rPr>
              <w:t xml:space="preserve">4.2  </w:t>
            </w:r>
            <w:r w:rsidRPr="00C97821">
              <w:rPr>
                <w:color w:val="FFFFFF" w:themeColor="background1"/>
                <w:sz w:val="20"/>
                <w:szCs w:val="20"/>
              </w:rPr>
              <w:t>Describe the incidence and severity of homelessness: estimated number of individuals and/or families, including hidden, visible, chronic, and episodic homelessness. Include Point-in-Time count data where available.</w:t>
            </w:r>
          </w:p>
        </w:tc>
        <w:tc>
          <w:tcPr>
            <w:tcW w:w="1800" w:type="dxa"/>
            <w:tcBorders>
              <w:top w:val="none" w:sz="0" w:space="0" w:color="FFFFFF"/>
              <w:left w:val="none" w:sz="0" w:space="0" w:color="FFFFFF"/>
              <w:bottom w:val="none" w:sz="0" w:space="0" w:color="FFFFFF"/>
              <w:right w:val="none" w:sz="0" w:space="0" w:color="FFFFFF"/>
            </w:tcBorders>
            <w:shd w:val="clear" w:color="auto" w:fill="FCE4D6"/>
            <w:tcMar>
              <w:top w:w="80" w:type="dxa"/>
              <w:left w:w="100" w:type="dxa"/>
              <w:bottom w:w="80" w:type="dxa"/>
              <w:right w:w="100" w:type="dxa"/>
            </w:tcMar>
            <w:vAlign w:val="center"/>
          </w:tcPr>
          <w:p w14:paraId="2081D7B4" w14:textId="77777777" w:rsidR="00D67E7A" w:rsidRDefault="00D67E7A" w:rsidP="006A43CC">
            <w:pPr>
              <w:jc w:val="center"/>
            </w:pPr>
            <w:r>
              <w:rPr>
                <w:b/>
                <w:bCs/>
                <w:color w:val="843C0C"/>
                <w:sz w:val="17"/>
                <w:szCs w:val="17"/>
              </w:rPr>
              <w:t>Must be completed manually</w:t>
            </w:r>
          </w:p>
        </w:tc>
      </w:tr>
    </w:tbl>
    <w:p w14:paraId="641F27FC" w14:textId="77777777" w:rsidR="005C28A5" w:rsidRPr="005C28A5" w:rsidRDefault="005C28A5" w:rsidP="005C28A5">
      <w:pPr>
        <w:pStyle w:val="ListParagraph"/>
        <w:ind w:left="540"/>
      </w:pPr>
    </w:p>
    <w:p w14:paraId="37CD8FF4" w14:textId="77777777" w:rsidR="005C28A5" w:rsidRPr="005C28A5" w:rsidRDefault="00D67E7A" w:rsidP="006A43CC">
      <w:pPr>
        <w:pStyle w:val="ListParagraph"/>
        <w:numPr>
          <w:ilvl w:val="0"/>
          <w:numId w:val="6"/>
        </w:numPr>
      </w:pPr>
      <w:r w:rsidRPr="005C28A5">
        <w:rPr>
          <w:b/>
          <w:bCs/>
          <w:color w:val="843C0C"/>
          <w:sz w:val="20"/>
          <w:szCs w:val="20"/>
          <w:u w:val="single"/>
        </w:rPr>
        <w:t>Action required</w:t>
      </w:r>
      <w:r>
        <w:rPr>
          <w:b/>
          <w:bCs/>
          <w:color w:val="843C0C"/>
          <w:sz w:val="20"/>
          <w:szCs w:val="20"/>
        </w:rPr>
        <w:t xml:space="preserve">: </w:t>
      </w:r>
    </w:p>
    <w:p w14:paraId="29E2DDC2" w14:textId="281E8408" w:rsidR="00D67E7A" w:rsidRDefault="00D75879" w:rsidP="005C28A5">
      <w:pPr>
        <w:pStyle w:val="ListParagraph"/>
        <w:ind w:left="540"/>
        <w:jc w:val="both"/>
      </w:pPr>
      <w:r w:rsidRPr="00D75879">
        <w:rPr>
          <w:color w:val="5A0000"/>
          <w:sz w:val="20"/>
          <w:szCs w:val="20"/>
        </w:rPr>
        <w:t>Section 7.4 of this report contains a placeholder for homelessness data, but no traditional data source populates it. Users must supply Point-in-Time (</w:t>
      </w:r>
      <w:proofErr w:type="spellStart"/>
      <w:r w:rsidRPr="00D75879">
        <w:rPr>
          <w:color w:val="5A0000"/>
          <w:sz w:val="20"/>
          <w:szCs w:val="20"/>
        </w:rPr>
        <w:t>PiT</w:t>
      </w:r>
      <w:proofErr w:type="spellEnd"/>
      <w:r w:rsidRPr="00D75879">
        <w:rPr>
          <w:color w:val="5A0000"/>
          <w:sz w:val="20"/>
          <w:szCs w:val="20"/>
        </w:rPr>
        <w:t xml:space="preserve">) count data, By-Name List figures, or shelter system usage data. If no formal </w:t>
      </w:r>
      <w:proofErr w:type="spellStart"/>
      <w:r w:rsidRPr="00D75879">
        <w:rPr>
          <w:color w:val="5A0000"/>
          <w:sz w:val="20"/>
          <w:szCs w:val="20"/>
        </w:rPr>
        <w:t>PiT</w:t>
      </w:r>
      <w:proofErr w:type="spellEnd"/>
      <w:r w:rsidRPr="00D75879">
        <w:rPr>
          <w:color w:val="5A0000"/>
          <w:sz w:val="20"/>
          <w:szCs w:val="20"/>
        </w:rPr>
        <w:t xml:space="preserve"> count has been conducted, qualitative information from local service providers, outreach workers, or housing agencies should be described</w:t>
      </w:r>
      <w:r w:rsidR="00D67E7A">
        <w:rPr>
          <w:color w:val="5A0000"/>
          <w:sz w:val="20"/>
          <w:szCs w:val="20"/>
        </w:rPr>
        <w:t>.</w:t>
      </w:r>
    </w:p>
    <w:p w14:paraId="7F62201B" w14:textId="77777777" w:rsidR="00D67E7A" w:rsidRDefault="00D67E7A" w:rsidP="006A43CC"/>
    <w:p w14:paraId="515D6214" w14:textId="77777777" w:rsidR="001822C2" w:rsidRDefault="001822C2" w:rsidP="006A43CC"/>
    <w:p w14:paraId="3D66B0F4" w14:textId="77777777" w:rsidR="001822C2" w:rsidRDefault="001822C2" w:rsidP="006A43CC"/>
    <w:p w14:paraId="2608E1BF" w14:textId="77777777" w:rsidR="001822C2" w:rsidRDefault="001822C2" w:rsidP="006A43CC"/>
    <w:p w14:paraId="69E1CFDF" w14:textId="77777777" w:rsidR="001822C2" w:rsidRDefault="001822C2"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2528C4BF"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7276BAB2" w14:textId="77777777" w:rsidR="00D67E7A" w:rsidRDefault="00D67E7A" w:rsidP="006A43CC">
            <w:r w:rsidRPr="00C97821">
              <w:rPr>
                <w:b/>
                <w:bCs/>
                <w:color w:val="FFFFFF" w:themeColor="background1"/>
                <w:sz w:val="21"/>
                <w:szCs w:val="21"/>
              </w:rPr>
              <w:lastRenderedPageBreak/>
              <w:t xml:space="preserve">4.3  </w:t>
            </w:r>
            <w:r w:rsidRPr="00C97821">
              <w:rPr>
                <w:color w:val="FFFFFF" w:themeColor="background1"/>
                <w:sz w:val="20"/>
                <w:szCs w:val="20"/>
              </w:rPr>
              <w:t>Describe local factors believed to contribute to homelessness (e.g., closure of a mental health facility, high refugee claimant volumes, etc.).</w:t>
            </w:r>
          </w:p>
        </w:tc>
        <w:tc>
          <w:tcPr>
            <w:tcW w:w="1800" w:type="dxa"/>
            <w:tcBorders>
              <w:top w:val="none" w:sz="0" w:space="0" w:color="FFFFFF"/>
              <w:left w:val="none" w:sz="0" w:space="0" w:color="FFFFFF"/>
              <w:bottom w:val="none" w:sz="0" w:space="0" w:color="FFFFFF"/>
              <w:right w:val="none" w:sz="0" w:space="0" w:color="FFFFFF"/>
            </w:tcBorders>
            <w:shd w:val="clear" w:color="auto" w:fill="FCE4D6"/>
            <w:tcMar>
              <w:top w:w="80" w:type="dxa"/>
              <w:left w:w="100" w:type="dxa"/>
              <w:bottom w:w="80" w:type="dxa"/>
              <w:right w:w="100" w:type="dxa"/>
            </w:tcMar>
            <w:vAlign w:val="center"/>
          </w:tcPr>
          <w:p w14:paraId="4FE5277D" w14:textId="77777777" w:rsidR="00D67E7A" w:rsidRDefault="00D67E7A" w:rsidP="006A43CC">
            <w:pPr>
              <w:jc w:val="center"/>
            </w:pPr>
            <w:r>
              <w:rPr>
                <w:b/>
                <w:bCs/>
                <w:color w:val="843C0C"/>
                <w:sz w:val="17"/>
                <w:szCs w:val="17"/>
              </w:rPr>
              <w:t>Must be completed manually</w:t>
            </w:r>
          </w:p>
        </w:tc>
      </w:tr>
    </w:tbl>
    <w:p w14:paraId="16580548" w14:textId="77777777" w:rsidR="001822C2" w:rsidRPr="001822C2" w:rsidRDefault="001822C2" w:rsidP="001822C2">
      <w:pPr>
        <w:pStyle w:val="ListParagraph"/>
        <w:ind w:left="540"/>
      </w:pPr>
    </w:p>
    <w:p w14:paraId="7C2BEB09" w14:textId="77777777" w:rsidR="001822C2" w:rsidRPr="001822C2" w:rsidRDefault="00D67E7A" w:rsidP="006A43CC">
      <w:pPr>
        <w:pStyle w:val="ListParagraph"/>
        <w:numPr>
          <w:ilvl w:val="0"/>
          <w:numId w:val="6"/>
        </w:numPr>
      </w:pPr>
      <w:r w:rsidRPr="001822C2">
        <w:rPr>
          <w:b/>
          <w:bCs/>
          <w:color w:val="843C0C"/>
          <w:sz w:val="20"/>
          <w:szCs w:val="20"/>
          <w:u w:val="single"/>
        </w:rPr>
        <w:t>Action required</w:t>
      </w:r>
      <w:r>
        <w:rPr>
          <w:b/>
          <w:bCs/>
          <w:color w:val="843C0C"/>
          <w:sz w:val="20"/>
          <w:szCs w:val="20"/>
        </w:rPr>
        <w:t xml:space="preserve">: </w:t>
      </w:r>
    </w:p>
    <w:p w14:paraId="2810A12A" w14:textId="0B38DF28" w:rsidR="00D67E7A" w:rsidRDefault="00D67E7A" w:rsidP="001822C2">
      <w:pPr>
        <w:pStyle w:val="ListParagraph"/>
        <w:ind w:left="540"/>
        <w:jc w:val="both"/>
      </w:pPr>
      <w:r>
        <w:rPr>
          <w:color w:val="5A0000"/>
          <w:sz w:val="20"/>
          <w:szCs w:val="20"/>
        </w:rPr>
        <w:t xml:space="preserve">This question is </w:t>
      </w:r>
      <w:r w:rsidR="001822C2">
        <w:rPr>
          <w:color w:val="5A0000"/>
          <w:sz w:val="20"/>
          <w:szCs w:val="20"/>
        </w:rPr>
        <w:t>mostly</w:t>
      </w:r>
      <w:r>
        <w:rPr>
          <w:color w:val="5A0000"/>
          <w:sz w:val="20"/>
          <w:szCs w:val="20"/>
        </w:rPr>
        <w:t xml:space="preserve"> qualitative and community-specific. No </w:t>
      </w:r>
      <w:r w:rsidR="001822C2">
        <w:rPr>
          <w:color w:val="5A0000"/>
          <w:sz w:val="20"/>
          <w:szCs w:val="20"/>
        </w:rPr>
        <w:t>traditional</w:t>
      </w:r>
      <w:r>
        <w:rPr>
          <w:color w:val="5A0000"/>
          <w:sz w:val="20"/>
          <w:szCs w:val="20"/>
        </w:rPr>
        <w:t xml:space="preserve"> data source addresses contributing factors to homelessness at the local level. Staff should draw on input from local service providers, housing first programs, outreach workers, and community partners.</w:t>
      </w:r>
    </w:p>
    <w:p w14:paraId="21039091"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14BC9EA5"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20CDC905" w14:textId="77777777" w:rsidR="00D67E7A" w:rsidRDefault="00D67E7A" w:rsidP="006A43CC">
            <w:r w:rsidRPr="00C97821">
              <w:rPr>
                <w:b/>
                <w:bCs/>
                <w:color w:val="FFFFFF" w:themeColor="background1"/>
                <w:sz w:val="21"/>
                <w:szCs w:val="21"/>
              </w:rPr>
              <w:t xml:space="preserve">4.4  </w:t>
            </w:r>
            <w:r w:rsidRPr="00C97821">
              <w:rPr>
                <w:color w:val="FFFFFF" w:themeColor="background1"/>
                <w:sz w:val="20"/>
                <w:szCs w:val="20"/>
              </w:rPr>
              <w:t>Identify temporary and emergency relief resources available for people experiencing homelessness: shelter beds, resource centres, transitional beds, and whether capacity meets need.</w:t>
            </w:r>
          </w:p>
        </w:tc>
        <w:tc>
          <w:tcPr>
            <w:tcW w:w="1800" w:type="dxa"/>
            <w:tcBorders>
              <w:top w:val="none" w:sz="0" w:space="0" w:color="FFFFFF"/>
              <w:left w:val="none" w:sz="0" w:space="0" w:color="FFFFFF"/>
              <w:bottom w:val="none" w:sz="0" w:space="0" w:color="FFFFFF"/>
              <w:right w:val="none" w:sz="0" w:space="0" w:color="FFFFFF"/>
            </w:tcBorders>
            <w:shd w:val="clear" w:color="auto" w:fill="FCE4D6"/>
            <w:tcMar>
              <w:top w:w="80" w:type="dxa"/>
              <w:left w:w="100" w:type="dxa"/>
              <w:bottom w:w="80" w:type="dxa"/>
              <w:right w:w="100" w:type="dxa"/>
            </w:tcMar>
            <w:vAlign w:val="center"/>
          </w:tcPr>
          <w:p w14:paraId="11A57D17" w14:textId="77777777" w:rsidR="00D67E7A" w:rsidRDefault="00D67E7A" w:rsidP="006A43CC">
            <w:pPr>
              <w:jc w:val="center"/>
            </w:pPr>
            <w:r>
              <w:rPr>
                <w:b/>
                <w:bCs/>
                <w:color w:val="843C0C"/>
                <w:sz w:val="17"/>
                <w:szCs w:val="17"/>
              </w:rPr>
              <w:t>Must be completed manually</w:t>
            </w:r>
          </w:p>
        </w:tc>
      </w:tr>
    </w:tbl>
    <w:p w14:paraId="794B5EA9" w14:textId="77777777" w:rsidR="00F441AE" w:rsidRPr="00F441AE" w:rsidRDefault="00F441AE" w:rsidP="00F441AE">
      <w:pPr>
        <w:pStyle w:val="ListParagraph"/>
        <w:ind w:left="540"/>
      </w:pPr>
    </w:p>
    <w:p w14:paraId="688BE4FF" w14:textId="77777777" w:rsidR="00F441AE" w:rsidRPr="00F441AE" w:rsidRDefault="00D67E7A" w:rsidP="006A43CC">
      <w:pPr>
        <w:pStyle w:val="ListParagraph"/>
        <w:numPr>
          <w:ilvl w:val="0"/>
          <w:numId w:val="6"/>
        </w:numPr>
      </w:pPr>
      <w:r w:rsidRPr="00F441AE">
        <w:rPr>
          <w:b/>
          <w:bCs/>
          <w:color w:val="843C0C"/>
          <w:sz w:val="20"/>
          <w:szCs w:val="20"/>
          <w:u w:val="single"/>
        </w:rPr>
        <w:t>Action required</w:t>
      </w:r>
      <w:r>
        <w:rPr>
          <w:b/>
          <w:bCs/>
          <w:color w:val="843C0C"/>
          <w:sz w:val="20"/>
          <w:szCs w:val="20"/>
        </w:rPr>
        <w:t>:</w:t>
      </w:r>
    </w:p>
    <w:p w14:paraId="231ED7C4" w14:textId="009ED632" w:rsidR="00D67E7A" w:rsidRDefault="00D67E7A" w:rsidP="00F441AE">
      <w:pPr>
        <w:pStyle w:val="ListParagraph"/>
        <w:ind w:left="540"/>
        <w:jc w:val="both"/>
      </w:pPr>
      <w:r>
        <w:rPr>
          <w:color w:val="5A0000"/>
          <w:sz w:val="20"/>
          <w:szCs w:val="20"/>
        </w:rPr>
        <w:t>This requires local administrative data from shelter operators and social service agencies. It is not available through Statistics Canada, CMHC, or any other source used in this report. Staff should contact local shelter operators and emergency housing providers to compile current bed counts, occupancy levels, and waitlist information.</w:t>
      </w:r>
    </w:p>
    <w:p w14:paraId="71483A0A" w14:textId="77777777" w:rsidR="00D67E7A" w:rsidRDefault="00D67E7A"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D67E7A" w14:paraId="5EE2A166"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7AE7888A" w14:textId="77777777" w:rsidR="00D67E7A" w:rsidRDefault="00D67E7A" w:rsidP="006A43CC">
            <w:r w:rsidRPr="00C97821">
              <w:rPr>
                <w:b/>
                <w:bCs/>
                <w:color w:val="FFFFFF" w:themeColor="background1"/>
                <w:sz w:val="21"/>
                <w:szCs w:val="21"/>
              </w:rPr>
              <w:t xml:space="preserve">4.5  </w:t>
            </w:r>
            <w:r w:rsidRPr="00C97821">
              <w:rPr>
                <w:color w:val="FFFFFF" w:themeColor="background1"/>
                <w:sz w:val="20"/>
                <w:szCs w:val="20"/>
              </w:rPr>
              <w:t>Describe the housing needs of groups excluded from CHN data: students, congregate housing residents, and temporary foreign workers.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1F6E2087" w14:textId="77777777" w:rsidR="00D67E7A" w:rsidRDefault="00D67E7A" w:rsidP="006A43CC">
            <w:pPr>
              <w:jc w:val="center"/>
            </w:pPr>
            <w:r>
              <w:rPr>
                <w:b/>
                <w:bCs/>
                <w:color w:val="7F4F00"/>
                <w:sz w:val="17"/>
                <w:szCs w:val="17"/>
              </w:rPr>
              <w:t>Partially covered - see notes</w:t>
            </w:r>
          </w:p>
        </w:tc>
      </w:tr>
    </w:tbl>
    <w:p w14:paraId="085B8F12" w14:textId="77777777" w:rsidR="00C97821" w:rsidRPr="00C97821" w:rsidRDefault="00C97821" w:rsidP="00C97821">
      <w:pPr>
        <w:pStyle w:val="ListParagraph"/>
        <w:ind w:left="540"/>
      </w:pPr>
    </w:p>
    <w:p w14:paraId="15283EA2" w14:textId="77777777" w:rsidR="00C97821" w:rsidRPr="00C97821" w:rsidRDefault="00D67E7A" w:rsidP="006A43CC">
      <w:pPr>
        <w:pStyle w:val="ListParagraph"/>
        <w:numPr>
          <w:ilvl w:val="0"/>
          <w:numId w:val="5"/>
        </w:numPr>
      </w:pPr>
      <w:r w:rsidRPr="00C97821">
        <w:rPr>
          <w:b/>
          <w:bCs/>
          <w:color w:val="2E75B6"/>
          <w:sz w:val="20"/>
          <w:szCs w:val="20"/>
          <w:u w:val="single"/>
        </w:rPr>
        <w:t>Students</w:t>
      </w:r>
      <w:r>
        <w:rPr>
          <w:b/>
          <w:bCs/>
          <w:color w:val="2E75B6"/>
          <w:sz w:val="20"/>
          <w:szCs w:val="20"/>
        </w:rPr>
        <w:t xml:space="preserve">:  </w:t>
      </w:r>
    </w:p>
    <w:p w14:paraId="3756B566" w14:textId="726CF6F7" w:rsidR="00D67E7A" w:rsidRDefault="00D67E7A" w:rsidP="00971DA3">
      <w:pPr>
        <w:pStyle w:val="ListParagraph"/>
        <w:ind w:left="540"/>
        <w:jc w:val="both"/>
      </w:pPr>
      <w:r>
        <w:rPr>
          <w:color w:val="000000"/>
          <w:sz w:val="20"/>
          <w:szCs w:val="20"/>
        </w:rPr>
        <w:t xml:space="preserve">Section </w:t>
      </w:r>
      <w:r w:rsidR="00D75879">
        <w:rPr>
          <w:color w:val="000000"/>
          <w:sz w:val="20"/>
          <w:szCs w:val="20"/>
        </w:rPr>
        <w:t>9</w:t>
      </w:r>
      <w:r>
        <w:rPr>
          <w:color w:val="000000"/>
          <w:sz w:val="20"/>
          <w:szCs w:val="20"/>
        </w:rPr>
        <w:t>.</w:t>
      </w:r>
      <w:r w:rsidR="00D75879">
        <w:rPr>
          <w:color w:val="000000"/>
          <w:sz w:val="20"/>
          <w:szCs w:val="20"/>
        </w:rPr>
        <w:t>9</w:t>
      </w:r>
      <w:r>
        <w:rPr>
          <w:color w:val="000000"/>
          <w:sz w:val="20"/>
          <w:szCs w:val="20"/>
        </w:rPr>
        <w:t xml:space="preserve"> (Students) provides an estimate of postsecondary student demand based on enrolment data and residency rates, with an assessment of on-campus versus off-campus housing needs.</w:t>
      </w:r>
    </w:p>
    <w:p w14:paraId="42A9659C" w14:textId="77777777" w:rsidR="009621F5" w:rsidRPr="009621F5" w:rsidRDefault="00D67E7A" w:rsidP="00971DA3">
      <w:pPr>
        <w:pStyle w:val="ListParagraph"/>
        <w:numPr>
          <w:ilvl w:val="0"/>
          <w:numId w:val="5"/>
        </w:numPr>
        <w:jc w:val="both"/>
      </w:pPr>
      <w:r w:rsidRPr="009621F5">
        <w:rPr>
          <w:b/>
          <w:bCs/>
          <w:color w:val="2E75B6"/>
          <w:sz w:val="20"/>
          <w:szCs w:val="20"/>
          <w:u w:val="single"/>
        </w:rPr>
        <w:t>Senior collective dwellings</w:t>
      </w:r>
      <w:r>
        <w:rPr>
          <w:b/>
          <w:bCs/>
          <w:color w:val="2E75B6"/>
          <w:sz w:val="20"/>
          <w:szCs w:val="20"/>
        </w:rPr>
        <w:t>:</w:t>
      </w:r>
    </w:p>
    <w:p w14:paraId="2917726F" w14:textId="27F052E1" w:rsidR="009621F5" w:rsidRDefault="00D67E7A" w:rsidP="00971DA3">
      <w:pPr>
        <w:pStyle w:val="ListParagraph"/>
        <w:ind w:left="540"/>
        <w:jc w:val="both"/>
        <w:rPr>
          <w:color w:val="000000"/>
          <w:sz w:val="20"/>
          <w:szCs w:val="20"/>
        </w:rPr>
      </w:pPr>
      <w:r>
        <w:rPr>
          <w:color w:val="000000"/>
          <w:sz w:val="20"/>
          <w:szCs w:val="20"/>
        </w:rPr>
        <w:t xml:space="preserve">Section </w:t>
      </w:r>
      <w:r w:rsidR="00D75879">
        <w:rPr>
          <w:color w:val="000000"/>
          <w:sz w:val="20"/>
          <w:szCs w:val="20"/>
        </w:rPr>
        <w:t>9.5</w:t>
      </w:r>
      <w:r>
        <w:rPr>
          <w:color w:val="000000"/>
          <w:sz w:val="20"/>
          <w:szCs w:val="20"/>
        </w:rPr>
        <w:t xml:space="preserve"> (Senior Residential Facilities) examines populations in collective dwellings (long-term care, assisted living) using Statistics Canada collective dwelling data.</w:t>
      </w:r>
    </w:p>
    <w:p w14:paraId="0FCF99E0" w14:textId="77777777" w:rsidR="006333D4" w:rsidRPr="006333D4" w:rsidRDefault="00D67E7A" w:rsidP="00971DA3">
      <w:pPr>
        <w:pStyle w:val="ListParagraph"/>
        <w:numPr>
          <w:ilvl w:val="0"/>
          <w:numId w:val="6"/>
        </w:numPr>
        <w:jc w:val="both"/>
        <w:rPr>
          <w:color w:val="5A0000"/>
          <w:sz w:val="20"/>
          <w:szCs w:val="20"/>
        </w:rPr>
      </w:pPr>
      <w:r w:rsidRPr="006333D4">
        <w:rPr>
          <w:b/>
          <w:bCs/>
          <w:color w:val="843C0C"/>
          <w:sz w:val="20"/>
          <w:szCs w:val="20"/>
          <w:u w:val="single"/>
        </w:rPr>
        <w:t>Temporary foreign workers and other congregate housing</w:t>
      </w:r>
      <w:r>
        <w:rPr>
          <w:b/>
          <w:bCs/>
          <w:color w:val="843C0C"/>
          <w:sz w:val="20"/>
          <w:szCs w:val="20"/>
        </w:rPr>
        <w:t>:</w:t>
      </w:r>
    </w:p>
    <w:p w14:paraId="0C48CEAC" w14:textId="302B7FB9" w:rsidR="008C4B20" w:rsidRDefault="00D67E7A" w:rsidP="00971DA3">
      <w:pPr>
        <w:pStyle w:val="ListParagraph"/>
        <w:ind w:left="540"/>
        <w:jc w:val="both"/>
        <w:rPr>
          <w:color w:val="5A0000"/>
          <w:sz w:val="20"/>
          <w:szCs w:val="20"/>
        </w:rPr>
      </w:pPr>
      <w:r>
        <w:rPr>
          <w:color w:val="5A0000"/>
          <w:sz w:val="20"/>
          <w:szCs w:val="20"/>
        </w:rPr>
        <w:t>These groups are not currently addressed in this report. Staff should describe what is known from local employers, agricultural operators, or labour programs. If no data is available, this should be stated explicitly.</w:t>
      </w:r>
    </w:p>
    <w:p w14:paraId="443F0F1A" w14:textId="77777777" w:rsidR="008C4B20" w:rsidRDefault="008C4B20" w:rsidP="006A43CC">
      <w:pPr>
        <w:jc w:val="both"/>
        <w:rPr>
          <w:color w:val="5A0000"/>
          <w:sz w:val="20"/>
          <w:szCs w:val="20"/>
        </w:rPr>
      </w:pPr>
    </w:p>
    <w:p w14:paraId="0E38A443" w14:textId="77777777" w:rsidR="008C4B20" w:rsidRDefault="008C4B20" w:rsidP="006A43CC"/>
    <w:p w14:paraId="7D7A131C" w14:textId="2BDD17F3" w:rsidR="008C4B20" w:rsidRPr="003C59F9" w:rsidRDefault="008C4B20" w:rsidP="006A43CC">
      <w:pPr>
        <w:rPr>
          <w:rFonts w:ascii="Bahnschrift" w:hAnsi="Bahnschrift"/>
          <w:b/>
          <w:bCs/>
          <w:sz w:val="26"/>
          <w:szCs w:val="26"/>
        </w:rPr>
      </w:pPr>
      <w:r w:rsidRPr="003C59F9">
        <w:rPr>
          <w:rFonts w:ascii="Bahnschrift" w:hAnsi="Bahnschrift"/>
          <w:b/>
          <w:bCs/>
          <w:sz w:val="26"/>
          <w:szCs w:val="26"/>
        </w:rPr>
        <w:t>TEMPLATE SECTION 5: Housing Profile</w:t>
      </w:r>
    </w:p>
    <w:p w14:paraId="7F607BAF" w14:textId="77777777" w:rsidR="00F86287" w:rsidRDefault="00F86287"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8C4B20" w14:paraId="780F8044"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281CF915" w14:textId="77777777" w:rsidR="008C4B20" w:rsidRDefault="008C4B20" w:rsidP="006A43CC">
            <w:r w:rsidRPr="00B83E7E">
              <w:rPr>
                <w:b/>
                <w:bCs/>
                <w:color w:val="FFFFFF" w:themeColor="background1"/>
                <w:sz w:val="21"/>
                <w:szCs w:val="21"/>
              </w:rPr>
              <w:t xml:space="preserve">5.2  </w:t>
            </w:r>
            <w:r w:rsidRPr="00B83E7E">
              <w:rPr>
                <w:color w:val="FFFFFF" w:themeColor="background1"/>
                <w:sz w:val="20"/>
                <w:szCs w:val="20"/>
              </w:rPr>
              <w:t>Brief history of how housing in the community has been shaped by employment, economic development, infrastructure, transportation, climate, and migration, including long-term challenges.</w:t>
            </w:r>
          </w:p>
        </w:tc>
        <w:tc>
          <w:tcPr>
            <w:tcW w:w="1800" w:type="dxa"/>
            <w:tcBorders>
              <w:top w:val="none" w:sz="0" w:space="0" w:color="FFFFFF"/>
              <w:left w:val="none" w:sz="0" w:space="0" w:color="FFFFFF"/>
              <w:bottom w:val="none" w:sz="0" w:space="0" w:color="FFFFFF"/>
              <w:right w:val="none" w:sz="0" w:space="0" w:color="FFFFFF"/>
            </w:tcBorders>
            <w:shd w:val="clear" w:color="auto" w:fill="FCE4D6"/>
            <w:tcMar>
              <w:top w:w="80" w:type="dxa"/>
              <w:left w:w="100" w:type="dxa"/>
              <w:bottom w:w="80" w:type="dxa"/>
              <w:right w:w="100" w:type="dxa"/>
            </w:tcMar>
            <w:vAlign w:val="center"/>
          </w:tcPr>
          <w:p w14:paraId="7A8C6BC6" w14:textId="77777777" w:rsidR="008C4B20" w:rsidRDefault="008C4B20" w:rsidP="006A43CC">
            <w:pPr>
              <w:jc w:val="center"/>
            </w:pPr>
            <w:r>
              <w:rPr>
                <w:b/>
                <w:bCs/>
                <w:color w:val="843C0C"/>
                <w:sz w:val="17"/>
                <w:szCs w:val="17"/>
              </w:rPr>
              <w:t>Must be completed manually</w:t>
            </w:r>
          </w:p>
        </w:tc>
      </w:tr>
    </w:tbl>
    <w:p w14:paraId="16898B42" w14:textId="77777777" w:rsidR="00E06DF4" w:rsidRPr="00E06DF4" w:rsidRDefault="00E06DF4" w:rsidP="00E06DF4">
      <w:pPr>
        <w:pStyle w:val="ListParagraph"/>
        <w:ind w:left="540"/>
      </w:pPr>
    </w:p>
    <w:p w14:paraId="3E8BF6DB" w14:textId="77777777" w:rsidR="00E06DF4" w:rsidRPr="00E06DF4" w:rsidRDefault="008C4B20" w:rsidP="006A43CC">
      <w:pPr>
        <w:pStyle w:val="ListParagraph"/>
        <w:numPr>
          <w:ilvl w:val="0"/>
          <w:numId w:val="5"/>
        </w:numPr>
      </w:pPr>
      <w:r w:rsidRPr="00E06DF4">
        <w:rPr>
          <w:b/>
          <w:bCs/>
          <w:color w:val="2E75B6"/>
          <w:sz w:val="20"/>
          <w:szCs w:val="20"/>
          <w:u w:val="single"/>
        </w:rPr>
        <w:t>Related context</w:t>
      </w:r>
      <w:r>
        <w:rPr>
          <w:b/>
          <w:bCs/>
          <w:color w:val="2E75B6"/>
          <w:sz w:val="20"/>
          <w:szCs w:val="20"/>
        </w:rPr>
        <w:t xml:space="preserve">:  </w:t>
      </w:r>
    </w:p>
    <w:p w14:paraId="05B89BEE" w14:textId="6D222943" w:rsidR="008C4B20" w:rsidRDefault="00E22720" w:rsidP="00E06DF4">
      <w:pPr>
        <w:pStyle w:val="ListParagraph"/>
        <w:ind w:left="540"/>
        <w:jc w:val="both"/>
      </w:pPr>
      <w:r w:rsidRPr="00E22720">
        <w:rPr>
          <w:color w:val="000000"/>
          <w:sz w:val="20"/>
          <w:szCs w:val="20"/>
        </w:rPr>
        <w:t xml:space="preserve">Section 5.1 provides economic and commuting context (Tables 5.1-5.3) that can inform part of this narrative, particularly the role of employment patterns in shaping housing </w:t>
      </w:r>
      <w:proofErr w:type="gramStart"/>
      <w:r w:rsidRPr="00E22720">
        <w:rPr>
          <w:color w:val="000000"/>
          <w:sz w:val="20"/>
          <w:szCs w:val="20"/>
        </w:rPr>
        <w:t>demand.</w:t>
      </w:r>
      <w:r w:rsidR="008C4B20">
        <w:rPr>
          <w:color w:val="000000"/>
          <w:sz w:val="20"/>
          <w:szCs w:val="20"/>
        </w:rPr>
        <w:t>.</w:t>
      </w:r>
      <w:proofErr w:type="gramEnd"/>
    </w:p>
    <w:p w14:paraId="065B3DD1" w14:textId="77777777" w:rsidR="00E06DF4" w:rsidRPr="00E06DF4" w:rsidRDefault="008C4B20" w:rsidP="00E06DF4">
      <w:pPr>
        <w:pStyle w:val="ListParagraph"/>
        <w:numPr>
          <w:ilvl w:val="0"/>
          <w:numId w:val="6"/>
        </w:numPr>
        <w:jc w:val="both"/>
      </w:pPr>
      <w:r w:rsidRPr="00E06DF4">
        <w:rPr>
          <w:b/>
          <w:bCs/>
          <w:color w:val="843C0C"/>
          <w:sz w:val="20"/>
          <w:szCs w:val="20"/>
          <w:u w:val="single"/>
        </w:rPr>
        <w:t>Narrative required</w:t>
      </w:r>
      <w:r>
        <w:rPr>
          <w:b/>
          <w:bCs/>
          <w:color w:val="843C0C"/>
          <w:sz w:val="20"/>
          <w:szCs w:val="20"/>
        </w:rPr>
        <w:t>:</w:t>
      </w:r>
    </w:p>
    <w:p w14:paraId="1642AA3E" w14:textId="368AD006" w:rsidR="008C4B20" w:rsidRDefault="008C4B20" w:rsidP="00E06DF4">
      <w:pPr>
        <w:pStyle w:val="ListParagraph"/>
        <w:ind w:left="540"/>
        <w:jc w:val="both"/>
      </w:pPr>
      <w:r>
        <w:rPr>
          <w:color w:val="5A0000"/>
          <w:sz w:val="20"/>
          <w:szCs w:val="20"/>
        </w:rPr>
        <w:t>The historical narrative is community-specific and must be written by staff. It should address how past economic events, infrastructure investments, climate factors, and migration waves have shaped the community's current housing stock and ongoing challenges.</w:t>
      </w:r>
    </w:p>
    <w:p w14:paraId="4EE1F25B" w14:textId="77777777" w:rsidR="008C4B20" w:rsidRDefault="008C4B20"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8C4B20" w14:paraId="21480721"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4D1B7E6D" w14:textId="64A58102" w:rsidR="008C4B20" w:rsidRDefault="008C4B20" w:rsidP="006A43CC">
            <w:r w:rsidRPr="00AF7543">
              <w:rPr>
                <w:b/>
                <w:bCs/>
                <w:color w:val="FFFFFF" w:themeColor="background1"/>
                <w:sz w:val="21"/>
                <w:szCs w:val="21"/>
              </w:rPr>
              <w:t xml:space="preserve">5.3  </w:t>
            </w:r>
            <w:r w:rsidRPr="00AF7543">
              <w:rPr>
                <w:color w:val="FFFFFF" w:themeColor="background1"/>
                <w:sz w:val="20"/>
                <w:szCs w:val="20"/>
              </w:rPr>
              <w:t xml:space="preserve">In the last five years, how many affordable units for low and </w:t>
            </w:r>
            <w:r w:rsidR="00BD7490">
              <w:rPr>
                <w:color w:val="FFFFFF" w:themeColor="background1"/>
                <w:sz w:val="20"/>
                <w:szCs w:val="20"/>
              </w:rPr>
              <w:t xml:space="preserve">very </w:t>
            </w:r>
            <w:r w:rsidR="00055EBB">
              <w:rPr>
                <w:color w:val="FFFFFF" w:themeColor="background1"/>
                <w:sz w:val="20"/>
                <w:szCs w:val="20"/>
              </w:rPr>
              <w:t>low-</w:t>
            </w:r>
            <w:r w:rsidRPr="00AF7543">
              <w:rPr>
                <w:color w:val="FFFFFF" w:themeColor="background1"/>
                <w:sz w:val="20"/>
                <w:szCs w:val="20"/>
              </w:rPr>
              <w:t>income households have been built, and how many have been lost?</w:t>
            </w:r>
          </w:p>
        </w:tc>
        <w:tc>
          <w:tcPr>
            <w:tcW w:w="1800" w:type="dxa"/>
            <w:tcBorders>
              <w:top w:val="none" w:sz="0" w:space="0" w:color="FFFFFF"/>
              <w:left w:val="none" w:sz="0" w:space="0" w:color="FFFFFF"/>
              <w:bottom w:val="none" w:sz="0" w:space="0" w:color="FFFFFF"/>
              <w:right w:val="none" w:sz="0" w:space="0" w:color="FFFFFF"/>
            </w:tcBorders>
            <w:shd w:val="clear" w:color="auto" w:fill="E2EFDA"/>
            <w:tcMar>
              <w:top w:w="80" w:type="dxa"/>
              <w:left w:w="100" w:type="dxa"/>
              <w:bottom w:w="80" w:type="dxa"/>
              <w:right w:w="100" w:type="dxa"/>
            </w:tcMar>
            <w:vAlign w:val="center"/>
          </w:tcPr>
          <w:p w14:paraId="32CDEE9F" w14:textId="77777777" w:rsidR="008C4B20" w:rsidRDefault="008C4B20" w:rsidP="006A43CC">
            <w:pPr>
              <w:jc w:val="center"/>
            </w:pPr>
            <w:r>
              <w:rPr>
                <w:b/>
                <w:bCs/>
                <w:color w:val="375623"/>
                <w:sz w:val="17"/>
                <w:szCs w:val="17"/>
              </w:rPr>
              <w:t>Covered by report data</w:t>
            </w:r>
          </w:p>
        </w:tc>
      </w:tr>
    </w:tbl>
    <w:p w14:paraId="330C6E32" w14:textId="77777777" w:rsidR="00E96CCB" w:rsidRPr="00E96CCB" w:rsidRDefault="00E96CCB" w:rsidP="00E96CCB">
      <w:pPr>
        <w:pStyle w:val="ListParagraph"/>
        <w:ind w:left="540"/>
      </w:pPr>
    </w:p>
    <w:p w14:paraId="48430783" w14:textId="77777777" w:rsidR="00E96CCB" w:rsidRPr="00E96CCB" w:rsidRDefault="008C4B20" w:rsidP="006A43CC">
      <w:pPr>
        <w:pStyle w:val="ListParagraph"/>
        <w:numPr>
          <w:ilvl w:val="0"/>
          <w:numId w:val="5"/>
        </w:numPr>
      </w:pPr>
      <w:r w:rsidRPr="00E96CCB">
        <w:rPr>
          <w:b/>
          <w:bCs/>
          <w:color w:val="2E75B6"/>
          <w:sz w:val="20"/>
          <w:szCs w:val="20"/>
          <w:u w:val="single"/>
        </w:rPr>
        <w:lastRenderedPageBreak/>
        <w:t>Reference</w:t>
      </w:r>
      <w:r>
        <w:rPr>
          <w:b/>
          <w:bCs/>
          <w:color w:val="2E75B6"/>
          <w:sz w:val="20"/>
          <w:szCs w:val="20"/>
        </w:rPr>
        <w:t xml:space="preserve">:  </w:t>
      </w:r>
    </w:p>
    <w:p w14:paraId="63464DC2" w14:textId="366E1EEB" w:rsidR="008C4B20" w:rsidRDefault="00E22720" w:rsidP="00E96CCB">
      <w:pPr>
        <w:pStyle w:val="ListParagraph"/>
        <w:ind w:left="540"/>
        <w:jc w:val="both"/>
      </w:pPr>
      <w:r w:rsidRPr="00E22720">
        <w:rPr>
          <w:color w:val="000000"/>
          <w:sz w:val="20"/>
          <w:szCs w:val="20"/>
        </w:rPr>
        <w:t>Section 6.5, Tables 6.9 and 6.10: rental units affordable to very low- and low-income households built and lost between 2016 and 2021, with net change in Table 6.11. Note: the census period is 2016-2021; if submitting after 2026, a refresh to a more recent five-year window may be required.</w:t>
      </w:r>
    </w:p>
    <w:p w14:paraId="1B220457" w14:textId="77777777" w:rsidR="008C4B20" w:rsidRDefault="008C4B20"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8C4B20" w14:paraId="7C2AB220"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030D3090" w14:textId="77777777" w:rsidR="008C4B20" w:rsidRDefault="008C4B20" w:rsidP="006A43CC">
            <w:r w:rsidRPr="00AF7543">
              <w:rPr>
                <w:b/>
                <w:bCs/>
                <w:color w:val="FFFFFF" w:themeColor="background1"/>
                <w:sz w:val="21"/>
                <w:szCs w:val="21"/>
              </w:rPr>
              <w:t xml:space="preserve">5.4  </w:t>
            </w:r>
            <w:r w:rsidRPr="00AF7543">
              <w:rPr>
                <w:color w:val="FFFFFF" w:themeColor="background1"/>
                <w:sz w:val="20"/>
                <w:szCs w:val="20"/>
              </w:rPr>
              <w:t>How have average rents changed over time, and what factors have influenced these changes?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2C0CA535" w14:textId="77777777" w:rsidR="008C4B20" w:rsidRDefault="008C4B20" w:rsidP="006A43CC">
            <w:pPr>
              <w:jc w:val="center"/>
            </w:pPr>
            <w:r>
              <w:rPr>
                <w:b/>
                <w:bCs/>
                <w:color w:val="7F4F00"/>
                <w:sz w:val="17"/>
                <w:szCs w:val="17"/>
              </w:rPr>
              <w:t>Partially covered - see notes</w:t>
            </w:r>
          </w:p>
        </w:tc>
      </w:tr>
    </w:tbl>
    <w:p w14:paraId="563DCD10" w14:textId="77777777" w:rsidR="000974AE" w:rsidRPr="000974AE" w:rsidRDefault="000974AE" w:rsidP="000974AE">
      <w:pPr>
        <w:pStyle w:val="ListParagraph"/>
        <w:ind w:left="540"/>
      </w:pPr>
    </w:p>
    <w:p w14:paraId="75B0E6BC" w14:textId="77777777" w:rsidR="000974AE" w:rsidRPr="000974AE" w:rsidRDefault="008C4B20" w:rsidP="006A43CC">
      <w:pPr>
        <w:pStyle w:val="ListParagraph"/>
        <w:numPr>
          <w:ilvl w:val="0"/>
          <w:numId w:val="5"/>
        </w:numPr>
      </w:pPr>
      <w:r w:rsidRPr="000974AE">
        <w:rPr>
          <w:b/>
          <w:bCs/>
          <w:color w:val="2E75B6"/>
          <w:sz w:val="20"/>
          <w:szCs w:val="20"/>
          <w:u w:val="single"/>
        </w:rPr>
        <w:t>Quantitative data</w:t>
      </w:r>
      <w:r>
        <w:rPr>
          <w:b/>
          <w:bCs/>
          <w:color w:val="2E75B6"/>
          <w:sz w:val="20"/>
          <w:szCs w:val="20"/>
        </w:rPr>
        <w:t xml:space="preserve">: </w:t>
      </w:r>
    </w:p>
    <w:p w14:paraId="0D007E99" w14:textId="17BB49C9" w:rsidR="008C4B20" w:rsidRDefault="00E22720" w:rsidP="00EE1258">
      <w:pPr>
        <w:pStyle w:val="ListParagraph"/>
        <w:ind w:left="540"/>
        <w:jc w:val="both"/>
      </w:pPr>
      <w:r w:rsidRPr="00E22720">
        <w:rPr>
          <w:color w:val="000000"/>
          <w:sz w:val="20"/>
          <w:szCs w:val="20"/>
        </w:rPr>
        <w:t>Section 6.3, Table 6.5: five-year average rent change by dwelling size (local and provincial) and most recent vacancy rate, from CMHC Rental Market Survey.</w:t>
      </w:r>
    </w:p>
    <w:p w14:paraId="17703B29" w14:textId="77777777" w:rsidR="000974AE" w:rsidRPr="000974AE" w:rsidRDefault="008C4B20" w:rsidP="00EE1258">
      <w:pPr>
        <w:pStyle w:val="ListParagraph"/>
        <w:numPr>
          <w:ilvl w:val="0"/>
          <w:numId w:val="6"/>
        </w:numPr>
        <w:jc w:val="both"/>
      </w:pPr>
      <w:r w:rsidRPr="000974AE">
        <w:rPr>
          <w:b/>
          <w:bCs/>
          <w:color w:val="843C0C"/>
          <w:sz w:val="20"/>
          <w:szCs w:val="20"/>
          <w:u w:val="single"/>
        </w:rPr>
        <w:t>Narrative required</w:t>
      </w:r>
      <w:r>
        <w:rPr>
          <w:b/>
          <w:bCs/>
          <w:color w:val="843C0C"/>
          <w:sz w:val="20"/>
          <w:szCs w:val="20"/>
        </w:rPr>
        <w:t>:</w:t>
      </w:r>
    </w:p>
    <w:p w14:paraId="6705688E" w14:textId="64C25DB6" w:rsidR="008C4B20" w:rsidRDefault="00AB796E" w:rsidP="00EE1258">
      <w:pPr>
        <w:pStyle w:val="ListParagraph"/>
        <w:ind w:left="540"/>
        <w:jc w:val="both"/>
      </w:pPr>
      <w:r>
        <w:rPr>
          <w:color w:val="5A0000"/>
          <w:sz w:val="20"/>
          <w:szCs w:val="20"/>
        </w:rPr>
        <w:t>R</w:t>
      </w:r>
      <w:r w:rsidR="008C4B20">
        <w:rPr>
          <w:color w:val="5A0000"/>
          <w:sz w:val="20"/>
          <w:szCs w:val="20"/>
        </w:rPr>
        <w:t>eferencing the quantitative data and any local factors such as in-migration surges, new purpose-built supply, or STR conversion of rental stock.</w:t>
      </w:r>
    </w:p>
    <w:p w14:paraId="5588F989" w14:textId="77777777" w:rsidR="008C4B20" w:rsidRDefault="008C4B20"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8C4B20" w14:paraId="3E254E54"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02D9D078" w14:textId="77777777" w:rsidR="008C4B20" w:rsidRDefault="008C4B20" w:rsidP="006A43CC">
            <w:r w:rsidRPr="00AF7543">
              <w:rPr>
                <w:b/>
                <w:bCs/>
                <w:color w:val="FFFFFF" w:themeColor="background1"/>
                <w:sz w:val="21"/>
                <w:szCs w:val="21"/>
              </w:rPr>
              <w:t xml:space="preserve">5.5  </w:t>
            </w:r>
            <w:r w:rsidRPr="00AF7543">
              <w:rPr>
                <w:color w:val="FFFFFF" w:themeColor="background1"/>
                <w:sz w:val="20"/>
                <w:szCs w:val="20"/>
              </w:rPr>
              <w:t>How have vacancy rates changed over time, and what factors have influenced this change?</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791F3AF2" w14:textId="77777777" w:rsidR="008C4B20" w:rsidRDefault="008C4B20" w:rsidP="006A43CC">
            <w:pPr>
              <w:jc w:val="center"/>
            </w:pPr>
            <w:r>
              <w:rPr>
                <w:b/>
                <w:bCs/>
                <w:color w:val="7F4F00"/>
                <w:sz w:val="17"/>
                <w:szCs w:val="17"/>
              </w:rPr>
              <w:t>Partially covered - see notes</w:t>
            </w:r>
          </w:p>
        </w:tc>
      </w:tr>
    </w:tbl>
    <w:p w14:paraId="6CD942B5" w14:textId="77777777" w:rsidR="00AB796E" w:rsidRPr="00AB796E" w:rsidRDefault="00AB796E" w:rsidP="00AB796E">
      <w:pPr>
        <w:pStyle w:val="ListParagraph"/>
        <w:ind w:left="540"/>
      </w:pPr>
    </w:p>
    <w:p w14:paraId="682BCD70" w14:textId="77777777" w:rsidR="00AB796E" w:rsidRPr="00AB796E" w:rsidRDefault="008C4B20" w:rsidP="00EE1258">
      <w:pPr>
        <w:pStyle w:val="ListParagraph"/>
        <w:numPr>
          <w:ilvl w:val="0"/>
          <w:numId w:val="5"/>
        </w:numPr>
        <w:jc w:val="both"/>
      </w:pPr>
      <w:r w:rsidRPr="00AB796E">
        <w:rPr>
          <w:b/>
          <w:bCs/>
          <w:color w:val="2E75B6"/>
          <w:sz w:val="20"/>
          <w:szCs w:val="20"/>
          <w:u w:val="single"/>
        </w:rPr>
        <w:t>Current vacancy data</w:t>
      </w:r>
      <w:r>
        <w:rPr>
          <w:b/>
          <w:bCs/>
          <w:color w:val="2E75B6"/>
          <w:sz w:val="20"/>
          <w:szCs w:val="20"/>
        </w:rPr>
        <w:t xml:space="preserve">: </w:t>
      </w:r>
    </w:p>
    <w:p w14:paraId="383AB306" w14:textId="3E576847" w:rsidR="008C4B20" w:rsidRDefault="006235FB" w:rsidP="00EE1258">
      <w:pPr>
        <w:pStyle w:val="ListParagraph"/>
        <w:ind w:left="540"/>
        <w:jc w:val="both"/>
      </w:pPr>
      <w:r w:rsidRPr="006235FB">
        <w:rPr>
          <w:color w:val="000000"/>
          <w:sz w:val="20"/>
          <w:szCs w:val="20"/>
        </w:rPr>
        <w:t>Section 6.3, Table 6.5: most recent vacancy rate by dwelling size, from CMHC.</w:t>
      </w:r>
    </w:p>
    <w:p w14:paraId="2A544375" w14:textId="77777777" w:rsidR="00AB796E" w:rsidRPr="00AB796E" w:rsidRDefault="008C4B20" w:rsidP="00EE1258">
      <w:pPr>
        <w:pStyle w:val="ListParagraph"/>
        <w:numPr>
          <w:ilvl w:val="0"/>
          <w:numId w:val="6"/>
        </w:numPr>
        <w:jc w:val="both"/>
      </w:pPr>
      <w:r w:rsidRPr="00AB796E">
        <w:rPr>
          <w:b/>
          <w:bCs/>
          <w:color w:val="843C0C"/>
          <w:sz w:val="20"/>
          <w:szCs w:val="20"/>
          <w:u w:val="single"/>
        </w:rPr>
        <w:t>Historical trend</w:t>
      </w:r>
      <w:r>
        <w:rPr>
          <w:b/>
          <w:bCs/>
          <w:color w:val="843C0C"/>
          <w:sz w:val="20"/>
          <w:szCs w:val="20"/>
        </w:rPr>
        <w:t xml:space="preserve">: </w:t>
      </w:r>
    </w:p>
    <w:p w14:paraId="3EF2C419" w14:textId="7DACAA34" w:rsidR="008C4B20" w:rsidRDefault="008C4B20" w:rsidP="00EE1258">
      <w:pPr>
        <w:pStyle w:val="ListParagraph"/>
        <w:ind w:left="540"/>
        <w:jc w:val="both"/>
      </w:pPr>
      <w:r>
        <w:rPr>
          <w:color w:val="5A0000"/>
          <w:sz w:val="20"/>
          <w:szCs w:val="20"/>
        </w:rPr>
        <w:t>The current report presents only the most recent vacancy rate. A multi-year CMHC vacancy series is needed to show trends. Staff should source this from the CMHC Housing Market Information Portal and add a trend table to Section 4.3.</w:t>
      </w:r>
    </w:p>
    <w:p w14:paraId="0259C189" w14:textId="77777777" w:rsidR="008C4B20" w:rsidRDefault="008C4B20"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8C4B20" w14:paraId="0B3B1465"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48625F10" w14:textId="77777777" w:rsidR="008C4B20" w:rsidRDefault="008C4B20" w:rsidP="006A43CC">
            <w:r w:rsidRPr="00AF7543">
              <w:rPr>
                <w:b/>
                <w:bCs/>
                <w:color w:val="FFFFFF" w:themeColor="background1"/>
                <w:sz w:val="21"/>
                <w:szCs w:val="21"/>
              </w:rPr>
              <w:t xml:space="preserve">5.6  </w:t>
            </w:r>
            <w:r w:rsidRPr="00AF7543">
              <w:rPr>
                <w:color w:val="FFFFFF" w:themeColor="background1"/>
                <w:sz w:val="20"/>
                <w:szCs w:val="20"/>
              </w:rPr>
              <w:t>How have trends in core housing need changed over time between tenant and owner households?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00E5CECC" w14:textId="77777777" w:rsidR="008C4B20" w:rsidRDefault="008C4B20" w:rsidP="006A43CC">
            <w:pPr>
              <w:jc w:val="center"/>
            </w:pPr>
            <w:r>
              <w:rPr>
                <w:b/>
                <w:bCs/>
                <w:color w:val="7F4F00"/>
                <w:sz w:val="17"/>
                <w:szCs w:val="17"/>
              </w:rPr>
              <w:t>Partially covered - see notes</w:t>
            </w:r>
          </w:p>
        </w:tc>
      </w:tr>
    </w:tbl>
    <w:p w14:paraId="62287C8F" w14:textId="77777777" w:rsidR="00EE1258" w:rsidRPr="00EE1258" w:rsidRDefault="00EE1258" w:rsidP="00EE1258">
      <w:pPr>
        <w:pStyle w:val="ListParagraph"/>
        <w:ind w:left="540"/>
      </w:pPr>
    </w:p>
    <w:p w14:paraId="26551CC7" w14:textId="77777777" w:rsidR="00EE1258" w:rsidRPr="00EE1258" w:rsidRDefault="008C4B20" w:rsidP="006A43CC">
      <w:pPr>
        <w:pStyle w:val="ListParagraph"/>
        <w:numPr>
          <w:ilvl w:val="0"/>
          <w:numId w:val="5"/>
        </w:numPr>
      </w:pPr>
      <w:r w:rsidRPr="00EE1258">
        <w:rPr>
          <w:b/>
          <w:bCs/>
          <w:color w:val="2E75B6"/>
          <w:sz w:val="20"/>
          <w:szCs w:val="20"/>
          <w:u w:val="single"/>
        </w:rPr>
        <w:t>Current CHN data</w:t>
      </w:r>
      <w:r>
        <w:rPr>
          <w:b/>
          <w:bCs/>
          <w:color w:val="2E75B6"/>
          <w:sz w:val="20"/>
          <w:szCs w:val="20"/>
        </w:rPr>
        <w:t>:</w:t>
      </w:r>
    </w:p>
    <w:p w14:paraId="748A2794" w14:textId="7B50EDE0" w:rsidR="008C4B20" w:rsidRDefault="006235FB" w:rsidP="00EE1258">
      <w:pPr>
        <w:pStyle w:val="ListParagraph"/>
        <w:ind w:left="540"/>
        <w:jc w:val="both"/>
      </w:pPr>
      <w:r w:rsidRPr="006235FB">
        <w:rPr>
          <w:color w:val="000000"/>
          <w:sz w:val="20"/>
          <w:szCs w:val="20"/>
        </w:rPr>
        <w:t>Section 7.1, Table 7.1: 2021 CHN rates by dimension and tenure, establishing the current baseline.</w:t>
      </w:r>
    </w:p>
    <w:p w14:paraId="6FBA4AB3" w14:textId="77777777" w:rsidR="00EE1258" w:rsidRPr="00EE1258" w:rsidRDefault="008C4B20" w:rsidP="00EE1258">
      <w:pPr>
        <w:pStyle w:val="ListParagraph"/>
        <w:numPr>
          <w:ilvl w:val="0"/>
          <w:numId w:val="6"/>
        </w:numPr>
        <w:jc w:val="both"/>
      </w:pPr>
      <w:r w:rsidRPr="00EE1258">
        <w:rPr>
          <w:b/>
          <w:bCs/>
          <w:color w:val="843C0C"/>
          <w:sz w:val="20"/>
          <w:szCs w:val="20"/>
          <w:u w:val="single"/>
        </w:rPr>
        <w:t>Historical trend</w:t>
      </w:r>
      <w:r>
        <w:rPr>
          <w:b/>
          <w:bCs/>
          <w:color w:val="843C0C"/>
          <w:sz w:val="20"/>
          <w:szCs w:val="20"/>
        </w:rPr>
        <w:t>:</w:t>
      </w:r>
    </w:p>
    <w:p w14:paraId="731D49A4" w14:textId="5487905E" w:rsidR="008C4B20" w:rsidRDefault="008C4B20" w:rsidP="00EE1258">
      <w:pPr>
        <w:pStyle w:val="ListParagraph"/>
        <w:ind w:left="540"/>
        <w:jc w:val="both"/>
      </w:pPr>
      <w:r>
        <w:rPr>
          <w:color w:val="5A0000"/>
          <w:sz w:val="20"/>
          <w:szCs w:val="20"/>
        </w:rPr>
        <w:t>The report currently covers 2021 only. To show change over time, 2016 CHN rates by tenure should be sourced from the HART dashboard and added alongside the 2021 figures. Staff should note whether need has increased or decreased and identify the likely drivers.</w:t>
      </w:r>
    </w:p>
    <w:p w14:paraId="423FAA47" w14:textId="77777777" w:rsidR="008C4B20" w:rsidRDefault="008C4B20"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8C4B20" w14:paraId="16DDD3CD"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1F74342C" w14:textId="77777777" w:rsidR="008C4B20" w:rsidRDefault="008C4B20" w:rsidP="006A43CC">
            <w:r w:rsidRPr="00AF7543">
              <w:rPr>
                <w:b/>
                <w:bCs/>
                <w:color w:val="FFFFFF" w:themeColor="background1"/>
                <w:sz w:val="21"/>
                <w:szCs w:val="21"/>
              </w:rPr>
              <w:t xml:space="preserve">5.8  </w:t>
            </w:r>
            <w:r w:rsidRPr="00AF7543">
              <w:rPr>
                <w:color w:val="FFFFFF" w:themeColor="background1"/>
                <w:sz w:val="20"/>
                <w:szCs w:val="20"/>
              </w:rPr>
              <w:t>Describe other affordable and community housing options and gaps not captured in the table above, including accessible units, rent supplements, and supportive housing needs.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48022F4F" w14:textId="77777777" w:rsidR="008C4B20" w:rsidRDefault="008C4B20" w:rsidP="006A43CC">
            <w:pPr>
              <w:jc w:val="center"/>
            </w:pPr>
            <w:r>
              <w:rPr>
                <w:b/>
                <w:bCs/>
                <w:color w:val="7F4F00"/>
                <w:sz w:val="17"/>
                <w:szCs w:val="17"/>
              </w:rPr>
              <w:t>Partially covered - see notes</w:t>
            </w:r>
          </w:p>
        </w:tc>
      </w:tr>
    </w:tbl>
    <w:p w14:paraId="5866B9F5" w14:textId="77777777" w:rsidR="00EE1258" w:rsidRPr="00EE1258" w:rsidRDefault="00EE1258" w:rsidP="00EE1258">
      <w:pPr>
        <w:pStyle w:val="ListParagraph"/>
        <w:ind w:left="540"/>
      </w:pPr>
    </w:p>
    <w:p w14:paraId="1F600EE8" w14:textId="77777777" w:rsidR="00EE1258" w:rsidRPr="00EE1258" w:rsidRDefault="008C4B20" w:rsidP="006A43CC">
      <w:pPr>
        <w:pStyle w:val="ListParagraph"/>
        <w:numPr>
          <w:ilvl w:val="0"/>
          <w:numId w:val="5"/>
        </w:numPr>
      </w:pPr>
      <w:r w:rsidRPr="00EE1258">
        <w:rPr>
          <w:b/>
          <w:bCs/>
          <w:color w:val="2E75B6"/>
          <w:sz w:val="20"/>
          <w:szCs w:val="20"/>
          <w:u w:val="single"/>
        </w:rPr>
        <w:t>Related context</w:t>
      </w:r>
      <w:r>
        <w:rPr>
          <w:b/>
          <w:bCs/>
          <w:color w:val="2E75B6"/>
          <w:sz w:val="20"/>
          <w:szCs w:val="20"/>
        </w:rPr>
        <w:t xml:space="preserve">:  </w:t>
      </w:r>
    </w:p>
    <w:p w14:paraId="57131ABD" w14:textId="0362BC6F" w:rsidR="008C4B20" w:rsidRDefault="006235FB" w:rsidP="00EE1258">
      <w:pPr>
        <w:pStyle w:val="ListParagraph"/>
        <w:ind w:left="540"/>
      </w:pPr>
      <w:r w:rsidRPr="006235FB">
        <w:rPr>
          <w:color w:val="000000"/>
          <w:sz w:val="20"/>
          <w:szCs w:val="20"/>
        </w:rPr>
        <w:t>Section 6.8 (Non-Market Housing) should contain data (if available) covering accessible units, rent supplements, and supportive housing with wrap-around services. Section 9.5 (Senior Residential Facilities) addresses senior-specific capacity.</w:t>
      </w:r>
    </w:p>
    <w:p w14:paraId="419C3755" w14:textId="77777777" w:rsidR="00194AE0" w:rsidRPr="00194AE0" w:rsidRDefault="008C4B20" w:rsidP="006A43CC">
      <w:pPr>
        <w:pStyle w:val="ListParagraph"/>
        <w:numPr>
          <w:ilvl w:val="0"/>
          <w:numId w:val="6"/>
        </w:numPr>
      </w:pPr>
      <w:r w:rsidRPr="00194AE0">
        <w:rPr>
          <w:b/>
          <w:bCs/>
          <w:color w:val="843C0C"/>
          <w:sz w:val="20"/>
          <w:szCs w:val="20"/>
          <w:u w:val="single"/>
        </w:rPr>
        <w:t>Narrative required</w:t>
      </w:r>
      <w:r>
        <w:rPr>
          <w:b/>
          <w:bCs/>
          <w:color w:val="843C0C"/>
          <w:sz w:val="20"/>
          <w:szCs w:val="20"/>
        </w:rPr>
        <w:t xml:space="preserve">: </w:t>
      </w:r>
    </w:p>
    <w:p w14:paraId="12F5B881" w14:textId="701DC85B" w:rsidR="008C4B20" w:rsidRDefault="008C4B20" w:rsidP="00194AE0">
      <w:pPr>
        <w:pStyle w:val="ListParagraph"/>
        <w:ind w:left="540"/>
      </w:pPr>
      <w:r>
        <w:rPr>
          <w:color w:val="5A0000"/>
          <w:sz w:val="20"/>
          <w:szCs w:val="20"/>
        </w:rPr>
        <w:t>Staff must complete the Required Response prompt in Section 4.7, drawing on local administrative knowledge, housing provider input, and community engagement findings.</w:t>
      </w:r>
    </w:p>
    <w:p w14:paraId="77B3D94B" w14:textId="77777777" w:rsidR="008C4B20" w:rsidRDefault="008C4B20" w:rsidP="006A43CC"/>
    <w:p w14:paraId="14672001" w14:textId="77777777" w:rsidR="00B462FC" w:rsidRDefault="00B462FC" w:rsidP="006A43CC"/>
    <w:p w14:paraId="4A3FD55A" w14:textId="77777777" w:rsidR="00405882" w:rsidRDefault="00405882" w:rsidP="006A43CC"/>
    <w:p w14:paraId="31A26DCA" w14:textId="77777777" w:rsidR="00405882" w:rsidRDefault="00405882" w:rsidP="006A43CC"/>
    <w:p w14:paraId="16997189" w14:textId="77777777" w:rsidR="00405882" w:rsidRDefault="00405882" w:rsidP="006A43CC"/>
    <w:p w14:paraId="25D3FCF2" w14:textId="75609893" w:rsidR="00CA0728" w:rsidRPr="003C59F9" w:rsidRDefault="00CA0728" w:rsidP="006A43CC">
      <w:pPr>
        <w:rPr>
          <w:rFonts w:ascii="Bahnschrift" w:hAnsi="Bahnschrift"/>
          <w:b/>
          <w:bCs/>
          <w:sz w:val="26"/>
          <w:szCs w:val="26"/>
        </w:rPr>
      </w:pPr>
      <w:r w:rsidRPr="003C59F9">
        <w:rPr>
          <w:rFonts w:ascii="Bahnschrift" w:hAnsi="Bahnschrift"/>
          <w:b/>
          <w:bCs/>
          <w:sz w:val="26"/>
          <w:szCs w:val="26"/>
        </w:rPr>
        <w:lastRenderedPageBreak/>
        <w:t>TEMPLATE SECTION 5: Projected housing Needs and Next Steps</w:t>
      </w:r>
    </w:p>
    <w:p w14:paraId="00B31CCA" w14:textId="77777777" w:rsidR="00CA0728" w:rsidRDefault="00CA0728" w:rsidP="006A43C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CA0728" w14:paraId="3C188D9F" w14:textId="77777777" w:rsidTr="003C59F9">
        <w:tc>
          <w:tcPr>
            <w:tcW w:w="7560" w:type="dxa"/>
            <w:tcBorders>
              <w:top w:val="none" w:sz="0" w:space="0" w:color="FFFFFF"/>
              <w:left w:val="none" w:sz="0" w:space="0" w:color="FFFFFF"/>
              <w:bottom w:val="none" w:sz="0" w:space="0" w:color="FFFFFF"/>
              <w:right w:val="none" w:sz="0" w:space="0" w:color="FFFFFF"/>
            </w:tcBorders>
            <w:shd w:val="clear" w:color="auto" w:fill="42618C" w:themeFill="accent3"/>
            <w:tcMar>
              <w:top w:w="80" w:type="dxa"/>
              <w:left w:w="140" w:type="dxa"/>
              <w:bottom w:w="80" w:type="dxa"/>
              <w:right w:w="120" w:type="dxa"/>
            </w:tcMar>
            <w:vAlign w:val="center"/>
          </w:tcPr>
          <w:p w14:paraId="726430EB" w14:textId="77777777" w:rsidR="00CA0728" w:rsidRDefault="00CA0728" w:rsidP="006A43CC">
            <w:r w:rsidRPr="00AF7543">
              <w:rPr>
                <w:b/>
                <w:bCs/>
                <w:color w:val="FFFFFF" w:themeColor="background1"/>
                <w:sz w:val="21"/>
                <w:szCs w:val="21"/>
              </w:rPr>
              <w:t xml:space="preserve">6.2  </w:t>
            </w:r>
            <w:r w:rsidRPr="00AF7543">
              <w:rPr>
                <w:color w:val="FFFFFF" w:themeColor="background1"/>
                <w:sz w:val="20"/>
                <w:szCs w:val="20"/>
              </w:rPr>
              <w:t>Outline the methodology and calculations used to complete the projections, including all assumptions.</w:t>
            </w:r>
          </w:p>
        </w:tc>
        <w:tc>
          <w:tcPr>
            <w:tcW w:w="1800" w:type="dxa"/>
            <w:tcBorders>
              <w:top w:val="none" w:sz="0" w:space="0" w:color="FFFFFF"/>
              <w:left w:val="none" w:sz="0" w:space="0" w:color="FFFFFF"/>
              <w:bottom w:val="none" w:sz="0" w:space="0" w:color="FFFFFF"/>
              <w:right w:val="none" w:sz="0" w:space="0" w:color="FFFFFF"/>
            </w:tcBorders>
            <w:shd w:val="clear" w:color="auto" w:fill="FFF2CC"/>
            <w:tcMar>
              <w:top w:w="80" w:type="dxa"/>
              <w:left w:w="100" w:type="dxa"/>
              <w:bottom w:w="80" w:type="dxa"/>
              <w:right w:w="100" w:type="dxa"/>
            </w:tcMar>
            <w:vAlign w:val="center"/>
          </w:tcPr>
          <w:p w14:paraId="08B5A8C7" w14:textId="77777777" w:rsidR="00CA0728" w:rsidRDefault="00CA0728" w:rsidP="006A43CC">
            <w:pPr>
              <w:jc w:val="center"/>
            </w:pPr>
            <w:r>
              <w:rPr>
                <w:b/>
                <w:bCs/>
                <w:color w:val="7F4F00"/>
                <w:sz w:val="17"/>
                <w:szCs w:val="17"/>
              </w:rPr>
              <w:t>Partially covered - see notes</w:t>
            </w:r>
          </w:p>
        </w:tc>
      </w:tr>
    </w:tbl>
    <w:p w14:paraId="1DF1F470" w14:textId="77777777" w:rsidR="00194AE0" w:rsidRPr="00194AE0" w:rsidRDefault="00194AE0" w:rsidP="00194AE0">
      <w:pPr>
        <w:pStyle w:val="ListParagraph"/>
        <w:ind w:left="540"/>
      </w:pPr>
    </w:p>
    <w:p w14:paraId="593C2849" w14:textId="77777777" w:rsidR="00194AE0" w:rsidRPr="00194AE0" w:rsidRDefault="00CA0728" w:rsidP="006A43CC">
      <w:pPr>
        <w:pStyle w:val="ListParagraph"/>
        <w:numPr>
          <w:ilvl w:val="0"/>
          <w:numId w:val="5"/>
        </w:numPr>
      </w:pPr>
      <w:r w:rsidRPr="00194AE0">
        <w:rPr>
          <w:b/>
          <w:bCs/>
          <w:color w:val="2E75B6"/>
          <w:sz w:val="20"/>
          <w:szCs w:val="20"/>
          <w:u w:val="single"/>
        </w:rPr>
        <w:t>Methodology overview</w:t>
      </w:r>
      <w:r>
        <w:rPr>
          <w:b/>
          <w:bCs/>
          <w:color w:val="2E75B6"/>
          <w:sz w:val="20"/>
          <w:szCs w:val="20"/>
        </w:rPr>
        <w:t xml:space="preserve">: </w:t>
      </w:r>
    </w:p>
    <w:p w14:paraId="14FDD080" w14:textId="253A0E3B" w:rsidR="00CA0728" w:rsidRDefault="00405882" w:rsidP="00405882">
      <w:pPr>
        <w:pStyle w:val="ListParagraph"/>
        <w:ind w:left="540"/>
        <w:jc w:val="both"/>
      </w:pPr>
      <w:r w:rsidRPr="00405882">
        <w:rPr>
          <w:color w:val="000000"/>
          <w:sz w:val="20"/>
          <w:szCs w:val="20"/>
        </w:rPr>
        <w:t xml:space="preserve">The </w:t>
      </w:r>
      <w:r w:rsidRPr="00405882">
        <w:rPr>
          <w:b/>
          <w:bCs/>
          <w:color w:val="000000"/>
          <w:sz w:val="20"/>
          <w:szCs w:val="20"/>
        </w:rPr>
        <w:t>Methodology – Projections</w:t>
      </w:r>
      <w:r w:rsidRPr="00405882">
        <w:rPr>
          <w:color w:val="000000"/>
          <w:sz w:val="20"/>
          <w:szCs w:val="20"/>
        </w:rPr>
        <w:t xml:space="preserve"> document is available as part of the HNA Blueprint resource package</w:t>
      </w:r>
    </w:p>
    <w:p w14:paraId="733D2B99" w14:textId="77777777" w:rsidR="00194AE0" w:rsidRPr="00194AE0" w:rsidRDefault="00CA0728" w:rsidP="006A43CC">
      <w:pPr>
        <w:pStyle w:val="ListParagraph"/>
        <w:numPr>
          <w:ilvl w:val="0"/>
          <w:numId w:val="5"/>
        </w:numPr>
      </w:pPr>
      <w:r w:rsidRPr="00194AE0">
        <w:rPr>
          <w:b/>
          <w:bCs/>
          <w:color w:val="2E75B6"/>
          <w:sz w:val="20"/>
          <w:szCs w:val="20"/>
          <w:u w:val="single"/>
        </w:rPr>
        <w:t>Projection output tables</w:t>
      </w:r>
      <w:r>
        <w:rPr>
          <w:b/>
          <w:bCs/>
          <w:color w:val="2E75B6"/>
          <w:sz w:val="20"/>
          <w:szCs w:val="20"/>
        </w:rPr>
        <w:t>:</w:t>
      </w:r>
    </w:p>
    <w:p w14:paraId="683479C4" w14:textId="1167CB31" w:rsidR="00CA0728" w:rsidRDefault="00847CA0" w:rsidP="00847CA0">
      <w:pPr>
        <w:pStyle w:val="ListParagraph"/>
        <w:ind w:left="540"/>
        <w:jc w:val="both"/>
      </w:pPr>
      <w:r w:rsidRPr="00847CA0">
        <w:rPr>
          <w:color w:val="000000"/>
          <w:sz w:val="20"/>
          <w:szCs w:val="20"/>
        </w:rPr>
        <w:t>Appendix A, Tables 6.3.1 and 6.3.2 present anticipated population and households by year, with breakdowns by age, tenure, dwelling type, bedroom count, and income.</w:t>
      </w:r>
    </w:p>
    <w:p w14:paraId="233AA2D7" w14:textId="77777777" w:rsidR="00194AE0" w:rsidRPr="00194AE0" w:rsidRDefault="00CA0728" w:rsidP="00847CA0">
      <w:pPr>
        <w:pStyle w:val="ListParagraph"/>
        <w:numPr>
          <w:ilvl w:val="0"/>
          <w:numId w:val="6"/>
        </w:numPr>
        <w:jc w:val="both"/>
      </w:pPr>
      <w:r w:rsidRPr="00194AE0">
        <w:rPr>
          <w:b/>
          <w:bCs/>
          <w:color w:val="843C0C"/>
          <w:sz w:val="20"/>
          <w:szCs w:val="20"/>
          <w:u w:val="single"/>
        </w:rPr>
        <w:t>Intermediate calculation documentation</w:t>
      </w:r>
      <w:r>
        <w:rPr>
          <w:b/>
          <w:bCs/>
          <w:color w:val="843C0C"/>
          <w:sz w:val="20"/>
          <w:szCs w:val="20"/>
        </w:rPr>
        <w:t>:</w:t>
      </w:r>
    </w:p>
    <w:p w14:paraId="4030480B" w14:textId="06987E87" w:rsidR="00CA0728" w:rsidRDefault="00CA0728" w:rsidP="00847CA0">
      <w:pPr>
        <w:pStyle w:val="ListParagraph"/>
        <w:ind w:left="540"/>
        <w:jc w:val="both"/>
      </w:pPr>
      <w:r>
        <w:rPr>
          <w:color w:val="5A0000"/>
          <w:sz w:val="20"/>
          <w:szCs w:val="20"/>
        </w:rPr>
        <w:t>The federal template's Table 6.2.1 requires intermediate projection inputs (survival rates, headship rates, birth projections, net migration) to be shown explicitly. These are used in the pipeline but not currently tabulated in the report output. Staff should add a supplementary table documenting these inputs for federal reviewers.</w:t>
      </w:r>
    </w:p>
    <w:p w14:paraId="51C15595" w14:textId="0A7F8F53" w:rsidR="00A55529" w:rsidRPr="00D67E7A" w:rsidRDefault="00A55529" w:rsidP="006A43CC">
      <w:pPr>
        <w:jc w:val="both"/>
        <w:rPr>
          <w:b/>
          <w:bCs/>
          <w:color w:val="CFD9E3" w:themeColor="accent1"/>
          <w:sz w:val="26"/>
          <w:szCs w:val="26"/>
        </w:rPr>
      </w:pPr>
      <w:r w:rsidRPr="00BF5FBD">
        <w:br w:type="page"/>
      </w:r>
    </w:p>
    <w:p w14:paraId="0F4903C6" w14:textId="28EA0282" w:rsidR="0043538E" w:rsidRDefault="00B14277" w:rsidP="00B308B2">
      <w:pPr>
        <w:pStyle w:val="Heading2"/>
        <w:numPr>
          <w:ilvl w:val="0"/>
          <w:numId w:val="0"/>
        </w:numPr>
        <w:ind w:left="720" w:hanging="720"/>
      </w:pPr>
      <w:bookmarkStart w:id="131" w:name="_Toc223686666"/>
      <w:bookmarkStart w:id="132" w:name="_Toc237355968"/>
      <w:r w:rsidRPr="00CA0728">
        <w:lastRenderedPageBreak/>
        <w:t xml:space="preserve">APPENDIX </w:t>
      </w:r>
      <w:r w:rsidR="00A55529" w:rsidRPr="00CA0728">
        <w:t>C</w:t>
      </w:r>
      <w:r w:rsidR="000511ED" w:rsidRPr="00CA0728">
        <w:t xml:space="preserve">: </w:t>
      </w:r>
      <w:r w:rsidR="000511ED">
        <w:t>Community Engagement Results</w:t>
      </w:r>
      <w:bookmarkEnd w:id="130"/>
      <w:bookmarkEnd w:id="131"/>
      <w:bookmarkEnd w:id="132"/>
    </w:p>
    <w:p w14:paraId="06D21A97" w14:textId="77777777" w:rsidR="0043538E" w:rsidRDefault="0043538E" w:rsidP="00DA24F7"/>
    <w:tbl>
      <w:tblPr>
        <w:tblStyle w:val="TableGrid"/>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5"/>
      </w:tblGrid>
      <w:tr w:rsidR="00B7749D" w:rsidRPr="00500457" w14:paraId="21FE9F30" w14:textId="77777777" w:rsidTr="002A69BA">
        <w:trPr>
          <w:trHeight w:val="386"/>
        </w:trPr>
        <w:tc>
          <w:tcPr>
            <w:tcW w:w="9355" w:type="dxa"/>
            <w:shd w:val="clear" w:color="auto" w:fill="C00000"/>
            <w:vAlign w:val="center"/>
          </w:tcPr>
          <w:p w14:paraId="72EDA5CD" w14:textId="27C19A2C" w:rsidR="00922BE3" w:rsidRPr="00C841B0" w:rsidRDefault="00600CEC" w:rsidP="00922BE3">
            <w:pPr>
              <w:rPr>
                <w:color w:val="FFFFFF" w:themeColor="background1"/>
                <w:sz w:val="20"/>
                <w:szCs w:val="20"/>
              </w:rPr>
            </w:pPr>
            <w:r w:rsidRPr="00C841B0">
              <w:rPr>
                <w:color w:val="FFFFFF" w:themeColor="background1"/>
                <w:sz w:val="20"/>
                <w:szCs w:val="20"/>
              </w:rPr>
              <w:t>Note for user</w:t>
            </w:r>
          </w:p>
        </w:tc>
      </w:tr>
      <w:tr w:rsidR="0050474C" w:rsidRPr="00500457" w14:paraId="70F755E3" w14:textId="77777777" w:rsidTr="002A69BA">
        <w:trPr>
          <w:trHeight w:val="5606"/>
        </w:trPr>
        <w:tc>
          <w:tcPr>
            <w:tcW w:w="9355" w:type="dxa"/>
            <w:shd w:val="clear" w:color="auto" w:fill="FFC9C9"/>
            <w:vAlign w:val="center"/>
          </w:tcPr>
          <w:p w14:paraId="3304C7B5" w14:textId="77777777" w:rsidR="0050474C" w:rsidRDefault="0050474C" w:rsidP="0050474C">
            <w:pPr>
              <w:rPr>
                <w:sz w:val="20"/>
                <w:szCs w:val="20"/>
              </w:rPr>
            </w:pPr>
            <w:r>
              <w:rPr>
                <w:sz w:val="20"/>
                <w:szCs w:val="20"/>
              </w:rPr>
              <w:t>This section is placeholder for communities to present results of their community engagement processes</w:t>
            </w:r>
            <w:r w:rsidRPr="00A575CE">
              <w:rPr>
                <w:sz w:val="20"/>
                <w:szCs w:val="20"/>
              </w:rPr>
              <w:t xml:space="preserve"> conducted as part of </w:t>
            </w:r>
            <w:r>
              <w:rPr>
                <w:sz w:val="20"/>
                <w:szCs w:val="20"/>
              </w:rPr>
              <w:t>the</w:t>
            </w:r>
            <w:r w:rsidRPr="00A575CE">
              <w:rPr>
                <w:sz w:val="20"/>
                <w:szCs w:val="20"/>
              </w:rPr>
              <w:t xml:space="preserve"> Housing Needs Assessment. The findings documented </w:t>
            </w:r>
            <w:r>
              <w:rPr>
                <w:sz w:val="20"/>
                <w:szCs w:val="20"/>
              </w:rPr>
              <w:t xml:space="preserve">should </w:t>
            </w:r>
            <w:r w:rsidRPr="00A575CE">
              <w:rPr>
                <w:sz w:val="20"/>
                <w:szCs w:val="20"/>
              </w:rPr>
              <w:t xml:space="preserve">complement the quantitative analysis contained in the main report by capturing locally held knowledge, lived experience, and community perspectives on housing conditions, needs, and priorities that data alone cannot fully convey. </w:t>
            </w:r>
          </w:p>
          <w:p w14:paraId="596E3FB9" w14:textId="77777777" w:rsidR="0050474C" w:rsidRDefault="0050474C" w:rsidP="0050474C">
            <w:pPr>
              <w:rPr>
                <w:sz w:val="20"/>
                <w:szCs w:val="20"/>
              </w:rPr>
            </w:pPr>
          </w:p>
          <w:p w14:paraId="758F754B" w14:textId="77777777" w:rsidR="0050474C" w:rsidRDefault="0050474C" w:rsidP="0050474C">
            <w:pPr>
              <w:rPr>
                <w:sz w:val="20"/>
                <w:szCs w:val="20"/>
              </w:rPr>
            </w:pPr>
            <w:r>
              <w:rPr>
                <w:sz w:val="20"/>
                <w:szCs w:val="20"/>
              </w:rPr>
              <w:t xml:space="preserve">While this is a placeholder, users are welcome to relocate this section, in whole or in part, to a different report location. For instance, positioning it earlier provides more emphasis on consultation efforts, rather than a hard focus on data. </w:t>
            </w:r>
          </w:p>
          <w:p w14:paraId="1B93BD54" w14:textId="77777777" w:rsidR="0050474C" w:rsidRDefault="0050474C" w:rsidP="0050474C">
            <w:pPr>
              <w:rPr>
                <w:sz w:val="20"/>
                <w:szCs w:val="20"/>
              </w:rPr>
            </w:pPr>
          </w:p>
          <w:p w14:paraId="0DD2F564" w14:textId="77777777" w:rsidR="0050474C" w:rsidRDefault="0050474C" w:rsidP="0050474C">
            <w:pPr>
              <w:rPr>
                <w:sz w:val="20"/>
                <w:szCs w:val="20"/>
              </w:rPr>
            </w:pPr>
            <w:r>
              <w:rPr>
                <w:sz w:val="20"/>
                <w:szCs w:val="20"/>
              </w:rPr>
              <w:t>For users wishing for guidance regarding local engagement, the HNA Blueprint resource package includes methodologies and templates for consideration, including:</w:t>
            </w:r>
          </w:p>
          <w:p w14:paraId="711CC7CE" w14:textId="77777777" w:rsidR="0050474C" w:rsidRDefault="0050474C" w:rsidP="0050474C">
            <w:pPr>
              <w:rPr>
                <w:sz w:val="20"/>
                <w:szCs w:val="20"/>
              </w:rPr>
            </w:pPr>
          </w:p>
          <w:p w14:paraId="782A18CD" w14:textId="77777777" w:rsidR="0050474C" w:rsidRPr="00551319" w:rsidRDefault="0050474C" w:rsidP="0050474C">
            <w:pPr>
              <w:pStyle w:val="ListParagraph"/>
              <w:numPr>
                <w:ilvl w:val="0"/>
                <w:numId w:val="8"/>
              </w:numPr>
              <w:ind w:left="423"/>
              <w:rPr>
                <w:b/>
                <w:bCs/>
                <w:sz w:val="20"/>
                <w:szCs w:val="20"/>
              </w:rPr>
            </w:pPr>
            <w:r w:rsidRPr="00551319">
              <w:rPr>
                <w:b/>
                <w:bCs/>
                <w:sz w:val="20"/>
                <w:szCs w:val="20"/>
              </w:rPr>
              <w:t>Methodology – Stakeholder engagement</w:t>
            </w:r>
          </w:p>
          <w:p w14:paraId="02067121" w14:textId="77777777" w:rsidR="0050474C" w:rsidRPr="00551319" w:rsidRDefault="0050474C" w:rsidP="0050474C">
            <w:pPr>
              <w:pStyle w:val="ListParagraph"/>
              <w:numPr>
                <w:ilvl w:val="0"/>
                <w:numId w:val="8"/>
              </w:numPr>
              <w:ind w:left="423"/>
              <w:rPr>
                <w:b/>
                <w:bCs/>
                <w:sz w:val="20"/>
                <w:szCs w:val="20"/>
              </w:rPr>
            </w:pPr>
            <w:r w:rsidRPr="00551319">
              <w:rPr>
                <w:b/>
                <w:bCs/>
                <w:sz w:val="20"/>
                <w:szCs w:val="20"/>
              </w:rPr>
              <w:t>Template – Housing Survey (Public)</w:t>
            </w:r>
          </w:p>
          <w:p w14:paraId="4C2EADD1" w14:textId="77777777" w:rsidR="0050474C" w:rsidRPr="00551319" w:rsidRDefault="0050474C" w:rsidP="0050474C">
            <w:pPr>
              <w:pStyle w:val="ListParagraph"/>
              <w:numPr>
                <w:ilvl w:val="0"/>
                <w:numId w:val="8"/>
              </w:numPr>
              <w:ind w:left="423"/>
              <w:rPr>
                <w:b/>
                <w:bCs/>
                <w:sz w:val="20"/>
                <w:szCs w:val="20"/>
              </w:rPr>
            </w:pPr>
            <w:r w:rsidRPr="00551319">
              <w:rPr>
                <w:b/>
                <w:bCs/>
                <w:sz w:val="20"/>
                <w:szCs w:val="20"/>
              </w:rPr>
              <w:t>Template – Housing Survey (Business)</w:t>
            </w:r>
          </w:p>
          <w:p w14:paraId="35CF18EC" w14:textId="77777777" w:rsidR="0050474C" w:rsidRDefault="0050474C" w:rsidP="0050474C">
            <w:pPr>
              <w:rPr>
                <w:sz w:val="20"/>
                <w:szCs w:val="20"/>
              </w:rPr>
            </w:pPr>
          </w:p>
          <w:p w14:paraId="64FBF916" w14:textId="77777777" w:rsidR="0050474C" w:rsidRDefault="0050474C" w:rsidP="0050474C">
            <w:pPr>
              <w:rPr>
                <w:sz w:val="20"/>
                <w:szCs w:val="20"/>
              </w:rPr>
            </w:pPr>
            <w:r>
              <w:rPr>
                <w:sz w:val="20"/>
                <w:szCs w:val="20"/>
              </w:rPr>
              <w:t>These resources are not exhaustive. Users wishing to conduct engagement should consider the local context and resources (e.g., whether a public survey is necessary or if stakeholder specific consultation is more efficient, or whether the work can be executed by staff or is best performed by a consultant).</w:t>
            </w:r>
          </w:p>
          <w:p w14:paraId="318FBBA7" w14:textId="77777777" w:rsidR="0050474C" w:rsidRDefault="0050474C" w:rsidP="0050474C">
            <w:pPr>
              <w:rPr>
                <w:sz w:val="20"/>
                <w:szCs w:val="20"/>
              </w:rPr>
            </w:pPr>
          </w:p>
          <w:p w14:paraId="2C8477DE" w14:textId="721EB667" w:rsidR="0050474C" w:rsidRDefault="0050474C" w:rsidP="0050474C">
            <w:pPr>
              <w:rPr>
                <w:sz w:val="20"/>
                <w:szCs w:val="20"/>
              </w:rPr>
            </w:pPr>
            <w:r>
              <w:rPr>
                <w:sz w:val="20"/>
                <w:szCs w:val="20"/>
              </w:rPr>
              <w:t>Lastly, a reminder that the Federal Template requirements include providing detailed descriptions of consultation methodologies, should this be pursued as part of the HNA.</w:t>
            </w:r>
          </w:p>
        </w:tc>
      </w:tr>
    </w:tbl>
    <w:p w14:paraId="1483D190" w14:textId="54BCB87B" w:rsidR="0043538E" w:rsidRDefault="000511ED">
      <w:r>
        <w:br w:type="page"/>
      </w:r>
    </w:p>
    <w:p w14:paraId="200B2F52" w14:textId="20B0B2BC" w:rsidR="0043538E" w:rsidRDefault="000511ED" w:rsidP="00BA79ED">
      <w:pPr>
        <w:pStyle w:val="Heading2"/>
        <w:numPr>
          <w:ilvl w:val="0"/>
          <w:numId w:val="0"/>
        </w:numPr>
        <w:ind w:left="720" w:hanging="720"/>
      </w:pPr>
      <w:bookmarkStart w:id="133" w:name="_Toc222480704"/>
      <w:bookmarkStart w:id="134" w:name="_Toc223686667"/>
      <w:bookmarkStart w:id="135" w:name="_Toc237355969"/>
      <w:r>
        <w:lastRenderedPageBreak/>
        <w:t>A</w:t>
      </w:r>
      <w:r w:rsidR="00B14277">
        <w:t xml:space="preserve">PPENDIX </w:t>
      </w:r>
      <w:r w:rsidR="00A55529">
        <w:t>D</w:t>
      </w:r>
      <w:r>
        <w:t>: Glossary of Terms</w:t>
      </w:r>
      <w:bookmarkEnd w:id="133"/>
      <w:bookmarkEnd w:id="134"/>
      <w:bookmarkEnd w:id="135"/>
    </w:p>
    <w:tbl>
      <w:tblPr>
        <w:tblW w:w="936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shd w:val="clear" w:color="auto" w:fill="FFFFFF" w:themeFill="background1"/>
        <w:tblCellMar>
          <w:left w:w="10" w:type="dxa"/>
          <w:right w:w="10" w:type="dxa"/>
        </w:tblCellMar>
        <w:tblLook w:val="04A0" w:firstRow="1" w:lastRow="0" w:firstColumn="1" w:lastColumn="0" w:noHBand="0" w:noVBand="1"/>
      </w:tblPr>
      <w:tblGrid>
        <w:gridCol w:w="2340"/>
        <w:gridCol w:w="7020"/>
      </w:tblGrid>
      <w:tr w:rsidR="00741A88" w:rsidRPr="00741A88" w14:paraId="7C302E91" w14:textId="77777777" w:rsidTr="003C59F9">
        <w:trPr>
          <w:tblHeader/>
        </w:trPr>
        <w:tc>
          <w:tcPr>
            <w:tcW w:w="2340" w:type="dxa"/>
            <w:shd w:val="clear" w:color="auto" w:fill="42618C" w:themeFill="accent3"/>
            <w:tcMar>
              <w:top w:w="80" w:type="dxa"/>
              <w:left w:w="120" w:type="dxa"/>
              <w:bottom w:w="80" w:type="dxa"/>
              <w:right w:w="120" w:type="dxa"/>
            </w:tcMar>
            <w:vAlign w:val="center"/>
          </w:tcPr>
          <w:p w14:paraId="541D74C0" w14:textId="77777777" w:rsidR="00741A88" w:rsidRPr="00EA160F" w:rsidRDefault="00741A88" w:rsidP="00741A88">
            <w:pPr>
              <w:rPr>
                <w:sz w:val="18"/>
                <w:szCs w:val="18"/>
              </w:rPr>
            </w:pPr>
            <w:r w:rsidRPr="00EA160F">
              <w:rPr>
                <w:color w:val="FFFFFF"/>
                <w:sz w:val="18"/>
                <w:szCs w:val="18"/>
              </w:rPr>
              <w:t>Term</w:t>
            </w:r>
          </w:p>
        </w:tc>
        <w:tc>
          <w:tcPr>
            <w:tcW w:w="7020" w:type="dxa"/>
            <w:shd w:val="clear" w:color="auto" w:fill="42618C" w:themeFill="accent3"/>
            <w:tcMar>
              <w:top w:w="80" w:type="dxa"/>
              <w:left w:w="120" w:type="dxa"/>
              <w:bottom w:w="80" w:type="dxa"/>
              <w:right w:w="120" w:type="dxa"/>
            </w:tcMar>
            <w:vAlign w:val="center"/>
          </w:tcPr>
          <w:p w14:paraId="0914C0AC" w14:textId="77777777" w:rsidR="00741A88" w:rsidRPr="00EA160F" w:rsidRDefault="00741A88" w:rsidP="00741A88">
            <w:pPr>
              <w:rPr>
                <w:sz w:val="18"/>
                <w:szCs w:val="18"/>
              </w:rPr>
            </w:pPr>
            <w:r w:rsidRPr="00EA160F">
              <w:rPr>
                <w:color w:val="FFFFFF"/>
                <w:sz w:val="18"/>
                <w:szCs w:val="18"/>
              </w:rPr>
              <w:t>Definition</w:t>
            </w:r>
          </w:p>
        </w:tc>
      </w:tr>
      <w:tr w:rsidR="00741A88" w:rsidRPr="00741A88" w14:paraId="48DEAE53" w14:textId="77777777" w:rsidTr="00023EC7">
        <w:tc>
          <w:tcPr>
            <w:tcW w:w="2340" w:type="dxa"/>
            <w:shd w:val="clear" w:color="auto" w:fill="F2F2F2" w:themeFill="background1" w:themeFillShade="F2"/>
            <w:tcMar>
              <w:top w:w="80" w:type="dxa"/>
              <w:left w:w="120" w:type="dxa"/>
              <w:bottom w:w="80" w:type="dxa"/>
              <w:right w:w="120" w:type="dxa"/>
            </w:tcMar>
            <w:vAlign w:val="center"/>
          </w:tcPr>
          <w:p w14:paraId="5F7777B2" w14:textId="77777777" w:rsidR="00741A88" w:rsidRPr="00EA160F" w:rsidRDefault="00741A88" w:rsidP="00741A88">
            <w:pPr>
              <w:rPr>
                <w:sz w:val="18"/>
                <w:szCs w:val="18"/>
              </w:rPr>
            </w:pPr>
            <w:r w:rsidRPr="00741A88">
              <w:rPr>
                <w:sz w:val="18"/>
                <w:szCs w:val="18"/>
              </w:rPr>
              <w:t>ALICE Households</w:t>
            </w:r>
          </w:p>
        </w:tc>
        <w:tc>
          <w:tcPr>
            <w:tcW w:w="7020" w:type="dxa"/>
            <w:shd w:val="clear" w:color="auto" w:fill="F2F2F2" w:themeFill="background1" w:themeFillShade="F2"/>
            <w:tcMar>
              <w:top w:w="80" w:type="dxa"/>
              <w:left w:w="120" w:type="dxa"/>
              <w:bottom w:w="80" w:type="dxa"/>
              <w:right w:w="120" w:type="dxa"/>
            </w:tcMar>
            <w:vAlign w:val="center"/>
          </w:tcPr>
          <w:p w14:paraId="0537CDCC" w14:textId="6A63EC27" w:rsidR="00741A88" w:rsidRPr="00EA160F" w:rsidRDefault="00741A88" w:rsidP="00741A88">
            <w:pPr>
              <w:rPr>
                <w:sz w:val="18"/>
                <w:szCs w:val="18"/>
              </w:rPr>
            </w:pPr>
            <w:r w:rsidRPr="00741A88">
              <w:rPr>
                <w:sz w:val="18"/>
                <w:szCs w:val="18"/>
              </w:rPr>
              <w:t xml:space="preserve">An acronym for </w:t>
            </w:r>
            <w:r>
              <w:rPr>
                <w:sz w:val="18"/>
                <w:szCs w:val="18"/>
              </w:rPr>
              <w:t>“</w:t>
            </w:r>
            <w:r w:rsidRPr="00741A88">
              <w:rPr>
                <w:sz w:val="18"/>
                <w:szCs w:val="18"/>
              </w:rPr>
              <w:t>Asset Limited, Income Constrained, Employed.</w:t>
            </w:r>
            <w:r>
              <w:rPr>
                <w:sz w:val="18"/>
                <w:szCs w:val="18"/>
              </w:rPr>
              <w:t>”</w:t>
            </w:r>
            <w:r w:rsidRPr="00741A88">
              <w:rPr>
                <w:sz w:val="18"/>
                <w:szCs w:val="18"/>
              </w:rPr>
              <w:t xml:space="preserve"> Describes households whose incomes fall above the official poverty line but below the </w:t>
            </w:r>
            <w:r w:rsidR="00AF57F6">
              <w:rPr>
                <w:sz w:val="18"/>
                <w:szCs w:val="18"/>
              </w:rPr>
              <w:t>wage</w:t>
            </w:r>
            <w:r w:rsidRPr="00741A88">
              <w:rPr>
                <w:sz w:val="18"/>
                <w:szCs w:val="18"/>
              </w:rPr>
              <w:t xml:space="preserve"> threshold required to afford basic living costs (housing, food, transportation, childcare, healthcare). These households typically do not qualify for subsidized housing programs but cannot afford market-rate housing.</w:t>
            </w:r>
          </w:p>
        </w:tc>
      </w:tr>
      <w:tr w:rsidR="00741A88" w:rsidRPr="00741A88" w14:paraId="195E2888" w14:textId="77777777" w:rsidTr="00741A88">
        <w:tc>
          <w:tcPr>
            <w:tcW w:w="2340" w:type="dxa"/>
            <w:shd w:val="clear" w:color="auto" w:fill="FFFFFF" w:themeFill="background1"/>
            <w:tcMar>
              <w:top w:w="80" w:type="dxa"/>
              <w:left w:w="120" w:type="dxa"/>
              <w:bottom w:w="80" w:type="dxa"/>
              <w:right w:w="120" w:type="dxa"/>
            </w:tcMar>
            <w:vAlign w:val="center"/>
          </w:tcPr>
          <w:p w14:paraId="21D28E3B" w14:textId="77777777" w:rsidR="00741A88" w:rsidRPr="00EA160F" w:rsidRDefault="00741A88" w:rsidP="00741A88">
            <w:pPr>
              <w:rPr>
                <w:sz w:val="18"/>
                <w:szCs w:val="18"/>
              </w:rPr>
            </w:pPr>
            <w:r w:rsidRPr="00741A88">
              <w:rPr>
                <w:sz w:val="18"/>
                <w:szCs w:val="18"/>
              </w:rPr>
              <w:t>Area Median Household Income (AMHI)</w:t>
            </w:r>
          </w:p>
        </w:tc>
        <w:tc>
          <w:tcPr>
            <w:tcW w:w="7020" w:type="dxa"/>
            <w:shd w:val="clear" w:color="auto" w:fill="FFFFFF" w:themeFill="background1"/>
            <w:tcMar>
              <w:top w:w="80" w:type="dxa"/>
              <w:left w:w="120" w:type="dxa"/>
              <w:bottom w:w="80" w:type="dxa"/>
              <w:right w:w="120" w:type="dxa"/>
            </w:tcMar>
            <w:vAlign w:val="center"/>
          </w:tcPr>
          <w:p w14:paraId="25A72C60" w14:textId="5B1A13CF" w:rsidR="00741A88" w:rsidRPr="00EA160F" w:rsidRDefault="00741A88" w:rsidP="00741A88">
            <w:pPr>
              <w:rPr>
                <w:sz w:val="18"/>
                <w:szCs w:val="18"/>
              </w:rPr>
            </w:pPr>
            <w:r w:rsidRPr="00741A88">
              <w:rPr>
                <w:sz w:val="18"/>
                <w:szCs w:val="18"/>
              </w:rPr>
              <w:t xml:space="preserve">The midpoint of the household income distribution for a specific geographic area. Used as a benchmark for defining income categories in housing needs assessments. For example, 'very </w:t>
            </w:r>
            <w:r w:rsidR="00055EBB">
              <w:rPr>
                <w:sz w:val="18"/>
                <w:szCs w:val="18"/>
              </w:rPr>
              <w:t>low-</w:t>
            </w:r>
            <w:r w:rsidRPr="00741A88">
              <w:rPr>
                <w:sz w:val="18"/>
                <w:szCs w:val="18"/>
              </w:rPr>
              <w:t>income' households earn up to 20% of AMHI, while 'high income' households earn more than 120% of AMHI.</w:t>
            </w:r>
          </w:p>
        </w:tc>
      </w:tr>
      <w:tr w:rsidR="00741A88" w:rsidRPr="00741A88" w14:paraId="7BC4A360" w14:textId="77777777" w:rsidTr="00023EC7">
        <w:tc>
          <w:tcPr>
            <w:tcW w:w="2340" w:type="dxa"/>
            <w:shd w:val="clear" w:color="auto" w:fill="F2F2F2" w:themeFill="background1" w:themeFillShade="F2"/>
            <w:tcMar>
              <w:top w:w="80" w:type="dxa"/>
              <w:left w:w="120" w:type="dxa"/>
              <w:bottom w:w="80" w:type="dxa"/>
              <w:right w:w="120" w:type="dxa"/>
            </w:tcMar>
            <w:vAlign w:val="center"/>
          </w:tcPr>
          <w:p w14:paraId="4C45B216" w14:textId="77777777" w:rsidR="00741A88" w:rsidRPr="00EA160F" w:rsidRDefault="00741A88" w:rsidP="00741A88">
            <w:pPr>
              <w:rPr>
                <w:sz w:val="18"/>
                <w:szCs w:val="18"/>
              </w:rPr>
            </w:pPr>
            <w:r w:rsidRPr="00741A88">
              <w:rPr>
                <w:sz w:val="18"/>
                <w:szCs w:val="18"/>
              </w:rPr>
              <w:t>Build Canada Homes (BCH)</w:t>
            </w:r>
          </w:p>
        </w:tc>
        <w:tc>
          <w:tcPr>
            <w:tcW w:w="7020" w:type="dxa"/>
            <w:shd w:val="clear" w:color="auto" w:fill="F2F2F2" w:themeFill="background1" w:themeFillShade="F2"/>
            <w:tcMar>
              <w:top w:w="80" w:type="dxa"/>
              <w:left w:w="120" w:type="dxa"/>
              <w:bottom w:w="80" w:type="dxa"/>
              <w:right w:w="120" w:type="dxa"/>
            </w:tcMar>
            <w:vAlign w:val="center"/>
          </w:tcPr>
          <w:p w14:paraId="28CDD72D" w14:textId="77777777" w:rsidR="00741A88" w:rsidRPr="00EA160F" w:rsidRDefault="00741A88" w:rsidP="00741A88">
            <w:pPr>
              <w:rPr>
                <w:sz w:val="18"/>
                <w:szCs w:val="18"/>
              </w:rPr>
            </w:pPr>
            <w:r w:rsidRPr="00741A88">
              <w:rPr>
                <w:sz w:val="18"/>
                <w:szCs w:val="18"/>
              </w:rPr>
              <w:t>A federal agency launched in 2025 focused on building affordable housing at scale through non-market and mixed-income development, direct build on federal lands, public-private partnerships, and modern construction methods. BCH defines housing as affordable when rents do not exceed 30% of local pre-tax household income.</w:t>
            </w:r>
          </w:p>
        </w:tc>
      </w:tr>
      <w:tr w:rsidR="00741A88" w:rsidRPr="00741A88" w14:paraId="25AF00A0" w14:textId="77777777" w:rsidTr="00741A88">
        <w:tc>
          <w:tcPr>
            <w:tcW w:w="2340" w:type="dxa"/>
            <w:shd w:val="clear" w:color="auto" w:fill="FFFFFF" w:themeFill="background1"/>
            <w:tcMar>
              <w:top w:w="80" w:type="dxa"/>
              <w:left w:w="120" w:type="dxa"/>
              <w:bottom w:w="80" w:type="dxa"/>
              <w:right w:w="120" w:type="dxa"/>
            </w:tcMar>
            <w:vAlign w:val="center"/>
          </w:tcPr>
          <w:p w14:paraId="41BC8566" w14:textId="5D2182B3" w:rsidR="00741A88" w:rsidRPr="00EA160F" w:rsidRDefault="009D5DCF" w:rsidP="00741A88">
            <w:pPr>
              <w:rPr>
                <w:sz w:val="18"/>
                <w:szCs w:val="18"/>
              </w:rPr>
            </w:pPr>
            <w:r>
              <w:rPr>
                <w:sz w:val="18"/>
                <w:szCs w:val="18"/>
              </w:rPr>
              <w:t>Build Communities Strong Fund (BCSF)</w:t>
            </w:r>
          </w:p>
        </w:tc>
        <w:tc>
          <w:tcPr>
            <w:tcW w:w="7020" w:type="dxa"/>
            <w:shd w:val="clear" w:color="auto" w:fill="FFFFFF" w:themeFill="background1"/>
            <w:tcMar>
              <w:top w:w="80" w:type="dxa"/>
              <w:left w:w="120" w:type="dxa"/>
              <w:bottom w:w="80" w:type="dxa"/>
              <w:right w:w="120" w:type="dxa"/>
            </w:tcMar>
            <w:vAlign w:val="center"/>
          </w:tcPr>
          <w:p w14:paraId="785666B4" w14:textId="77777777" w:rsidR="00741A88" w:rsidRPr="00EA160F" w:rsidRDefault="00741A88" w:rsidP="00741A88">
            <w:pPr>
              <w:rPr>
                <w:sz w:val="18"/>
                <w:szCs w:val="18"/>
              </w:rPr>
            </w:pPr>
            <w:r w:rsidRPr="00741A88">
              <w:rPr>
                <w:sz w:val="18"/>
                <w:szCs w:val="18"/>
              </w:rPr>
              <w:t>A federal funding program that provides municipalities with funding for infrastructure and housing-related investments. Requires communities to complete Housing Needs Assessments that meet specific federal data and reporting requirements.</w:t>
            </w:r>
          </w:p>
        </w:tc>
      </w:tr>
      <w:tr w:rsidR="00741A88" w:rsidRPr="00741A88" w14:paraId="5CA2D27E" w14:textId="77777777" w:rsidTr="00023EC7">
        <w:tc>
          <w:tcPr>
            <w:tcW w:w="2340" w:type="dxa"/>
            <w:shd w:val="clear" w:color="auto" w:fill="F2F2F2" w:themeFill="background1" w:themeFillShade="F2"/>
            <w:tcMar>
              <w:top w:w="80" w:type="dxa"/>
              <w:left w:w="120" w:type="dxa"/>
              <w:bottom w:w="80" w:type="dxa"/>
              <w:right w:w="120" w:type="dxa"/>
            </w:tcMar>
            <w:vAlign w:val="center"/>
          </w:tcPr>
          <w:p w14:paraId="45B7D011" w14:textId="77777777" w:rsidR="00741A88" w:rsidRPr="00EA160F" w:rsidRDefault="00741A88" w:rsidP="00741A88">
            <w:pPr>
              <w:rPr>
                <w:sz w:val="18"/>
                <w:szCs w:val="18"/>
              </w:rPr>
            </w:pPr>
            <w:r w:rsidRPr="00741A88">
              <w:rPr>
                <w:sz w:val="18"/>
                <w:szCs w:val="18"/>
              </w:rPr>
              <w:t>Canadian Index of Multiple Deprivation (CIMD)</w:t>
            </w:r>
          </w:p>
        </w:tc>
        <w:tc>
          <w:tcPr>
            <w:tcW w:w="7020" w:type="dxa"/>
            <w:shd w:val="clear" w:color="auto" w:fill="F2F2F2" w:themeFill="background1" w:themeFillShade="F2"/>
            <w:tcMar>
              <w:top w:w="80" w:type="dxa"/>
              <w:left w:w="120" w:type="dxa"/>
              <w:bottom w:w="80" w:type="dxa"/>
              <w:right w:w="120" w:type="dxa"/>
            </w:tcMar>
            <w:vAlign w:val="center"/>
          </w:tcPr>
          <w:p w14:paraId="37B60321" w14:textId="77777777" w:rsidR="00741A88" w:rsidRPr="00EA160F" w:rsidRDefault="00741A88" w:rsidP="00741A88">
            <w:pPr>
              <w:rPr>
                <w:sz w:val="18"/>
                <w:szCs w:val="18"/>
              </w:rPr>
            </w:pPr>
            <w:r w:rsidRPr="00741A88">
              <w:rPr>
                <w:sz w:val="18"/>
                <w:szCs w:val="18"/>
              </w:rPr>
              <w:t>A Statistics Canada index measuring neighbourhood-level social and economic conditions across four dimensions: residential instability, economic dependency, ethno-cultural marginalization risk, and situational vulnerability. Derived from 2021 Census data at the dissemination area level.</w:t>
            </w:r>
          </w:p>
        </w:tc>
      </w:tr>
      <w:tr w:rsidR="00741A88" w:rsidRPr="00741A88" w14:paraId="7C50FD9C" w14:textId="77777777" w:rsidTr="00741A88">
        <w:tc>
          <w:tcPr>
            <w:tcW w:w="2340" w:type="dxa"/>
            <w:shd w:val="clear" w:color="auto" w:fill="FFFFFF" w:themeFill="background1"/>
            <w:tcMar>
              <w:top w:w="80" w:type="dxa"/>
              <w:left w:w="120" w:type="dxa"/>
              <w:bottom w:w="80" w:type="dxa"/>
              <w:right w:w="120" w:type="dxa"/>
            </w:tcMar>
            <w:vAlign w:val="center"/>
          </w:tcPr>
          <w:p w14:paraId="6D720CE1" w14:textId="77777777" w:rsidR="00741A88" w:rsidRPr="00EA160F" w:rsidRDefault="00741A88" w:rsidP="00741A88">
            <w:pPr>
              <w:rPr>
                <w:sz w:val="18"/>
                <w:szCs w:val="18"/>
              </w:rPr>
            </w:pPr>
            <w:r w:rsidRPr="00741A88">
              <w:rPr>
                <w:sz w:val="18"/>
                <w:szCs w:val="18"/>
              </w:rPr>
              <w:t>Canadian Index of Social Resilience (CISR)</w:t>
            </w:r>
          </w:p>
        </w:tc>
        <w:tc>
          <w:tcPr>
            <w:tcW w:w="7020" w:type="dxa"/>
            <w:shd w:val="clear" w:color="auto" w:fill="FFFFFF" w:themeFill="background1"/>
            <w:tcMar>
              <w:top w:w="80" w:type="dxa"/>
              <w:left w:w="120" w:type="dxa"/>
              <w:bottom w:w="80" w:type="dxa"/>
              <w:right w:w="120" w:type="dxa"/>
            </w:tcMar>
            <w:vAlign w:val="center"/>
          </w:tcPr>
          <w:p w14:paraId="4B64FD29" w14:textId="77777777" w:rsidR="00741A88" w:rsidRPr="00EA160F" w:rsidRDefault="00741A88" w:rsidP="00741A88">
            <w:pPr>
              <w:rPr>
                <w:sz w:val="18"/>
                <w:szCs w:val="18"/>
              </w:rPr>
            </w:pPr>
            <w:r w:rsidRPr="00741A88">
              <w:rPr>
                <w:sz w:val="18"/>
                <w:szCs w:val="18"/>
              </w:rPr>
              <w:t>A Statistics Canada index measuring a community's collective structural capacity to absorb and recover from disruptions. Reflects human capital, economic diversity, and institutional infrastructure. A higher score indicates greater resilience capacity.</w:t>
            </w:r>
          </w:p>
        </w:tc>
      </w:tr>
      <w:tr w:rsidR="00741A88" w:rsidRPr="00741A88" w14:paraId="0BD1DD3A" w14:textId="77777777" w:rsidTr="00283898">
        <w:tc>
          <w:tcPr>
            <w:tcW w:w="2340" w:type="dxa"/>
            <w:shd w:val="clear" w:color="auto" w:fill="F2F2F2" w:themeFill="background1" w:themeFillShade="F2"/>
            <w:tcMar>
              <w:top w:w="80" w:type="dxa"/>
              <w:left w:w="120" w:type="dxa"/>
              <w:bottom w:w="80" w:type="dxa"/>
              <w:right w:w="120" w:type="dxa"/>
            </w:tcMar>
            <w:vAlign w:val="center"/>
          </w:tcPr>
          <w:p w14:paraId="4A1E4335" w14:textId="77777777" w:rsidR="00741A88" w:rsidRPr="00EA160F" w:rsidRDefault="00741A88" w:rsidP="00741A88">
            <w:pPr>
              <w:rPr>
                <w:sz w:val="18"/>
                <w:szCs w:val="18"/>
              </w:rPr>
            </w:pPr>
            <w:r w:rsidRPr="00741A88">
              <w:rPr>
                <w:sz w:val="18"/>
                <w:szCs w:val="18"/>
              </w:rPr>
              <w:t>Canadian Index of Social Vulnerability (CISV)</w:t>
            </w:r>
          </w:p>
        </w:tc>
        <w:tc>
          <w:tcPr>
            <w:tcW w:w="7020" w:type="dxa"/>
            <w:shd w:val="clear" w:color="auto" w:fill="F2F2F2" w:themeFill="background1" w:themeFillShade="F2"/>
            <w:tcMar>
              <w:top w:w="80" w:type="dxa"/>
              <w:left w:w="120" w:type="dxa"/>
              <w:bottom w:w="80" w:type="dxa"/>
              <w:right w:w="120" w:type="dxa"/>
            </w:tcMar>
            <w:vAlign w:val="center"/>
          </w:tcPr>
          <w:p w14:paraId="060513B6" w14:textId="1276D301" w:rsidR="00741A88" w:rsidRPr="00EA160F" w:rsidRDefault="00741A88" w:rsidP="00741A88">
            <w:pPr>
              <w:rPr>
                <w:sz w:val="18"/>
                <w:szCs w:val="18"/>
              </w:rPr>
            </w:pPr>
            <w:r w:rsidRPr="00741A88">
              <w:rPr>
                <w:sz w:val="18"/>
                <w:szCs w:val="18"/>
              </w:rPr>
              <w:t xml:space="preserve">A Statistics Canada index measuring the distribution of risk factors—such as disability, </w:t>
            </w:r>
            <w:r w:rsidR="00055EBB">
              <w:rPr>
                <w:sz w:val="18"/>
                <w:szCs w:val="18"/>
              </w:rPr>
              <w:t>low-income</w:t>
            </w:r>
            <w:r w:rsidRPr="00741A88">
              <w:rPr>
                <w:sz w:val="18"/>
                <w:szCs w:val="18"/>
              </w:rPr>
              <w:t>, and housing inadequacy—that amplify harm when disruptions occur. A higher score indicates a greater concentration of vulnerability in the population.</w:t>
            </w:r>
          </w:p>
        </w:tc>
      </w:tr>
      <w:tr w:rsidR="00741A88" w:rsidRPr="00741A88" w14:paraId="319B4572" w14:textId="77777777" w:rsidTr="00741A88">
        <w:tc>
          <w:tcPr>
            <w:tcW w:w="2340" w:type="dxa"/>
            <w:shd w:val="clear" w:color="auto" w:fill="FFFFFF" w:themeFill="background1"/>
            <w:tcMar>
              <w:top w:w="80" w:type="dxa"/>
              <w:left w:w="120" w:type="dxa"/>
              <w:bottom w:w="80" w:type="dxa"/>
              <w:right w:w="120" w:type="dxa"/>
            </w:tcMar>
            <w:vAlign w:val="center"/>
          </w:tcPr>
          <w:p w14:paraId="0D209EB7" w14:textId="77777777" w:rsidR="00741A88" w:rsidRPr="00EA160F" w:rsidRDefault="00741A88" w:rsidP="00741A88">
            <w:pPr>
              <w:rPr>
                <w:sz w:val="18"/>
                <w:szCs w:val="18"/>
              </w:rPr>
            </w:pPr>
            <w:r w:rsidRPr="00741A88">
              <w:rPr>
                <w:sz w:val="18"/>
                <w:szCs w:val="18"/>
              </w:rPr>
              <w:t>Census Subdivision (CSD)</w:t>
            </w:r>
          </w:p>
        </w:tc>
        <w:tc>
          <w:tcPr>
            <w:tcW w:w="7020" w:type="dxa"/>
            <w:shd w:val="clear" w:color="auto" w:fill="FFFFFF" w:themeFill="background1"/>
            <w:tcMar>
              <w:top w:w="80" w:type="dxa"/>
              <w:left w:w="120" w:type="dxa"/>
              <w:bottom w:w="80" w:type="dxa"/>
              <w:right w:w="120" w:type="dxa"/>
            </w:tcMar>
            <w:vAlign w:val="center"/>
          </w:tcPr>
          <w:p w14:paraId="37757F23" w14:textId="60AFC175" w:rsidR="00741A88" w:rsidRPr="00EA160F" w:rsidRDefault="00741A88" w:rsidP="00741A88">
            <w:pPr>
              <w:rPr>
                <w:sz w:val="18"/>
                <w:szCs w:val="18"/>
              </w:rPr>
            </w:pPr>
            <w:r w:rsidRPr="00741A88">
              <w:rPr>
                <w:sz w:val="18"/>
                <w:szCs w:val="18"/>
              </w:rPr>
              <w:t>A standard Statistics Canada geographic unit corresponding to a municipality or an area treated as equivalent to a municipality for statistical purposes. The primary geographic level used in Housing Needs Assessments.</w:t>
            </w:r>
          </w:p>
        </w:tc>
      </w:tr>
      <w:tr w:rsidR="00741A88" w:rsidRPr="00741A88" w14:paraId="061FB025" w14:textId="77777777" w:rsidTr="00EA160F">
        <w:tc>
          <w:tcPr>
            <w:tcW w:w="2340" w:type="dxa"/>
            <w:shd w:val="clear" w:color="auto" w:fill="F2F2F2" w:themeFill="background1" w:themeFillShade="F2"/>
            <w:tcMar>
              <w:top w:w="80" w:type="dxa"/>
              <w:left w:w="120" w:type="dxa"/>
              <w:bottom w:w="80" w:type="dxa"/>
              <w:right w:w="120" w:type="dxa"/>
            </w:tcMar>
            <w:vAlign w:val="center"/>
          </w:tcPr>
          <w:p w14:paraId="2CC3F730" w14:textId="77777777" w:rsidR="00741A88" w:rsidRPr="00EA160F" w:rsidRDefault="00741A88" w:rsidP="00741A88">
            <w:pPr>
              <w:rPr>
                <w:sz w:val="18"/>
                <w:szCs w:val="18"/>
              </w:rPr>
            </w:pPr>
            <w:r w:rsidRPr="00741A88">
              <w:rPr>
                <w:sz w:val="18"/>
                <w:szCs w:val="18"/>
              </w:rPr>
              <w:t>CMHC Rental Market Survey (RMS)</w:t>
            </w:r>
          </w:p>
        </w:tc>
        <w:tc>
          <w:tcPr>
            <w:tcW w:w="7020" w:type="dxa"/>
            <w:shd w:val="clear" w:color="auto" w:fill="F2F2F2" w:themeFill="background1" w:themeFillShade="F2"/>
            <w:tcMar>
              <w:top w:w="80" w:type="dxa"/>
              <w:left w:w="120" w:type="dxa"/>
              <w:bottom w:w="80" w:type="dxa"/>
              <w:right w:w="120" w:type="dxa"/>
            </w:tcMar>
            <w:vAlign w:val="center"/>
          </w:tcPr>
          <w:p w14:paraId="74EEBEEE" w14:textId="77777777" w:rsidR="00741A88" w:rsidRPr="00EA160F" w:rsidRDefault="00741A88" w:rsidP="00741A88">
            <w:pPr>
              <w:rPr>
                <w:sz w:val="18"/>
                <w:szCs w:val="18"/>
              </w:rPr>
            </w:pPr>
            <w:r w:rsidRPr="00741A88">
              <w:rPr>
                <w:sz w:val="18"/>
                <w:szCs w:val="18"/>
              </w:rPr>
              <w:t>An annual survey conducted by Canada Mortgage and Housing Corporation (CMHC) that collects data on vacancy rates, average rents, and the size distribution of purpose-built rental units in Canadian communities. A primary source for rental market analysis in housing needs assessments.</w:t>
            </w:r>
          </w:p>
        </w:tc>
      </w:tr>
      <w:tr w:rsidR="00741A88" w:rsidRPr="00741A88" w14:paraId="33D84D81" w14:textId="77777777" w:rsidTr="00741A88">
        <w:tc>
          <w:tcPr>
            <w:tcW w:w="2340" w:type="dxa"/>
            <w:shd w:val="clear" w:color="auto" w:fill="FFFFFF" w:themeFill="background1"/>
            <w:tcMar>
              <w:top w:w="80" w:type="dxa"/>
              <w:left w:w="120" w:type="dxa"/>
              <w:bottom w:w="80" w:type="dxa"/>
              <w:right w:w="120" w:type="dxa"/>
            </w:tcMar>
            <w:vAlign w:val="center"/>
          </w:tcPr>
          <w:p w14:paraId="08B51C57" w14:textId="77777777" w:rsidR="00741A88" w:rsidRPr="00EA160F" w:rsidRDefault="00741A88" w:rsidP="00741A88">
            <w:pPr>
              <w:rPr>
                <w:sz w:val="18"/>
                <w:szCs w:val="18"/>
              </w:rPr>
            </w:pPr>
            <w:r w:rsidRPr="00741A88">
              <w:rPr>
                <w:sz w:val="18"/>
                <w:szCs w:val="18"/>
              </w:rPr>
              <w:t>Co-operative Housing</w:t>
            </w:r>
          </w:p>
        </w:tc>
        <w:tc>
          <w:tcPr>
            <w:tcW w:w="7020" w:type="dxa"/>
            <w:shd w:val="clear" w:color="auto" w:fill="FFFFFF" w:themeFill="background1"/>
            <w:tcMar>
              <w:top w:w="80" w:type="dxa"/>
              <w:left w:w="120" w:type="dxa"/>
              <w:bottom w:w="80" w:type="dxa"/>
              <w:right w:w="120" w:type="dxa"/>
            </w:tcMar>
            <w:vAlign w:val="center"/>
          </w:tcPr>
          <w:p w14:paraId="270CDF1E" w14:textId="77777777" w:rsidR="00741A88" w:rsidRPr="00EA160F" w:rsidRDefault="00741A88" w:rsidP="00741A88">
            <w:pPr>
              <w:rPr>
                <w:sz w:val="18"/>
                <w:szCs w:val="18"/>
              </w:rPr>
            </w:pPr>
            <w:r w:rsidRPr="00741A88">
              <w:rPr>
                <w:sz w:val="18"/>
                <w:szCs w:val="18"/>
              </w:rPr>
              <w:t>A form of non-market housing in which residents collectively own and govern the housing corporation. Members pay monthly housing charges (similar to rent) rather than market-rate rent, and the cooperative is typically operated on a not-for-profit basis.</w:t>
            </w:r>
          </w:p>
        </w:tc>
      </w:tr>
      <w:tr w:rsidR="00741A88" w:rsidRPr="00741A88" w14:paraId="673627C4" w14:textId="77777777" w:rsidTr="00EA160F">
        <w:tc>
          <w:tcPr>
            <w:tcW w:w="2340" w:type="dxa"/>
            <w:shd w:val="clear" w:color="auto" w:fill="F2F2F2" w:themeFill="background1" w:themeFillShade="F2"/>
            <w:tcMar>
              <w:top w:w="80" w:type="dxa"/>
              <w:left w:w="120" w:type="dxa"/>
              <w:bottom w:w="80" w:type="dxa"/>
              <w:right w:w="120" w:type="dxa"/>
            </w:tcMar>
            <w:vAlign w:val="center"/>
          </w:tcPr>
          <w:p w14:paraId="0C220BE8" w14:textId="77777777" w:rsidR="00741A88" w:rsidRPr="00EA160F" w:rsidRDefault="00741A88" w:rsidP="00741A88">
            <w:pPr>
              <w:rPr>
                <w:sz w:val="18"/>
                <w:szCs w:val="18"/>
              </w:rPr>
            </w:pPr>
            <w:r w:rsidRPr="00741A88">
              <w:rPr>
                <w:sz w:val="18"/>
                <w:szCs w:val="18"/>
              </w:rPr>
              <w:t>Core Housing Need</w:t>
            </w:r>
          </w:p>
        </w:tc>
        <w:tc>
          <w:tcPr>
            <w:tcW w:w="7020" w:type="dxa"/>
            <w:shd w:val="clear" w:color="auto" w:fill="F2F2F2" w:themeFill="background1" w:themeFillShade="F2"/>
            <w:tcMar>
              <w:top w:w="80" w:type="dxa"/>
              <w:left w:w="120" w:type="dxa"/>
              <w:bottom w:w="80" w:type="dxa"/>
              <w:right w:w="120" w:type="dxa"/>
            </w:tcMar>
            <w:vAlign w:val="center"/>
          </w:tcPr>
          <w:p w14:paraId="6F988EAA" w14:textId="77777777" w:rsidR="00741A88" w:rsidRDefault="00741A88" w:rsidP="00741A88">
            <w:pPr>
              <w:rPr>
                <w:sz w:val="18"/>
                <w:szCs w:val="18"/>
              </w:rPr>
            </w:pPr>
            <w:r w:rsidRPr="00741A88">
              <w:rPr>
                <w:sz w:val="18"/>
                <w:szCs w:val="18"/>
              </w:rPr>
              <w:t>The federal government's primary measure of housing precarity. A household is considered to be in core housing need when its dwelling is unaffordable (shelter costs exceed 30% of before-tax income), unsuitable (too small for the household's size and composition), or inadequate (requires major repair), and the household could not afford alternative acceptable housing in its local market.</w:t>
            </w:r>
          </w:p>
          <w:p w14:paraId="5D29FFDC" w14:textId="77777777" w:rsidR="009F35BF" w:rsidRDefault="009F35BF" w:rsidP="00741A88">
            <w:pPr>
              <w:rPr>
                <w:sz w:val="18"/>
                <w:szCs w:val="18"/>
              </w:rPr>
            </w:pPr>
          </w:p>
          <w:p w14:paraId="112F860C" w14:textId="549B1F4E" w:rsidR="009F35BF" w:rsidRPr="00EA160F" w:rsidRDefault="009F35BF" w:rsidP="00741A88">
            <w:pPr>
              <w:rPr>
                <w:sz w:val="18"/>
                <w:szCs w:val="18"/>
              </w:rPr>
            </w:pPr>
            <w:r w:rsidRPr="009F35BF">
              <w:rPr>
                <w:sz w:val="18"/>
                <w:szCs w:val="18"/>
              </w:rPr>
              <w:t xml:space="preserve">Core Housing Need data is drawn from a subset of all private households. Households located on First Nations reserves, on farms, or in collective dwellings such as shelters, student residences, and long-term care facilities are excluded, as are households where the primary maintainer is enrolled as a full-time student. </w:t>
            </w:r>
            <w:r w:rsidRPr="009F35BF">
              <w:rPr>
                <w:sz w:val="18"/>
                <w:szCs w:val="18"/>
              </w:rPr>
              <w:lastRenderedPageBreak/>
              <w:t>Additionally, households reporting zero or negative income, or where shelter costs represent more than 100% of before-tax household income, are excluded</w:t>
            </w:r>
            <w:r>
              <w:rPr>
                <w:sz w:val="18"/>
                <w:szCs w:val="18"/>
              </w:rPr>
              <w:t>.</w:t>
            </w:r>
          </w:p>
        </w:tc>
      </w:tr>
      <w:tr w:rsidR="00741A88" w:rsidRPr="00741A88" w14:paraId="7247F05A" w14:textId="77777777" w:rsidTr="00741A88">
        <w:tc>
          <w:tcPr>
            <w:tcW w:w="2340" w:type="dxa"/>
            <w:shd w:val="clear" w:color="auto" w:fill="FFFFFF" w:themeFill="background1"/>
            <w:tcMar>
              <w:top w:w="80" w:type="dxa"/>
              <w:left w:w="120" w:type="dxa"/>
              <w:bottom w:w="80" w:type="dxa"/>
              <w:right w:w="120" w:type="dxa"/>
            </w:tcMar>
            <w:vAlign w:val="center"/>
          </w:tcPr>
          <w:p w14:paraId="23A066E4" w14:textId="77777777" w:rsidR="00741A88" w:rsidRPr="00EA160F" w:rsidRDefault="00741A88" w:rsidP="00741A88">
            <w:pPr>
              <w:rPr>
                <w:sz w:val="18"/>
                <w:szCs w:val="18"/>
              </w:rPr>
            </w:pPr>
            <w:r w:rsidRPr="00741A88">
              <w:rPr>
                <w:sz w:val="18"/>
                <w:szCs w:val="18"/>
              </w:rPr>
              <w:lastRenderedPageBreak/>
              <w:t>Dissemination Area (DA)</w:t>
            </w:r>
          </w:p>
        </w:tc>
        <w:tc>
          <w:tcPr>
            <w:tcW w:w="7020" w:type="dxa"/>
            <w:shd w:val="clear" w:color="auto" w:fill="FFFFFF" w:themeFill="background1"/>
            <w:tcMar>
              <w:top w:w="80" w:type="dxa"/>
              <w:left w:w="120" w:type="dxa"/>
              <w:bottom w:w="80" w:type="dxa"/>
              <w:right w:w="120" w:type="dxa"/>
            </w:tcMar>
            <w:vAlign w:val="center"/>
          </w:tcPr>
          <w:p w14:paraId="5B9806C1" w14:textId="77777777" w:rsidR="00741A88" w:rsidRPr="00EA160F" w:rsidRDefault="00741A88" w:rsidP="00741A88">
            <w:pPr>
              <w:rPr>
                <w:sz w:val="18"/>
                <w:szCs w:val="18"/>
              </w:rPr>
            </w:pPr>
            <w:r w:rsidRPr="00741A88">
              <w:rPr>
                <w:sz w:val="18"/>
                <w:szCs w:val="18"/>
              </w:rPr>
              <w:t>The smallest standard geographic unit for which census data is publicly released in Canada. Typically encompasses 400 to 700 persons. Many vulnerability and deprivation indices are calculated at the dissemination area level before being aggregated to larger geographies.</w:t>
            </w:r>
          </w:p>
        </w:tc>
      </w:tr>
      <w:tr w:rsidR="00741A88" w:rsidRPr="00741A88" w14:paraId="2BFE5560" w14:textId="77777777" w:rsidTr="00EA160F">
        <w:tc>
          <w:tcPr>
            <w:tcW w:w="2340" w:type="dxa"/>
            <w:shd w:val="clear" w:color="auto" w:fill="F2F2F2" w:themeFill="background1" w:themeFillShade="F2"/>
            <w:tcMar>
              <w:top w:w="80" w:type="dxa"/>
              <w:left w:w="120" w:type="dxa"/>
              <w:bottom w:w="80" w:type="dxa"/>
              <w:right w:w="120" w:type="dxa"/>
            </w:tcMar>
            <w:vAlign w:val="center"/>
          </w:tcPr>
          <w:p w14:paraId="4CDCAF85" w14:textId="77777777" w:rsidR="00741A88" w:rsidRPr="00EA160F" w:rsidRDefault="00741A88" w:rsidP="00741A88">
            <w:pPr>
              <w:rPr>
                <w:sz w:val="18"/>
                <w:szCs w:val="18"/>
              </w:rPr>
            </w:pPr>
            <w:r w:rsidRPr="00741A88">
              <w:rPr>
                <w:sz w:val="18"/>
                <w:szCs w:val="18"/>
              </w:rPr>
              <w:t>Economic Dependency (CIMD)</w:t>
            </w:r>
          </w:p>
        </w:tc>
        <w:tc>
          <w:tcPr>
            <w:tcW w:w="7020" w:type="dxa"/>
            <w:shd w:val="clear" w:color="auto" w:fill="F2F2F2" w:themeFill="background1" w:themeFillShade="F2"/>
            <w:tcMar>
              <w:top w:w="80" w:type="dxa"/>
              <w:left w:w="120" w:type="dxa"/>
              <w:bottom w:w="80" w:type="dxa"/>
              <w:right w:w="120" w:type="dxa"/>
            </w:tcMar>
            <w:vAlign w:val="center"/>
          </w:tcPr>
          <w:p w14:paraId="494660DA" w14:textId="77777777" w:rsidR="00741A88" w:rsidRPr="00EA160F" w:rsidRDefault="00741A88" w:rsidP="00741A88">
            <w:pPr>
              <w:rPr>
                <w:sz w:val="18"/>
                <w:szCs w:val="18"/>
              </w:rPr>
            </w:pPr>
            <w:r w:rsidRPr="00741A88">
              <w:rPr>
                <w:sz w:val="18"/>
                <w:szCs w:val="18"/>
              </w:rPr>
              <w:t>A dimension of the Canadian Index of Multiple Deprivation measuring the degree to which the local population relies on government transfer payments or is outside the labour force, rather than deriving income from employment.</w:t>
            </w:r>
          </w:p>
        </w:tc>
      </w:tr>
      <w:tr w:rsidR="00B034B6" w:rsidRPr="00741A88" w14:paraId="78738675" w14:textId="77777777" w:rsidTr="003C59F9">
        <w:tc>
          <w:tcPr>
            <w:tcW w:w="2340" w:type="dxa"/>
            <w:shd w:val="clear" w:color="auto" w:fill="FFFFFF" w:themeFill="background1"/>
            <w:tcMar>
              <w:top w:w="80" w:type="dxa"/>
              <w:left w:w="120" w:type="dxa"/>
              <w:bottom w:w="80" w:type="dxa"/>
              <w:right w:w="120" w:type="dxa"/>
            </w:tcMar>
            <w:vAlign w:val="center"/>
          </w:tcPr>
          <w:p w14:paraId="35E73CC1" w14:textId="7B0A3455" w:rsidR="00B034B6" w:rsidRPr="00741A88" w:rsidRDefault="00B034B6" w:rsidP="00741A88">
            <w:pPr>
              <w:rPr>
                <w:sz w:val="18"/>
                <w:szCs w:val="18"/>
              </w:rPr>
            </w:pPr>
            <w:r>
              <w:rPr>
                <w:sz w:val="18"/>
                <w:szCs w:val="18"/>
              </w:rPr>
              <w:t>Economic Family</w:t>
            </w:r>
          </w:p>
        </w:tc>
        <w:tc>
          <w:tcPr>
            <w:tcW w:w="7020" w:type="dxa"/>
            <w:shd w:val="clear" w:color="auto" w:fill="FFFFFF" w:themeFill="background1"/>
            <w:tcMar>
              <w:top w:w="80" w:type="dxa"/>
              <w:left w:w="120" w:type="dxa"/>
              <w:bottom w:w="80" w:type="dxa"/>
              <w:right w:w="120" w:type="dxa"/>
            </w:tcMar>
            <w:vAlign w:val="center"/>
          </w:tcPr>
          <w:p w14:paraId="0312848B" w14:textId="5C7967A2" w:rsidR="00B034B6" w:rsidRPr="00741A88" w:rsidRDefault="008F1AA6" w:rsidP="00741A88">
            <w:pPr>
              <w:rPr>
                <w:sz w:val="18"/>
                <w:szCs w:val="18"/>
              </w:rPr>
            </w:pPr>
            <w:r>
              <w:rPr>
                <w:sz w:val="18"/>
                <w:szCs w:val="18"/>
              </w:rPr>
              <w:t>A</w:t>
            </w:r>
            <w:r w:rsidRPr="008F1AA6">
              <w:rPr>
                <w:sz w:val="18"/>
                <w:szCs w:val="18"/>
              </w:rPr>
              <w:t xml:space="preserve"> group of two or more persons living in the same dwelling, related by blood, marriage, common-law union, adoption, or a foster relationship. Unlike census families, this definition includes all related individuals (e.g., siblings, aunts/nephews) in one household.</w:t>
            </w:r>
          </w:p>
        </w:tc>
      </w:tr>
      <w:tr w:rsidR="00741A88" w:rsidRPr="00741A88" w14:paraId="7231C265" w14:textId="77777777" w:rsidTr="003C59F9">
        <w:tc>
          <w:tcPr>
            <w:tcW w:w="2340" w:type="dxa"/>
            <w:shd w:val="clear" w:color="auto" w:fill="F2F2F2" w:themeFill="background1" w:themeFillShade="F2"/>
            <w:tcMar>
              <w:top w:w="80" w:type="dxa"/>
              <w:left w:w="120" w:type="dxa"/>
              <w:bottom w:w="80" w:type="dxa"/>
              <w:right w:w="120" w:type="dxa"/>
            </w:tcMar>
            <w:vAlign w:val="center"/>
          </w:tcPr>
          <w:p w14:paraId="571E16F8" w14:textId="77777777" w:rsidR="00741A88" w:rsidRPr="00EA160F" w:rsidRDefault="00741A88" w:rsidP="00741A88">
            <w:pPr>
              <w:rPr>
                <w:sz w:val="18"/>
                <w:szCs w:val="18"/>
              </w:rPr>
            </w:pPr>
            <w:r w:rsidRPr="00741A88">
              <w:rPr>
                <w:sz w:val="18"/>
                <w:szCs w:val="18"/>
              </w:rPr>
              <w:t>Ethno-cultural Composition (CIMD)</w:t>
            </w:r>
          </w:p>
        </w:tc>
        <w:tc>
          <w:tcPr>
            <w:tcW w:w="7020" w:type="dxa"/>
            <w:shd w:val="clear" w:color="auto" w:fill="F2F2F2" w:themeFill="background1" w:themeFillShade="F2"/>
            <w:tcMar>
              <w:top w:w="80" w:type="dxa"/>
              <w:left w:w="120" w:type="dxa"/>
              <w:bottom w:w="80" w:type="dxa"/>
              <w:right w:w="120" w:type="dxa"/>
            </w:tcMar>
            <w:vAlign w:val="center"/>
          </w:tcPr>
          <w:p w14:paraId="386412CB" w14:textId="77777777" w:rsidR="00741A88" w:rsidRPr="00EA160F" w:rsidRDefault="00741A88" w:rsidP="00741A88">
            <w:pPr>
              <w:rPr>
                <w:sz w:val="18"/>
                <w:szCs w:val="18"/>
              </w:rPr>
            </w:pPr>
            <w:r w:rsidRPr="00741A88">
              <w:rPr>
                <w:sz w:val="18"/>
                <w:szCs w:val="18"/>
              </w:rPr>
              <w:t>A dimension of the Canadian Index of Multiple Deprivation measuring the concentration of immigrant and visible minority populations, including indicators such as linguistic isolation, recent immigration, and housing crowding. A high score indicates elevated risk of barriers to accessing housing services and asserting tenant rights.</w:t>
            </w:r>
          </w:p>
        </w:tc>
      </w:tr>
      <w:tr w:rsidR="00741A88" w:rsidRPr="00741A88" w14:paraId="578415A8" w14:textId="77777777" w:rsidTr="003C59F9">
        <w:tc>
          <w:tcPr>
            <w:tcW w:w="2340" w:type="dxa"/>
            <w:shd w:val="clear" w:color="auto" w:fill="FFFFFF" w:themeFill="background1"/>
            <w:tcMar>
              <w:top w:w="80" w:type="dxa"/>
              <w:left w:w="120" w:type="dxa"/>
              <w:bottom w:w="80" w:type="dxa"/>
              <w:right w:w="120" w:type="dxa"/>
            </w:tcMar>
            <w:vAlign w:val="center"/>
          </w:tcPr>
          <w:p w14:paraId="79FB95EC" w14:textId="77777777" w:rsidR="00741A88" w:rsidRPr="00EA160F" w:rsidRDefault="00741A88" w:rsidP="00741A88">
            <w:pPr>
              <w:rPr>
                <w:sz w:val="18"/>
                <w:szCs w:val="18"/>
              </w:rPr>
            </w:pPr>
            <w:r w:rsidRPr="00741A88">
              <w:rPr>
                <w:sz w:val="18"/>
                <w:szCs w:val="18"/>
              </w:rPr>
              <w:t>Extreme Core Housing Need</w:t>
            </w:r>
          </w:p>
        </w:tc>
        <w:tc>
          <w:tcPr>
            <w:tcW w:w="7020" w:type="dxa"/>
            <w:shd w:val="clear" w:color="auto" w:fill="FFFFFF" w:themeFill="background1"/>
            <w:tcMar>
              <w:top w:w="80" w:type="dxa"/>
              <w:left w:w="120" w:type="dxa"/>
              <w:bottom w:w="80" w:type="dxa"/>
              <w:right w:w="120" w:type="dxa"/>
            </w:tcMar>
            <w:vAlign w:val="center"/>
          </w:tcPr>
          <w:p w14:paraId="43B37B0A" w14:textId="04410831" w:rsidR="00741A88" w:rsidRPr="00EA160F" w:rsidRDefault="00741A88" w:rsidP="00741A88">
            <w:pPr>
              <w:rPr>
                <w:sz w:val="18"/>
                <w:szCs w:val="18"/>
              </w:rPr>
            </w:pPr>
            <w:r w:rsidRPr="00741A88">
              <w:rPr>
                <w:sz w:val="18"/>
                <w:szCs w:val="18"/>
              </w:rPr>
              <w:t xml:space="preserve">A more severe variant of core housing need in which a household spends 50% or more of its before-tax income on shelter costs (compared to the standard 30% affordability threshold used in core housing need). </w:t>
            </w:r>
          </w:p>
        </w:tc>
      </w:tr>
      <w:tr w:rsidR="00741A88" w:rsidRPr="00741A88" w14:paraId="1E9211A7" w14:textId="77777777" w:rsidTr="003C59F9">
        <w:tc>
          <w:tcPr>
            <w:tcW w:w="2340" w:type="dxa"/>
            <w:shd w:val="clear" w:color="auto" w:fill="F2F2F2" w:themeFill="background1" w:themeFillShade="F2"/>
            <w:tcMar>
              <w:top w:w="80" w:type="dxa"/>
              <w:left w:w="120" w:type="dxa"/>
              <w:bottom w:w="80" w:type="dxa"/>
              <w:right w:w="120" w:type="dxa"/>
            </w:tcMar>
            <w:vAlign w:val="center"/>
          </w:tcPr>
          <w:p w14:paraId="013FC4DF" w14:textId="77777777" w:rsidR="00741A88" w:rsidRPr="00EA160F" w:rsidRDefault="00741A88" w:rsidP="00741A88">
            <w:pPr>
              <w:rPr>
                <w:sz w:val="18"/>
                <w:szCs w:val="18"/>
              </w:rPr>
            </w:pPr>
            <w:r w:rsidRPr="00741A88">
              <w:rPr>
                <w:sz w:val="18"/>
                <w:szCs w:val="18"/>
              </w:rPr>
              <w:t>Flood Susceptibility Index (FSI)</w:t>
            </w:r>
          </w:p>
        </w:tc>
        <w:tc>
          <w:tcPr>
            <w:tcW w:w="7020" w:type="dxa"/>
            <w:shd w:val="clear" w:color="auto" w:fill="F2F2F2" w:themeFill="background1" w:themeFillShade="F2"/>
            <w:tcMar>
              <w:top w:w="80" w:type="dxa"/>
              <w:left w:w="120" w:type="dxa"/>
              <w:bottom w:w="80" w:type="dxa"/>
              <w:right w:w="120" w:type="dxa"/>
            </w:tcMar>
            <w:vAlign w:val="center"/>
          </w:tcPr>
          <w:p w14:paraId="067055A3" w14:textId="77777777" w:rsidR="00741A88" w:rsidRPr="00EA160F" w:rsidRDefault="00741A88" w:rsidP="00741A88">
            <w:pPr>
              <w:rPr>
                <w:sz w:val="18"/>
                <w:szCs w:val="18"/>
              </w:rPr>
            </w:pPr>
            <w:r w:rsidRPr="00741A88">
              <w:rPr>
                <w:sz w:val="18"/>
                <w:szCs w:val="18"/>
              </w:rPr>
              <w:t>A national geospatial dataset produced by Natural Resources Canada's Canada Centre for Mapping and Earth Observation. Generated using machine learning algorithms trained on Canada's historical flood record, the FSI classifies land across the country by relative susceptibility to flooding. Values are best interpreted comparatively rather than as precise risk assessments.</w:t>
            </w:r>
          </w:p>
        </w:tc>
      </w:tr>
      <w:tr w:rsidR="00741A88" w:rsidRPr="00741A88" w14:paraId="080ED4D6" w14:textId="77777777" w:rsidTr="003C59F9">
        <w:tc>
          <w:tcPr>
            <w:tcW w:w="2340" w:type="dxa"/>
            <w:shd w:val="clear" w:color="auto" w:fill="FFFFFF" w:themeFill="background1"/>
            <w:tcMar>
              <w:top w:w="80" w:type="dxa"/>
              <w:left w:w="120" w:type="dxa"/>
              <w:bottom w:w="80" w:type="dxa"/>
              <w:right w:w="120" w:type="dxa"/>
            </w:tcMar>
            <w:vAlign w:val="center"/>
          </w:tcPr>
          <w:p w14:paraId="64BC04EC" w14:textId="77777777" w:rsidR="00741A88" w:rsidRPr="00EA160F" w:rsidRDefault="00741A88" w:rsidP="00741A88">
            <w:pPr>
              <w:rPr>
                <w:sz w:val="18"/>
                <w:szCs w:val="18"/>
              </w:rPr>
            </w:pPr>
            <w:r w:rsidRPr="00741A88">
              <w:rPr>
                <w:sz w:val="18"/>
                <w:szCs w:val="18"/>
              </w:rPr>
              <w:t>Headship Rate</w:t>
            </w:r>
          </w:p>
        </w:tc>
        <w:tc>
          <w:tcPr>
            <w:tcW w:w="7020" w:type="dxa"/>
            <w:shd w:val="clear" w:color="auto" w:fill="FFFFFF" w:themeFill="background1"/>
            <w:tcMar>
              <w:top w:w="80" w:type="dxa"/>
              <w:left w:w="120" w:type="dxa"/>
              <w:bottom w:w="80" w:type="dxa"/>
              <w:right w:w="120" w:type="dxa"/>
            </w:tcMar>
            <w:vAlign w:val="center"/>
          </w:tcPr>
          <w:p w14:paraId="1C15B6B4" w14:textId="77777777" w:rsidR="00741A88" w:rsidRPr="00EA160F" w:rsidRDefault="00741A88" w:rsidP="00741A88">
            <w:pPr>
              <w:rPr>
                <w:sz w:val="18"/>
                <w:szCs w:val="18"/>
              </w:rPr>
            </w:pPr>
            <w:r w:rsidRPr="00741A88">
              <w:rPr>
                <w:sz w:val="18"/>
                <w:szCs w:val="18"/>
              </w:rPr>
              <w:t>The proportion of persons in a given age group who are the primary maintainer of their own household. Used to estimate how many households a population would be expected to form based on demographic composition. When actual household formation falls below what headship rates predict, the shortfall is referred to as household suppression.</w:t>
            </w:r>
          </w:p>
        </w:tc>
      </w:tr>
      <w:tr w:rsidR="00741A88" w:rsidRPr="00741A88" w14:paraId="60944CE7" w14:textId="77777777" w:rsidTr="003C59F9">
        <w:tc>
          <w:tcPr>
            <w:tcW w:w="2340" w:type="dxa"/>
            <w:shd w:val="clear" w:color="auto" w:fill="F2F2F2" w:themeFill="background1" w:themeFillShade="F2"/>
            <w:tcMar>
              <w:top w:w="80" w:type="dxa"/>
              <w:left w:w="120" w:type="dxa"/>
              <w:bottom w:w="80" w:type="dxa"/>
              <w:right w:w="120" w:type="dxa"/>
            </w:tcMar>
            <w:vAlign w:val="center"/>
          </w:tcPr>
          <w:p w14:paraId="3C07C71F" w14:textId="77777777" w:rsidR="00741A88" w:rsidRPr="00EA160F" w:rsidRDefault="00741A88" w:rsidP="00741A88">
            <w:pPr>
              <w:rPr>
                <w:sz w:val="18"/>
                <w:szCs w:val="18"/>
              </w:rPr>
            </w:pPr>
            <w:r w:rsidRPr="00741A88">
              <w:rPr>
                <w:sz w:val="18"/>
                <w:szCs w:val="18"/>
              </w:rPr>
              <w:t>Hidden Homelessness</w:t>
            </w:r>
          </w:p>
        </w:tc>
        <w:tc>
          <w:tcPr>
            <w:tcW w:w="7020" w:type="dxa"/>
            <w:shd w:val="clear" w:color="auto" w:fill="F2F2F2" w:themeFill="background1" w:themeFillShade="F2"/>
            <w:tcMar>
              <w:top w:w="80" w:type="dxa"/>
              <w:left w:w="120" w:type="dxa"/>
              <w:bottom w:w="80" w:type="dxa"/>
              <w:right w:w="120" w:type="dxa"/>
            </w:tcMar>
            <w:vAlign w:val="center"/>
          </w:tcPr>
          <w:p w14:paraId="116EBEA4" w14:textId="4DE3E62A" w:rsidR="00741A88" w:rsidRPr="00EA160F" w:rsidRDefault="00741A88" w:rsidP="00741A88">
            <w:pPr>
              <w:rPr>
                <w:sz w:val="18"/>
                <w:szCs w:val="18"/>
              </w:rPr>
            </w:pPr>
            <w:r w:rsidRPr="00741A88">
              <w:rPr>
                <w:sz w:val="18"/>
                <w:szCs w:val="18"/>
              </w:rPr>
              <w:t xml:space="preserve">Individuals who lack stable housing but are not counted in shelter-based or administrative data systems because they are temporarily staying with friends or family, couch-surfing, or living in overcrowded arrangements. </w:t>
            </w:r>
          </w:p>
        </w:tc>
      </w:tr>
      <w:tr w:rsidR="00741A88" w:rsidRPr="00741A88" w14:paraId="39370C78" w14:textId="77777777" w:rsidTr="003C59F9">
        <w:tc>
          <w:tcPr>
            <w:tcW w:w="2340" w:type="dxa"/>
            <w:shd w:val="clear" w:color="auto" w:fill="FFFFFF" w:themeFill="background1"/>
            <w:tcMar>
              <w:top w:w="80" w:type="dxa"/>
              <w:left w:w="120" w:type="dxa"/>
              <w:bottom w:w="80" w:type="dxa"/>
              <w:right w:w="120" w:type="dxa"/>
            </w:tcMar>
            <w:vAlign w:val="center"/>
          </w:tcPr>
          <w:p w14:paraId="34572404" w14:textId="6F6C443B" w:rsidR="00741A88" w:rsidRPr="00EA160F" w:rsidRDefault="00741A88" w:rsidP="00741A88">
            <w:pPr>
              <w:rPr>
                <w:sz w:val="18"/>
                <w:szCs w:val="18"/>
              </w:rPr>
            </w:pPr>
            <w:r w:rsidRPr="00741A88">
              <w:rPr>
                <w:sz w:val="18"/>
                <w:szCs w:val="18"/>
              </w:rPr>
              <w:t>Homeless Individuals and Families Information System</w:t>
            </w:r>
            <w:r w:rsidR="00EA160F" w:rsidRPr="00EA160F">
              <w:rPr>
                <w:sz w:val="18"/>
                <w:szCs w:val="18"/>
              </w:rPr>
              <w:t xml:space="preserve"> (HIFIS</w:t>
            </w:r>
            <w:r w:rsidRPr="00741A88">
              <w:rPr>
                <w:sz w:val="18"/>
                <w:szCs w:val="18"/>
              </w:rPr>
              <w:t>)</w:t>
            </w:r>
          </w:p>
        </w:tc>
        <w:tc>
          <w:tcPr>
            <w:tcW w:w="7020" w:type="dxa"/>
            <w:shd w:val="clear" w:color="auto" w:fill="FFFFFF" w:themeFill="background1"/>
            <w:tcMar>
              <w:top w:w="80" w:type="dxa"/>
              <w:left w:w="120" w:type="dxa"/>
              <w:bottom w:w="80" w:type="dxa"/>
              <w:right w:w="120" w:type="dxa"/>
            </w:tcMar>
            <w:vAlign w:val="center"/>
          </w:tcPr>
          <w:p w14:paraId="0E0D8F17" w14:textId="77777777" w:rsidR="00741A88" w:rsidRPr="00EA160F" w:rsidRDefault="00741A88" w:rsidP="00741A88">
            <w:pPr>
              <w:rPr>
                <w:sz w:val="18"/>
                <w:szCs w:val="18"/>
              </w:rPr>
            </w:pPr>
            <w:r w:rsidRPr="00741A88">
              <w:rPr>
                <w:sz w:val="18"/>
                <w:szCs w:val="18"/>
              </w:rPr>
              <w:t>A federal database used by homeless-serving organizations to track individuals accessing shelter and support services. The primary administrative data source for provincial and local homelessness statistics in Canada.</w:t>
            </w:r>
          </w:p>
        </w:tc>
      </w:tr>
      <w:tr w:rsidR="00741A88" w:rsidRPr="00741A88" w14:paraId="54AAAB8F" w14:textId="77777777" w:rsidTr="003C59F9">
        <w:tc>
          <w:tcPr>
            <w:tcW w:w="2340" w:type="dxa"/>
            <w:shd w:val="clear" w:color="auto" w:fill="F2F2F2" w:themeFill="background1" w:themeFillShade="F2"/>
            <w:tcMar>
              <w:top w:w="80" w:type="dxa"/>
              <w:left w:w="120" w:type="dxa"/>
              <w:bottom w:w="80" w:type="dxa"/>
              <w:right w:w="120" w:type="dxa"/>
            </w:tcMar>
            <w:vAlign w:val="center"/>
          </w:tcPr>
          <w:p w14:paraId="38C277B5" w14:textId="77777777" w:rsidR="00741A88" w:rsidRPr="00EA160F" w:rsidRDefault="00741A88" w:rsidP="00741A88">
            <w:pPr>
              <w:rPr>
                <w:sz w:val="18"/>
                <w:szCs w:val="18"/>
              </w:rPr>
            </w:pPr>
            <w:r w:rsidRPr="00741A88">
              <w:rPr>
                <w:sz w:val="18"/>
                <w:szCs w:val="18"/>
              </w:rPr>
              <w:t>Household Suppression</w:t>
            </w:r>
          </w:p>
        </w:tc>
        <w:tc>
          <w:tcPr>
            <w:tcW w:w="7020" w:type="dxa"/>
            <w:shd w:val="clear" w:color="auto" w:fill="F2F2F2" w:themeFill="background1" w:themeFillShade="F2"/>
            <w:tcMar>
              <w:top w:w="80" w:type="dxa"/>
              <w:left w:w="120" w:type="dxa"/>
              <w:bottom w:w="80" w:type="dxa"/>
              <w:right w:w="120" w:type="dxa"/>
            </w:tcMar>
            <w:vAlign w:val="center"/>
          </w:tcPr>
          <w:p w14:paraId="17773EA3" w14:textId="77777777" w:rsidR="00741A88" w:rsidRPr="00EA160F" w:rsidRDefault="00741A88" w:rsidP="00741A88">
            <w:pPr>
              <w:rPr>
                <w:sz w:val="18"/>
                <w:szCs w:val="18"/>
              </w:rPr>
            </w:pPr>
            <w:r w:rsidRPr="00741A88">
              <w:rPr>
                <w:sz w:val="18"/>
                <w:szCs w:val="18"/>
              </w:rPr>
              <w:t>A condition in which individuals in a given age group form fewer independent households than historical headship rates would predict. Typically interpreted as evidence that housing cost or supply constraints are preventing people from establishing their own households, often forcing them to remain in shared or parental accommodation.</w:t>
            </w:r>
          </w:p>
        </w:tc>
      </w:tr>
      <w:tr w:rsidR="00741A88" w:rsidRPr="00741A88" w14:paraId="5600223C" w14:textId="77777777" w:rsidTr="003C59F9">
        <w:tc>
          <w:tcPr>
            <w:tcW w:w="2340" w:type="dxa"/>
            <w:shd w:val="clear" w:color="auto" w:fill="FFFFFF" w:themeFill="background1"/>
            <w:tcMar>
              <w:top w:w="80" w:type="dxa"/>
              <w:left w:w="120" w:type="dxa"/>
              <w:bottom w:w="80" w:type="dxa"/>
              <w:right w:w="120" w:type="dxa"/>
            </w:tcMar>
            <w:vAlign w:val="center"/>
          </w:tcPr>
          <w:p w14:paraId="32847D91" w14:textId="77777777" w:rsidR="00741A88" w:rsidRPr="00EA160F" w:rsidRDefault="00741A88" w:rsidP="00741A88">
            <w:pPr>
              <w:rPr>
                <w:sz w:val="18"/>
                <w:szCs w:val="18"/>
              </w:rPr>
            </w:pPr>
            <w:r w:rsidRPr="00741A88">
              <w:rPr>
                <w:sz w:val="18"/>
                <w:szCs w:val="18"/>
              </w:rPr>
              <w:t>Housing Accelerator Fund (HAF)</w:t>
            </w:r>
          </w:p>
        </w:tc>
        <w:tc>
          <w:tcPr>
            <w:tcW w:w="7020" w:type="dxa"/>
            <w:shd w:val="clear" w:color="auto" w:fill="FFFFFF" w:themeFill="background1"/>
            <w:tcMar>
              <w:top w:w="80" w:type="dxa"/>
              <w:left w:w="120" w:type="dxa"/>
              <w:bottom w:w="80" w:type="dxa"/>
              <w:right w:w="120" w:type="dxa"/>
            </w:tcMar>
            <w:vAlign w:val="center"/>
          </w:tcPr>
          <w:p w14:paraId="1FD1FDBE" w14:textId="77777777" w:rsidR="00741A88" w:rsidRPr="00EA160F" w:rsidRDefault="00741A88" w:rsidP="00741A88">
            <w:pPr>
              <w:rPr>
                <w:sz w:val="18"/>
                <w:szCs w:val="18"/>
              </w:rPr>
            </w:pPr>
            <w:r w:rsidRPr="00741A88">
              <w:rPr>
                <w:sz w:val="18"/>
                <w:szCs w:val="18"/>
              </w:rPr>
              <w:t>A federal funding program designed to accelerate housing supply growth in Canadian municipalities. Recipients are required to develop Housing Needs Assessments and commit to specific housing supply targets and zoning reforms.</w:t>
            </w:r>
          </w:p>
        </w:tc>
      </w:tr>
      <w:tr w:rsidR="00741A88" w:rsidRPr="00741A88" w14:paraId="7E26E991" w14:textId="77777777" w:rsidTr="003C59F9">
        <w:tc>
          <w:tcPr>
            <w:tcW w:w="2340" w:type="dxa"/>
            <w:shd w:val="clear" w:color="auto" w:fill="F2F2F2" w:themeFill="background1" w:themeFillShade="F2"/>
            <w:tcMar>
              <w:top w:w="80" w:type="dxa"/>
              <w:left w:w="120" w:type="dxa"/>
              <w:bottom w:w="80" w:type="dxa"/>
              <w:right w:w="120" w:type="dxa"/>
            </w:tcMar>
            <w:vAlign w:val="center"/>
          </w:tcPr>
          <w:p w14:paraId="5E2E4B2F" w14:textId="77777777" w:rsidR="00741A88" w:rsidRPr="00EA160F" w:rsidRDefault="00741A88" w:rsidP="00741A88">
            <w:pPr>
              <w:rPr>
                <w:sz w:val="18"/>
                <w:szCs w:val="18"/>
              </w:rPr>
            </w:pPr>
            <w:r w:rsidRPr="00741A88">
              <w:rPr>
                <w:sz w:val="18"/>
                <w:szCs w:val="18"/>
              </w:rPr>
              <w:t>Housing Assessment Resource Tools (HART)</w:t>
            </w:r>
          </w:p>
        </w:tc>
        <w:tc>
          <w:tcPr>
            <w:tcW w:w="7020" w:type="dxa"/>
            <w:shd w:val="clear" w:color="auto" w:fill="F2F2F2" w:themeFill="background1" w:themeFillShade="F2"/>
            <w:tcMar>
              <w:top w:w="80" w:type="dxa"/>
              <w:left w:w="120" w:type="dxa"/>
              <w:bottom w:w="80" w:type="dxa"/>
              <w:right w:w="120" w:type="dxa"/>
            </w:tcMar>
            <w:vAlign w:val="center"/>
          </w:tcPr>
          <w:p w14:paraId="31073FCA" w14:textId="77777777" w:rsidR="00741A88" w:rsidRPr="00EA160F" w:rsidRDefault="00741A88" w:rsidP="00741A88">
            <w:pPr>
              <w:rPr>
                <w:sz w:val="18"/>
                <w:szCs w:val="18"/>
              </w:rPr>
            </w:pPr>
            <w:r w:rsidRPr="00741A88">
              <w:rPr>
                <w:sz w:val="18"/>
                <w:szCs w:val="18"/>
              </w:rPr>
              <w:t>A research initiative developed to support housing needs assessments across Canada, affiliated with the University of British Columbia. HART produces income-banded affordability analyses, core housing need estimates, and affordable rental inventory metrics calibrated to local area median household incomes.</w:t>
            </w:r>
          </w:p>
        </w:tc>
      </w:tr>
      <w:tr w:rsidR="00741A88" w:rsidRPr="00741A88" w14:paraId="0A979BE1" w14:textId="77777777" w:rsidTr="003C59F9">
        <w:tc>
          <w:tcPr>
            <w:tcW w:w="2340" w:type="dxa"/>
            <w:shd w:val="clear" w:color="auto" w:fill="FFFFFF" w:themeFill="background1"/>
            <w:tcMar>
              <w:top w:w="80" w:type="dxa"/>
              <w:left w:w="120" w:type="dxa"/>
              <w:bottom w:w="80" w:type="dxa"/>
              <w:right w:w="120" w:type="dxa"/>
            </w:tcMar>
            <w:vAlign w:val="center"/>
          </w:tcPr>
          <w:p w14:paraId="35DB60EE" w14:textId="77777777" w:rsidR="00741A88" w:rsidRPr="00EA160F" w:rsidRDefault="00741A88" w:rsidP="00741A88">
            <w:pPr>
              <w:rPr>
                <w:sz w:val="18"/>
                <w:szCs w:val="18"/>
              </w:rPr>
            </w:pPr>
            <w:r w:rsidRPr="00741A88">
              <w:rPr>
                <w:sz w:val="18"/>
                <w:szCs w:val="18"/>
              </w:rPr>
              <w:lastRenderedPageBreak/>
              <w:t>Housing Needs Assessment (HNA)</w:t>
            </w:r>
          </w:p>
        </w:tc>
        <w:tc>
          <w:tcPr>
            <w:tcW w:w="7020" w:type="dxa"/>
            <w:shd w:val="clear" w:color="auto" w:fill="FFFFFF" w:themeFill="background1"/>
            <w:tcMar>
              <w:top w:w="80" w:type="dxa"/>
              <w:left w:w="120" w:type="dxa"/>
              <w:bottom w:w="80" w:type="dxa"/>
              <w:right w:w="120" w:type="dxa"/>
            </w:tcMar>
            <w:vAlign w:val="center"/>
          </w:tcPr>
          <w:p w14:paraId="3C224AAD" w14:textId="77777777" w:rsidR="00741A88" w:rsidRPr="00EA160F" w:rsidRDefault="00741A88" w:rsidP="00741A88">
            <w:pPr>
              <w:rPr>
                <w:sz w:val="18"/>
                <w:szCs w:val="18"/>
              </w:rPr>
            </w:pPr>
            <w:r w:rsidRPr="00741A88">
              <w:rPr>
                <w:sz w:val="18"/>
                <w:szCs w:val="18"/>
              </w:rPr>
              <w:t>A structured planning document that evaluates current and projected housing conditions in a community, including demographic and economic profiles, housing supply analysis, and housing need by income category and household type. Required by several federal programs, including the Housing Accelerator Fund and Canada Community-Building Fund.</w:t>
            </w:r>
          </w:p>
        </w:tc>
      </w:tr>
      <w:tr w:rsidR="00741A88" w:rsidRPr="00741A88" w14:paraId="1C037484" w14:textId="77777777" w:rsidTr="003C59F9">
        <w:tc>
          <w:tcPr>
            <w:tcW w:w="2340" w:type="dxa"/>
            <w:shd w:val="clear" w:color="auto" w:fill="F2F2F2" w:themeFill="background1" w:themeFillShade="F2"/>
            <w:tcMar>
              <w:top w:w="80" w:type="dxa"/>
              <w:left w:w="120" w:type="dxa"/>
              <w:bottom w:w="80" w:type="dxa"/>
              <w:right w:w="120" w:type="dxa"/>
            </w:tcMar>
            <w:vAlign w:val="center"/>
          </w:tcPr>
          <w:p w14:paraId="7543AFB9" w14:textId="77777777" w:rsidR="00741A88" w:rsidRPr="00EA160F" w:rsidRDefault="00741A88" w:rsidP="00741A88">
            <w:pPr>
              <w:rPr>
                <w:sz w:val="18"/>
                <w:szCs w:val="18"/>
              </w:rPr>
            </w:pPr>
            <w:r w:rsidRPr="00741A88">
              <w:rPr>
                <w:sz w:val="18"/>
                <w:szCs w:val="18"/>
              </w:rPr>
              <w:t>Interprovincial Migration</w:t>
            </w:r>
          </w:p>
        </w:tc>
        <w:tc>
          <w:tcPr>
            <w:tcW w:w="7020" w:type="dxa"/>
            <w:shd w:val="clear" w:color="auto" w:fill="F2F2F2" w:themeFill="background1" w:themeFillShade="F2"/>
            <w:tcMar>
              <w:top w:w="80" w:type="dxa"/>
              <w:left w:w="120" w:type="dxa"/>
              <w:bottom w:w="80" w:type="dxa"/>
              <w:right w:w="120" w:type="dxa"/>
            </w:tcMar>
            <w:vAlign w:val="center"/>
          </w:tcPr>
          <w:p w14:paraId="40B933C2" w14:textId="77777777" w:rsidR="00741A88" w:rsidRPr="00EA160F" w:rsidRDefault="00741A88" w:rsidP="00741A88">
            <w:pPr>
              <w:rPr>
                <w:sz w:val="18"/>
                <w:szCs w:val="18"/>
              </w:rPr>
            </w:pPr>
            <w:r w:rsidRPr="00741A88">
              <w:rPr>
                <w:sz w:val="18"/>
                <w:szCs w:val="18"/>
              </w:rPr>
              <w:t xml:space="preserve">The movement of individuals between provinces within Canada. One of the four components of population change (along with natural increase, </w:t>
            </w:r>
            <w:proofErr w:type="spellStart"/>
            <w:r w:rsidRPr="00741A88">
              <w:rPr>
                <w:sz w:val="18"/>
                <w:szCs w:val="18"/>
              </w:rPr>
              <w:t>intraprovincial</w:t>
            </w:r>
            <w:proofErr w:type="spellEnd"/>
            <w:r w:rsidRPr="00741A88">
              <w:rPr>
                <w:sz w:val="18"/>
                <w:szCs w:val="18"/>
              </w:rPr>
              <w:t xml:space="preserve"> migration, and international migration) tracked by Statistics Canada.</w:t>
            </w:r>
          </w:p>
        </w:tc>
      </w:tr>
      <w:tr w:rsidR="00741A88" w:rsidRPr="00741A88" w14:paraId="20DDC76E" w14:textId="77777777" w:rsidTr="003C59F9">
        <w:tc>
          <w:tcPr>
            <w:tcW w:w="2340" w:type="dxa"/>
            <w:shd w:val="clear" w:color="auto" w:fill="FFFFFF" w:themeFill="background1"/>
            <w:tcMar>
              <w:top w:w="80" w:type="dxa"/>
              <w:left w:w="120" w:type="dxa"/>
              <w:bottom w:w="80" w:type="dxa"/>
              <w:right w:w="120" w:type="dxa"/>
            </w:tcMar>
            <w:vAlign w:val="center"/>
          </w:tcPr>
          <w:p w14:paraId="4B99BA07" w14:textId="77777777" w:rsidR="00741A88" w:rsidRPr="00EA160F" w:rsidRDefault="00741A88" w:rsidP="00741A88">
            <w:pPr>
              <w:rPr>
                <w:sz w:val="18"/>
                <w:szCs w:val="18"/>
              </w:rPr>
            </w:pPr>
            <w:proofErr w:type="spellStart"/>
            <w:r w:rsidRPr="00741A88">
              <w:rPr>
                <w:sz w:val="18"/>
                <w:szCs w:val="18"/>
              </w:rPr>
              <w:t>Intraprovincial</w:t>
            </w:r>
            <w:proofErr w:type="spellEnd"/>
            <w:r w:rsidRPr="00741A88">
              <w:rPr>
                <w:sz w:val="18"/>
                <w:szCs w:val="18"/>
              </w:rPr>
              <w:t xml:space="preserve"> Migration</w:t>
            </w:r>
          </w:p>
        </w:tc>
        <w:tc>
          <w:tcPr>
            <w:tcW w:w="7020" w:type="dxa"/>
            <w:shd w:val="clear" w:color="auto" w:fill="FFFFFF" w:themeFill="background1"/>
            <w:tcMar>
              <w:top w:w="80" w:type="dxa"/>
              <w:left w:w="120" w:type="dxa"/>
              <w:bottom w:w="80" w:type="dxa"/>
              <w:right w:w="120" w:type="dxa"/>
            </w:tcMar>
            <w:vAlign w:val="center"/>
          </w:tcPr>
          <w:p w14:paraId="638282B8" w14:textId="77777777" w:rsidR="00741A88" w:rsidRPr="00EA160F" w:rsidRDefault="00741A88" w:rsidP="00741A88">
            <w:pPr>
              <w:rPr>
                <w:sz w:val="18"/>
                <w:szCs w:val="18"/>
              </w:rPr>
            </w:pPr>
            <w:r w:rsidRPr="00741A88">
              <w:rPr>
                <w:sz w:val="18"/>
                <w:szCs w:val="18"/>
              </w:rPr>
              <w:t>The movement of individuals between communities within the same province. Distinct from interprovincial migration (between provinces) and international migration (from other countries).</w:t>
            </w:r>
          </w:p>
        </w:tc>
      </w:tr>
      <w:tr w:rsidR="00741A88" w:rsidRPr="00741A88" w14:paraId="5C3C1DC7" w14:textId="77777777" w:rsidTr="003C59F9">
        <w:tc>
          <w:tcPr>
            <w:tcW w:w="2340" w:type="dxa"/>
            <w:shd w:val="clear" w:color="auto" w:fill="F2F2F2" w:themeFill="background1" w:themeFillShade="F2"/>
            <w:tcMar>
              <w:top w:w="80" w:type="dxa"/>
              <w:left w:w="120" w:type="dxa"/>
              <w:bottom w:w="80" w:type="dxa"/>
              <w:right w:w="120" w:type="dxa"/>
            </w:tcMar>
            <w:vAlign w:val="center"/>
          </w:tcPr>
          <w:p w14:paraId="773880BA" w14:textId="77777777" w:rsidR="00741A88" w:rsidRPr="00EA160F" w:rsidRDefault="00741A88" w:rsidP="00741A88">
            <w:pPr>
              <w:rPr>
                <w:sz w:val="18"/>
                <w:szCs w:val="18"/>
              </w:rPr>
            </w:pPr>
            <w:r w:rsidRPr="00741A88">
              <w:rPr>
                <w:sz w:val="18"/>
                <w:szCs w:val="18"/>
              </w:rPr>
              <w:t>Labour Force Participation Rate</w:t>
            </w:r>
          </w:p>
        </w:tc>
        <w:tc>
          <w:tcPr>
            <w:tcW w:w="7020" w:type="dxa"/>
            <w:shd w:val="clear" w:color="auto" w:fill="F2F2F2" w:themeFill="background1" w:themeFillShade="F2"/>
            <w:tcMar>
              <w:top w:w="80" w:type="dxa"/>
              <w:left w:w="120" w:type="dxa"/>
              <w:bottom w:w="80" w:type="dxa"/>
              <w:right w:w="120" w:type="dxa"/>
            </w:tcMar>
            <w:vAlign w:val="center"/>
          </w:tcPr>
          <w:p w14:paraId="4DAF617F" w14:textId="77777777" w:rsidR="00741A88" w:rsidRPr="00EA160F" w:rsidRDefault="00741A88" w:rsidP="00741A88">
            <w:pPr>
              <w:rPr>
                <w:sz w:val="18"/>
                <w:szCs w:val="18"/>
              </w:rPr>
            </w:pPr>
            <w:r w:rsidRPr="00741A88">
              <w:rPr>
                <w:sz w:val="18"/>
                <w:szCs w:val="18"/>
              </w:rPr>
              <w:t>The percentage of the working-age population (15 years and older) that is either employed or actively seeking employment. A low participation rate may indicate high rates of retirement, caregiving responsibilities, or discouraged workers who have stopped seeking employment.</w:t>
            </w:r>
          </w:p>
        </w:tc>
      </w:tr>
      <w:tr w:rsidR="00741A88" w:rsidRPr="00741A88" w14:paraId="26D6233E" w14:textId="77777777" w:rsidTr="00741A88">
        <w:tc>
          <w:tcPr>
            <w:tcW w:w="2340" w:type="dxa"/>
            <w:shd w:val="clear" w:color="auto" w:fill="FFFFFF" w:themeFill="background1"/>
            <w:tcMar>
              <w:top w:w="80" w:type="dxa"/>
              <w:left w:w="120" w:type="dxa"/>
              <w:bottom w:w="80" w:type="dxa"/>
              <w:right w:w="120" w:type="dxa"/>
            </w:tcMar>
            <w:vAlign w:val="center"/>
          </w:tcPr>
          <w:p w14:paraId="094F3091" w14:textId="77777777" w:rsidR="00741A88" w:rsidRPr="00EA160F" w:rsidRDefault="00741A88" w:rsidP="00741A88">
            <w:pPr>
              <w:rPr>
                <w:sz w:val="18"/>
                <w:szCs w:val="18"/>
              </w:rPr>
            </w:pPr>
            <w:r w:rsidRPr="00741A88">
              <w:rPr>
                <w:sz w:val="18"/>
                <w:szCs w:val="18"/>
              </w:rPr>
              <w:t>Market Basket Measure (MBM)</w:t>
            </w:r>
          </w:p>
        </w:tc>
        <w:tc>
          <w:tcPr>
            <w:tcW w:w="7020" w:type="dxa"/>
            <w:shd w:val="clear" w:color="auto" w:fill="FFFFFF" w:themeFill="background1"/>
            <w:tcMar>
              <w:top w:w="80" w:type="dxa"/>
              <w:left w:w="120" w:type="dxa"/>
              <w:bottom w:w="80" w:type="dxa"/>
              <w:right w:w="120" w:type="dxa"/>
            </w:tcMar>
            <w:vAlign w:val="center"/>
          </w:tcPr>
          <w:p w14:paraId="3E06D2EA" w14:textId="77777777" w:rsidR="00741A88" w:rsidRPr="00EA160F" w:rsidRDefault="00741A88" w:rsidP="00741A88">
            <w:pPr>
              <w:rPr>
                <w:sz w:val="18"/>
                <w:szCs w:val="18"/>
              </w:rPr>
            </w:pPr>
            <w:r w:rsidRPr="00741A88">
              <w:rPr>
                <w:sz w:val="18"/>
                <w:szCs w:val="18"/>
              </w:rPr>
              <w:t>Statistics Canada's official measure of poverty in Canada. Defines the poverty line as the income required for a family to afford a basket of goods and services representing a modest, basic standard of living in their specific community, including food, clothing, shelter, transportation, and other necessities.</w:t>
            </w:r>
          </w:p>
        </w:tc>
      </w:tr>
      <w:tr w:rsidR="00741A88" w:rsidRPr="00741A88" w14:paraId="25732C31" w14:textId="77777777" w:rsidTr="003C59F9">
        <w:tc>
          <w:tcPr>
            <w:tcW w:w="2340" w:type="dxa"/>
            <w:shd w:val="clear" w:color="auto" w:fill="F2F2F2" w:themeFill="background1" w:themeFillShade="F2"/>
            <w:tcMar>
              <w:top w:w="80" w:type="dxa"/>
              <w:left w:w="120" w:type="dxa"/>
              <w:bottom w:w="80" w:type="dxa"/>
              <w:right w:w="120" w:type="dxa"/>
            </w:tcMar>
            <w:vAlign w:val="center"/>
          </w:tcPr>
          <w:p w14:paraId="0012B8E6" w14:textId="77777777" w:rsidR="00741A88" w:rsidRPr="00EA160F" w:rsidRDefault="00741A88" w:rsidP="00741A88">
            <w:pPr>
              <w:rPr>
                <w:sz w:val="18"/>
                <w:szCs w:val="18"/>
              </w:rPr>
            </w:pPr>
            <w:r w:rsidRPr="00741A88">
              <w:rPr>
                <w:sz w:val="18"/>
                <w:szCs w:val="18"/>
              </w:rPr>
              <w:t>Material and Social Deprivation Index (MSDI)</w:t>
            </w:r>
          </w:p>
        </w:tc>
        <w:tc>
          <w:tcPr>
            <w:tcW w:w="7020" w:type="dxa"/>
            <w:shd w:val="clear" w:color="auto" w:fill="F2F2F2" w:themeFill="background1" w:themeFillShade="F2"/>
            <w:tcMar>
              <w:top w:w="80" w:type="dxa"/>
              <w:left w:w="120" w:type="dxa"/>
              <w:bottom w:w="80" w:type="dxa"/>
              <w:right w:w="120" w:type="dxa"/>
            </w:tcMar>
            <w:vAlign w:val="center"/>
          </w:tcPr>
          <w:p w14:paraId="694C0BF2" w14:textId="77777777" w:rsidR="00741A88" w:rsidRPr="00EA160F" w:rsidRDefault="00741A88" w:rsidP="00741A88">
            <w:pPr>
              <w:rPr>
                <w:sz w:val="18"/>
                <w:szCs w:val="18"/>
              </w:rPr>
            </w:pPr>
            <w:r w:rsidRPr="00741A88">
              <w:rPr>
                <w:sz w:val="18"/>
                <w:szCs w:val="18"/>
              </w:rPr>
              <w:t xml:space="preserve">An index produced by the </w:t>
            </w:r>
            <w:proofErr w:type="spellStart"/>
            <w:r w:rsidRPr="00741A88">
              <w:rPr>
                <w:sz w:val="18"/>
                <w:szCs w:val="18"/>
              </w:rPr>
              <w:t>Institut</w:t>
            </w:r>
            <w:proofErr w:type="spellEnd"/>
            <w:r w:rsidRPr="00741A88">
              <w:rPr>
                <w:sz w:val="18"/>
                <w:szCs w:val="18"/>
              </w:rPr>
              <w:t xml:space="preserve"> national de santé </w:t>
            </w:r>
            <w:proofErr w:type="spellStart"/>
            <w:r w:rsidRPr="00741A88">
              <w:rPr>
                <w:sz w:val="18"/>
                <w:szCs w:val="18"/>
              </w:rPr>
              <w:t>publique</w:t>
            </w:r>
            <w:proofErr w:type="spellEnd"/>
            <w:r w:rsidRPr="00741A88">
              <w:rPr>
                <w:sz w:val="18"/>
                <w:szCs w:val="18"/>
              </w:rPr>
              <w:t xml:space="preserve"> du Québec (INSPQ) measuring material disadvantage (through income, employment, and educational attainment) and social disadvantage (through household fragmentation, lone-parent family structure, and social isolation) at the dissemination area level.</w:t>
            </w:r>
          </w:p>
        </w:tc>
      </w:tr>
      <w:tr w:rsidR="00741A88" w:rsidRPr="00741A88" w14:paraId="4C6E653D" w14:textId="77777777" w:rsidTr="00741A88">
        <w:tc>
          <w:tcPr>
            <w:tcW w:w="2340" w:type="dxa"/>
            <w:shd w:val="clear" w:color="auto" w:fill="FFFFFF" w:themeFill="background1"/>
            <w:tcMar>
              <w:top w:w="80" w:type="dxa"/>
              <w:left w:w="120" w:type="dxa"/>
              <w:bottom w:w="80" w:type="dxa"/>
              <w:right w:w="120" w:type="dxa"/>
            </w:tcMar>
            <w:vAlign w:val="center"/>
          </w:tcPr>
          <w:p w14:paraId="4E731CC8" w14:textId="77777777" w:rsidR="00741A88" w:rsidRPr="00EA160F" w:rsidRDefault="00741A88" w:rsidP="00741A88">
            <w:pPr>
              <w:rPr>
                <w:sz w:val="18"/>
                <w:szCs w:val="18"/>
              </w:rPr>
            </w:pPr>
            <w:r w:rsidRPr="00741A88">
              <w:rPr>
                <w:sz w:val="18"/>
                <w:szCs w:val="18"/>
              </w:rPr>
              <w:t>Missing Middle Housing</w:t>
            </w:r>
          </w:p>
        </w:tc>
        <w:tc>
          <w:tcPr>
            <w:tcW w:w="7020" w:type="dxa"/>
            <w:shd w:val="clear" w:color="auto" w:fill="FFFFFF" w:themeFill="background1"/>
            <w:tcMar>
              <w:top w:w="80" w:type="dxa"/>
              <w:left w:w="120" w:type="dxa"/>
              <w:bottom w:w="80" w:type="dxa"/>
              <w:right w:w="120" w:type="dxa"/>
            </w:tcMar>
            <w:vAlign w:val="center"/>
          </w:tcPr>
          <w:p w14:paraId="3123FB59" w14:textId="77777777" w:rsidR="00741A88" w:rsidRPr="00EA160F" w:rsidRDefault="00741A88" w:rsidP="00741A88">
            <w:pPr>
              <w:rPr>
                <w:sz w:val="18"/>
                <w:szCs w:val="18"/>
              </w:rPr>
            </w:pPr>
            <w:r w:rsidRPr="00741A88">
              <w:rPr>
                <w:sz w:val="18"/>
                <w:szCs w:val="18"/>
              </w:rPr>
              <w:t>A term referring to housing types that fall between single-detached homes and large apartment buildings, such as duplexes, triplexes, row houses, and small apartment buildings. Often cited as an undersupplied housing form that could serve moderate-income households priced out of ownership but above the threshold for subsidized housing.</w:t>
            </w:r>
          </w:p>
        </w:tc>
      </w:tr>
      <w:tr w:rsidR="00741A88" w:rsidRPr="00741A88" w14:paraId="1B18D7E3" w14:textId="77777777" w:rsidTr="003C59F9">
        <w:tc>
          <w:tcPr>
            <w:tcW w:w="2340" w:type="dxa"/>
            <w:shd w:val="clear" w:color="auto" w:fill="F2F2F2" w:themeFill="background1" w:themeFillShade="F2"/>
            <w:tcMar>
              <w:top w:w="80" w:type="dxa"/>
              <w:left w:w="120" w:type="dxa"/>
              <w:bottom w:w="80" w:type="dxa"/>
              <w:right w:w="120" w:type="dxa"/>
            </w:tcMar>
            <w:vAlign w:val="center"/>
          </w:tcPr>
          <w:p w14:paraId="422EC22E" w14:textId="77777777" w:rsidR="00741A88" w:rsidRPr="00EA160F" w:rsidRDefault="00741A88" w:rsidP="00741A88">
            <w:pPr>
              <w:rPr>
                <w:sz w:val="18"/>
                <w:szCs w:val="18"/>
              </w:rPr>
            </w:pPr>
            <w:r w:rsidRPr="00741A88">
              <w:rPr>
                <w:sz w:val="18"/>
                <w:szCs w:val="18"/>
              </w:rPr>
              <w:t>NAICS (North American Industry Classification System)</w:t>
            </w:r>
          </w:p>
        </w:tc>
        <w:tc>
          <w:tcPr>
            <w:tcW w:w="7020" w:type="dxa"/>
            <w:shd w:val="clear" w:color="auto" w:fill="F2F2F2" w:themeFill="background1" w:themeFillShade="F2"/>
            <w:tcMar>
              <w:top w:w="80" w:type="dxa"/>
              <w:left w:w="120" w:type="dxa"/>
              <w:bottom w:w="80" w:type="dxa"/>
              <w:right w:w="120" w:type="dxa"/>
            </w:tcMar>
            <w:vAlign w:val="center"/>
          </w:tcPr>
          <w:p w14:paraId="16DC4391" w14:textId="77777777" w:rsidR="00741A88" w:rsidRPr="00EA160F" w:rsidRDefault="00741A88" w:rsidP="00741A88">
            <w:pPr>
              <w:rPr>
                <w:sz w:val="18"/>
                <w:szCs w:val="18"/>
              </w:rPr>
            </w:pPr>
            <w:r w:rsidRPr="00741A88">
              <w:rPr>
                <w:sz w:val="18"/>
                <w:szCs w:val="18"/>
              </w:rPr>
              <w:t>The standard used by Statistics Canada, the United States, and Mexico to classify businesses and workers by industry. In housing needs assessments, NAICS codes are used to identify the industries that most directly shape local household incomes and employment stability.</w:t>
            </w:r>
          </w:p>
        </w:tc>
      </w:tr>
      <w:tr w:rsidR="00741A88" w:rsidRPr="00741A88" w14:paraId="435AE00E" w14:textId="77777777" w:rsidTr="00741A88">
        <w:tc>
          <w:tcPr>
            <w:tcW w:w="2340" w:type="dxa"/>
            <w:shd w:val="clear" w:color="auto" w:fill="FFFFFF" w:themeFill="background1"/>
            <w:tcMar>
              <w:top w:w="80" w:type="dxa"/>
              <w:left w:w="120" w:type="dxa"/>
              <w:bottom w:w="80" w:type="dxa"/>
              <w:right w:w="120" w:type="dxa"/>
            </w:tcMar>
            <w:vAlign w:val="center"/>
          </w:tcPr>
          <w:p w14:paraId="231EDA83" w14:textId="0F4995B8" w:rsidR="00741A88" w:rsidRPr="00EA160F" w:rsidRDefault="00741A88" w:rsidP="00741A88">
            <w:pPr>
              <w:rPr>
                <w:sz w:val="18"/>
                <w:szCs w:val="18"/>
              </w:rPr>
            </w:pPr>
            <w:r w:rsidRPr="00741A88">
              <w:rPr>
                <w:sz w:val="18"/>
                <w:szCs w:val="18"/>
              </w:rPr>
              <w:t xml:space="preserve">Natural </w:t>
            </w:r>
            <w:r w:rsidR="00592D08">
              <w:rPr>
                <w:sz w:val="18"/>
                <w:szCs w:val="18"/>
              </w:rPr>
              <w:t>Change</w:t>
            </w:r>
          </w:p>
        </w:tc>
        <w:tc>
          <w:tcPr>
            <w:tcW w:w="7020" w:type="dxa"/>
            <w:shd w:val="clear" w:color="auto" w:fill="FFFFFF" w:themeFill="background1"/>
            <w:tcMar>
              <w:top w:w="80" w:type="dxa"/>
              <w:left w:w="120" w:type="dxa"/>
              <w:bottom w:w="80" w:type="dxa"/>
              <w:right w:w="120" w:type="dxa"/>
            </w:tcMar>
            <w:vAlign w:val="center"/>
          </w:tcPr>
          <w:p w14:paraId="71B18C28" w14:textId="6C04E268" w:rsidR="00741A88" w:rsidRPr="00EA160F" w:rsidRDefault="00592D08" w:rsidP="00741A88">
            <w:pPr>
              <w:rPr>
                <w:sz w:val="18"/>
                <w:szCs w:val="18"/>
              </w:rPr>
            </w:pPr>
            <w:r>
              <w:rPr>
                <w:sz w:val="18"/>
                <w:szCs w:val="18"/>
              </w:rPr>
              <w:t xml:space="preserve">Change in population </w:t>
            </w:r>
            <w:r w:rsidR="00741A88" w:rsidRPr="00741A88">
              <w:rPr>
                <w:sz w:val="18"/>
                <w:szCs w:val="18"/>
              </w:rPr>
              <w:t xml:space="preserve">resulting from </w:t>
            </w:r>
            <w:r>
              <w:rPr>
                <w:sz w:val="18"/>
                <w:szCs w:val="18"/>
              </w:rPr>
              <w:t xml:space="preserve">the comparison of </w:t>
            </w:r>
            <w:r w:rsidR="00741A88" w:rsidRPr="00741A88">
              <w:rPr>
                <w:sz w:val="18"/>
                <w:szCs w:val="18"/>
              </w:rPr>
              <w:t xml:space="preserve">births </w:t>
            </w:r>
            <w:r>
              <w:rPr>
                <w:sz w:val="18"/>
                <w:szCs w:val="18"/>
              </w:rPr>
              <w:t>and</w:t>
            </w:r>
            <w:r w:rsidR="00741A88" w:rsidRPr="00741A88">
              <w:rPr>
                <w:sz w:val="18"/>
                <w:szCs w:val="18"/>
              </w:rPr>
              <w:t xml:space="preserve"> deaths</w:t>
            </w:r>
            <w:r w:rsidR="00741A88" w:rsidRPr="00EA160F">
              <w:rPr>
                <w:sz w:val="18"/>
                <w:szCs w:val="18"/>
              </w:rPr>
              <w:t>.</w:t>
            </w:r>
            <w:r w:rsidR="00741A88" w:rsidRPr="00741A88">
              <w:rPr>
                <w:sz w:val="18"/>
                <w:szCs w:val="18"/>
              </w:rPr>
              <w:t xml:space="preserve"> </w:t>
            </w:r>
            <w:r w:rsidR="0049360B">
              <w:rPr>
                <w:sz w:val="18"/>
                <w:szCs w:val="18"/>
              </w:rPr>
              <w:t>Both are among the</w:t>
            </w:r>
            <w:r w:rsidR="00741A88" w:rsidRPr="00741A88">
              <w:rPr>
                <w:sz w:val="18"/>
                <w:szCs w:val="18"/>
              </w:rPr>
              <w:t xml:space="preserve"> components of population change tracked by Statistics Canada.</w:t>
            </w:r>
          </w:p>
        </w:tc>
      </w:tr>
      <w:tr w:rsidR="00741A88" w:rsidRPr="00741A88" w14:paraId="01817374" w14:textId="77777777" w:rsidTr="003C59F9">
        <w:tc>
          <w:tcPr>
            <w:tcW w:w="2340" w:type="dxa"/>
            <w:shd w:val="clear" w:color="auto" w:fill="F2F2F2" w:themeFill="background1" w:themeFillShade="F2"/>
            <w:tcMar>
              <w:top w:w="80" w:type="dxa"/>
              <w:left w:w="120" w:type="dxa"/>
              <w:bottom w:w="80" w:type="dxa"/>
              <w:right w:w="120" w:type="dxa"/>
            </w:tcMar>
            <w:vAlign w:val="center"/>
          </w:tcPr>
          <w:p w14:paraId="105246F1" w14:textId="77777777" w:rsidR="00741A88" w:rsidRPr="00EA160F" w:rsidRDefault="00741A88" w:rsidP="00741A88">
            <w:pPr>
              <w:rPr>
                <w:sz w:val="18"/>
                <w:szCs w:val="18"/>
              </w:rPr>
            </w:pPr>
            <w:r w:rsidRPr="00741A88">
              <w:rPr>
                <w:sz w:val="18"/>
                <w:szCs w:val="18"/>
              </w:rPr>
              <w:t>Non-census Family Household</w:t>
            </w:r>
          </w:p>
        </w:tc>
        <w:tc>
          <w:tcPr>
            <w:tcW w:w="7020" w:type="dxa"/>
            <w:shd w:val="clear" w:color="auto" w:fill="F2F2F2" w:themeFill="background1" w:themeFillShade="F2"/>
            <w:tcMar>
              <w:top w:w="80" w:type="dxa"/>
              <w:left w:w="120" w:type="dxa"/>
              <w:bottom w:w="80" w:type="dxa"/>
              <w:right w:w="120" w:type="dxa"/>
            </w:tcMar>
            <w:vAlign w:val="center"/>
          </w:tcPr>
          <w:p w14:paraId="3F783476" w14:textId="77777777" w:rsidR="00741A88" w:rsidRPr="00EA160F" w:rsidRDefault="00741A88" w:rsidP="00741A88">
            <w:pPr>
              <w:rPr>
                <w:sz w:val="18"/>
                <w:szCs w:val="18"/>
              </w:rPr>
            </w:pPr>
            <w:r w:rsidRPr="00741A88">
              <w:rPr>
                <w:sz w:val="18"/>
                <w:szCs w:val="18"/>
              </w:rPr>
              <w:t>A Statistics Canada household classification applied to households not composed of a couple with or without children, or a lone parent with children. Includes single-person households and households of unrelated individuals living together. Non-census family households are typically renters at higher rates than family households.</w:t>
            </w:r>
          </w:p>
        </w:tc>
      </w:tr>
      <w:tr w:rsidR="00741A88" w:rsidRPr="00741A88" w14:paraId="38A500D9" w14:textId="77777777" w:rsidTr="00741A88">
        <w:tc>
          <w:tcPr>
            <w:tcW w:w="2340" w:type="dxa"/>
            <w:shd w:val="clear" w:color="auto" w:fill="FFFFFF" w:themeFill="background1"/>
            <w:tcMar>
              <w:top w:w="80" w:type="dxa"/>
              <w:left w:w="120" w:type="dxa"/>
              <w:bottom w:w="80" w:type="dxa"/>
              <w:right w:w="120" w:type="dxa"/>
            </w:tcMar>
            <w:vAlign w:val="center"/>
          </w:tcPr>
          <w:p w14:paraId="5E36E1C9" w14:textId="77777777" w:rsidR="00741A88" w:rsidRPr="00EA160F" w:rsidRDefault="00741A88" w:rsidP="00741A88">
            <w:pPr>
              <w:rPr>
                <w:sz w:val="18"/>
                <w:szCs w:val="18"/>
              </w:rPr>
            </w:pPr>
            <w:r w:rsidRPr="00741A88">
              <w:rPr>
                <w:sz w:val="18"/>
                <w:szCs w:val="18"/>
              </w:rPr>
              <w:t>Non-market Housing</w:t>
            </w:r>
          </w:p>
        </w:tc>
        <w:tc>
          <w:tcPr>
            <w:tcW w:w="7020" w:type="dxa"/>
            <w:shd w:val="clear" w:color="auto" w:fill="FFFFFF" w:themeFill="background1"/>
            <w:tcMar>
              <w:top w:w="80" w:type="dxa"/>
              <w:left w:w="120" w:type="dxa"/>
              <w:bottom w:w="80" w:type="dxa"/>
              <w:right w:w="120" w:type="dxa"/>
            </w:tcMar>
            <w:vAlign w:val="center"/>
          </w:tcPr>
          <w:p w14:paraId="7A80C225" w14:textId="77777777" w:rsidR="00741A88" w:rsidRPr="00EA160F" w:rsidRDefault="00741A88" w:rsidP="00741A88">
            <w:pPr>
              <w:rPr>
                <w:sz w:val="18"/>
                <w:szCs w:val="18"/>
              </w:rPr>
            </w:pPr>
            <w:r w:rsidRPr="00741A88">
              <w:rPr>
                <w:sz w:val="18"/>
                <w:szCs w:val="18"/>
              </w:rPr>
              <w:t>Housing that is owned, operated, or funded outside of the private market, with the explicit goal of providing stable housing at below-market rents or with support services. Includes affordable non-market units, co-operative housing, emergency shelters, supportive housing, and transitional housing.</w:t>
            </w:r>
          </w:p>
        </w:tc>
      </w:tr>
      <w:tr w:rsidR="00741A88" w:rsidRPr="00741A88" w14:paraId="5C009CBC" w14:textId="77777777" w:rsidTr="003C59F9">
        <w:tc>
          <w:tcPr>
            <w:tcW w:w="2340" w:type="dxa"/>
            <w:shd w:val="clear" w:color="auto" w:fill="F2F2F2" w:themeFill="background1" w:themeFillShade="F2"/>
            <w:tcMar>
              <w:top w:w="80" w:type="dxa"/>
              <w:left w:w="120" w:type="dxa"/>
              <w:bottom w:w="80" w:type="dxa"/>
              <w:right w:w="120" w:type="dxa"/>
            </w:tcMar>
            <w:vAlign w:val="center"/>
          </w:tcPr>
          <w:p w14:paraId="2D1E64F7" w14:textId="77777777" w:rsidR="00741A88" w:rsidRPr="00EA160F" w:rsidRDefault="00741A88" w:rsidP="00741A88">
            <w:pPr>
              <w:rPr>
                <w:sz w:val="18"/>
                <w:szCs w:val="18"/>
              </w:rPr>
            </w:pPr>
            <w:r w:rsidRPr="00741A88">
              <w:rPr>
                <w:sz w:val="18"/>
                <w:szCs w:val="18"/>
              </w:rPr>
              <w:t>Non-permanent Resident</w:t>
            </w:r>
          </w:p>
        </w:tc>
        <w:tc>
          <w:tcPr>
            <w:tcW w:w="7020" w:type="dxa"/>
            <w:shd w:val="clear" w:color="auto" w:fill="F2F2F2" w:themeFill="background1" w:themeFillShade="F2"/>
            <w:tcMar>
              <w:top w:w="80" w:type="dxa"/>
              <w:left w:w="120" w:type="dxa"/>
              <w:bottom w:w="80" w:type="dxa"/>
              <w:right w:w="120" w:type="dxa"/>
            </w:tcMar>
            <w:vAlign w:val="center"/>
          </w:tcPr>
          <w:p w14:paraId="0214334C" w14:textId="77777777" w:rsidR="00741A88" w:rsidRPr="00EA160F" w:rsidRDefault="00741A88" w:rsidP="00741A88">
            <w:pPr>
              <w:rPr>
                <w:sz w:val="18"/>
                <w:szCs w:val="18"/>
              </w:rPr>
            </w:pPr>
            <w:r w:rsidRPr="00741A88">
              <w:rPr>
                <w:sz w:val="18"/>
                <w:szCs w:val="18"/>
              </w:rPr>
              <w:t>A person living in Canada on a temporary basis under a permit (such as a work permit or study permit) or as a refugee claimant. Distinct from permanent residents and citizens. Non-permanent residents may face particular barriers in accessing rental housing and are typically ineligible for many income support programs.</w:t>
            </w:r>
          </w:p>
        </w:tc>
      </w:tr>
      <w:tr w:rsidR="00741A88" w:rsidRPr="00741A88" w14:paraId="1D2F1BE6" w14:textId="77777777" w:rsidTr="00741A88">
        <w:tc>
          <w:tcPr>
            <w:tcW w:w="2340" w:type="dxa"/>
            <w:shd w:val="clear" w:color="auto" w:fill="FFFFFF" w:themeFill="background1"/>
            <w:tcMar>
              <w:top w:w="80" w:type="dxa"/>
              <w:left w:w="120" w:type="dxa"/>
              <w:bottom w:w="80" w:type="dxa"/>
              <w:right w:w="120" w:type="dxa"/>
            </w:tcMar>
            <w:vAlign w:val="center"/>
          </w:tcPr>
          <w:p w14:paraId="21521074" w14:textId="77777777" w:rsidR="00741A88" w:rsidRPr="00EA160F" w:rsidRDefault="00741A88" w:rsidP="00741A88">
            <w:pPr>
              <w:rPr>
                <w:sz w:val="18"/>
                <w:szCs w:val="18"/>
              </w:rPr>
            </w:pPr>
            <w:r w:rsidRPr="00741A88">
              <w:rPr>
                <w:sz w:val="18"/>
                <w:szCs w:val="18"/>
              </w:rPr>
              <w:t>Point-in-time Count</w:t>
            </w:r>
          </w:p>
        </w:tc>
        <w:tc>
          <w:tcPr>
            <w:tcW w:w="7020" w:type="dxa"/>
            <w:shd w:val="clear" w:color="auto" w:fill="FFFFFF" w:themeFill="background1"/>
            <w:tcMar>
              <w:top w:w="80" w:type="dxa"/>
              <w:left w:w="120" w:type="dxa"/>
              <w:bottom w:w="80" w:type="dxa"/>
              <w:right w:w="120" w:type="dxa"/>
            </w:tcMar>
            <w:vAlign w:val="center"/>
          </w:tcPr>
          <w:p w14:paraId="644DF14E" w14:textId="77777777" w:rsidR="00741A88" w:rsidRPr="00EA160F" w:rsidRDefault="00741A88" w:rsidP="00741A88">
            <w:pPr>
              <w:rPr>
                <w:sz w:val="18"/>
                <w:szCs w:val="18"/>
              </w:rPr>
            </w:pPr>
            <w:r w:rsidRPr="00741A88">
              <w:rPr>
                <w:sz w:val="18"/>
                <w:szCs w:val="18"/>
              </w:rPr>
              <w:t xml:space="preserve">A census of individuals experiencing homelessness conducted on a specific night, capturing those in shelters, transitional housing, or sleeping rough. Considered an </w:t>
            </w:r>
            <w:r w:rsidRPr="00741A88">
              <w:rPr>
                <w:sz w:val="18"/>
                <w:szCs w:val="18"/>
              </w:rPr>
              <w:lastRenderedPageBreak/>
              <w:t>undercount of the true homeless population because it excludes those experiencing hidden homelessness and those in communities without shelter infrastructure.</w:t>
            </w:r>
          </w:p>
        </w:tc>
      </w:tr>
      <w:tr w:rsidR="00741A88" w:rsidRPr="00741A88" w14:paraId="38129441" w14:textId="77777777" w:rsidTr="003C59F9">
        <w:tc>
          <w:tcPr>
            <w:tcW w:w="2340" w:type="dxa"/>
            <w:shd w:val="clear" w:color="auto" w:fill="F2F2F2" w:themeFill="background1" w:themeFillShade="F2"/>
            <w:tcMar>
              <w:top w:w="80" w:type="dxa"/>
              <w:left w:w="120" w:type="dxa"/>
              <w:bottom w:w="80" w:type="dxa"/>
              <w:right w:w="120" w:type="dxa"/>
            </w:tcMar>
            <w:vAlign w:val="center"/>
          </w:tcPr>
          <w:p w14:paraId="334E02E0" w14:textId="77777777" w:rsidR="00741A88" w:rsidRPr="00EA160F" w:rsidRDefault="00741A88" w:rsidP="00741A88">
            <w:pPr>
              <w:rPr>
                <w:sz w:val="18"/>
                <w:szCs w:val="18"/>
              </w:rPr>
            </w:pPr>
            <w:r w:rsidRPr="00741A88">
              <w:rPr>
                <w:sz w:val="18"/>
                <w:szCs w:val="18"/>
              </w:rPr>
              <w:lastRenderedPageBreak/>
              <w:t>Potential Long-term Dwellings (PLTDs)</w:t>
            </w:r>
          </w:p>
        </w:tc>
        <w:tc>
          <w:tcPr>
            <w:tcW w:w="7020" w:type="dxa"/>
            <w:shd w:val="clear" w:color="auto" w:fill="F2F2F2" w:themeFill="background1" w:themeFillShade="F2"/>
            <w:tcMar>
              <w:top w:w="80" w:type="dxa"/>
              <w:left w:w="120" w:type="dxa"/>
              <w:bottom w:w="80" w:type="dxa"/>
              <w:right w:w="120" w:type="dxa"/>
            </w:tcMar>
            <w:vAlign w:val="center"/>
          </w:tcPr>
          <w:p w14:paraId="52D10751" w14:textId="77777777" w:rsidR="00741A88" w:rsidRPr="00EA160F" w:rsidRDefault="00741A88" w:rsidP="00741A88">
            <w:pPr>
              <w:rPr>
                <w:sz w:val="18"/>
                <w:szCs w:val="18"/>
              </w:rPr>
            </w:pPr>
            <w:r w:rsidRPr="00741A88">
              <w:rPr>
                <w:sz w:val="18"/>
                <w:szCs w:val="18"/>
              </w:rPr>
              <w:t>Short-term rental units (e.g., those listed on platforms such as Airbnb) that could plausibly function as long-term housing if converted. Represents an upper-bound estimate of the long-term rental supply that current short-term rental activity may be displacing.</w:t>
            </w:r>
          </w:p>
        </w:tc>
      </w:tr>
      <w:tr w:rsidR="00741A88" w:rsidRPr="00741A88" w14:paraId="78BD255E" w14:textId="77777777" w:rsidTr="00741A88">
        <w:tc>
          <w:tcPr>
            <w:tcW w:w="2340" w:type="dxa"/>
            <w:shd w:val="clear" w:color="auto" w:fill="FFFFFF" w:themeFill="background1"/>
            <w:tcMar>
              <w:top w:w="80" w:type="dxa"/>
              <w:left w:w="120" w:type="dxa"/>
              <w:bottom w:w="80" w:type="dxa"/>
              <w:right w:w="120" w:type="dxa"/>
            </w:tcMar>
            <w:vAlign w:val="center"/>
          </w:tcPr>
          <w:p w14:paraId="3BCE55AF" w14:textId="77777777" w:rsidR="00741A88" w:rsidRPr="00EA160F" w:rsidRDefault="00741A88" w:rsidP="00741A88">
            <w:pPr>
              <w:rPr>
                <w:sz w:val="18"/>
                <w:szCs w:val="18"/>
              </w:rPr>
            </w:pPr>
            <w:r w:rsidRPr="00741A88">
              <w:rPr>
                <w:sz w:val="18"/>
                <w:szCs w:val="18"/>
              </w:rPr>
              <w:t>Primary Rental Market</w:t>
            </w:r>
          </w:p>
        </w:tc>
        <w:tc>
          <w:tcPr>
            <w:tcW w:w="7020" w:type="dxa"/>
            <w:shd w:val="clear" w:color="auto" w:fill="FFFFFF" w:themeFill="background1"/>
            <w:tcMar>
              <w:top w:w="80" w:type="dxa"/>
              <w:left w:w="120" w:type="dxa"/>
              <w:bottom w:w="80" w:type="dxa"/>
              <w:right w:w="120" w:type="dxa"/>
            </w:tcMar>
            <w:vAlign w:val="center"/>
          </w:tcPr>
          <w:p w14:paraId="75B9ECC5" w14:textId="2B134741" w:rsidR="00741A88" w:rsidRPr="00EA160F" w:rsidRDefault="00741A88" w:rsidP="00741A88">
            <w:pPr>
              <w:rPr>
                <w:sz w:val="18"/>
                <w:szCs w:val="18"/>
              </w:rPr>
            </w:pPr>
            <w:r w:rsidRPr="00741A88">
              <w:rPr>
                <w:sz w:val="18"/>
                <w:szCs w:val="18"/>
              </w:rPr>
              <w:t>Purpose-built rental housing</w:t>
            </w:r>
            <w:r w:rsidR="00AD00EB">
              <w:rPr>
                <w:sz w:val="18"/>
                <w:szCs w:val="18"/>
              </w:rPr>
              <w:t xml:space="preserve"> (</w:t>
            </w:r>
            <w:r w:rsidRPr="00741A88">
              <w:rPr>
                <w:sz w:val="18"/>
                <w:szCs w:val="18"/>
              </w:rPr>
              <w:t>residential buildings constructed and managed primarily to provide rental accommodation</w:t>
            </w:r>
            <w:r w:rsidR="00AD00EB">
              <w:rPr>
                <w:sz w:val="18"/>
                <w:szCs w:val="18"/>
              </w:rPr>
              <w:t>)</w:t>
            </w:r>
            <w:r w:rsidRPr="00EA160F">
              <w:rPr>
                <w:sz w:val="18"/>
                <w:szCs w:val="18"/>
              </w:rPr>
              <w:t>.</w:t>
            </w:r>
            <w:r w:rsidRPr="00741A88">
              <w:rPr>
                <w:sz w:val="18"/>
                <w:szCs w:val="18"/>
              </w:rPr>
              <w:t xml:space="preserve"> Distinguished from the secondary rental market, which consists of units originally built for other purposes (such as single-detached homes, basement suites, or condominiums) that are rented by their owners.</w:t>
            </w:r>
          </w:p>
        </w:tc>
      </w:tr>
      <w:tr w:rsidR="00741A88" w:rsidRPr="00741A88" w14:paraId="1CA88F79" w14:textId="77777777" w:rsidTr="003C59F9">
        <w:tc>
          <w:tcPr>
            <w:tcW w:w="2340" w:type="dxa"/>
            <w:shd w:val="clear" w:color="auto" w:fill="F2F2F2" w:themeFill="background1" w:themeFillShade="F2"/>
            <w:tcMar>
              <w:top w:w="80" w:type="dxa"/>
              <w:left w:w="120" w:type="dxa"/>
              <w:bottom w:w="80" w:type="dxa"/>
              <w:right w:w="120" w:type="dxa"/>
            </w:tcMar>
            <w:vAlign w:val="center"/>
          </w:tcPr>
          <w:p w14:paraId="0B4F8542" w14:textId="77777777" w:rsidR="00741A88" w:rsidRPr="00EA160F" w:rsidRDefault="00741A88" w:rsidP="00741A88">
            <w:pPr>
              <w:rPr>
                <w:sz w:val="18"/>
                <w:szCs w:val="18"/>
              </w:rPr>
            </w:pPr>
            <w:r w:rsidRPr="00741A88">
              <w:rPr>
                <w:sz w:val="18"/>
                <w:szCs w:val="18"/>
              </w:rPr>
              <w:t>Purpose-built Rental Housing</w:t>
            </w:r>
          </w:p>
        </w:tc>
        <w:tc>
          <w:tcPr>
            <w:tcW w:w="7020" w:type="dxa"/>
            <w:shd w:val="clear" w:color="auto" w:fill="F2F2F2" w:themeFill="background1" w:themeFillShade="F2"/>
            <w:tcMar>
              <w:top w:w="80" w:type="dxa"/>
              <w:left w:w="120" w:type="dxa"/>
              <w:bottom w:w="80" w:type="dxa"/>
              <w:right w:w="120" w:type="dxa"/>
            </w:tcMar>
            <w:vAlign w:val="center"/>
          </w:tcPr>
          <w:p w14:paraId="04B7DD11" w14:textId="77777777" w:rsidR="00741A88" w:rsidRPr="00EA160F" w:rsidRDefault="00741A88" w:rsidP="00741A88">
            <w:pPr>
              <w:rPr>
                <w:sz w:val="18"/>
                <w:szCs w:val="18"/>
              </w:rPr>
            </w:pPr>
            <w:r w:rsidRPr="00741A88">
              <w:rPr>
                <w:sz w:val="18"/>
                <w:szCs w:val="18"/>
              </w:rPr>
              <w:t>Residential buildings constructed specifically to provide long-term rental accommodation, as opposed to units that were originally built for ownership and subsequently rented out. Purpose-built rental units are generally more stable in supply because they are not subject to owner-occupancy conversion.</w:t>
            </w:r>
          </w:p>
        </w:tc>
      </w:tr>
      <w:tr w:rsidR="00741A88" w:rsidRPr="00741A88" w14:paraId="31FFE151" w14:textId="77777777" w:rsidTr="00741A88">
        <w:tc>
          <w:tcPr>
            <w:tcW w:w="2340" w:type="dxa"/>
            <w:shd w:val="clear" w:color="auto" w:fill="FFFFFF" w:themeFill="background1"/>
            <w:tcMar>
              <w:top w:w="80" w:type="dxa"/>
              <w:left w:w="120" w:type="dxa"/>
              <w:bottom w:w="80" w:type="dxa"/>
              <w:right w:w="120" w:type="dxa"/>
            </w:tcMar>
            <w:vAlign w:val="center"/>
          </w:tcPr>
          <w:p w14:paraId="0994D493" w14:textId="77777777" w:rsidR="00741A88" w:rsidRPr="00EA160F" w:rsidRDefault="00741A88" w:rsidP="00741A88">
            <w:pPr>
              <w:rPr>
                <w:sz w:val="18"/>
                <w:szCs w:val="18"/>
              </w:rPr>
            </w:pPr>
            <w:r w:rsidRPr="00741A88">
              <w:rPr>
                <w:sz w:val="18"/>
                <w:szCs w:val="18"/>
              </w:rPr>
              <w:t>Residential Instability (CIMD)</w:t>
            </w:r>
          </w:p>
        </w:tc>
        <w:tc>
          <w:tcPr>
            <w:tcW w:w="7020" w:type="dxa"/>
            <w:shd w:val="clear" w:color="auto" w:fill="FFFFFF" w:themeFill="background1"/>
            <w:tcMar>
              <w:top w:w="80" w:type="dxa"/>
              <w:left w:w="120" w:type="dxa"/>
              <w:bottom w:w="80" w:type="dxa"/>
              <w:right w:w="120" w:type="dxa"/>
            </w:tcMar>
            <w:vAlign w:val="center"/>
          </w:tcPr>
          <w:p w14:paraId="2DABC70C" w14:textId="77777777" w:rsidR="00741A88" w:rsidRPr="00EA160F" w:rsidRDefault="00741A88" w:rsidP="00741A88">
            <w:pPr>
              <w:rPr>
                <w:sz w:val="18"/>
                <w:szCs w:val="18"/>
              </w:rPr>
            </w:pPr>
            <w:r w:rsidRPr="00741A88">
              <w:rPr>
                <w:sz w:val="18"/>
                <w:szCs w:val="18"/>
              </w:rPr>
              <w:t>A dimension of the Canadian Index of Multiple Deprivation measuring the degree to which a neighbourhood's population is transient and households are fragile, based on factors such as renting, living alone, and frequent moving. High residential instability is associated with elevated exposure to displacement and reduced capacity to absorb market shocks.</w:t>
            </w:r>
          </w:p>
        </w:tc>
      </w:tr>
      <w:tr w:rsidR="00741A88" w:rsidRPr="00741A88" w14:paraId="3A735E9C" w14:textId="77777777" w:rsidTr="003C59F9">
        <w:tc>
          <w:tcPr>
            <w:tcW w:w="2340" w:type="dxa"/>
            <w:shd w:val="clear" w:color="auto" w:fill="F2F2F2" w:themeFill="background1" w:themeFillShade="F2"/>
            <w:tcMar>
              <w:top w:w="80" w:type="dxa"/>
              <w:left w:w="120" w:type="dxa"/>
              <w:bottom w:w="80" w:type="dxa"/>
              <w:right w:w="120" w:type="dxa"/>
            </w:tcMar>
            <w:vAlign w:val="center"/>
          </w:tcPr>
          <w:p w14:paraId="40739E9E" w14:textId="77777777" w:rsidR="00741A88" w:rsidRPr="00EA160F" w:rsidRDefault="00741A88" w:rsidP="00741A88">
            <w:pPr>
              <w:rPr>
                <w:sz w:val="18"/>
                <w:szCs w:val="18"/>
              </w:rPr>
            </w:pPr>
            <w:r w:rsidRPr="00741A88">
              <w:rPr>
                <w:sz w:val="18"/>
                <w:szCs w:val="18"/>
              </w:rPr>
              <w:t>Secondary Rental Market</w:t>
            </w:r>
          </w:p>
        </w:tc>
        <w:tc>
          <w:tcPr>
            <w:tcW w:w="7020" w:type="dxa"/>
            <w:shd w:val="clear" w:color="auto" w:fill="F2F2F2" w:themeFill="background1" w:themeFillShade="F2"/>
            <w:tcMar>
              <w:top w:w="80" w:type="dxa"/>
              <w:left w:w="120" w:type="dxa"/>
              <w:bottom w:w="80" w:type="dxa"/>
              <w:right w:w="120" w:type="dxa"/>
            </w:tcMar>
            <w:vAlign w:val="center"/>
          </w:tcPr>
          <w:p w14:paraId="2E98E419" w14:textId="77777777" w:rsidR="00741A88" w:rsidRPr="00EA160F" w:rsidRDefault="00741A88" w:rsidP="00741A88">
            <w:pPr>
              <w:rPr>
                <w:sz w:val="18"/>
                <w:szCs w:val="18"/>
              </w:rPr>
            </w:pPr>
            <w:r w:rsidRPr="00741A88">
              <w:rPr>
                <w:sz w:val="18"/>
                <w:szCs w:val="18"/>
              </w:rPr>
              <w:t>Rental units that were not purpose-built for rental occupancy, including single-detached homes, basement suites, condominiums, and accessory units rented by their owners. Secondary market units are generally more vulnerable to withdrawal from the rental pool than purpose-built units, as owners may convert them to personal use, sell, or list them as short-term rentals.</w:t>
            </w:r>
          </w:p>
        </w:tc>
      </w:tr>
      <w:tr w:rsidR="00741A88" w:rsidRPr="00741A88" w14:paraId="081AE5A2" w14:textId="77777777" w:rsidTr="00741A88">
        <w:tc>
          <w:tcPr>
            <w:tcW w:w="2340" w:type="dxa"/>
            <w:shd w:val="clear" w:color="auto" w:fill="FFFFFF" w:themeFill="background1"/>
            <w:tcMar>
              <w:top w:w="80" w:type="dxa"/>
              <w:left w:w="120" w:type="dxa"/>
              <w:bottom w:w="80" w:type="dxa"/>
              <w:right w:w="120" w:type="dxa"/>
            </w:tcMar>
            <w:vAlign w:val="center"/>
          </w:tcPr>
          <w:p w14:paraId="7701641B" w14:textId="77777777" w:rsidR="00741A88" w:rsidRPr="00EA160F" w:rsidRDefault="00741A88" w:rsidP="00741A88">
            <w:pPr>
              <w:rPr>
                <w:sz w:val="18"/>
                <w:szCs w:val="18"/>
              </w:rPr>
            </w:pPr>
            <w:r w:rsidRPr="00741A88">
              <w:rPr>
                <w:sz w:val="18"/>
                <w:szCs w:val="18"/>
              </w:rPr>
              <w:t>Shelter Cost-to-Income Ratio</w:t>
            </w:r>
          </w:p>
        </w:tc>
        <w:tc>
          <w:tcPr>
            <w:tcW w:w="7020" w:type="dxa"/>
            <w:shd w:val="clear" w:color="auto" w:fill="FFFFFF" w:themeFill="background1"/>
            <w:tcMar>
              <w:top w:w="80" w:type="dxa"/>
              <w:left w:w="120" w:type="dxa"/>
              <w:bottom w:w="80" w:type="dxa"/>
              <w:right w:w="120" w:type="dxa"/>
            </w:tcMar>
            <w:vAlign w:val="center"/>
          </w:tcPr>
          <w:p w14:paraId="0B6A4D0F" w14:textId="77777777" w:rsidR="00741A88" w:rsidRPr="00EA160F" w:rsidRDefault="00741A88" w:rsidP="00741A88">
            <w:pPr>
              <w:rPr>
                <w:sz w:val="18"/>
                <w:szCs w:val="18"/>
              </w:rPr>
            </w:pPr>
            <w:r w:rsidRPr="00741A88">
              <w:rPr>
                <w:sz w:val="18"/>
                <w:szCs w:val="18"/>
              </w:rPr>
              <w:t>The proportion of a household's before-tax income that is spent on housing costs (rent, mortgage payments, utilities, and other shelter-related expenses). A ratio exceeding 30% is the standard threshold used in Canada to identify unaffordable housing; a ratio exceeding 50% indicates deep unaffordability.</w:t>
            </w:r>
          </w:p>
        </w:tc>
      </w:tr>
      <w:tr w:rsidR="00741A88" w:rsidRPr="00741A88" w14:paraId="0251AE33" w14:textId="77777777" w:rsidTr="003C59F9">
        <w:tc>
          <w:tcPr>
            <w:tcW w:w="2340" w:type="dxa"/>
            <w:shd w:val="clear" w:color="auto" w:fill="F2F2F2" w:themeFill="background1" w:themeFillShade="F2"/>
            <w:tcMar>
              <w:top w:w="80" w:type="dxa"/>
              <w:left w:w="120" w:type="dxa"/>
              <w:bottom w:w="80" w:type="dxa"/>
              <w:right w:w="120" w:type="dxa"/>
            </w:tcMar>
            <w:vAlign w:val="center"/>
          </w:tcPr>
          <w:p w14:paraId="0AE83FA3" w14:textId="77777777" w:rsidR="00741A88" w:rsidRPr="00EA160F" w:rsidRDefault="00741A88" w:rsidP="00741A88">
            <w:pPr>
              <w:rPr>
                <w:sz w:val="18"/>
                <w:szCs w:val="18"/>
              </w:rPr>
            </w:pPr>
            <w:r w:rsidRPr="00741A88">
              <w:rPr>
                <w:sz w:val="18"/>
                <w:szCs w:val="18"/>
              </w:rPr>
              <w:t>Situational Vulnerability (CIMD)</w:t>
            </w:r>
          </w:p>
        </w:tc>
        <w:tc>
          <w:tcPr>
            <w:tcW w:w="7020" w:type="dxa"/>
            <w:shd w:val="clear" w:color="auto" w:fill="F2F2F2" w:themeFill="background1" w:themeFillShade="F2"/>
            <w:tcMar>
              <w:top w:w="80" w:type="dxa"/>
              <w:left w:w="120" w:type="dxa"/>
              <w:bottom w:w="80" w:type="dxa"/>
              <w:right w:w="120" w:type="dxa"/>
            </w:tcMar>
            <w:vAlign w:val="center"/>
          </w:tcPr>
          <w:p w14:paraId="0ADE0425" w14:textId="77777777" w:rsidR="00741A88" w:rsidRPr="00EA160F" w:rsidRDefault="00741A88" w:rsidP="00741A88">
            <w:pPr>
              <w:rPr>
                <w:sz w:val="18"/>
                <w:szCs w:val="18"/>
              </w:rPr>
            </w:pPr>
            <w:r w:rsidRPr="00741A88">
              <w:rPr>
                <w:sz w:val="18"/>
                <w:szCs w:val="18"/>
              </w:rPr>
              <w:t>A dimension of the Canadian Index of Multiple Deprivation measuring the concentration of population groups whose circumstances (such as disability, recent immigration, or sole support parenting) place them at elevated risk of housing instability.</w:t>
            </w:r>
          </w:p>
        </w:tc>
      </w:tr>
      <w:tr w:rsidR="00741A88" w:rsidRPr="00741A88" w14:paraId="6176AC6B" w14:textId="77777777" w:rsidTr="00741A88">
        <w:tc>
          <w:tcPr>
            <w:tcW w:w="2340" w:type="dxa"/>
            <w:shd w:val="clear" w:color="auto" w:fill="FFFFFF" w:themeFill="background1"/>
            <w:tcMar>
              <w:top w:w="80" w:type="dxa"/>
              <w:left w:w="120" w:type="dxa"/>
              <w:bottom w:w="80" w:type="dxa"/>
              <w:right w:w="120" w:type="dxa"/>
            </w:tcMar>
            <w:vAlign w:val="center"/>
          </w:tcPr>
          <w:p w14:paraId="12949B32" w14:textId="544237E8" w:rsidR="00741A88" w:rsidRPr="00EA160F" w:rsidRDefault="00741A88" w:rsidP="00741A88">
            <w:pPr>
              <w:rPr>
                <w:sz w:val="18"/>
                <w:szCs w:val="18"/>
              </w:rPr>
            </w:pPr>
            <w:r w:rsidRPr="00741A88">
              <w:rPr>
                <w:sz w:val="18"/>
                <w:szCs w:val="18"/>
              </w:rPr>
              <w:t>Shared Socioeconomic Pathway</w:t>
            </w:r>
            <w:r w:rsidR="00AD00EB" w:rsidRPr="00EA160F">
              <w:rPr>
                <w:sz w:val="18"/>
                <w:szCs w:val="18"/>
              </w:rPr>
              <w:t xml:space="preserve"> </w:t>
            </w:r>
            <w:r w:rsidR="00AD00EB">
              <w:rPr>
                <w:sz w:val="18"/>
                <w:szCs w:val="18"/>
              </w:rPr>
              <w:t>(</w:t>
            </w:r>
            <w:r w:rsidRPr="00EA160F">
              <w:rPr>
                <w:sz w:val="18"/>
                <w:szCs w:val="18"/>
              </w:rPr>
              <w:t>SSP2-4.5</w:t>
            </w:r>
            <w:r w:rsidRPr="00741A88">
              <w:rPr>
                <w:sz w:val="18"/>
                <w:szCs w:val="18"/>
              </w:rPr>
              <w:t>)</w:t>
            </w:r>
          </w:p>
        </w:tc>
        <w:tc>
          <w:tcPr>
            <w:tcW w:w="7020" w:type="dxa"/>
            <w:shd w:val="clear" w:color="auto" w:fill="FFFFFF" w:themeFill="background1"/>
            <w:tcMar>
              <w:top w:w="80" w:type="dxa"/>
              <w:left w:w="120" w:type="dxa"/>
              <w:bottom w:w="80" w:type="dxa"/>
              <w:right w:w="120" w:type="dxa"/>
            </w:tcMar>
            <w:vAlign w:val="center"/>
          </w:tcPr>
          <w:p w14:paraId="6A127746" w14:textId="77777777" w:rsidR="00741A88" w:rsidRPr="00EA160F" w:rsidRDefault="00741A88" w:rsidP="00741A88">
            <w:pPr>
              <w:rPr>
                <w:sz w:val="18"/>
                <w:szCs w:val="18"/>
              </w:rPr>
            </w:pPr>
            <w:r w:rsidRPr="00741A88">
              <w:rPr>
                <w:sz w:val="18"/>
                <w:szCs w:val="18"/>
              </w:rPr>
              <w:t>A climate change scenario used in the Intergovernmental Panel on Climate Change (IPCC) framework, representing an 'intermediate' emissions trajectory. Used in Canadian climate projection models (such as CanDCS-U6) to generate future estimates of temperature, precipitation, and other climate variables for planning purposes.</w:t>
            </w:r>
          </w:p>
        </w:tc>
      </w:tr>
      <w:tr w:rsidR="00741A88" w:rsidRPr="00741A88" w14:paraId="29AC55B7" w14:textId="77777777" w:rsidTr="003C59F9">
        <w:tc>
          <w:tcPr>
            <w:tcW w:w="2340" w:type="dxa"/>
            <w:shd w:val="clear" w:color="auto" w:fill="F2F2F2" w:themeFill="background1" w:themeFillShade="F2"/>
            <w:tcMar>
              <w:top w:w="80" w:type="dxa"/>
              <w:left w:w="120" w:type="dxa"/>
              <w:bottom w:w="80" w:type="dxa"/>
              <w:right w:w="120" w:type="dxa"/>
            </w:tcMar>
            <w:vAlign w:val="center"/>
          </w:tcPr>
          <w:p w14:paraId="20C1659B" w14:textId="77777777" w:rsidR="00741A88" w:rsidRPr="00EA160F" w:rsidRDefault="00741A88" w:rsidP="00741A88">
            <w:pPr>
              <w:rPr>
                <w:sz w:val="18"/>
                <w:szCs w:val="18"/>
              </w:rPr>
            </w:pPr>
            <w:r w:rsidRPr="00741A88">
              <w:rPr>
                <w:sz w:val="18"/>
                <w:szCs w:val="18"/>
              </w:rPr>
              <w:t>Statistics Canada Census Profile</w:t>
            </w:r>
          </w:p>
        </w:tc>
        <w:tc>
          <w:tcPr>
            <w:tcW w:w="7020" w:type="dxa"/>
            <w:shd w:val="clear" w:color="auto" w:fill="F2F2F2" w:themeFill="background1" w:themeFillShade="F2"/>
            <w:tcMar>
              <w:top w:w="80" w:type="dxa"/>
              <w:left w:w="120" w:type="dxa"/>
              <w:bottom w:w="80" w:type="dxa"/>
              <w:right w:w="120" w:type="dxa"/>
            </w:tcMar>
            <w:vAlign w:val="center"/>
          </w:tcPr>
          <w:p w14:paraId="3663B1E4" w14:textId="77777777" w:rsidR="00741A88" w:rsidRPr="00EA160F" w:rsidRDefault="00741A88" w:rsidP="00741A88">
            <w:pPr>
              <w:rPr>
                <w:sz w:val="18"/>
                <w:szCs w:val="18"/>
              </w:rPr>
            </w:pPr>
            <w:r w:rsidRPr="00741A88">
              <w:rPr>
                <w:sz w:val="18"/>
                <w:szCs w:val="18"/>
              </w:rPr>
              <w:t>A publicly available Statistics Canada data product presenting demographic, social, and economic characteristics for communities across Canada, drawn from the most recent national Census. The foundational data source for Housing Needs Assessments.</w:t>
            </w:r>
          </w:p>
        </w:tc>
      </w:tr>
      <w:tr w:rsidR="00741A88" w:rsidRPr="00741A88" w14:paraId="4C6256E4" w14:textId="77777777" w:rsidTr="00741A88">
        <w:tc>
          <w:tcPr>
            <w:tcW w:w="2340" w:type="dxa"/>
            <w:shd w:val="clear" w:color="auto" w:fill="FFFFFF" w:themeFill="background1"/>
            <w:tcMar>
              <w:top w:w="80" w:type="dxa"/>
              <w:left w:w="120" w:type="dxa"/>
              <w:bottom w:w="80" w:type="dxa"/>
              <w:right w:w="120" w:type="dxa"/>
            </w:tcMar>
            <w:vAlign w:val="center"/>
          </w:tcPr>
          <w:p w14:paraId="536117CF" w14:textId="77777777" w:rsidR="00741A88" w:rsidRPr="00EA160F" w:rsidRDefault="00741A88" w:rsidP="00741A88">
            <w:pPr>
              <w:rPr>
                <w:sz w:val="18"/>
                <w:szCs w:val="18"/>
              </w:rPr>
            </w:pPr>
            <w:r w:rsidRPr="00741A88">
              <w:rPr>
                <w:sz w:val="18"/>
                <w:szCs w:val="18"/>
              </w:rPr>
              <w:t>Subsidized Housing</w:t>
            </w:r>
          </w:p>
        </w:tc>
        <w:tc>
          <w:tcPr>
            <w:tcW w:w="7020" w:type="dxa"/>
            <w:shd w:val="clear" w:color="auto" w:fill="FFFFFF" w:themeFill="background1"/>
            <w:tcMar>
              <w:top w:w="80" w:type="dxa"/>
              <w:left w:w="120" w:type="dxa"/>
              <w:bottom w:w="80" w:type="dxa"/>
              <w:right w:w="120" w:type="dxa"/>
            </w:tcMar>
            <w:vAlign w:val="center"/>
          </w:tcPr>
          <w:p w14:paraId="4EDB413B" w14:textId="77777777" w:rsidR="00741A88" w:rsidRPr="00EA160F" w:rsidRDefault="00741A88" w:rsidP="00741A88">
            <w:pPr>
              <w:rPr>
                <w:sz w:val="18"/>
                <w:szCs w:val="18"/>
              </w:rPr>
            </w:pPr>
            <w:r w:rsidRPr="00741A88">
              <w:rPr>
                <w:sz w:val="18"/>
                <w:szCs w:val="18"/>
              </w:rPr>
              <w:t>Rental housing in which the tenant pays a reduced rent made possible through direct government subsidy, typically tied to an income test. The subsidy covers the difference between the tenant's affordable contribution and the actual cost of operating the unit.</w:t>
            </w:r>
          </w:p>
        </w:tc>
      </w:tr>
      <w:tr w:rsidR="00741A88" w:rsidRPr="00741A88" w14:paraId="68397A49" w14:textId="77777777" w:rsidTr="003C59F9">
        <w:tc>
          <w:tcPr>
            <w:tcW w:w="2340" w:type="dxa"/>
            <w:shd w:val="clear" w:color="auto" w:fill="F2F2F2" w:themeFill="background1" w:themeFillShade="F2"/>
            <w:tcMar>
              <w:top w:w="80" w:type="dxa"/>
              <w:left w:w="120" w:type="dxa"/>
              <w:bottom w:w="80" w:type="dxa"/>
              <w:right w:w="120" w:type="dxa"/>
            </w:tcMar>
            <w:vAlign w:val="center"/>
          </w:tcPr>
          <w:p w14:paraId="73AC363A" w14:textId="77777777" w:rsidR="00741A88" w:rsidRPr="00EA160F" w:rsidRDefault="00741A88" w:rsidP="00741A88">
            <w:pPr>
              <w:rPr>
                <w:sz w:val="18"/>
                <w:szCs w:val="18"/>
              </w:rPr>
            </w:pPr>
            <w:r w:rsidRPr="00741A88">
              <w:rPr>
                <w:sz w:val="18"/>
                <w:szCs w:val="18"/>
              </w:rPr>
              <w:t>Supportive Housing</w:t>
            </w:r>
          </w:p>
        </w:tc>
        <w:tc>
          <w:tcPr>
            <w:tcW w:w="7020" w:type="dxa"/>
            <w:shd w:val="clear" w:color="auto" w:fill="F2F2F2" w:themeFill="background1" w:themeFillShade="F2"/>
            <w:tcMar>
              <w:top w:w="80" w:type="dxa"/>
              <w:left w:w="120" w:type="dxa"/>
              <w:bottom w:w="80" w:type="dxa"/>
              <w:right w:w="120" w:type="dxa"/>
            </w:tcMar>
            <w:vAlign w:val="center"/>
          </w:tcPr>
          <w:p w14:paraId="30A94143" w14:textId="77777777" w:rsidR="00741A88" w:rsidRPr="00EA160F" w:rsidRDefault="00741A88" w:rsidP="00741A88">
            <w:pPr>
              <w:rPr>
                <w:sz w:val="18"/>
                <w:szCs w:val="18"/>
              </w:rPr>
            </w:pPr>
            <w:r w:rsidRPr="00741A88">
              <w:rPr>
                <w:sz w:val="18"/>
                <w:szCs w:val="18"/>
              </w:rPr>
              <w:t>Housing combined with on-site or readily accessible support services (such as mental health care, addiction treatment, or daily living assistance) for individuals who require more than housing alone to maintain stable accommodation. Distinct from transitional housing, which is intended as a temporary bridge to permanent housing.</w:t>
            </w:r>
          </w:p>
        </w:tc>
      </w:tr>
      <w:tr w:rsidR="00741A88" w:rsidRPr="00741A88" w14:paraId="3DB5DED9" w14:textId="77777777" w:rsidTr="00741A88">
        <w:tc>
          <w:tcPr>
            <w:tcW w:w="2340" w:type="dxa"/>
            <w:shd w:val="clear" w:color="auto" w:fill="FFFFFF" w:themeFill="background1"/>
            <w:tcMar>
              <w:top w:w="80" w:type="dxa"/>
              <w:left w:w="120" w:type="dxa"/>
              <w:bottom w:w="80" w:type="dxa"/>
              <w:right w:w="120" w:type="dxa"/>
            </w:tcMar>
            <w:vAlign w:val="center"/>
          </w:tcPr>
          <w:p w14:paraId="00151F49" w14:textId="77777777" w:rsidR="00741A88" w:rsidRPr="00EA160F" w:rsidRDefault="00741A88" w:rsidP="00741A88">
            <w:pPr>
              <w:rPr>
                <w:sz w:val="18"/>
                <w:szCs w:val="18"/>
              </w:rPr>
            </w:pPr>
            <w:r w:rsidRPr="00741A88">
              <w:rPr>
                <w:sz w:val="18"/>
                <w:szCs w:val="18"/>
              </w:rPr>
              <w:lastRenderedPageBreak/>
              <w:t>Tenure</w:t>
            </w:r>
          </w:p>
        </w:tc>
        <w:tc>
          <w:tcPr>
            <w:tcW w:w="7020" w:type="dxa"/>
            <w:shd w:val="clear" w:color="auto" w:fill="FFFFFF" w:themeFill="background1"/>
            <w:tcMar>
              <w:top w:w="80" w:type="dxa"/>
              <w:left w:w="120" w:type="dxa"/>
              <w:bottom w:w="80" w:type="dxa"/>
              <w:right w:w="120" w:type="dxa"/>
            </w:tcMar>
            <w:vAlign w:val="center"/>
          </w:tcPr>
          <w:p w14:paraId="455DE20D" w14:textId="1B1D8F06" w:rsidR="00741A88" w:rsidRPr="00EA160F" w:rsidRDefault="00741A88" w:rsidP="00741A88">
            <w:pPr>
              <w:rPr>
                <w:sz w:val="18"/>
                <w:szCs w:val="18"/>
              </w:rPr>
            </w:pPr>
            <w:r w:rsidRPr="00741A88">
              <w:rPr>
                <w:sz w:val="18"/>
                <w:szCs w:val="18"/>
              </w:rPr>
              <w:t>The basis on which a household occupies its dwelling</w:t>
            </w:r>
            <w:r w:rsidR="00AD00EB">
              <w:rPr>
                <w:sz w:val="18"/>
                <w:szCs w:val="18"/>
              </w:rPr>
              <w:t xml:space="preserve">, </w:t>
            </w:r>
            <w:r w:rsidRPr="00741A88">
              <w:rPr>
                <w:sz w:val="18"/>
                <w:szCs w:val="18"/>
              </w:rPr>
              <w:t>either as an owner-occupant or as a renter. Tenure is a fundamental variable in housing needs analysis because renters and owners face structurally different affordability pressures, housing need rates, and policy responses.</w:t>
            </w:r>
          </w:p>
        </w:tc>
      </w:tr>
      <w:tr w:rsidR="00741A88" w:rsidRPr="00741A88" w14:paraId="01E63FA2" w14:textId="77777777" w:rsidTr="003C59F9">
        <w:tc>
          <w:tcPr>
            <w:tcW w:w="2340" w:type="dxa"/>
            <w:shd w:val="clear" w:color="auto" w:fill="F2F2F2" w:themeFill="background1" w:themeFillShade="F2"/>
            <w:tcMar>
              <w:top w:w="80" w:type="dxa"/>
              <w:left w:w="120" w:type="dxa"/>
              <w:bottom w:w="80" w:type="dxa"/>
              <w:right w:w="120" w:type="dxa"/>
            </w:tcMar>
            <w:vAlign w:val="center"/>
          </w:tcPr>
          <w:p w14:paraId="0532EEF2" w14:textId="77777777" w:rsidR="00741A88" w:rsidRPr="00EA160F" w:rsidRDefault="00741A88" w:rsidP="00741A88">
            <w:pPr>
              <w:rPr>
                <w:sz w:val="18"/>
                <w:szCs w:val="18"/>
              </w:rPr>
            </w:pPr>
            <w:r w:rsidRPr="00741A88">
              <w:rPr>
                <w:sz w:val="18"/>
                <w:szCs w:val="18"/>
              </w:rPr>
              <w:t>Transitional Housing</w:t>
            </w:r>
          </w:p>
        </w:tc>
        <w:tc>
          <w:tcPr>
            <w:tcW w:w="7020" w:type="dxa"/>
            <w:shd w:val="clear" w:color="auto" w:fill="F2F2F2" w:themeFill="background1" w:themeFillShade="F2"/>
            <w:tcMar>
              <w:top w:w="80" w:type="dxa"/>
              <w:left w:w="120" w:type="dxa"/>
              <w:bottom w:w="80" w:type="dxa"/>
              <w:right w:w="120" w:type="dxa"/>
            </w:tcMar>
            <w:vAlign w:val="center"/>
          </w:tcPr>
          <w:p w14:paraId="0E0571AA" w14:textId="77777777" w:rsidR="00741A88" w:rsidRPr="00EA160F" w:rsidRDefault="00741A88" w:rsidP="00741A88">
            <w:pPr>
              <w:rPr>
                <w:sz w:val="18"/>
                <w:szCs w:val="18"/>
              </w:rPr>
            </w:pPr>
            <w:r w:rsidRPr="00741A88">
              <w:rPr>
                <w:sz w:val="18"/>
                <w:szCs w:val="18"/>
              </w:rPr>
              <w:t>Short-term, supported accommodation providing a bridge between emergency shelter and long-term stable housing. Intended to help individuals stabilize their circumstances before transitioning to independent market or non-market housing.</w:t>
            </w:r>
          </w:p>
        </w:tc>
      </w:tr>
      <w:tr w:rsidR="00741A88" w:rsidRPr="00741A88" w14:paraId="7A15E45F" w14:textId="77777777" w:rsidTr="00741A88">
        <w:tc>
          <w:tcPr>
            <w:tcW w:w="2340" w:type="dxa"/>
            <w:shd w:val="clear" w:color="auto" w:fill="FFFFFF" w:themeFill="background1"/>
            <w:tcMar>
              <w:top w:w="80" w:type="dxa"/>
              <w:left w:w="120" w:type="dxa"/>
              <w:bottom w:w="80" w:type="dxa"/>
              <w:right w:w="120" w:type="dxa"/>
            </w:tcMar>
            <w:vAlign w:val="center"/>
          </w:tcPr>
          <w:p w14:paraId="7923D827" w14:textId="77777777" w:rsidR="00741A88" w:rsidRPr="00EA160F" w:rsidRDefault="00741A88" w:rsidP="00741A88">
            <w:pPr>
              <w:rPr>
                <w:sz w:val="18"/>
                <w:szCs w:val="18"/>
              </w:rPr>
            </w:pPr>
            <w:r w:rsidRPr="00741A88">
              <w:rPr>
                <w:sz w:val="18"/>
                <w:szCs w:val="18"/>
              </w:rPr>
              <w:t>Vacancy Rate</w:t>
            </w:r>
          </w:p>
        </w:tc>
        <w:tc>
          <w:tcPr>
            <w:tcW w:w="7020" w:type="dxa"/>
            <w:shd w:val="clear" w:color="auto" w:fill="FFFFFF" w:themeFill="background1"/>
            <w:tcMar>
              <w:top w:w="80" w:type="dxa"/>
              <w:left w:w="120" w:type="dxa"/>
              <w:bottom w:w="80" w:type="dxa"/>
              <w:right w:w="120" w:type="dxa"/>
            </w:tcMar>
            <w:vAlign w:val="center"/>
          </w:tcPr>
          <w:p w14:paraId="6F285A1C" w14:textId="77777777" w:rsidR="00741A88" w:rsidRPr="00EA160F" w:rsidRDefault="00741A88" w:rsidP="00741A88">
            <w:pPr>
              <w:rPr>
                <w:sz w:val="18"/>
                <w:szCs w:val="18"/>
              </w:rPr>
            </w:pPr>
            <w:r w:rsidRPr="00741A88">
              <w:rPr>
                <w:sz w:val="18"/>
                <w:szCs w:val="18"/>
              </w:rPr>
              <w:t>The percentage of rental units in a market that are unoccupied and available for rent. A vacancy rate below 3% is widely recognized in Canada as indicative of a rental market under stress, in which renters have limited choice and are exposed to elevated affordability and displacement risk.</w:t>
            </w:r>
          </w:p>
        </w:tc>
      </w:tr>
      <w:tr w:rsidR="00741A88" w:rsidRPr="00741A88" w14:paraId="7C6EFB3C" w14:textId="77777777" w:rsidTr="003C59F9">
        <w:tc>
          <w:tcPr>
            <w:tcW w:w="2340" w:type="dxa"/>
            <w:shd w:val="clear" w:color="auto" w:fill="F2F2F2" w:themeFill="background1" w:themeFillShade="F2"/>
            <w:tcMar>
              <w:top w:w="80" w:type="dxa"/>
              <w:left w:w="120" w:type="dxa"/>
              <w:bottom w:w="80" w:type="dxa"/>
              <w:right w:w="120" w:type="dxa"/>
            </w:tcMar>
            <w:vAlign w:val="center"/>
          </w:tcPr>
          <w:p w14:paraId="34E7089F" w14:textId="77777777" w:rsidR="00741A88" w:rsidRPr="00EA160F" w:rsidRDefault="00741A88" w:rsidP="00741A88">
            <w:pPr>
              <w:rPr>
                <w:sz w:val="18"/>
                <w:szCs w:val="18"/>
              </w:rPr>
            </w:pPr>
            <w:r w:rsidRPr="00741A88">
              <w:rPr>
                <w:sz w:val="18"/>
                <w:szCs w:val="18"/>
              </w:rPr>
              <w:t>Visible Minority</w:t>
            </w:r>
          </w:p>
        </w:tc>
        <w:tc>
          <w:tcPr>
            <w:tcW w:w="7020" w:type="dxa"/>
            <w:shd w:val="clear" w:color="auto" w:fill="F2F2F2" w:themeFill="background1" w:themeFillShade="F2"/>
            <w:tcMar>
              <w:top w:w="80" w:type="dxa"/>
              <w:left w:w="120" w:type="dxa"/>
              <w:bottom w:w="80" w:type="dxa"/>
              <w:right w:w="120" w:type="dxa"/>
            </w:tcMar>
            <w:vAlign w:val="center"/>
          </w:tcPr>
          <w:p w14:paraId="1E429C32" w14:textId="77777777" w:rsidR="00741A88" w:rsidRPr="00EA160F" w:rsidRDefault="00741A88" w:rsidP="00741A88">
            <w:pPr>
              <w:rPr>
                <w:sz w:val="18"/>
                <w:szCs w:val="18"/>
              </w:rPr>
            </w:pPr>
            <w:r w:rsidRPr="00741A88">
              <w:rPr>
                <w:sz w:val="18"/>
                <w:szCs w:val="18"/>
              </w:rPr>
              <w:t>A term defined under Canada's Employment Equity Act referring to persons, other than Indigenous peoples, who are non-Caucasian in race or non-white in colour. Used in census data and housing needs assessments to identify population groups that may face discrimination or specific barriers in the housing market.</w:t>
            </w:r>
          </w:p>
        </w:tc>
      </w:tr>
    </w:tbl>
    <w:p w14:paraId="281714ED" w14:textId="77777777" w:rsidR="00BC6E14" w:rsidRDefault="00BC6E14"/>
    <w:p w14:paraId="1950C76A" w14:textId="702A88DD" w:rsidR="00BC6E14" w:rsidRDefault="00BC6E14"/>
    <w:p w14:paraId="4B8E277C" w14:textId="77777777" w:rsidR="00125C7D" w:rsidRDefault="00125C7D" w:rsidP="00E920CE">
      <w:pPr>
        <w:pStyle w:val="Heading2"/>
        <w:numPr>
          <w:ilvl w:val="0"/>
          <w:numId w:val="0"/>
        </w:numPr>
        <w:ind w:left="576"/>
        <w:sectPr w:rsidR="00125C7D" w:rsidSect="00125C7D">
          <w:headerReference w:type="default" r:id="rId24"/>
          <w:footerReference w:type="default" r:id="rId25"/>
          <w:pgSz w:w="12240" w:h="15840"/>
          <w:pgMar w:top="1440" w:right="1440" w:bottom="1440" w:left="1440" w:header="708" w:footer="708" w:gutter="0"/>
          <w:cols w:space="720"/>
          <w:docGrid w:linePitch="360"/>
        </w:sectPr>
      </w:pPr>
    </w:p>
    <w:p w14:paraId="4AFEEB9F" w14:textId="31EEB05E" w:rsidR="00BC6E14" w:rsidRDefault="00BC6E14" w:rsidP="00B308B2">
      <w:pPr>
        <w:pStyle w:val="Heading2"/>
        <w:numPr>
          <w:ilvl w:val="0"/>
          <w:numId w:val="0"/>
        </w:numPr>
        <w:ind w:left="720" w:hanging="720"/>
      </w:pPr>
      <w:bookmarkStart w:id="136" w:name="_Toc237355970"/>
      <w:r>
        <w:lastRenderedPageBreak/>
        <w:t>APPENDIX</w:t>
      </w:r>
      <w:r w:rsidR="00906CA3">
        <w:t xml:space="preserve"> E: </w:t>
      </w:r>
      <w:r w:rsidR="002E4EF9">
        <w:t>Community Vulnerability Profile</w:t>
      </w:r>
      <w:bookmarkEnd w:id="136"/>
    </w:p>
    <w:p w14:paraId="30A222DB" w14:textId="77777777" w:rsidR="00BC6E14" w:rsidRDefault="00BC6E14" w:rsidP="00BC6E14">
      <w:pPr>
        <w:rPr>
          <w:b/>
          <w:bCs/>
          <w:color w:val="1A3E63"/>
          <w:sz w:val="18"/>
          <w:szCs w:val="18"/>
        </w:rPr>
      </w:pPr>
    </w:p>
    <w:p w14:paraId="571FFB35" w14:textId="77777777" w:rsidR="00BC6E14" w:rsidRDefault="00BC6E14" w:rsidP="00BC6E14">
      <w:r w:rsidRPr="003C59F9">
        <w:rPr>
          <w:b/>
          <w:bCs/>
          <w:color w:val="1A2940" w:themeColor="text2"/>
        </w:rPr>
        <w:t>VALIDATED VULNERABILITY INDICES</w:t>
      </w:r>
      <w:r w:rsidRPr="003C59F9">
        <w:rPr>
          <w:i/>
          <w:iCs/>
          <w:color w:val="1A2940" w:themeColor="text2"/>
        </w:rPr>
        <w:t xml:space="preserve"> </w:t>
      </w:r>
      <w:r w:rsidRPr="006F4C98">
        <w:rPr>
          <w:i/>
          <w:iCs/>
          <w:color w:val="555555"/>
        </w:rPr>
        <w:t>– externally produced benchmarks contextualizing the detailed profile below</w:t>
      </w:r>
    </w:p>
    <w:p w14:paraId="00F4FD52" w14:textId="77777777" w:rsidR="00BC6E14" w:rsidRDefault="00BC6E14" w:rsidP="00BC6E14"/>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18"/>
        <w:gridCol w:w="4318"/>
        <w:gridCol w:w="4319"/>
      </w:tblGrid>
      <w:tr w:rsidR="00BC6E14" w:rsidRPr="00FD64B8" w14:paraId="5DB1DCD5" w14:textId="77777777" w:rsidTr="00340AF2">
        <w:trPr>
          <w:trHeight w:val="1730"/>
        </w:trPr>
        <w:tc>
          <w:tcPr>
            <w:tcW w:w="4318" w:type="dxa"/>
            <w:tcBorders>
              <w:bottom w:val="single" w:sz="4" w:space="0" w:color="auto"/>
            </w:tcBorders>
            <w:shd w:val="clear" w:color="auto" w:fill="F0F4F9"/>
            <w:tcMar>
              <w:top w:w="160" w:type="dxa"/>
              <w:left w:w="180" w:type="dxa"/>
              <w:bottom w:w="160" w:type="dxa"/>
              <w:right w:w="180" w:type="dxa"/>
            </w:tcMar>
          </w:tcPr>
          <w:p w14:paraId="51A6D6D4" w14:textId="77777777" w:rsidR="00BC6E14" w:rsidRPr="003C59F9" w:rsidRDefault="00BC6E14" w:rsidP="00340AF2">
            <w:pPr>
              <w:rPr>
                <w:b/>
                <w:bCs/>
                <w:color w:val="42618C" w:themeColor="accent3"/>
                <w:sz w:val="18"/>
                <w:szCs w:val="18"/>
              </w:rPr>
            </w:pPr>
            <w:r w:rsidRPr="003C59F9">
              <w:rPr>
                <w:b/>
                <w:bCs/>
                <w:color w:val="42618C" w:themeColor="accent3"/>
                <w:sz w:val="18"/>
                <w:szCs w:val="18"/>
              </w:rPr>
              <w:t>Canadian Index of Multiple Deprivation</w:t>
            </w:r>
          </w:p>
          <w:p w14:paraId="088C6B05" w14:textId="77777777" w:rsidR="00BC6E14" w:rsidRPr="00FD64B8" w:rsidRDefault="00BC6E14" w:rsidP="00340AF2">
            <w:pPr>
              <w:rPr>
                <w:sz w:val="18"/>
                <w:szCs w:val="18"/>
              </w:rPr>
            </w:pPr>
          </w:p>
          <w:p w14:paraId="0DF26241" w14:textId="77777777" w:rsidR="00BC6E14" w:rsidRPr="00FD64B8" w:rsidRDefault="00BC6E14" w:rsidP="00340AF2">
            <w:pPr>
              <w:rPr>
                <w:sz w:val="18"/>
                <w:szCs w:val="18"/>
              </w:rPr>
            </w:pPr>
            <w:r w:rsidRPr="00FD64B8">
              <w:rPr>
                <w:color w:val="333333"/>
                <w:sz w:val="18"/>
                <w:szCs w:val="18"/>
              </w:rPr>
              <w:t>Four dimensions of deprivation: residential instability, economic dependency, ethno</w:t>
            </w:r>
            <w:r>
              <w:rPr>
                <w:color w:val="333333"/>
                <w:sz w:val="18"/>
                <w:szCs w:val="18"/>
              </w:rPr>
              <w:t>-</w:t>
            </w:r>
            <w:r w:rsidRPr="00FD64B8">
              <w:rPr>
                <w:color w:val="333333"/>
                <w:sz w:val="18"/>
                <w:szCs w:val="18"/>
              </w:rPr>
              <w:t>cultural composition, and situational vulnerability. Produced at the DA level; aggregated to CSD.</w:t>
            </w:r>
          </w:p>
        </w:tc>
        <w:tc>
          <w:tcPr>
            <w:tcW w:w="4318" w:type="dxa"/>
            <w:tcBorders>
              <w:bottom w:val="single" w:sz="4" w:space="0" w:color="auto"/>
            </w:tcBorders>
            <w:shd w:val="clear" w:color="auto" w:fill="F0F4F9"/>
            <w:tcMar>
              <w:top w:w="160" w:type="dxa"/>
              <w:left w:w="180" w:type="dxa"/>
              <w:bottom w:w="160" w:type="dxa"/>
              <w:right w:w="180" w:type="dxa"/>
            </w:tcMar>
          </w:tcPr>
          <w:p w14:paraId="26B01D60" w14:textId="77777777" w:rsidR="00BC6E14" w:rsidRPr="00411650" w:rsidRDefault="00BC6E14" w:rsidP="00340AF2">
            <w:pPr>
              <w:rPr>
                <w:b/>
                <w:bCs/>
                <w:color w:val="506C89" w:themeColor="accent1" w:themeShade="80"/>
                <w:sz w:val="18"/>
                <w:szCs w:val="18"/>
              </w:rPr>
            </w:pPr>
            <w:r w:rsidRPr="00411650">
              <w:rPr>
                <w:b/>
                <w:bCs/>
                <w:color w:val="506C89" w:themeColor="accent1" w:themeShade="80"/>
                <w:sz w:val="18"/>
                <w:szCs w:val="18"/>
              </w:rPr>
              <w:t xml:space="preserve">Canadian Index of Social Resilience </w:t>
            </w:r>
            <w:r w:rsidRPr="00411650">
              <w:rPr>
                <w:b/>
                <w:bCs/>
                <w:color w:val="506C89" w:themeColor="accent1" w:themeShade="80"/>
                <w:sz w:val="18"/>
                <w:szCs w:val="18"/>
              </w:rPr>
              <w:br/>
              <w:t>Canadian Index of Social Vulnerability</w:t>
            </w:r>
          </w:p>
          <w:p w14:paraId="4D63A379" w14:textId="77777777" w:rsidR="00BC6E14" w:rsidRDefault="00BC6E14" w:rsidP="00340AF2">
            <w:pPr>
              <w:rPr>
                <w:color w:val="333333"/>
                <w:sz w:val="18"/>
                <w:szCs w:val="18"/>
              </w:rPr>
            </w:pPr>
          </w:p>
          <w:p w14:paraId="02832A42" w14:textId="77777777" w:rsidR="00BC6E14" w:rsidRPr="00FD64B8" w:rsidRDefault="00BC6E14" w:rsidP="00340AF2">
            <w:pPr>
              <w:rPr>
                <w:sz w:val="18"/>
                <w:szCs w:val="18"/>
              </w:rPr>
            </w:pPr>
            <w:r>
              <w:rPr>
                <w:color w:val="333333"/>
                <w:sz w:val="18"/>
                <w:szCs w:val="18"/>
              </w:rPr>
              <w:t xml:space="preserve">Composites of social resilience and vulnerability that capture a community’s capacity to withstand / recover from natural disasters and the social factors that amplify the impacts of these disasters, respectively. </w:t>
            </w:r>
            <w:r w:rsidRPr="00FD64B8">
              <w:rPr>
                <w:color w:val="333333"/>
                <w:sz w:val="18"/>
                <w:szCs w:val="18"/>
              </w:rPr>
              <w:t>Produced at the DA level; aggregated to CSD.</w:t>
            </w:r>
          </w:p>
        </w:tc>
        <w:tc>
          <w:tcPr>
            <w:tcW w:w="4319" w:type="dxa"/>
            <w:shd w:val="clear" w:color="auto" w:fill="F0F4F9"/>
            <w:tcMar>
              <w:top w:w="160" w:type="dxa"/>
              <w:left w:w="180" w:type="dxa"/>
              <w:bottom w:w="160" w:type="dxa"/>
              <w:right w:w="180" w:type="dxa"/>
            </w:tcMar>
          </w:tcPr>
          <w:p w14:paraId="7CF8DC85" w14:textId="77777777" w:rsidR="00BC6E14" w:rsidRPr="00411650" w:rsidRDefault="00BC6E14" w:rsidP="00340AF2">
            <w:pPr>
              <w:rPr>
                <w:b/>
                <w:bCs/>
                <w:color w:val="506C89" w:themeColor="accent1" w:themeShade="80"/>
                <w:sz w:val="18"/>
                <w:szCs w:val="18"/>
              </w:rPr>
            </w:pPr>
            <w:r w:rsidRPr="00411650">
              <w:rPr>
                <w:b/>
                <w:bCs/>
                <w:color w:val="506C89" w:themeColor="accent1" w:themeShade="80"/>
                <w:sz w:val="18"/>
                <w:szCs w:val="18"/>
              </w:rPr>
              <w:t>Material &amp; Social Deprivation Index</w:t>
            </w:r>
          </w:p>
          <w:p w14:paraId="7230E382" w14:textId="77777777" w:rsidR="00BC6E14" w:rsidRDefault="00BC6E14" w:rsidP="00340AF2">
            <w:pPr>
              <w:rPr>
                <w:color w:val="333333"/>
                <w:sz w:val="18"/>
                <w:szCs w:val="18"/>
              </w:rPr>
            </w:pPr>
          </w:p>
          <w:p w14:paraId="5894F979" w14:textId="77777777" w:rsidR="00BC6E14" w:rsidRDefault="00BC6E14" w:rsidP="00340AF2">
            <w:r>
              <w:rPr>
                <w:color w:val="333333"/>
                <w:sz w:val="18"/>
                <w:szCs w:val="18"/>
              </w:rPr>
              <w:t>M</w:t>
            </w:r>
            <w:r w:rsidRPr="00FD64B8">
              <w:rPr>
                <w:color w:val="333333"/>
                <w:sz w:val="18"/>
                <w:szCs w:val="18"/>
              </w:rPr>
              <w:t>aterial deprivation and social deprivation</w:t>
            </w:r>
            <w:r>
              <w:rPr>
                <w:color w:val="333333"/>
                <w:sz w:val="18"/>
                <w:szCs w:val="18"/>
              </w:rPr>
              <w:t xml:space="preserve"> indicators capture</w:t>
            </w:r>
            <w:r w:rsidRPr="00116AF2">
              <w:rPr>
                <w:sz w:val="18"/>
                <w:szCs w:val="18"/>
              </w:rPr>
              <w:t xml:space="preserve"> the consequences of insufficient economic resources</w:t>
            </w:r>
            <w:r>
              <w:rPr>
                <w:sz w:val="18"/>
                <w:szCs w:val="18"/>
              </w:rPr>
              <w:t xml:space="preserve"> and</w:t>
            </w:r>
          </w:p>
          <w:p w14:paraId="66336B8D" w14:textId="77777777" w:rsidR="00BC6E14" w:rsidRPr="00FD64B8" w:rsidRDefault="00BC6E14" w:rsidP="00340AF2">
            <w:pPr>
              <w:rPr>
                <w:sz w:val="18"/>
                <w:szCs w:val="18"/>
              </w:rPr>
            </w:pPr>
            <w:r w:rsidRPr="00116AF2">
              <w:rPr>
                <w:sz w:val="18"/>
                <w:szCs w:val="18"/>
              </w:rPr>
              <w:t>the fragility of a person's social network</w:t>
            </w:r>
            <w:r>
              <w:rPr>
                <w:sz w:val="18"/>
                <w:szCs w:val="18"/>
              </w:rPr>
              <w:t>, respectively.</w:t>
            </w:r>
            <w:r w:rsidRPr="00FD64B8">
              <w:rPr>
                <w:color w:val="333333"/>
                <w:sz w:val="18"/>
                <w:szCs w:val="18"/>
              </w:rPr>
              <w:t xml:space="preserve"> Widely used in Quebec; applied nationally.</w:t>
            </w:r>
            <w:r>
              <w:rPr>
                <w:color w:val="333333"/>
                <w:sz w:val="18"/>
                <w:szCs w:val="18"/>
              </w:rPr>
              <w:t xml:space="preserve"> </w:t>
            </w:r>
            <w:r w:rsidRPr="00FD64B8">
              <w:rPr>
                <w:color w:val="333333"/>
                <w:sz w:val="18"/>
                <w:szCs w:val="18"/>
              </w:rPr>
              <w:t>Produced at the DA level; aggregated to CSD.</w:t>
            </w:r>
          </w:p>
        </w:tc>
      </w:tr>
    </w:tbl>
    <w:tbl>
      <w:tblPr>
        <w:tblW w:w="12955" w:type="dxa"/>
        <w:tblLayout w:type="fixed"/>
        <w:tblLook w:val="04A0" w:firstRow="1" w:lastRow="0" w:firstColumn="1" w:lastColumn="0" w:noHBand="0" w:noVBand="1"/>
      </w:tblPr>
      <w:tblGrid>
        <w:gridCol w:w="2159"/>
        <w:gridCol w:w="2159"/>
        <w:gridCol w:w="2159"/>
        <w:gridCol w:w="2159"/>
        <w:gridCol w:w="2159"/>
        <w:gridCol w:w="2160"/>
      </w:tblGrid>
      <w:tr w:rsidR="00BC6E14" w:rsidRPr="007C1681" w14:paraId="5D18DED1" w14:textId="77777777" w:rsidTr="004A1F22">
        <w:trPr>
          <w:trHeight w:val="576"/>
        </w:trPr>
        <w:tc>
          <w:tcPr>
            <w:tcW w:w="2159" w:type="dxa"/>
            <w:tcBorders>
              <w:top w:val="single" w:sz="4" w:space="0" w:color="auto"/>
              <w:left w:val="single" w:sz="4" w:space="0" w:color="auto"/>
              <w:bottom w:val="single" w:sz="4" w:space="0" w:color="auto"/>
              <w:right w:val="single" w:sz="4" w:space="0" w:color="BFBFBF"/>
            </w:tcBorders>
            <w:shd w:val="clear" w:color="auto" w:fill="CFD9E3" w:themeFill="accent1"/>
            <w:noWrap/>
            <w:vAlign w:val="center"/>
            <w:hideMark/>
          </w:tcPr>
          <w:p w14:paraId="0B71C4B4" w14:textId="77777777" w:rsidR="00BC6E14" w:rsidRPr="007C1681" w:rsidRDefault="00BC6E14" w:rsidP="00340AF2">
            <w:pPr>
              <w:rPr>
                <w:rFonts w:eastAsia="Times New Roman"/>
                <w:sz w:val="18"/>
                <w:szCs w:val="18"/>
              </w:rPr>
            </w:pPr>
            <w:r w:rsidRPr="007C1681">
              <w:rPr>
                <w:rFonts w:eastAsia="Times New Roman"/>
                <w:sz w:val="18"/>
                <w:szCs w:val="18"/>
              </w:rPr>
              <w:t>Measure</w:t>
            </w:r>
          </w:p>
        </w:tc>
        <w:tc>
          <w:tcPr>
            <w:tcW w:w="2159"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2693E165" w14:textId="77777777" w:rsidR="00BC6E14" w:rsidRPr="007C1681" w:rsidRDefault="00BC6E14" w:rsidP="00340AF2">
            <w:pPr>
              <w:jc w:val="right"/>
              <w:rPr>
                <w:rFonts w:eastAsia="Times New Roman"/>
                <w:sz w:val="18"/>
                <w:szCs w:val="18"/>
              </w:rPr>
            </w:pPr>
            <w:r>
              <w:rPr>
                <w:rFonts w:eastAsia="Times New Roman"/>
                <w:sz w:val="18"/>
                <w:szCs w:val="18"/>
              </w:rPr>
              <w:t>Result</w:t>
            </w:r>
          </w:p>
        </w:tc>
        <w:tc>
          <w:tcPr>
            <w:tcW w:w="2159" w:type="dxa"/>
            <w:tcBorders>
              <w:top w:val="single" w:sz="4" w:space="0" w:color="auto"/>
              <w:left w:val="single" w:sz="4" w:space="0" w:color="auto"/>
              <w:bottom w:val="single" w:sz="4" w:space="0" w:color="auto"/>
              <w:right w:val="single" w:sz="4" w:space="0" w:color="BFBFBF"/>
            </w:tcBorders>
            <w:shd w:val="clear" w:color="auto" w:fill="CFD9E3" w:themeFill="accent1"/>
            <w:noWrap/>
            <w:vAlign w:val="center"/>
            <w:hideMark/>
          </w:tcPr>
          <w:p w14:paraId="123A956B" w14:textId="77777777" w:rsidR="00BC6E14" w:rsidRPr="007C1681" w:rsidRDefault="00BC6E14" w:rsidP="00340AF2">
            <w:pPr>
              <w:rPr>
                <w:rFonts w:eastAsia="Times New Roman"/>
                <w:sz w:val="18"/>
                <w:szCs w:val="18"/>
              </w:rPr>
            </w:pPr>
            <w:r w:rsidRPr="007C1681">
              <w:rPr>
                <w:rFonts w:eastAsia="Times New Roman"/>
                <w:sz w:val="18"/>
                <w:szCs w:val="18"/>
              </w:rPr>
              <w:t>Measure</w:t>
            </w:r>
          </w:p>
        </w:tc>
        <w:tc>
          <w:tcPr>
            <w:tcW w:w="2159"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6C82E669" w14:textId="77777777" w:rsidR="00BC6E14" w:rsidRPr="007C1681" w:rsidRDefault="00BC6E14" w:rsidP="00340AF2">
            <w:pPr>
              <w:jc w:val="right"/>
              <w:rPr>
                <w:rFonts w:eastAsia="Times New Roman"/>
                <w:sz w:val="18"/>
                <w:szCs w:val="18"/>
              </w:rPr>
            </w:pPr>
            <w:r>
              <w:rPr>
                <w:rFonts w:eastAsia="Times New Roman"/>
                <w:sz w:val="18"/>
                <w:szCs w:val="18"/>
              </w:rPr>
              <w:t>Result</w:t>
            </w:r>
          </w:p>
        </w:tc>
        <w:tc>
          <w:tcPr>
            <w:tcW w:w="2159" w:type="dxa"/>
            <w:tcBorders>
              <w:top w:val="single" w:sz="4" w:space="0" w:color="auto"/>
              <w:left w:val="single" w:sz="4" w:space="0" w:color="auto"/>
              <w:bottom w:val="single" w:sz="4" w:space="0" w:color="auto"/>
              <w:right w:val="single" w:sz="4" w:space="0" w:color="BFBFBF"/>
            </w:tcBorders>
            <w:shd w:val="clear" w:color="auto" w:fill="CFD9E3" w:themeFill="accent1"/>
            <w:noWrap/>
            <w:vAlign w:val="center"/>
            <w:hideMark/>
          </w:tcPr>
          <w:p w14:paraId="74CE415A" w14:textId="77777777" w:rsidR="00BC6E14" w:rsidRPr="007C1681" w:rsidRDefault="00BC6E14" w:rsidP="00340AF2">
            <w:pPr>
              <w:rPr>
                <w:rFonts w:eastAsia="Times New Roman"/>
                <w:sz w:val="18"/>
                <w:szCs w:val="18"/>
              </w:rPr>
            </w:pPr>
            <w:r w:rsidRPr="007C1681">
              <w:rPr>
                <w:rFonts w:eastAsia="Times New Roman"/>
                <w:sz w:val="18"/>
                <w:szCs w:val="18"/>
              </w:rPr>
              <w:t>Measure</w:t>
            </w:r>
          </w:p>
        </w:tc>
        <w:tc>
          <w:tcPr>
            <w:tcW w:w="2160"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27AE199A" w14:textId="77777777" w:rsidR="00BC6E14" w:rsidRPr="007C1681" w:rsidRDefault="00BC6E14" w:rsidP="00340AF2">
            <w:pPr>
              <w:jc w:val="right"/>
              <w:rPr>
                <w:rFonts w:eastAsia="Times New Roman"/>
                <w:sz w:val="18"/>
                <w:szCs w:val="18"/>
              </w:rPr>
            </w:pPr>
            <w:r>
              <w:rPr>
                <w:rFonts w:eastAsia="Times New Roman"/>
                <w:sz w:val="18"/>
                <w:szCs w:val="18"/>
              </w:rPr>
              <w:t>Result</w:t>
            </w:r>
          </w:p>
        </w:tc>
      </w:tr>
      <w:tr w:rsidR="00BC6E14" w:rsidRPr="007C1681" w14:paraId="0CF533CF" w14:textId="77777777" w:rsidTr="00340AF2">
        <w:trPr>
          <w:trHeight w:val="576"/>
        </w:trPr>
        <w:tc>
          <w:tcPr>
            <w:tcW w:w="2159" w:type="dxa"/>
            <w:tcBorders>
              <w:top w:val="nil"/>
              <w:left w:val="single" w:sz="4" w:space="0" w:color="auto"/>
              <w:bottom w:val="single" w:sz="4" w:space="0" w:color="BFBFBF"/>
              <w:right w:val="single" w:sz="4" w:space="0" w:color="BFBFBF"/>
            </w:tcBorders>
            <w:shd w:val="clear" w:color="000000" w:fill="F2F2F2"/>
            <w:noWrap/>
            <w:vAlign w:val="center"/>
            <w:hideMark/>
          </w:tcPr>
          <w:p w14:paraId="1E28E8C5"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Residential instability</w:t>
            </w:r>
          </w:p>
        </w:tc>
        <w:tc>
          <w:tcPr>
            <w:tcW w:w="2159" w:type="dxa"/>
            <w:tcBorders>
              <w:top w:val="nil"/>
              <w:left w:val="nil"/>
              <w:bottom w:val="single" w:sz="4" w:space="0" w:color="BFBFBF"/>
              <w:right w:val="single" w:sz="4" w:space="0" w:color="auto"/>
            </w:tcBorders>
            <w:shd w:val="clear" w:color="000000" w:fill="F2F2F2"/>
            <w:noWrap/>
            <w:vAlign w:val="center"/>
            <w:hideMark/>
          </w:tcPr>
          <w:p w14:paraId="2276962D"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high instability</w:t>
            </w:r>
          </w:p>
        </w:tc>
        <w:tc>
          <w:tcPr>
            <w:tcW w:w="2159" w:type="dxa"/>
            <w:tcBorders>
              <w:top w:val="nil"/>
              <w:left w:val="single" w:sz="4" w:space="0" w:color="auto"/>
              <w:bottom w:val="single" w:sz="4" w:space="0" w:color="BFBFBF"/>
              <w:right w:val="single" w:sz="4" w:space="0" w:color="BFBFBF"/>
            </w:tcBorders>
            <w:shd w:val="clear" w:color="000000" w:fill="F2F2F2"/>
            <w:noWrap/>
            <w:vAlign w:val="center"/>
            <w:hideMark/>
          </w:tcPr>
          <w:p w14:paraId="3A6BF033"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Social resilience</w:t>
            </w:r>
          </w:p>
        </w:tc>
        <w:tc>
          <w:tcPr>
            <w:tcW w:w="2159" w:type="dxa"/>
            <w:tcBorders>
              <w:top w:val="nil"/>
              <w:left w:val="nil"/>
              <w:bottom w:val="single" w:sz="4" w:space="0" w:color="BFBFBF"/>
              <w:right w:val="single" w:sz="4" w:space="0" w:color="auto"/>
            </w:tcBorders>
            <w:shd w:val="clear" w:color="000000" w:fill="F2F2F2"/>
            <w:noWrap/>
            <w:vAlign w:val="center"/>
            <w:hideMark/>
          </w:tcPr>
          <w:p w14:paraId="59EAA2AD"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above average resilience</w:t>
            </w:r>
          </w:p>
        </w:tc>
        <w:tc>
          <w:tcPr>
            <w:tcW w:w="2159" w:type="dxa"/>
            <w:tcBorders>
              <w:top w:val="nil"/>
              <w:left w:val="single" w:sz="4" w:space="0" w:color="auto"/>
              <w:bottom w:val="single" w:sz="4" w:space="0" w:color="BFBFBF"/>
              <w:right w:val="single" w:sz="4" w:space="0" w:color="BFBFBF"/>
            </w:tcBorders>
            <w:shd w:val="clear" w:color="000000" w:fill="F2F2F2"/>
            <w:noWrap/>
            <w:vAlign w:val="center"/>
            <w:hideMark/>
          </w:tcPr>
          <w:p w14:paraId="196FB1FF"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Material deprivation</w:t>
            </w:r>
          </w:p>
        </w:tc>
        <w:tc>
          <w:tcPr>
            <w:tcW w:w="2160" w:type="dxa"/>
            <w:tcBorders>
              <w:top w:val="nil"/>
              <w:left w:val="nil"/>
              <w:bottom w:val="single" w:sz="4" w:space="0" w:color="BFBFBF"/>
              <w:right w:val="single" w:sz="4" w:space="0" w:color="auto"/>
            </w:tcBorders>
            <w:shd w:val="clear" w:color="000000" w:fill="F2F2F2"/>
            <w:noWrap/>
            <w:vAlign w:val="center"/>
            <w:hideMark/>
          </w:tcPr>
          <w:p w14:paraId="6D0C53BC"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low social deprivation</w:t>
            </w:r>
          </w:p>
        </w:tc>
      </w:tr>
      <w:tr w:rsidR="00BC6E14" w:rsidRPr="007C1681" w14:paraId="57EDCC6F" w14:textId="77777777" w:rsidTr="00340AF2">
        <w:trPr>
          <w:trHeight w:val="576"/>
        </w:trPr>
        <w:tc>
          <w:tcPr>
            <w:tcW w:w="2159" w:type="dxa"/>
            <w:tcBorders>
              <w:top w:val="nil"/>
              <w:left w:val="single" w:sz="4" w:space="0" w:color="auto"/>
              <w:bottom w:val="single" w:sz="4" w:space="0" w:color="BFBFBF"/>
              <w:right w:val="single" w:sz="4" w:space="0" w:color="BFBFBF"/>
            </w:tcBorders>
            <w:noWrap/>
            <w:vAlign w:val="center"/>
            <w:hideMark/>
          </w:tcPr>
          <w:p w14:paraId="35D13DE1"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Ethno-cultural composition</w:t>
            </w:r>
          </w:p>
        </w:tc>
        <w:tc>
          <w:tcPr>
            <w:tcW w:w="2159" w:type="dxa"/>
            <w:tcBorders>
              <w:top w:val="nil"/>
              <w:left w:val="nil"/>
              <w:bottom w:val="single" w:sz="4" w:space="0" w:color="BFBFBF"/>
              <w:right w:val="single" w:sz="4" w:space="0" w:color="auto"/>
            </w:tcBorders>
            <w:noWrap/>
            <w:vAlign w:val="center"/>
            <w:hideMark/>
          </w:tcPr>
          <w:p w14:paraId="373FA4A0"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high complexity</w:t>
            </w:r>
          </w:p>
        </w:tc>
        <w:tc>
          <w:tcPr>
            <w:tcW w:w="2159" w:type="dxa"/>
            <w:tcBorders>
              <w:top w:val="nil"/>
              <w:left w:val="single" w:sz="4" w:space="0" w:color="auto"/>
              <w:bottom w:val="single" w:sz="4" w:space="0" w:color="BFBFBF"/>
              <w:right w:val="single" w:sz="4" w:space="0" w:color="BFBFBF"/>
            </w:tcBorders>
            <w:noWrap/>
            <w:vAlign w:val="center"/>
            <w:hideMark/>
          </w:tcPr>
          <w:p w14:paraId="1F9B5755"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Social vulnerability</w:t>
            </w:r>
          </w:p>
        </w:tc>
        <w:tc>
          <w:tcPr>
            <w:tcW w:w="2159" w:type="dxa"/>
            <w:tcBorders>
              <w:top w:val="nil"/>
              <w:left w:val="nil"/>
              <w:bottom w:val="single" w:sz="4" w:space="0" w:color="BFBFBF"/>
              <w:right w:val="single" w:sz="4" w:space="0" w:color="auto"/>
            </w:tcBorders>
            <w:noWrap/>
            <w:vAlign w:val="center"/>
            <w:hideMark/>
          </w:tcPr>
          <w:p w14:paraId="25721D1D"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above average vulnerability</w:t>
            </w:r>
          </w:p>
        </w:tc>
        <w:tc>
          <w:tcPr>
            <w:tcW w:w="2159" w:type="dxa"/>
            <w:tcBorders>
              <w:top w:val="nil"/>
              <w:left w:val="single" w:sz="4" w:space="0" w:color="auto"/>
              <w:bottom w:val="nil"/>
              <w:right w:val="single" w:sz="4" w:space="0" w:color="BFBFBF"/>
            </w:tcBorders>
            <w:noWrap/>
            <w:vAlign w:val="center"/>
            <w:hideMark/>
          </w:tcPr>
          <w:p w14:paraId="25D3B515"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Social deprivation</w:t>
            </w:r>
          </w:p>
        </w:tc>
        <w:tc>
          <w:tcPr>
            <w:tcW w:w="2160" w:type="dxa"/>
            <w:tcBorders>
              <w:top w:val="nil"/>
              <w:left w:val="nil"/>
              <w:bottom w:val="nil"/>
              <w:right w:val="single" w:sz="4" w:space="0" w:color="auto"/>
            </w:tcBorders>
            <w:noWrap/>
            <w:vAlign w:val="center"/>
            <w:hideMark/>
          </w:tcPr>
          <w:p w14:paraId="45D6AE69"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high social deprivation</w:t>
            </w:r>
          </w:p>
        </w:tc>
      </w:tr>
      <w:tr w:rsidR="00BC6E14" w:rsidRPr="007C1681" w14:paraId="0EC2BA9F" w14:textId="77777777" w:rsidTr="00340AF2">
        <w:trPr>
          <w:trHeight w:val="576"/>
        </w:trPr>
        <w:tc>
          <w:tcPr>
            <w:tcW w:w="2159" w:type="dxa"/>
            <w:tcBorders>
              <w:top w:val="nil"/>
              <w:left w:val="single" w:sz="4" w:space="0" w:color="auto"/>
              <w:bottom w:val="single" w:sz="4" w:space="0" w:color="BFBFBF"/>
              <w:right w:val="single" w:sz="4" w:space="0" w:color="BFBFBF"/>
            </w:tcBorders>
            <w:shd w:val="clear" w:color="000000" w:fill="F2F2F2"/>
            <w:noWrap/>
            <w:vAlign w:val="center"/>
            <w:hideMark/>
          </w:tcPr>
          <w:p w14:paraId="58C89371"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Economic dependency</w:t>
            </w:r>
          </w:p>
        </w:tc>
        <w:tc>
          <w:tcPr>
            <w:tcW w:w="2159" w:type="dxa"/>
            <w:tcBorders>
              <w:top w:val="nil"/>
              <w:left w:val="nil"/>
              <w:bottom w:val="single" w:sz="4" w:space="0" w:color="BFBFBF"/>
              <w:right w:val="single" w:sz="4" w:space="0" w:color="auto"/>
            </w:tcBorders>
            <w:shd w:val="clear" w:color="000000" w:fill="F2F2F2"/>
            <w:noWrap/>
            <w:vAlign w:val="center"/>
            <w:hideMark/>
          </w:tcPr>
          <w:p w14:paraId="21CD3D14"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below average dependency</w:t>
            </w:r>
          </w:p>
        </w:tc>
        <w:tc>
          <w:tcPr>
            <w:tcW w:w="2159" w:type="dxa"/>
            <w:tcBorders>
              <w:top w:val="single" w:sz="4" w:space="0" w:color="auto"/>
              <w:left w:val="single" w:sz="4" w:space="0" w:color="auto"/>
              <w:bottom w:val="nil"/>
              <w:right w:val="nil"/>
            </w:tcBorders>
            <w:shd w:val="clear" w:color="000000" w:fill="BFBFBF"/>
            <w:noWrap/>
            <w:vAlign w:val="center"/>
            <w:hideMark/>
          </w:tcPr>
          <w:p w14:paraId="59ACF8BD"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c>
          <w:tcPr>
            <w:tcW w:w="2159" w:type="dxa"/>
            <w:tcBorders>
              <w:top w:val="single" w:sz="4" w:space="0" w:color="auto"/>
              <w:left w:val="nil"/>
              <w:bottom w:val="nil"/>
              <w:right w:val="single" w:sz="4" w:space="0" w:color="auto"/>
            </w:tcBorders>
            <w:shd w:val="clear" w:color="000000" w:fill="BFBFBF"/>
            <w:noWrap/>
            <w:vAlign w:val="center"/>
            <w:hideMark/>
          </w:tcPr>
          <w:p w14:paraId="5BCF47A5"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c>
          <w:tcPr>
            <w:tcW w:w="2159" w:type="dxa"/>
            <w:tcBorders>
              <w:top w:val="single" w:sz="4" w:space="0" w:color="auto"/>
              <w:left w:val="single" w:sz="4" w:space="0" w:color="auto"/>
              <w:bottom w:val="nil"/>
              <w:right w:val="nil"/>
            </w:tcBorders>
            <w:shd w:val="clear" w:color="000000" w:fill="BFBFBF"/>
            <w:noWrap/>
            <w:vAlign w:val="center"/>
            <w:hideMark/>
          </w:tcPr>
          <w:p w14:paraId="39FC6EBE"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c>
          <w:tcPr>
            <w:tcW w:w="2160" w:type="dxa"/>
            <w:tcBorders>
              <w:top w:val="single" w:sz="4" w:space="0" w:color="auto"/>
              <w:left w:val="nil"/>
              <w:bottom w:val="nil"/>
              <w:right w:val="single" w:sz="4" w:space="0" w:color="auto"/>
            </w:tcBorders>
            <w:shd w:val="clear" w:color="000000" w:fill="BFBFBF"/>
            <w:noWrap/>
            <w:vAlign w:val="center"/>
            <w:hideMark/>
          </w:tcPr>
          <w:p w14:paraId="243134C9"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r>
      <w:tr w:rsidR="00BC6E14" w:rsidRPr="007C1681" w14:paraId="1B897A08" w14:textId="77777777" w:rsidTr="00340AF2">
        <w:trPr>
          <w:trHeight w:val="576"/>
        </w:trPr>
        <w:tc>
          <w:tcPr>
            <w:tcW w:w="2159" w:type="dxa"/>
            <w:tcBorders>
              <w:top w:val="nil"/>
              <w:left w:val="single" w:sz="4" w:space="0" w:color="auto"/>
              <w:bottom w:val="single" w:sz="4" w:space="0" w:color="auto"/>
              <w:right w:val="single" w:sz="4" w:space="0" w:color="BFBFBF"/>
            </w:tcBorders>
            <w:noWrap/>
            <w:vAlign w:val="center"/>
            <w:hideMark/>
          </w:tcPr>
          <w:p w14:paraId="5F7E10B2"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Situational vulnerability</w:t>
            </w:r>
          </w:p>
        </w:tc>
        <w:tc>
          <w:tcPr>
            <w:tcW w:w="2159" w:type="dxa"/>
            <w:tcBorders>
              <w:top w:val="nil"/>
              <w:left w:val="nil"/>
              <w:bottom w:val="single" w:sz="4" w:space="0" w:color="auto"/>
              <w:right w:val="single" w:sz="4" w:space="0" w:color="auto"/>
            </w:tcBorders>
            <w:noWrap/>
            <w:vAlign w:val="center"/>
            <w:hideMark/>
          </w:tcPr>
          <w:p w14:paraId="02535994" w14:textId="77777777" w:rsidR="00BC6E14" w:rsidRPr="000D1490" w:rsidRDefault="00BC6E14" w:rsidP="00340AF2">
            <w:pPr>
              <w:jc w:val="right"/>
              <w:rPr>
                <w:rFonts w:eastAsia="Times New Roman"/>
                <w:color w:val="C00000"/>
                <w:sz w:val="18"/>
                <w:szCs w:val="18"/>
              </w:rPr>
            </w:pPr>
            <w:r w:rsidRPr="000D1490">
              <w:rPr>
                <w:rFonts w:eastAsia="Times New Roman"/>
                <w:color w:val="C00000"/>
                <w:sz w:val="18"/>
                <w:szCs w:val="18"/>
              </w:rPr>
              <w:t>below average vulnerability</w:t>
            </w:r>
          </w:p>
        </w:tc>
        <w:tc>
          <w:tcPr>
            <w:tcW w:w="2159" w:type="dxa"/>
            <w:tcBorders>
              <w:top w:val="nil"/>
              <w:left w:val="single" w:sz="4" w:space="0" w:color="auto"/>
              <w:bottom w:val="single" w:sz="4" w:space="0" w:color="auto"/>
              <w:right w:val="nil"/>
            </w:tcBorders>
            <w:shd w:val="clear" w:color="000000" w:fill="BFBFBF"/>
            <w:noWrap/>
            <w:vAlign w:val="center"/>
            <w:hideMark/>
          </w:tcPr>
          <w:p w14:paraId="52A03F3B"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c>
          <w:tcPr>
            <w:tcW w:w="2159" w:type="dxa"/>
            <w:tcBorders>
              <w:top w:val="nil"/>
              <w:left w:val="nil"/>
              <w:bottom w:val="single" w:sz="4" w:space="0" w:color="auto"/>
              <w:right w:val="single" w:sz="4" w:space="0" w:color="auto"/>
            </w:tcBorders>
            <w:shd w:val="clear" w:color="000000" w:fill="BFBFBF"/>
            <w:noWrap/>
            <w:vAlign w:val="center"/>
            <w:hideMark/>
          </w:tcPr>
          <w:p w14:paraId="68A6AAAD"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c>
          <w:tcPr>
            <w:tcW w:w="2159" w:type="dxa"/>
            <w:tcBorders>
              <w:top w:val="nil"/>
              <w:left w:val="single" w:sz="4" w:space="0" w:color="auto"/>
              <w:bottom w:val="single" w:sz="4" w:space="0" w:color="auto"/>
              <w:right w:val="nil"/>
            </w:tcBorders>
            <w:shd w:val="clear" w:color="000000" w:fill="BFBFBF"/>
            <w:noWrap/>
            <w:vAlign w:val="center"/>
            <w:hideMark/>
          </w:tcPr>
          <w:p w14:paraId="5CEEA36F"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c>
          <w:tcPr>
            <w:tcW w:w="2160" w:type="dxa"/>
            <w:tcBorders>
              <w:top w:val="nil"/>
              <w:left w:val="nil"/>
              <w:bottom w:val="single" w:sz="4" w:space="0" w:color="auto"/>
              <w:right w:val="single" w:sz="4" w:space="0" w:color="auto"/>
            </w:tcBorders>
            <w:shd w:val="clear" w:color="000000" w:fill="BFBFBF"/>
            <w:noWrap/>
            <w:vAlign w:val="center"/>
            <w:hideMark/>
          </w:tcPr>
          <w:p w14:paraId="4A00CB71" w14:textId="77777777" w:rsidR="00BC6E14" w:rsidRPr="007C1681" w:rsidRDefault="00BC6E14" w:rsidP="00340AF2">
            <w:pPr>
              <w:rPr>
                <w:rFonts w:eastAsia="Times New Roman"/>
                <w:color w:val="000000"/>
                <w:sz w:val="18"/>
                <w:szCs w:val="18"/>
              </w:rPr>
            </w:pPr>
            <w:r w:rsidRPr="007C1681">
              <w:rPr>
                <w:rFonts w:eastAsia="Times New Roman"/>
                <w:color w:val="000000"/>
                <w:sz w:val="18"/>
                <w:szCs w:val="18"/>
              </w:rPr>
              <w:t> </w:t>
            </w:r>
          </w:p>
        </w:tc>
      </w:tr>
    </w:tbl>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955"/>
      </w:tblGrid>
      <w:tr w:rsidR="00BC6E14" w:rsidRPr="00FD64B8" w14:paraId="245D0D1E" w14:textId="77777777" w:rsidTr="00C02DF5">
        <w:tc>
          <w:tcPr>
            <w:tcW w:w="12955" w:type="dxa"/>
            <w:tcBorders>
              <w:top w:val="nil"/>
              <w:left w:val="single" w:sz="4" w:space="0" w:color="auto"/>
              <w:bottom w:val="single" w:sz="4" w:space="0" w:color="auto"/>
              <w:right w:val="single" w:sz="4" w:space="0" w:color="auto"/>
            </w:tcBorders>
            <w:shd w:val="clear" w:color="auto" w:fill="F0F4F9"/>
            <w:tcMar>
              <w:top w:w="60" w:type="dxa"/>
              <w:left w:w="180" w:type="dxa"/>
              <w:bottom w:w="100" w:type="dxa"/>
              <w:right w:w="180" w:type="dxa"/>
            </w:tcMar>
            <w:vAlign w:val="center"/>
          </w:tcPr>
          <w:p w14:paraId="041B3F6E" w14:textId="0453B20B" w:rsidR="00BC6E14" w:rsidRPr="00FD64B8" w:rsidRDefault="00BC6E14" w:rsidP="00C02DF5">
            <w:pPr>
              <w:rPr>
                <w:sz w:val="18"/>
                <w:szCs w:val="18"/>
              </w:rPr>
            </w:pPr>
            <w:r>
              <w:rPr>
                <w:i/>
                <w:iCs/>
                <w:color w:val="555555"/>
                <w:sz w:val="18"/>
                <w:szCs w:val="18"/>
              </w:rPr>
              <w:t>Results are</w:t>
            </w:r>
            <w:r w:rsidRPr="00FD64B8">
              <w:rPr>
                <w:i/>
                <w:iCs/>
                <w:color w:val="555555"/>
                <w:sz w:val="18"/>
                <w:szCs w:val="18"/>
              </w:rPr>
              <w:t xml:space="preserve"> produced by external research programs using validated methodologies. </w:t>
            </w:r>
            <w:r>
              <w:rPr>
                <w:i/>
                <w:iCs/>
                <w:color w:val="555555"/>
                <w:sz w:val="18"/>
                <w:szCs w:val="18"/>
              </w:rPr>
              <w:t xml:space="preserve">How results are presented have been modified </w:t>
            </w:r>
            <w:r w:rsidRPr="00FD64B8">
              <w:rPr>
                <w:i/>
                <w:iCs/>
                <w:color w:val="555555"/>
                <w:sz w:val="18"/>
                <w:szCs w:val="18"/>
              </w:rPr>
              <w:t>by Turner Drake &amp; Partners</w:t>
            </w:r>
            <w:r w:rsidR="00AC6556">
              <w:rPr>
                <w:i/>
                <w:iCs/>
                <w:color w:val="555555"/>
                <w:sz w:val="18"/>
                <w:szCs w:val="18"/>
              </w:rPr>
              <w:t xml:space="preserve"> Ltd.</w:t>
            </w:r>
            <w:r w:rsidRPr="00FD64B8">
              <w:rPr>
                <w:i/>
                <w:iCs/>
                <w:color w:val="555555"/>
                <w:sz w:val="18"/>
                <w:szCs w:val="18"/>
              </w:rPr>
              <w:t xml:space="preserve"> </w:t>
            </w:r>
            <w:r>
              <w:rPr>
                <w:i/>
                <w:iCs/>
                <w:color w:val="555555"/>
                <w:sz w:val="18"/>
                <w:szCs w:val="18"/>
              </w:rPr>
              <w:t>More information about indicators and methodologies can be found in the Housing Needs Assessment Guidebook</w:t>
            </w:r>
          </w:p>
        </w:tc>
      </w:tr>
    </w:tbl>
    <w:p w14:paraId="20CD0D8B" w14:textId="77777777" w:rsidR="00BC6E14" w:rsidRDefault="00BC6E14" w:rsidP="00BC6E14"/>
    <w:p w14:paraId="758D5892" w14:textId="77777777" w:rsidR="00BC6E14" w:rsidRDefault="00BC6E14" w:rsidP="00BC6E14"/>
    <w:p w14:paraId="4A8BD964" w14:textId="77777777" w:rsidR="00BC6E14" w:rsidRDefault="00BC6E14" w:rsidP="00BC6E14"/>
    <w:p w14:paraId="721FB102" w14:textId="77777777" w:rsidR="00BC6E14" w:rsidRDefault="00BC6E14" w:rsidP="00BC6E14"/>
    <w:p w14:paraId="44D69835" w14:textId="77777777" w:rsidR="00BC6E14" w:rsidRDefault="00BC6E14" w:rsidP="00BC6E14"/>
    <w:p w14:paraId="7799F41B" w14:textId="77777777" w:rsidR="00BC6E14" w:rsidRDefault="00BC6E14" w:rsidP="00BC6E14"/>
    <w:p w14:paraId="68369B41" w14:textId="77777777" w:rsidR="00BC6E14" w:rsidRDefault="00BC6E14" w:rsidP="00BC6E14"/>
    <w:p w14:paraId="11EEF8BD" w14:textId="77777777" w:rsidR="00BC6E14" w:rsidRDefault="00BC6E14" w:rsidP="00BC6E14"/>
    <w:p w14:paraId="17C92242" w14:textId="77777777" w:rsidR="00BC6E14" w:rsidRDefault="00BC6E14" w:rsidP="00BC6E14"/>
    <w:p w14:paraId="1A340F47" w14:textId="77777777" w:rsidR="00BC6E14" w:rsidRPr="003C59F9" w:rsidRDefault="00BC6E14" w:rsidP="00BC6E14">
      <w:pPr>
        <w:rPr>
          <w:color w:val="1A2940" w:themeColor="text2"/>
        </w:rPr>
      </w:pPr>
      <w:r w:rsidRPr="003C59F9">
        <w:rPr>
          <w:b/>
          <w:bCs/>
          <w:color w:val="1A2940" w:themeColor="text2"/>
        </w:rPr>
        <w:lastRenderedPageBreak/>
        <w:t>KEY VULNERABILITY INDICATORS</w:t>
      </w:r>
    </w:p>
    <w:p w14:paraId="5A3ACD57" w14:textId="77777777" w:rsidR="00BC6E14" w:rsidRDefault="00BC6E14" w:rsidP="00BC6E14"/>
    <w:tbl>
      <w:tblPr>
        <w:tblW w:w="12955" w:type="dxa"/>
        <w:tblLayout w:type="fixed"/>
        <w:tblLook w:val="04A0" w:firstRow="1" w:lastRow="0" w:firstColumn="1" w:lastColumn="0" w:noHBand="0" w:noVBand="1"/>
      </w:tblPr>
      <w:tblGrid>
        <w:gridCol w:w="3415"/>
        <w:gridCol w:w="1260"/>
        <w:gridCol w:w="1050"/>
        <w:gridCol w:w="1050"/>
        <w:gridCol w:w="1050"/>
        <w:gridCol w:w="5130"/>
      </w:tblGrid>
      <w:tr w:rsidR="00BC6E14" w:rsidRPr="00CD710E" w14:paraId="35F837C5" w14:textId="77777777" w:rsidTr="003C59F9">
        <w:trPr>
          <w:trHeight w:val="402"/>
          <w:tblHeader/>
        </w:trPr>
        <w:tc>
          <w:tcPr>
            <w:tcW w:w="3415" w:type="dxa"/>
            <w:tcBorders>
              <w:top w:val="single" w:sz="4" w:space="0" w:color="auto"/>
              <w:left w:val="single" w:sz="4" w:space="0" w:color="auto"/>
              <w:bottom w:val="single" w:sz="4" w:space="0" w:color="auto"/>
              <w:right w:val="single" w:sz="4" w:space="0" w:color="auto"/>
            </w:tcBorders>
            <w:shd w:val="clear" w:color="auto" w:fill="006B5F" w:themeFill="accent2"/>
            <w:vAlign w:val="center"/>
            <w:hideMark/>
          </w:tcPr>
          <w:p w14:paraId="1CE46570" w14:textId="77777777" w:rsidR="00BC6E14" w:rsidRPr="00CD710E" w:rsidRDefault="00BC6E14" w:rsidP="00340AF2">
            <w:pPr>
              <w:rPr>
                <w:rFonts w:eastAsia="Times New Roman"/>
                <w:color w:val="FFFFFF"/>
                <w:sz w:val="18"/>
                <w:szCs w:val="18"/>
              </w:rPr>
            </w:pPr>
            <w:r w:rsidRPr="00CD710E">
              <w:rPr>
                <w:rFonts w:eastAsia="Times New Roman"/>
                <w:color w:val="FFFFFF"/>
                <w:sz w:val="18"/>
                <w:szCs w:val="18"/>
              </w:rPr>
              <w:t>Indicator</w:t>
            </w:r>
          </w:p>
        </w:tc>
        <w:tc>
          <w:tcPr>
            <w:tcW w:w="1260" w:type="dxa"/>
            <w:tcBorders>
              <w:top w:val="single" w:sz="4" w:space="0" w:color="auto"/>
              <w:left w:val="nil"/>
              <w:bottom w:val="single" w:sz="4" w:space="0" w:color="auto"/>
              <w:right w:val="single" w:sz="4" w:space="0" w:color="auto"/>
            </w:tcBorders>
            <w:shd w:val="clear" w:color="auto" w:fill="006B5F" w:themeFill="accent2"/>
            <w:vAlign w:val="center"/>
            <w:hideMark/>
          </w:tcPr>
          <w:p w14:paraId="01144392" w14:textId="77777777" w:rsidR="00BC6E14" w:rsidRPr="00CD710E" w:rsidRDefault="00BC6E14" w:rsidP="00340AF2">
            <w:pPr>
              <w:rPr>
                <w:rFonts w:eastAsia="Times New Roman"/>
                <w:color w:val="FFFFFF"/>
                <w:sz w:val="18"/>
                <w:szCs w:val="18"/>
              </w:rPr>
            </w:pPr>
            <w:r w:rsidRPr="00CD710E">
              <w:rPr>
                <w:rFonts w:eastAsia="Times New Roman"/>
                <w:color w:val="FFFFFF"/>
                <w:sz w:val="18"/>
                <w:szCs w:val="18"/>
              </w:rPr>
              <w:t>Reference</w:t>
            </w:r>
          </w:p>
        </w:tc>
        <w:tc>
          <w:tcPr>
            <w:tcW w:w="1050" w:type="dxa"/>
            <w:tcBorders>
              <w:top w:val="single" w:sz="4" w:space="0" w:color="auto"/>
              <w:left w:val="nil"/>
              <w:bottom w:val="single" w:sz="4" w:space="0" w:color="auto"/>
              <w:right w:val="single" w:sz="4" w:space="0" w:color="BFBFBF"/>
            </w:tcBorders>
            <w:shd w:val="clear" w:color="auto" w:fill="006B5F" w:themeFill="accent2"/>
            <w:vAlign w:val="center"/>
            <w:hideMark/>
          </w:tcPr>
          <w:p w14:paraId="0170EF44" w14:textId="77777777" w:rsidR="00BC6E14" w:rsidRPr="00CD710E" w:rsidRDefault="00BC6E14" w:rsidP="00340AF2">
            <w:pPr>
              <w:jc w:val="center"/>
              <w:rPr>
                <w:rFonts w:eastAsia="Times New Roman"/>
                <w:color w:val="FFFFFF"/>
                <w:sz w:val="18"/>
                <w:szCs w:val="18"/>
              </w:rPr>
            </w:pPr>
            <w:r w:rsidRPr="00CD710E">
              <w:rPr>
                <w:rFonts w:eastAsia="Times New Roman"/>
                <w:color w:val="FFFFFF"/>
                <w:sz w:val="18"/>
                <w:szCs w:val="18"/>
              </w:rPr>
              <w:t>Local</w:t>
            </w:r>
          </w:p>
        </w:tc>
        <w:tc>
          <w:tcPr>
            <w:tcW w:w="1050" w:type="dxa"/>
            <w:tcBorders>
              <w:top w:val="single" w:sz="4" w:space="0" w:color="auto"/>
              <w:left w:val="nil"/>
              <w:bottom w:val="single" w:sz="4" w:space="0" w:color="auto"/>
              <w:right w:val="single" w:sz="4" w:space="0" w:color="BFBFBF"/>
            </w:tcBorders>
            <w:shd w:val="clear" w:color="auto" w:fill="006B5F" w:themeFill="accent2"/>
            <w:vAlign w:val="center"/>
            <w:hideMark/>
          </w:tcPr>
          <w:p w14:paraId="6497B228" w14:textId="77777777" w:rsidR="00BC6E14" w:rsidRPr="00CD710E" w:rsidRDefault="00BC6E14" w:rsidP="00340AF2">
            <w:pPr>
              <w:jc w:val="center"/>
              <w:rPr>
                <w:rFonts w:eastAsia="Times New Roman"/>
                <w:color w:val="FFFFFF"/>
                <w:sz w:val="18"/>
                <w:szCs w:val="18"/>
              </w:rPr>
            </w:pPr>
            <w:r w:rsidRPr="00CD710E">
              <w:rPr>
                <w:rFonts w:eastAsia="Times New Roman"/>
                <w:color w:val="FFFFFF"/>
                <w:sz w:val="18"/>
                <w:szCs w:val="18"/>
              </w:rPr>
              <w:t>Region</w:t>
            </w:r>
          </w:p>
        </w:tc>
        <w:tc>
          <w:tcPr>
            <w:tcW w:w="1050" w:type="dxa"/>
            <w:tcBorders>
              <w:top w:val="single" w:sz="4" w:space="0" w:color="auto"/>
              <w:left w:val="nil"/>
              <w:bottom w:val="single" w:sz="4" w:space="0" w:color="auto"/>
              <w:right w:val="single" w:sz="4" w:space="0" w:color="auto"/>
            </w:tcBorders>
            <w:shd w:val="clear" w:color="auto" w:fill="006B5F" w:themeFill="accent2"/>
            <w:vAlign w:val="center"/>
            <w:hideMark/>
          </w:tcPr>
          <w:p w14:paraId="2A9AA58C" w14:textId="77777777" w:rsidR="00BC6E14" w:rsidRPr="00CD710E" w:rsidRDefault="00BC6E14" w:rsidP="00340AF2">
            <w:pPr>
              <w:jc w:val="center"/>
              <w:rPr>
                <w:rFonts w:eastAsia="Times New Roman"/>
                <w:color w:val="FFFFFF"/>
                <w:sz w:val="18"/>
                <w:szCs w:val="18"/>
              </w:rPr>
            </w:pPr>
            <w:r w:rsidRPr="00CD710E">
              <w:rPr>
                <w:rFonts w:eastAsia="Times New Roman"/>
                <w:color w:val="FFFFFF"/>
                <w:sz w:val="18"/>
                <w:szCs w:val="18"/>
              </w:rPr>
              <w:t>Province</w:t>
            </w:r>
          </w:p>
        </w:tc>
        <w:tc>
          <w:tcPr>
            <w:tcW w:w="5130" w:type="dxa"/>
            <w:tcBorders>
              <w:top w:val="single" w:sz="4" w:space="0" w:color="auto"/>
              <w:left w:val="nil"/>
              <w:bottom w:val="single" w:sz="4" w:space="0" w:color="auto"/>
              <w:right w:val="single" w:sz="4" w:space="0" w:color="auto"/>
            </w:tcBorders>
            <w:shd w:val="clear" w:color="auto" w:fill="006B5F" w:themeFill="accent2"/>
            <w:vAlign w:val="center"/>
            <w:hideMark/>
          </w:tcPr>
          <w:p w14:paraId="09CDC481" w14:textId="77777777" w:rsidR="00BC6E14" w:rsidRPr="00CD710E" w:rsidRDefault="00BC6E14" w:rsidP="00340AF2">
            <w:pPr>
              <w:rPr>
                <w:rFonts w:eastAsia="Times New Roman"/>
                <w:color w:val="FFFFFF"/>
                <w:sz w:val="18"/>
                <w:szCs w:val="18"/>
              </w:rPr>
            </w:pPr>
            <w:r w:rsidRPr="00CD710E">
              <w:rPr>
                <w:rFonts w:eastAsia="Times New Roman"/>
                <w:color w:val="FFFFFF"/>
                <w:sz w:val="18"/>
                <w:szCs w:val="18"/>
              </w:rPr>
              <w:t>Interpretation</w:t>
            </w:r>
          </w:p>
        </w:tc>
      </w:tr>
      <w:tr w:rsidR="00BC6E14" w:rsidRPr="00CD710E" w14:paraId="1CFC1583" w14:textId="77777777" w:rsidTr="003C59F9">
        <w:trPr>
          <w:trHeight w:val="402"/>
        </w:trPr>
        <w:tc>
          <w:tcPr>
            <w:tcW w:w="3415" w:type="dxa"/>
            <w:tcBorders>
              <w:top w:val="nil"/>
              <w:left w:val="single" w:sz="4" w:space="0" w:color="auto"/>
              <w:bottom w:val="single" w:sz="4" w:space="0" w:color="auto"/>
              <w:right w:val="nil"/>
            </w:tcBorders>
            <w:shd w:val="clear" w:color="auto" w:fill="CFD9E3" w:themeFill="accent1"/>
            <w:noWrap/>
            <w:vAlign w:val="center"/>
            <w:hideMark/>
          </w:tcPr>
          <w:p w14:paraId="0E804F2B" w14:textId="77777777" w:rsidR="00BC6E14" w:rsidRPr="00906540" w:rsidRDefault="00BC6E14" w:rsidP="00340AF2">
            <w:pPr>
              <w:rPr>
                <w:rFonts w:eastAsia="Times New Roman"/>
                <w:b/>
                <w:bCs/>
                <w:sz w:val="18"/>
                <w:szCs w:val="18"/>
              </w:rPr>
            </w:pPr>
            <w:r w:rsidRPr="00906540">
              <w:rPr>
                <w:rFonts w:eastAsia="Times New Roman"/>
                <w:b/>
                <w:bCs/>
                <w:sz w:val="18"/>
                <w:szCs w:val="18"/>
              </w:rPr>
              <w:t>DEMOGRAPHIC</w:t>
            </w:r>
          </w:p>
        </w:tc>
        <w:tc>
          <w:tcPr>
            <w:tcW w:w="1260" w:type="dxa"/>
            <w:tcBorders>
              <w:top w:val="nil"/>
              <w:left w:val="nil"/>
              <w:bottom w:val="single" w:sz="4" w:space="0" w:color="auto"/>
              <w:right w:val="nil"/>
            </w:tcBorders>
            <w:shd w:val="clear" w:color="auto" w:fill="CFD9E3" w:themeFill="accent1"/>
            <w:noWrap/>
            <w:vAlign w:val="center"/>
            <w:hideMark/>
          </w:tcPr>
          <w:p w14:paraId="6B69ECDA" w14:textId="77777777" w:rsidR="00BC6E14" w:rsidRPr="00CD710E" w:rsidRDefault="00BC6E14" w:rsidP="00340AF2">
            <w:pPr>
              <w:rPr>
                <w:rFonts w:eastAsia="Times New Roman"/>
                <w:b/>
                <w:bCs/>
                <w:sz w:val="18"/>
                <w:szCs w:val="18"/>
              </w:rPr>
            </w:pPr>
            <w:r w:rsidRPr="00CD710E">
              <w:rPr>
                <w:rFonts w:eastAsia="Times New Roman"/>
                <w:b/>
                <w:bCs/>
                <w:sz w:val="18"/>
                <w:szCs w:val="18"/>
              </w:rPr>
              <w:t> </w:t>
            </w:r>
          </w:p>
        </w:tc>
        <w:tc>
          <w:tcPr>
            <w:tcW w:w="1050" w:type="dxa"/>
            <w:tcBorders>
              <w:top w:val="nil"/>
              <w:left w:val="nil"/>
              <w:bottom w:val="single" w:sz="4" w:space="0" w:color="auto"/>
              <w:right w:val="nil"/>
            </w:tcBorders>
            <w:shd w:val="clear" w:color="auto" w:fill="CFD9E3" w:themeFill="accent1"/>
            <w:noWrap/>
            <w:vAlign w:val="center"/>
            <w:hideMark/>
          </w:tcPr>
          <w:p w14:paraId="59B044EE" w14:textId="77777777" w:rsidR="00BC6E14" w:rsidRPr="00CD710E" w:rsidRDefault="00BC6E14" w:rsidP="00340AF2">
            <w:pPr>
              <w:rPr>
                <w:rFonts w:eastAsia="Times New Roman"/>
                <w:b/>
                <w:bCs/>
                <w:sz w:val="18"/>
                <w:szCs w:val="18"/>
              </w:rPr>
            </w:pPr>
            <w:r w:rsidRPr="00CD710E">
              <w:rPr>
                <w:rFonts w:eastAsia="Times New Roman"/>
                <w:b/>
                <w:bCs/>
                <w:sz w:val="18"/>
                <w:szCs w:val="18"/>
              </w:rPr>
              <w:t> </w:t>
            </w:r>
          </w:p>
        </w:tc>
        <w:tc>
          <w:tcPr>
            <w:tcW w:w="1050" w:type="dxa"/>
            <w:tcBorders>
              <w:top w:val="nil"/>
              <w:left w:val="nil"/>
              <w:bottom w:val="single" w:sz="4" w:space="0" w:color="auto"/>
              <w:right w:val="nil"/>
            </w:tcBorders>
            <w:shd w:val="clear" w:color="auto" w:fill="CFD9E3" w:themeFill="accent1"/>
            <w:noWrap/>
            <w:vAlign w:val="center"/>
            <w:hideMark/>
          </w:tcPr>
          <w:p w14:paraId="5A51414A" w14:textId="77777777" w:rsidR="00BC6E14" w:rsidRPr="00CD710E" w:rsidRDefault="00BC6E14" w:rsidP="00340AF2">
            <w:pPr>
              <w:rPr>
                <w:rFonts w:eastAsia="Times New Roman"/>
                <w:b/>
                <w:bCs/>
                <w:sz w:val="18"/>
                <w:szCs w:val="18"/>
              </w:rPr>
            </w:pPr>
            <w:r w:rsidRPr="00CD710E">
              <w:rPr>
                <w:rFonts w:eastAsia="Times New Roman"/>
                <w:b/>
                <w:bCs/>
                <w:sz w:val="18"/>
                <w:szCs w:val="18"/>
              </w:rPr>
              <w:t> </w:t>
            </w:r>
          </w:p>
        </w:tc>
        <w:tc>
          <w:tcPr>
            <w:tcW w:w="1050" w:type="dxa"/>
            <w:tcBorders>
              <w:top w:val="nil"/>
              <w:left w:val="nil"/>
              <w:bottom w:val="single" w:sz="4" w:space="0" w:color="auto"/>
              <w:right w:val="nil"/>
            </w:tcBorders>
            <w:shd w:val="clear" w:color="auto" w:fill="CFD9E3" w:themeFill="accent1"/>
            <w:noWrap/>
            <w:vAlign w:val="center"/>
            <w:hideMark/>
          </w:tcPr>
          <w:p w14:paraId="7A42A41F" w14:textId="77777777" w:rsidR="00BC6E14" w:rsidRPr="00CD710E" w:rsidRDefault="00BC6E14" w:rsidP="00340AF2">
            <w:pPr>
              <w:rPr>
                <w:rFonts w:eastAsia="Times New Roman"/>
                <w:b/>
                <w:bCs/>
                <w:sz w:val="18"/>
                <w:szCs w:val="18"/>
              </w:rPr>
            </w:pPr>
            <w:r w:rsidRPr="00CD710E">
              <w:rPr>
                <w:rFonts w:eastAsia="Times New Roman"/>
                <w:b/>
                <w:bCs/>
                <w:sz w:val="18"/>
                <w:szCs w:val="18"/>
              </w:rPr>
              <w:t> </w:t>
            </w:r>
          </w:p>
        </w:tc>
        <w:tc>
          <w:tcPr>
            <w:tcW w:w="5130" w:type="dxa"/>
            <w:tcBorders>
              <w:top w:val="nil"/>
              <w:left w:val="nil"/>
              <w:bottom w:val="single" w:sz="4" w:space="0" w:color="auto"/>
              <w:right w:val="single" w:sz="4" w:space="0" w:color="auto"/>
            </w:tcBorders>
            <w:shd w:val="clear" w:color="auto" w:fill="CFD9E3" w:themeFill="accent1"/>
            <w:noWrap/>
            <w:vAlign w:val="center"/>
            <w:hideMark/>
          </w:tcPr>
          <w:p w14:paraId="699F3D35" w14:textId="77777777" w:rsidR="00BC6E14" w:rsidRPr="00CD710E" w:rsidRDefault="00BC6E14" w:rsidP="00340AF2">
            <w:pPr>
              <w:rPr>
                <w:rFonts w:eastAsia="Times New Roman"/>
                <w:b/>
                <w:bCs/>
                <w:sz w:val="18"/>
                <w:szCs w:val="18"/>
              </w:rPr>
            </w:pPr>
            <w:r w:rsidRPr="00CD710E">
              <w:rPr>
                <w:rFonts w:eastAsia="Times New Roman"/>
                <w:b/>
                <w:bCs/>
                <w:sz w:val="18"/>
                <w:szCs w:val="18"/>
              </w:rPr>
              <w:t> </w:t>
            </w:r>
          </w:p>
        </w:tc>
      </w:tr>
      <w:tr w:rsidR="008024DD" w:rsidRPr="00CD710E" w14:paraId="74A3E159"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0DD214B7" w14:textId="5D691095" w:rsidR="008024DD" w:rsidRPr="00CD710E" w:rsidRDefault="008024DD" w:rsidP="008024DD">
            <w:pPr>
              <w:spacing w:before="40" w:after="40"/>
              <w:rPr>
                <w:rFonts w:eastAsia="Times New Roman"/>
                <w:sz w:val="18"/>
                <w:szCs w:val="18"/>
              </w:rPr>
            </w:pPr>
            <w:r>
              <w:rPr>
                <w:color w:val="000000"/>
                <w:sz w:val="18"/>
                <w:szCs w:val="18"/>
              </w:rPr>
              <w:t>Population growth trend (5-yr)</w:t>
            </w:r>
          </w:p>
        </w:tc>
        <w:tc>
          <w:tcPr>
            <w:tcW w:w="1260" w:type="dxa"/>
            <w:tcBorders>
              <w:top w:val="nil"/>
              <w:left w:val="nil"/>
              <w:bottom w:val="single" w:sz="4" w:space="0" w:color="BFBFBF"/>
              <w:right w:val="single" w:sz="4" w:space="0" w:color="auto"/>
            </w:tcBorders>
            <w:shd w:val="clear" w:color="000000" w:fill="F2F2F2"/>
            <w:vAlign w:val="center"/>
            <w:hideMark/>
          </w:tcPr>
          <w:p w14:paraId="4C877A81" w14:textId="5430966E" w:rsidR="008024DD" w:rsidRPr="00CD710E" w:rsidRDefault="008024DD" w:rsidP="008024DD">
            <w:pPr>
              <w:spacing w:before="40" w:after="40"/>
              <w:rPr>
                <w:rFonts w:eastAsia="Times New Roman"/>
                <w:sz w:val="18"/>
                <w:szCs w:val="18"/>
              </w:rPr>
            </w:pPr>
            <w:r>
              <w:rPr>
                <w:color w:val="000000"/>
                <w:sz w:val="18"/>
                <w:szCs w:val="18"/>
              </w:rPr>
              <w:t>Table 2.1; Fig. 2.1</w:t>
            </w:r>
          </w:p>
        </w:tc>
        <w:tc>
          <w:tcPr>
            <w:tcW w:w="1050" w:type="dxa"/>
            <w:tcBorders>
              <w:top w:val="nil"/>
              <w:left w:val="nil"/>
              <w:bottom w:val="single" w:sz="4" w:space="0" w:color="BFBFBF"/>
              <w:right w:val="single" w:sz="4" w:space="0" w:color="BFBFBF"/>
            </w:tcBorders>
            <w:shd w:val="clear" w:color="000000" w:fill="F2F2F2"/>
            <w:vAlign w:val="center"/>
            <w:hideMark/>
          </w:tcPr>
          <w:p w14:paraId="047374DE" w14:textId="6DB300E8"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17%</w:t>
            </w:r>
          </w:p>
        </w:tc>
        <w:tc>
          <w:tcPr>
            <w:tcW w:w="1050" w:type="dxa"/>
            <w:tcBorders>
              <w:top w:val="nil"/>
              <w:left w:val="nil"/>
              <w:bottom w:val="single" w:sz="4" w:space="0" w:color="BFBFBF"/>
              <w:right w:val="single" w:sz="4" w:space="0" w:color="BFBFBF"/>
            </w:tcBorders>
            <w:shd w:val="clear" w:color="000000" w:fill="F2F2F2"/>
            <w:vAlign w:val="center"/>
            <w:hideMark/>
          </w:tcPr>
          <w:p w14:paraId="5C571F7F" w14:textId="5A8A0150"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15%</w:t>
            </w:r>
          </w:p>
        </w:tc>
        <w:tc>
          <w:tcPr>
            <w:tcW w:w="1050" w:type="dxa"/>
            <w:tcBorders>
              <w:top w:val="nil"/>
              <w:left w:val="nil"/>
              <w:bottom w:val="single" w:sz="4" w:space="0" w:color="BFBFBF"/>
              <w:right w:val="single" w:sz="4" w:space="0" w:color="auto"/>
            </w:tcBorders>
            <w:shd w:val="clear" w:color="000000" w:fill="F2F2F2"/>
            <w:vAlign w:val="center"/>
            <w:hideMark/>
          </w:tcPr>
          <w:p w14:paraId="1560237B" w14:textId="5DBFF7AE"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13%</w:t>
            </w:r>
          </w:p>
        </w:tc>
        <w:tc>
          <w:tcPr>
            <w:tcW w:w="5130" w:type="dxa"/>
            <w:tcBorders>
              <w:top w:val="nil"/>
              <w:left w:val="nil"/>
              <w:bottom w:val="single" w:sz="4" w:space="0" w:color="BFBFBF"/>
              <w:right w:val="single" w:sz="4" w:space="0" w:color="auto"/>
            </w:tcBorders>
            <w:shd w:val="clear" w:color="000000" w:fill="F2F2F2"/>
            <w:vAlign w:val="center"/>
            <w:hideMark/>
          </w:tcPr>
          <w:p w14:paraId="243DDF15" w14:textId="5F467771" w:rsidR="008024DD" w:rsidRPr="00CD710E" w:rsidRDefault="008024DD" w:rsidP="008024DD">
            <w:pPr>
              <w:spacing w:before="40" w:after="40"/>
              <w:rPr>
                <w:rFonts w:eastAsia="Times New Roman"/>
                <w:sz w:val="18"/>
                <w:szCs w:val="18"/>
              </w:rPr>
            </w:pPr>
            <w:r>
              <w:rPr>
                <w:color w:val="000000"/>
                <w:sz w:val="18"/>
                <w:szCs w:val="18"/>
              </w:rPr>
              <w:t>Decline or stagnation relative to reg./prov. = structural housing demand risk</w:t>
            </w:r>
          </w:p>
        </w:tc>
      </w:tr>
      <w:tr w:rsidR="008024DD" w:rsidRPr="00CD710E" w14:paraId="6316D950"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4E09006D" w14:textId="013D6CB5" w:rsidR="008024DD" w:rsidRPr="00CD710E" w:rsidRDefault="008024DD" w:rsidP="008024DD">
            <w:pPr>
              <w:spacing w:before="40" w:after="40"/>
              <w:rPr>
                <w:rFonts w:eastAsia="Times New Roman"/>
                <w:sz w:val="18"/>
                <w:szCs w:val="18"/>
              </w:rPr>
            </w:pPr>
            <w:r>
              <w:rPr>
                <w:color w:val="000000"/>
                <w:sz w:val="18"/>
                <w:szCs w:val="18"/>
              </w:rPr>
              <w:t>Population aged 65+ (share of total)</w:t>
            </w:r>
          </w:p>
        </w:tc>
        <w:tc>
          <w:tcPr>
            <w:tcW w:w="1260" w:type="dxa"/>
            <w:tcBorders>
              <w:top w:val="nil"/>
              <w:left w:val="nil"/>
              <w:bottom w:val="single" w:sz="4" w:space="0" w:color="BFBFBF"/>
              <w:right w:val="single" w:sz="4" w:space="0" w:color="auto"/>
            </w:tcBorders>
            <w:shd w:val="clear" w:color="000000" w:fill="FFFFFF"/>
            <w:vAlign w:val="center"/>
            <w:hideMark/>
          </w:tcPr>
          <w:p w14:paraId="4A62416B" w14:textId="32AB6D44" w:rsidR="008024DD" w:rsidRPr="00CD710E" w:rsidRDefault="008024DD" w:rsidP="008024DD">
            <w:pPr>
              <w:spacing w:before="40" w:after="40"/>
              <w:rPr>
                <w:rFonts w:eastAsia="Times New Roman"/>
                <w:sz w:val="18"/>
                <w:szCs w:val="18"/>
              </w:rPr>
            </w:pPr>
            <w:r>
              <w:rPr>
                <w:color w:val="000000"/>
                <w:sz w:val="18"/>
                <w:szCs w:val="18"/>
              </w:rPr>
              <w:t>Table 2.1</w:t>
            </w:r>
          </w:p>
        </w:tc>
        <w:tc>
          <w:tcPr>
            <w:tcW w:w="1050" w:type="dxa"/>
            <w:tcBorders>
              <w:top w:val="nil"/>
              <w:left w:val="nil"/>
              <w:bottom w:val="single" w:sz="4" w:space="0" w:color="BFBFBF"/>
              <w:right w:val="single" w:sz="4" w:space="0" w:color="BFBFBF"/>
            </w:tcBorders>
            <w:shd w:val="clear" w:color="000000" w:fill="FFFFFF"/>
            <w:vAlign w:val="center"/>
            <w:hideMark/>
          </w:tcPr>
          <w:p w14:paraId="36748E52" w14:textId="018FA334"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20%</w:t>
            </w:r>
          </w:p>
        </w:tc>
        <w:tc>
          <w:tcPr>
            <w:tcW w:w="1050" w:type="dxa"/>
            <w:tcBorders>
              <w:top w:val="nil"/>
              <w:left w:val="nil"/>
              <w:bottom w:val="single" w:sz="4" w:space="0" w:color="BFBFBF"/>
              <w:right w:val="single" w:sz="4" w:space="0" w:color="BFBFBF"/>
            </w:tcBorders>
            <w:shd w:val="clear" w:color="000000" w:fill="FFFFFF"/>
            <w:vAlign w:val="center"/>
            <w:hideMark/>
          </w:tcPr>
          <w:p w14:paraId="3084C192" w14:textId="60DCCC1C"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19%</w:t>
            </w:r>
          </w:p>
        </w:tc>
        <w:tc>
          <w:tcPr>
            <w:tcW w:w="1050" w:type="dxa"/>
            <w:tcBorders>
              <w:top w:val="nil"/>
              <w:left w:val="nil"/>
              <w:bottom w:val="single" w:sz="4" w:space="0" w:color="BFBFBF"/>
              <w:right w:val="single" w:sz="4" w:space="0" w:color="auto"/>
            </w:tcBorders>
            <w:shd w:val="clear" w:color="000000" w:fill="FFFFFF"/>
            <w:vAlign w:val="center"/>
            <w:hideMark/>
          </w:tcPr>
          <w:p w14:paraId="7002D973" w14:textId="3E886F89"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21%</w:t>
            </w:r>
          </w:p>
        </w:tc>
        <w:tc>
          <w:tcPr>
            <w:tcW w:w="5130" w:type="dxa"/>
            <w:tcBorders>
              <w:top w:val="nil"/>
              <w:left w:val="nil"/>
              <w:bottom w:val="single" w:sz="4" w:space="0" w:color="BFBFBF"/>
              <w:right w:val="single" w:sz="4" w:space="0" w:color="auto"/>
            </w:tcBorders>
            <w:shd w:val="clear" w:color="000000" w:fill="FFFFFF"/>
            <w:vAlign w:val="center"/>
            <w:hideMark/>
          </w:tcPr>
          <w:p w14:paraId="385D01B2" w14:textId="0D13297D" w:rsidR="008024DD" w:rsidRPr="00CD710E" w:rsidRDefault="008024DD" w:rsidP="008024DD">
            <w:pPr>
              <w:spacing w:before="40" w:after="40"/>
              <w:rPr>
                <w:rFonts w:eastAsia="Times New Roman"/>
                <w:sz w:val="18"/>
                <w:szCs w:val="18"/>
              </w:rPr>
            </w:pPr>
            <w:r>
              <w:rPr>
                <w:color w:val="000000"/>
                <w:sz w:val="18"/>
                <w:szCs w:val="18"/>
              </w:rPr>
              <w:t>Elevated share signals rising demand for accessible, supported housing forms</w:t>
            </w:r>
          </w:p>
        </w:tc>
      </w:tr>
      <w:tr w:rsidR="008024DD" w:rsidRPr="00CD710E" w14:paraId="0B9048D9"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7E9BAF1F" w14:textId="1F9744A4" w:rsidR="008024DD" w:rsidRPr="00CD710E" w:rsidRDefault="008024DD" w:rsidP="008024DD">
            <w:pPr>
              <w:spacing w:before="40" w:after="40"/>
              <w:rPr>
                <w:rFonts w:eastAsia="Times New Roman"/>
                <w:sz w:val="18"/>
                <w:szCs w:val="18"/>
              </w:rPr>
            </w:pPr>
            <w:r>
              <w:rPr>
                <w:color w:val="000000"/>
                <w:sz w:val="18"/>
                <w:szCs w:val="18"/>
              </w:rPr>
              <w:t>Change in young professionals (25–34)</w:t>
            </w:r>
          </w:p>
        </w:tc>
        <w:tc>
          <w:tcPr>
            <w:tcW w:w="1260" w:type="dxa"/>
            <w:tcBorders>
              <w:top w:val="nil"/>
              <w:left w:val="nil"/>
              <w:bottom w:val="single" w:sz="4" w:space="0" w:color="BFBFBF"/>
              <w:right w:val="single" w:sz="4" w:space="0" w:color="auto"/>
            </w:tcBorders>
            <w:shd w:val="clear" w:color="000000" w:fill="F2F2F2"/>
            <w:vAlign w:val="center"/>
            <w:hideMark/>
          </w:tcPr>
          <w:p w14:paraId="7624D99E" w14:textId="07B4ECB1" w:rsidR="008024DD" w:rsidRPr="00CD710E" w:rsidRDefault="008024DD" w:rsidP="008024DD">
            <w:pPr>
              <w:spacing w:before="40" w:after="40"/>
              <w:rPr>
                <w:rFonts w:eastAsia="Times New Roman"/>
                <w:sz w:val="18"/>
                <w:szCs w:val="18"/>
              </w:rPr>
            </w:pPr>
            <w:r>
              <w:rPr>
                <w:color w:val="000000"/>
                <w:sz w:val="18"/>
                <w:szCs w:val="18"/>
              </w:rPr>
              <w:t>Table 2.1</w:t>
            </w:r>
          </w:p>
        </w:tc>
        <w:tc>
          <w:tcPr>
            <w:tcW w:w="1050" w:type="dxa"/>
            <w:tcBorders>
              <w:top w:val="nil"/>
              <w:left w:val="nil"/>
              <w:bottom w:val="single" w:sz="4" w:space="0" w:color="BFBFBF"/>
              <w:right w:val="single" w:sz="4" w:space="0" w:color="BFBFBF"/>
            </w:tcBorders>
            <w:shd w:val="clear" w:color="000000" w:fill="F2F2F2"/>
            <w:vAlign w:val="center"/>
            <w:hideMark/>
          </w:tcPr>
          <w:p w14:paraId="7EBD67B3" w14:textId="4E322995"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52%</w:t>
            </w:r>
          </w:p>
        </w:tc>
        <w:tc>
          <w:tcPr>
            <w:tcW w:w="1050" w:type="dxa"/>
            <w:tcBorders>
              <w:top w:val="nil"/>
              <w:left w:val="nil"/>
              <w:bottom w:val="single" w:sz="4" w:space="0" w:color="BFBFBF"/>
              <w:right w:val="single" w:sz="4" w:space="0" w:color="BFBFBF"/>
            </w:tcBorders>
            <w:shd w:val="clear" w:color="000000" w:fill="F2F2F2"/>
            <w:vAlign w:val="center"/>
            <w:hideMark/>
          </w:tcPr>
          <w:p w14:paraId="43402E0C" w14:textId="3653EE7D"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41%</w:t>
            </w:r>
          </w:p>
        </w:tc>
        <w:tc>
          <w:tcPr>
            <w:tcW w:w="1050" w:type="dxa"/>
            <w:tcBorders>
              <w:top w:val="nil"/>
              <w:left w:val="nil"/>
              <w:bottom w:val="single" w:sz="4" w:space="0" w:color="BFBFBF"/>
              <w:right w:val="single" w:sz="4" w:space="0" w:color="auto"/>
            </w:tcBorders>
            <w:shd w:val="clear" w:color="000000" w:fill="F2F2F2"/>
            <w:vAlign w:val="center"/>
            <w:hideMark/>
          </w:tcPr>
          <w:p w14:paraId="10334B1E" w14:textId="544F7EAF"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36%</w:t>
            </w:r>
          </w:p>
        </w:tc>
        <w:tc>
          <w:tcPr>
            <w:tcW w:w="5130" w:type="dxa"/>
            <w:tcBorders>
              <w:top w:val="nil"/>
              <w:left w:val="nil"/>
              <w:bottom w:val="single" w:sz="4" w:space="0" w:color="BFBFBF"/>
              <w:right w:val="single" w:sz="4" w:space="0" w:color="auto"/>
            </w:tcBorders>
            <w:shd w:val="clear" w:color="000000" w:fill="F2F2F2"/>
            <w:vAlign w:val="center"/>
            <w:hideMark/>
          </w:tcPr>
          <w:p w14:paraId="1AD57FB0" w14:textId="28F5502A" w:rsidR="008024DD" w:rsidRPr="00CD710E" w:rsidRDefault="008024DD" w:rsidP="008024DD">
            <w:pPr>
              <w:spacing w:before="40" w:after="40"/>
              <w:rPr>
                <w:rFonts w:eastAsia="Times New Roman"/>
                <w:sz w:val="18"/>
                <w:szCs w:val="18"/>
              </w:rPr>
            </w:pPr>
            <w:r>
              <w:rPr>
                <w:color w:val="000000"/>
                <w:sz w:val="18"/>
                <w:szCs w:val="18"/>
              </w:rPr>
              <w:t>Net outflow = loss of primary household formation cohort; weakens rental demand base</w:t>
            </w:r>
          </w:p>
        </w:tc>
      </w:tr>
      <w:tr w:rsidR="008024DD" w:rsidRPr="00CD710E" w14:paraId="1D9F8543"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3947725E" w14:textId="3BF85FB9" w:rsidR="008024DD" w:rsidRPr="00CD710E" w:rsidRDefault="008024DD" w:rsidP="008024DD">
            <w:pPr>
              <w:spacing w:before="40" w:after="40"/>
              <w:rPr>
                <w:rFonts w:eastAsia="Times New Roman"/>
                <w:sz w:val="18"/>
                <w:szCs w:val="18"/>
              </w:rPr>
            </w:pPr>
            <w:r>
              <w:rPr>
                <w:color w:val="000000"/>
                <w:sz w:val="18"/>
                <w:szCs w:val="18"/>
              </w:rPr>
              <w:t>Indigenous population share</w:t>
            </w:r>
          </w:p>
        </w:tc>
        <w:tc>
          <w:tcPr>
            <w:tcW w:w="1260" w:type="dxa"/>
            <w:tcBorders>
              <w:top w:val="nil"/>
              <w:left w:val="nil"/>
              <w:bottom w:val="single" w:sz="4" w:space="0" w:color="BFBFBF"/>
              <w:right w:val="single" w:sz="4" w:space="0" w:color="auto"/>
            </w:tcBorders>
            <w:shd w:val="clear" w:color="000000" w:fill="FFFFFF"/>
            <w:vAlign w:val="center"/>
            <w:hideMark/>
          </w:tcPr>
          <w:p w14:paraId="04FB4935" w14:textId="7D7D2CB9" w:rsidR="008024DD" w:rsidRPr="00CD710E" w:rsidRDefault="008024DD" w:rsidP="008024DD">
            <w:pPr>
              <w:spacing w:before="40" w:after="40"/>
              <w:rPr>
                <w:rFonts w:eastAsia="Times New Roman"/>
                <w:sz w:val="18"/>
                <w:szCs w:val="18"/>
              </w:rPr>
            </w:pPr>
            <w:r>
              <w:rPr>
                <w:color w:val="000000"/>
                <w:sz w:val="18"/>
                <w:szCs w:val="18"/>
              </w:rPr>
              <w:t>Table 2.3</w:t>
            </w:r>
          </w:p>
        </w:tc>
        <w:tc>
          <w:tcPr>
            <w:tcW w:w="1050" w:type="dxa"/>
            <w:tcBorders>
              <w:top w:val="nil"/>
              <w:left w:val="nil"/>
              <w:bottom w:val="single" w:sz="4" w:space="0" w:color="BFBFBF"/>
              <w:right w:val="single" w:sz="4" w:space="0" w:color="BFBFBF"/>
            </w:tcBorders>
            <w:shd w:val="clear" w:color="000000" w:fill="FFFFFF"/>
            <w:vAlign w:val="center"/>
            <w:hideMark/>
          </w:tcPr>
          <w:p w14:paraId="37342D8D" w14:textId="63223F40"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w:t>
            </w:r>
          </w:p>
        </w:tc>
        <w:tc>
          <w:tcPr>
            <w:tcW w:w="1050" w:type="dxa"/>
            <w:tcBorders>
              <w:top w:val="nil"/>
              <w:left w:val="nil"/>
              <w:bottom w:val="single" w:sz="4" w:space="0" w:color="BFBFBF"/>
              <w:right w:val="single" w:sz="4" w:space="0" w:color="BFBFBF"/>
            </w:tcBorders>
            <w:shd w:val="clear" w:color="000000" w:fill="FFFFFF"/>
            <w:vAlign w:val="center"/>
            <w:hideMark/>
          </w:tcPr>
          <w:p w14:paraId="67C45602" w14:textId="6B9F4BC2"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w:t>
            </w:r>
          </w:p>
        </w:tc>
        <w:tc>
          <w:tcPr>
            <w:tcW w:w="1050" w:type="dxa"/>
            <w:tcBorders>
              <w:top w:val="nil"/>
              <w:left w:val="nil"/>
              <w:bottom w:val="single" w:sz="4" w:space="0" w:color="BFBFBF"/>
              <w:right w:val="single" w:sz="4" w:space="0" w:color="auto"/>
            </w:tcBorders>
            <w:shd w:val="clear" w:color="000000" w:fill="FFFFFF"/>
            <w:vAlign w:val="center"/>
            <w:hideMark/>
          </w:tcPr>
          <w:p w14:paraId="7224781E" w14:textId="4724D69D"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w:t>
            </w:r>
          </w:p>
        </w:tc>
        <w:tc>
          <w:tcPr>
            <w:tcW w:w="5130" w:type="dxa"/>
            <w:tcBorders>
              <w:top w:val="nil"/>
              <w:left w:val="nil"/>
              <w:bottom w:val="single" w:sz="4" w:space="0" w:color="BFBFBF"/>
              <w:right w:val="single" w:sz="4" w:space="0" w:color="auto"/>
            </w:tcBorders>
            <w:shd w:val="clear" w:color="000000" w:fill="FFFFFF"/>
            <w:vAlign w:val="center"/>
            <w:hideMark/>
          </w:tcPr>
          <w:p w14:paraId="7C211E97" w14:textId="15C5E698" w:rsidR="008024DD" w:rsidRPr="00CD710E" w:rsidRDefault="008024DD" w:rsidP="008024DD">
            <w:pPr>
              <w:spacing w:before="40" w:after="40"/>
              <w:rPr>
                <w:rFonts w:eastAsia="Times New Roman"/>
                <w:sz w:val="18"/>
                <w:szCs w:val="18"/>
              </w:rPr>
            </w:pPr>
            <w:r>
              <w:rPr>
                <w:color w:val="000000"/>
                <w:sz w:val="18"/>
                <w:szCs w:val="18"/>
              </w:rPr>
              <w:t>Elevated share warrants review of culturally appropriate supply, land security, and CHN rate</w:t>
            </w:r>
          </w:p>
        </w:tc>
      </w:tr>
      <w:tr w:rsidR="008024DD" w:rsidRPr="00CD710E" w14:paraId="62D06CA2"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0BC81F4E" w14:textId="080BA9B4" w:rsidR="008024DD" w:rsidRPr="00CD710E" w:rsidRDefault="008024DD" w:rsidP="008024DD">
            <w:pPr>
              <w:spacing w:before="40" w:after="40"/>
              <w:rPr>
                <w:rFonts w:eastAsia="Times New Roman"/>
                <w:sz w:val="18"/>
                <w:szCs w:val="18"/>
              </w:rPr>
            </w:pPr>
            <w:r>
              <w:rPr>
                <w:color w:val="000000"/>
                <w:sz w:val="18"/>
                <w:szCs w:val="18"/>
              </w:rPr>
              <w:t>Recent international in-migrant share</w:t>
            </w:r>
          </w:p>
        </w:tc>
        <w:tc>
          <w:tcPr>
            <w:tcW w:w="1260" w:type="dxa"/>
            <w:tcBorders>
              <w:top w:val="nil"/>
              <w:left w:val="nil"/>
              <w:bottom w:val="single" w:sz="4" w:space="0" w:color="BFBFBF"/>
              <w:right w:val="single" w:sz="4" w:space="0" w:color="auto"/>
            </w:tcBorders>
            <w:shd w:val="clear" w:color="000000" w:fill="F2F2F2"/>
            <w:vAlign w:val="center"/>
            <w:hideMark/>
          </w:tcPr>
          <w:p w14:paraId="17659D26" w14:textId="45DFB465" w:rsidR="008024DD" w:rsidRPr="00CD710E" w:rsidRDefault="008024DD" w:rsidP="008024DD">
            <w:pPr>
              <w:spacing w:before="40" w:after="40"/>
              <w:rPr>
                <w:rFonts w:eastAsia="Times New Roman"/>
                <w:sz w:val="18"/>
                <w:szCs w:val="18"/>
              </w:rPr>
            </w:pPr>
            <w:r>
              <w:rPr>
                <w:color w:val="000000"/>
                <w:sz w:val="18"/>
                <w:szCs w:val="18"/>
              </w:rPr>
              <w:t>Tables 2.2; Table 2.3</w:t>
            </w:r>
          </w:p>
        </w:tc>
        <w:tc>
          <w:tcPr>
            <w:tcW w:w="1050" w:type="dxa"/>
            <w:tcBorders>
              <w:top w:val="nil"/>
              <w:left w:val="nil"/>
              <w:bottom w:val="single" w:sz="4" w:space="0" w:color="BFBFBF"/>
              <w:right w:val="single" w:sz="4" w:space="0" w:color="BFBFBF"/>
            </w:tcBorders>
            <w:shd w:val="clear" w:color="000000" w:fill="F2F2F2"/>
            <w:vAlign w:val="center"/>
            <w:hideMark/>
          </w:tcPr>
          <w:p w14:paraId="304A7BEB" w14:textId="311BEE3A"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7%</w:t>
            </w:r>
          </w:p>
        </w:tc>
        <w:tc>
          <w:tcPr>
            <w:tcW w:w="1050" w:type="dxa"/>
            <w:tcBorders>
              <w:top w:val="nil"/>
              <w:left w:val="nil"/>
              <w:bottom w:val="single" w:sz="4" w:space="0" w:color="BFBFBF"/>
              <w:right w:val="single" w:sz="4" w:space="0" w:color="BFBFBF"/>
            </w:tcBorders>
            <w:shd w:val="clear" w:color="000000" w:fill="F2F2F2"/>
            <w:vAlign w:val="center"/>
            <w:hideMark/>
          </w:tcPr>
          <w:p w14:paraId="3480BA4B" w14:textId="63A44201"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5%</w:t>
            </w:r>
          </w:p>
        </w:tc>
        <w:tc>
          <w:tcPr>
            <w:tcW w:w="1050" w:type="dxa"/>
            <w:tcBorders>
              <w:top w:val="nil"/>
              <w:left w:val="nil"/>
              <w:bottom w:val="single" w:sz="4" w:space="0" w:color="BFBFBF"/>
              <w:right w:val="single" w:sz="4" w:space="0" w:color="auto"/>
            </w:tcBorders>
            <w:shd w:val="clear" w:color="000000" w:fill="F2F2F2"/>
            <w:vAlign w:val="center"/>
            <w:hideMark/>
          </w:tcPr>
          <w:p w14:paraId="49779381" w14:textId="1F9B7F3B"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3%</w:t>
            </w:r>
          </w:p>
        </w:tc>
        <w:tc>
          <w:tcPr>
            <w:tcW w:w="5130" w:type="dxa"/>
            <w:tcBorders>
              <w:top w:val="nil"/>
              <w:left w:val="nil"/>
              <w:bottom w:val="single" w:sz="4" w:space="0" w:color="BFBFBF"/>
              <w:right w:val="single" w:sz="4" w:space="0" w:color="auto"/>
            </w:tcBorders>
            <w:shd w:val="clear" w:color="000000" w:fill="F2F2F2"/>
            <w:vAlign w:val="center"/>
            <w:hideMark/>
          </w:tcPr>
          <w:p w14:paraId="0B62A7EA" w14:textId="073568D5" w:rsidR="008024DD" w:rsidRPr="00CD710E" w:rsidRDefault="008024DD" w:rsidP="008024DD">
            <w:pPr>
              <w:spacing w:before="40" w:after="40"/>
              <w:rPr>
                <w:rFonts w:eastAsia="Times New Roman"/>
                <w:sz w:val="18"/>
                <w:szCs w:val="18"/>
              </w:rPr>
            </w:pPr>
            <w:r>
              <w:rPr>
                <w:color w:val="000000"/>
                <w:sz w:val="18"/>
                <w:szCs w:val="18"/>
              </w:rPr>
              <w:t>Above-avg. share introduces access barriers: credit history, language, discrimination risk</w:t>
            </w:r>
          </w:p>
        </w:tc>
      </w:tr>
      <w:tr w:rsidR="008024DD" w:rsidRPr="00CD710E" w14:paraId="43C0A2BD"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70E47EA1" w14:textId="48C16EE7" w:rsidR="008024DD" w:rsidRPr="00CD710E" w:rsidRDefault="008024DD" w:rsidP="008024DD">
            <w:pPr>
              <w:spacing w:before="40" w:after="40"/>
              <w:rPr>
                <w:rFonts w:eastAsia="Times New Roman"/>
                <w:sz w:val="18"/>
                <w:szCs w:val="18"/>
              </w:rPr>
            </w:pPr>
            <w:r>
              <w:rPr>
                <w:color w:val="000000"/>
                <w:sz w:val="18"/>
                <w:szCs w:val="18"/>
              </w:rPr>
              <w:t>Lone-parent household share</w:t>
            </w:r>
          </w:p>
        </w:tc>
        <w:tc>
          <w:tcPr>
            <w:tcW w:w="1260" w:type="dxa"/>
            <w:tcBorders>
              <w:top w:val="nil"/>
              <w:left w:val="nil"/>
              <w:bottom w:val="single" w:sz="4" w:space="0" w:color="BFBFBF"/>
              <w:right w:val="single" w:sz="4" w:space="0" w:color="auto"/>
            </w:tcBorders>
            <w:shd w:val="clear" w:color="000000" w:fill="FFFFFF"/>
            <w:vAlign w:val="center"/>
            <w:hideMark/>
          </w:tcPr>
          <w:p w14:paraId="08DAE964" w14:textId="6E165DBD" w:rsidR="008024DD" w:rsidRPr="00CD710E" w:rsidRDefault="008024DD" w:rsidP="008024DD">
            <w:pPr>
              <w:spacing w:before="40" w:after="40"/>
              <w:rPr>
                <w:rFonts w:eastAsia="Times New Roman"/>
                <w:sz w:val="18"/>
                <w:szCs w:val="18"/>
              </w:rPr>
            </w:pPr>
            <w:r>
              <w:rPr>
                <w:color w:val="000000"/>
                <w:sz w:val="18"/>
                <w:szCs w:val="18"/>
              </w:rPr>
              <w:t>Table 2.4</w:t>
            </w:r>
          </w:p>
        </w:tc>
        <w:tc>
          <w:tcPr>
            <w:tcW w:w="1050" w:type="dxa"/>
            <w:tcBorders>
              <w:top w:val="nil"/>
              <w:left w:val="nil"/>
              <w:bottom w:val="single" w:sz="4" w:space="0" w:color="BFBFBF"/>
              <w:right w:val="single" w:sz="4" w:space="0" w:color="BFBFBF"/>
            </w:tcBorders>
            <w:shd w:val="clear" w:color="000000" w:fill="FFFFFF"/>
            <w:vAlign w:val="center"/>
            <w:hideMark/>
          </w:tcPr>
          <w:p w14:paraId="51386164" w14:textId="1615B612"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9%</w:t>
            </w:r>
          </w:p>
        </w:tc>
        <w:tc>
          <w:tcPr>
            <w:tcW w:w="1050" w:type="dxa"/>
            <w:tcBorders>
              <w:top w:val="nil"/>
              <w:left w:val="nil"/>
              <w:bottom w:val="single" w:sz="4" w:space="0" w:color="BFBFBF"/>
              <w:right w:val="single" w:sz="4" w:space="0" w:color="BFBFBF"/>
            </w:tcBorders>
            <w:shd w:val="clear" w:color="000000" w:fill="FFFFFF"/>
            <w:vAlign w:val="center"/>
            <w:hideMark/>
          </w:tcPr>
          <w:p w14:paraId="7AFD1EC7" w14:textId="618F5AFC"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8%</w:t>
            </w:r>
          </w:p>
        </w:tc>
        <w:tc>
          <w:tcPr>
            <w:tcW w:w="1050" w:type="dxa"/>
            <w:tcBorders>
              <w:top w:val="nil"/>
              <w:left w:val="nil"/>
              <w:bottom w:val="single" w:sz="4" w:space="0" w:color="BFBFBF"/>
              <w:right w:val="single" w:sz="4" w:space="0" w:color="auto"/>
            </w:tcBorders>
            <w:shd w:val="clear" w:color="000000" w:fill="FFFFFF"/>
            <w:vAlign w:val="center"/>
            <w:hideMark/>
          </w:tcPr>
          <w:p w14:paraId="5B92B63F" w14:textId="17F6F62B"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8%</w:t>
            </w:r>
          </w:p>
        </w:tc>
        <w:tc>
          <w:tcPr>
            <w:tcW w:w="5130" w:type="dxa"/>
            <w:tcBorders>
              <w:top w:val="nil"/>
              <w:left w:val="nil"/>
              <w:bottom w:val="single" w:sz="4" w:space="0" w:color="BFBFBF"/>
              <w:right w:val="single" w:sz="4" w:space="0" w:color="auto"/>
            </w:tcBorders>
            <w:shd w:val="clear" w:color="000000" w:fill="FFFFFF"/>
            <w:vAlign w:val="center"/>
            <w:hideMark/>
          </w:tcPr>
          <w:p w14:paraId="266675C4" w14:textId="7B0779B6" w:rsidR="008024DD" w:rsidRPr="00CD710E" w:rsidRDefault="008024DD" w:rsidP="008024DD">
            <w:pPr>
              <w:spacing w:before="40" w:after="40"/>
              <w:rPr>
                <w:rFonts w:eastAsia="Times New Roman"/>
                <w:sz w:val="18"/>
                <w:szCs w:val="18"/>
              </w:rPr>
            </w:pPr>
            <w:r>
              <w:rPr>
                <w:color w:val="000000"/>
                <w:sz w:val="18"/>
                <w:szCs w:val="18"/>
              </w:rPr>
              <w:t>Elevated share = compounded affordability and suitability need (bedroom count + income)</w:t>
            </w:r>
          </w:p>
        </w:tc>
      </w:tr>
      <w:tr w:rsidR="008024DD" w:rsidRPr="00CD710E" w14:paraId="1130E239" w14:textId="77777777" w:rsidTr="00340AF2">
        <w:trPr>
          <w:trHeight w:val="402"/>
        </w:trPr>
        <w:tc>
          <w:tcPr>
            <w:tcW w:w="3415" w:type="dxa"/>
            <w:tcBorders>
              <w:top w:val="nil"/>
              <w:left w:val="single" w:sz="4" w:space="0" w:color="auto"/>
              <w:bottom w:val="nil"/>
              <w:right w:val="single" w:sz="4" w:space="0" w:color="auto"/>
            </w:tcBorders>
            <w:shd w:val="clear" w:color="000000" w:fill="F2F2F2"/>
            <w:vAlign w:val="center"/>
            <w:hideMark/>
          </w:tcPr>
          <w:p w14:paraId="503011E3" w14:textId="55E19B17" w:rsidR="008024DD" w:rsidRPr="00CD710E" w:rsidRDefault="008024DD" w:rsidP="008024DD">
            <w:pPr>
              <w:spacing w:before="40" w:after="40"/>
              <w:rPr>
                <w:rFonts w:eastAsia="Times New Roman"/>
                <w:sz w:val="18"/>
                <w:szCs w:val="18"/>
              </w:rPr>
            </w:pPr>
            <w:r>
              <w:rPr>
                <w:color w:val="000000"/>
                <w:sz w:val="18"/>
                <w:szCs w:val="18"/>
              </w:rPr>
              <w:t>Single-person renter household share</w:t>
            </w:r>
          </w:p>
        </w:tc>
        <w:tc>
          <w:tcPr>
            <w:tcW w:w="1260" w:type="dxa"/>
            <w:tcBorders>
              <w:top w:val="nil"/>
              <w:left w:val="nil"/>
              <w:bottom w:val="nil"/>
              <w:right w:val="single" w:sz="4" w:space="0" w:color="auto"/>
            </w:tcBorders>
            <w:shd w:val="clear" w:color="000000" w:fill="F2F2F2"/>
            <w:vAlign w:val="center"/>
            <w:hideMark/>
          </w:tcPr>
          <w:p w14:paraId="13A506C2" w14:textId="6C590FDC" w:rsidR="008024DD" w:rsidRPr="00CD710E" w:rsidRDefault="008024DD" w:rsidP="008024DD">
            <w:pPr>
              <w:spacing w:before="40" w:after="40"/>
              <w:rPr>
                <w:rFonts w:eastAsia="Times New Roman"/>
                <w:sz w:val="18"/>
                <w:szCs w:val="18"/>
              </w:rPr>
            </w:pPr>
            <w:r>
              <w:rPr>
                <w:color w:val="000000"/>
                <w:sz w:val="18"/>
                <w:szCs w:val="18"/>
              </w:rPr>
              <w:t>Table 2.4</w:t>
            </w:r>
          </w:p>
        </w:tc>
        <w:tc>
          <w:tcPr>
            <w:tcW w:w="1050" w:type="dxa"/>
            <w:tcBorders>
              <w:top w:val="nil"/>
              <w:left w:val="nil"/>
              <w:bottom w:val="nil"/>
              <w:right w:val="single" w:sz="4" w:space="0" w:color="BFBFBF"/>
            </w:tcBorders>
            <w:shd w:val="clear" w:color="000000" w:fill="F2F2F2"/>
            <w:vAlign w:val="center"/>
            <w:hideMark/>
          </w:tcPr>
          <w:p w14:paraId="3D00FAEC" w14:textId="798F7B43"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47%</w:t>
            </w:r>
          </w:p>
        </w:tc>
        <w:tc>
          <w:tcPr>
            <w:tcW w:w="1050" w:type="dxa"/>
            <w:tcBorders>
              <w:top w:val="nil"/>
              <w:left w:val="nil"/>
              <w:bottom w:val="nil"/>
              <w:right w:val="single" w:sz="4" w:space="0" w:color="BFBFBF"/>
            </w:tcBorders>
            <w:shd w:val="clear" w:color="000000" w:fill="F2F2F2"/>
            <w:vAlign w:val="center"/>
            <w:hideMark/>
          </w:tcPr>
          <w:p w14:paraId="69A6FD48" w14:textId="7EFD8312"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44%</w:t>
            </w:r>
          </w:p>
        </w:tc>
        <w:tc>
          <w:tcPr>
            <w:tcW w:w="1050" w:type="dxa"/>
            <w:tcBorders>
              <w:top w:val="nil"/>
              <w:left w:val="nil"/>
              <w:bottom w:val="nil"/>
              <w:right w:val="single" w:sz="4" w:space="0" w:color="auto"/>
            </w:tcBorders>
            <w:shd w:val="clear" w:color="000000" w:fill="F2F2F2"/>
            <w:vAlign w:val="center"/>
            <w:hideMark/>
          </w:tcPr>
          <w:p w14:paraId="464FB349" w14:textId="61845EE7"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46%</w:t>
            </w:r>
          </w:p>
        </w:tc>
        <w:tc>
          <w:tcPr>
            <w:tcW w:w="5130" w:type="dxa"/>
            <w:tcBorders>
              <w:top w:val="nil"/>
              <w:left w:val="nil"/>
              <w:bottom w:val="nil"/>
              <w:right w:val="single" w:sz="4" w:space="0" w:color="auto"/>
            </w:tcBorders>
            <w:shd w:val="clear" w:color="000000" w:fill="F2F2F2"/>
            <w:vAlign w:val="center"/>
            <w:hideMark/>
          </w:tcPr>
          <w:p w14:paraId="7A9DC238" w14:textId="7500FAA7" w:rsidR="008024DD" w:rsidRPr="00CD710E" w:rsidRDefault="008024DD" w:rsidP="008024DD">
            <w:pPr>
              <w:spacing w:before="40" w:after="40"/>
              <w:rPr>
                <w:rFonts w:eastAsia="Times New Roman"/>
                <w:sz w:val="18"/>
                <w:szCs w:val="18"/>
              </w:rPr>
            </w:pPr>
            <w:r>
              <w:rPr>
                <w:color w:val="000000"/>
                <w:sz w:val="18"/>
                <w:szCs w:val="18"/>
              </w:rPr>
              <w:t>High share indicates unmet demand for affordable 1BR; most acute affordability risk group</w:t>
            </w:r>
          </w:p>
        </w:tc>
      </w:tr>
      <w:tr w:rsidR="00BC6E14" w:rsidRPr="00CD710E" w14:paraId="679FBC1F" w14:textId="77777777" w:rsidTr="003C59F9">
        <w:trPr>
          <w:trHeight w:val="402"/>
        </w:trPr>
        <w:tc>
          <w:tcPr>
            <w:tcW w:w="3415" w:type="dxa"/>
            <w:tcBorders>
              <w:top w:val="single" w:sz="4" w:space="0" w:color="auto"/>
              <w:left w:val="single" w:sz="4" w:space="0" w:color="auto"/>
              <w:bottom w:val="single" w:sz="4" w:space="0" w:color="auto"/>
              <w:right w:val="nil"/>
            </w:tcBorders>
            <w:shd w:val="clear" w:color="auto" w:fill="CFD9E3" w:themeFill="accent1"/>
            <w:noWrap/>
            <w:vAlign w:val="center"/>
            <w:hideMark/>
          </w:tcPr>
          <w:p w14:paraId="1B634C32" w14:textId="3713AD63" w:rsidR="00BC6E14" w:rsidRPr="00CD710E" w:rsidRDefault="00BC6E14" w:rsidP="00340AF2">
            <w:pPr>
              <w:rPr>
                <w:rFonts w:eastAsia="Times New Roman"/>
                <w:sz w:val="18"/>
                <w:szCs w:val="18"/>
              </w:rPr>
            </w:pPr>
            <w:r>
              <w:rPr>
                <w:b/>
                <w:color w:val="000000"/>
                <w:sz w:val="18"/>
                <w:szCs w:val="18"/>
              </w:rPr>
              <w:t>ECONOMIC</w:t>
            </w:r>
          </w:p>
        </w:tc>
        <w:tc>
          <w:tcPr>
            <w:tcW w:w="1260" w:type="dxa"/>
            <w:tcBorders>
              <w:top w:val="single" w:sz="4" w:space="0" w:color="auto"/>
              <w:left w:val="nil"/>
              <w:bottom w:val="single" w:sz="4" w:space="0" w:color="auto"/>
              <w:right w:val="nil"/>
            </w:tcBorders>
            <w:shd w:val="clear" w:color="auto" w:fill="CFD9E3" w:themeFill="accent1"/>
            <w:noWrap/>
            <w:vAlign w:val="center"/>
            <w:hideMark/>
          </w:tcPr>
          <w:p w14:paraId="4B6EE970" w14:textId="6588D93A" w:rsidR="00BC6E14" w:rsidRPr="00CD710E" w:rsidRDefault="00BC6E14" w:rsidP="00340AF2">
            <w:pPr>
              <w:rPr>
                <w:rFonts w:eastAsia="Times New Roman"/>
                <w:b/>
                <w:bCs/>
                <w:sz w:val="18"/>
                <w:szCs w:val="18"/>
              </w:rPr>
            </w:pPr>
            <w:r>
              <w:rPr>
                <w:b/>
                <w:color w:val="000000"/>
                <w:sz w:val="18"/>
                <w:szCs w:val="18"/>
              </w:rPr>
              <w:t> </w:t>
            </w:r>
          </w:p>
        </w:tc>
        <w:tc>
          <w:tcPr>
            <w:tcW w:w="1050" w:type="dxa"/>
            <w:tcBorders>
              <w:top w:val="single" w:sz="4" w:space="0" w:color="auto"/>
              <w:left w:val="nil"/>
              <w:bottom w:val="single" w:sz="4" w:space="0" w:color="auto"/>
              <w:right w:val="nil"/>
            </w:tcBorders>
            <w:shd w:val="clear" w:color="auto" w:fill="CFD9E3" w:themeFill="accent1"/>
            <w:noWrap/>
            <w:vAlign w:val="center"/>
            <w:hideMark/>
          </w:tcPr>
          <w:p w14:paraId="78FE4E44" w14:textId="4D1A9453" w:rsidR="00BC6E14" w:rsidRPr="00CD710E" w:rsidRDefault="00BC6E14" w:rsidP="00340AF2">
            <w:pPr>
              <w:rPr>
                <w:rFonts w:eastAsia="Times New Roman"/>
                <w:b/>
                <w:bCs/>
                <w:sz w:val="18"/>
                <w:szCs w:val="18"/>
              </w:rPr>
            </w:pPr>
            <w:r>
              <w:rPr>
                <w:b/>
                <w:color w:val="000000"/>
                <w:sz w:val="18"/>
                <w:szCs w:val="18"/>
              </w:rPr>
              <w:t> </w:t>
            </w:r>
          </w:p>
        </w:tc>
        <w:tc>
          <w:tcPr>
            <w:tcW w:w="1050" w:type="dxa"/>
            <w:tcBorders>
              <w:top w:val="single" w:sz="4" w:space="0" w:color="auto"/>
              <w:left w:val="nil"/>
              <w:bottom w:val="single" w:sz="4" w:space="0" w:color="auto"/>
              <w:right w:val="nil"/>
            </w:tcBorders>
            <w:shd w:val="clear" w:color="auto" w:fill="CFD9E3" w:themeFill="accent1"/>
            <w:noWrap/>
            <w:vAlign w:val="center"/>
            <w:hideMark/>
          </w:tcPr>
          <w:p w14:paraId="4F0D8C13" w14:textId="4888C463" w:rsidR="00BC6E14" w:rsidRPr="00CD710E" w:rsidRDefault="00BC6E14" w:rsidP="00340AF2">
            <w:pPr>
              <w:rPr>
                <w:rFonts w:eastAsia="Times New Roman"/>
                <w:b/>
                <w:bCs/>
                <w:sz w:val="18"/>
                <w:szCs w:val="18"/>
              </w:rPr>
            </w:pPr>
            <w:r>
              <w:rPr>
                <w:b/>
                <w:color w:val="000000"/>
                <w:sz w:val="18"/>
                <w:szCs w:val="18"/>
              </w:rPr>
              <w:t> </w:t>
            </w:r>
          </w:p>
        </w:tc>
        <w:tc>
          <w:tcPr>
            <w:tcW w:w="1050" w:type="dxa"/>
            <w:tcBorders>
              <w:top w:val="single" w:sz="4" w:space="0" w:color="auto"/>
              <w:left w:val="nil"/>
              <w:bottom w:val="single" w:sz="4" w:space="0" w:color="auto"/>
              <w:right w:val="nil"/>
            </w:tcBorders>
            <w:shd w:val="clear" w:color="auto" w:fill="CFD9E3" w:themeFill="accent1"/>
            <w:noWrap/>
            <w:vAlign w:val="center"/>
            <w:hideMark/>
          </w:tcPr>
          <w:p w14:paraId="55C39B07" w14:textId="375012C3" w:rsidR="00BC6E14" w:rsidRPr="00CD710E" w:rsidRDefault="00BC6E14" w:rsidP="00340AF2">
            <w:pPr>
              <w:rPr>
                <w:rFonts w:eastAsia="Times New Roman"/>
                <w:b/>
                <w:bCs/>
                <w:sz w:val="18"/>
                <w:szCs w:val="18"/>
              </w:rPr>
            </w:pPr>
            <w:r>
              <w:rPr>
                <w:b/>
                <w:color w:val="000000"/>
                <w:sz w:val="18"/>
                <w:szCs w:val="18"/>
              </w:rPr>
              <w:t> </w:t>
            </w:r>
          </w:p>
        </w:tc>
        <w:tc>
          <w:tcPr>
            <w:tcW w:w="5130" w:type="dxa"/>
            <w:tcBorders>
              <w:top w:val="single" w:sz="4" w:space="0" w:color="auto"/>
              <w:left w:val="nil"/>
              <w:bottom w:val="single" w:sz="4" w:space="0" w:color="auto"/>
              <w:right w:val="single" w:sz="4" w:space="0" w:color="auto"/>
            </w:tcBorders>
            <w:shd w:val="clear" w:color="auto" w:fill="CFD9E3" w:themeFill="accent1"/>
            <w:noWrap/>
            <w:vAlign w:val="center"/>
            <w:hideMark/>
          </w:tcPr>
          <w:p w14:paraId="4C1F4B7C" w14:textId="2D6F5CFC" w:rsidR="00BC6E14" w:rsidRPr="00CD710E" w:rsidRDefault="00BC6E14" w:rsidP="00340AF2">
            <w:pPr>
              <w:rPr>
                <w:rFonts w:eastAsia="Times New Roman"/>
                <w:b/>
                <w:bCs/>
                <w:sz w:val="18"/>
                <w:szCs w:val="18"/>
              </w:rPr>
            </w:pPr>
            <w:r>
              <w:rPr>
                <w:b/>
                <w:color w:val="000000"/>
                <w:sz w:val="18"/>
                <w:szCs w:val="18"/>
              </w:rPr>
              <w:t> </w:t>
            </w:r>
          </w:p>
        </w:tc>
      </w:tr>
      <w:tr w:rsidR="008024DD" w:rsidRPr="00CD710E" w14:paraId="2975ACCA"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7600D690" w14:textId="04F765DC" w:rsidR="008024DD" w:rsidRPr="00CD710E" w:rsidRDefault="008024DD" w:rsidP="008024DD">
            <w:pPr>
              <w:spacing w:before="40" w:after="40"/>
              <w:rPr>
                <w:rFonts w:eastAsia="Times New Roman"/>
                <w:sz w:val="18"/>
                <w:szCs w:val="18"/>
              </w:rPr>
            </w:pPr>
            <w:r>
              <w:rPr>
                <w:color w:val="000000"/>
                <w:sz w:val="18"/>
                <w:szCs w:val="18"/>
              </w:rPr>
              <w:t>Unemployment rate</w:t>
            </w:r>
          </w:p>
        </w:tc>
        <w:tc>
          <w:tcPr>
            <w:tcW w:w="1260" w:type="dxa"/>
            <w:tcBorders>
              <w:top w:val="nil"/>
              <w:left w:val="nil"/>
              <w:bottom w:val="single" w:sz="4" w:space="0" w:color="BFBFBF"/>
              <w:right w:val="single" w:sz="4" w:space="0" w:color="auto"/>
            </w:tcBorders>
            <w:shd w:val="clear" w:color="000000" w:fill="F2F2F2"/>
            <w:vAlign w:val="center"/>
            <w:hideMark/>
          </w:tcPr>
          <w:p w14:paraId="19344255" w14:textId="3CB86FEF" w:rsidR="008024DD" w:rsidRPr="00CD710E" w:rsidRDefault="008024DD" w:rsidP="008024DD">
            <w:pPr>
              <w:spacing w:before="40" w:after="40"/>
              <w:rPr>
                <w:rFonts w:eastAsia="Times New Roman"/>
                <w:sz w:val="18"/>
                <w:szCs w:val="18"/>
              </w:rPr>
            </w:pPr>
            <w:r>
              <w:rPr>
                <w:color w:val="000000"/>
                <w:sz w:val="18"/>
                <w:szCs w:val="18"/>
              </w:rPr>
              <w:t>Table 3.1</w:t>
            </w:r>
          </w:p>
        </w:tc>
        <w:tc>
          <w:tcPr>
            <w:tcW w:w="1050" w:type="dxa"/>
            <w:tcBorders>
              <w:top w:val="nil"/>
              <w:left w:val="nil"/>
              <w:bottom w:val="single" w:sz="4" w:space="0" w:color="BFBFBF"/>
              <w:right w:val="single" w:sz="4" w:space="0" w:color="BFBFBF"/>
            </w:tcBorders>
            <w:shd w:val="clear" w:color="000000" w:fill="F2F2F2"/>
            <w:vAlign w:val="center"/>
            <w:hideMark/>
          </w:tcPr>
          <w:p w14:paraId="04E17FA3" w14:textId="63D162E6"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9.7%</w:t>
            </w:r>
          </w:p>
        </w:tc>
        <w:tc>
          <w:tcPr>
            <w:tcW w:w="1050" w:type="dxa"/>
            <w:tcBorders>
              <w:top w:val="nil"/>
              <w:left w:val="nil"/>
              <w:bottom w:val="single" w:sz="4" w:space="0" w:color="BFBFBF"/>
              <w:right w:val="single" w:sz="4" w:space="0" w:color="BFBFBF"/>
            </w:tcBorders>
            <w:shd w:val="clear" w:color="000000" w:fill="F2F2F2"/>
            <w:vAlign w:val="center"/>
            <w:hideMark/>
          </w:tcPr>
          <w:p w14:paraId="59EA5200" w14:textId="17E0C786"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9.3%</w:t>
            </w:r>
          </w:p>
        </w:tc>
        <w:tc>
          <w:tcPr>
            <w:tcW w:w="1050" w:type="dxa"/>
            <w:tcBorders>
              <w:top w:val="nil"/>
              <w:left w:val="nil"/>
              <w:bottom w:val="single" w:sz="4" w:space="0" w:color="BFBFBF"/>
              <w:right w:val="single" w:sz="4" w:space="0" w:color="auto"/>
            </w:tcBorders>
            <w:shd w:val="clear" w:color="000000" w:fill="F2F2F2"/>
            <w:vAlign w:val="center"/>
            <w:hideMark/>
          </w:tcPr>
          <w:p w14:paraId="0D58B646" w14:textId="025FD12F"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10.3%</w:t>
            </w:r>
          </w:p>
        </w:tc>
        <w:tc>
          <w:tcPr>
            <w:tcW w:w="5130" w:type="dxa"/>
            <w:tcBorders>
              <w:top w:val="nil"/>
              <w:left w:val="nil"/>
              <w:bottom w:val="single" w:sz="4" w:space="0" w:color="BFBFBF"/>
              <w:right w:val="single" w:sz="4" w:space="0" w:color="auto"/>
            </w:tcBorders>
            <w:shd w:val="clear" w:color="000000" w:fill="F2F2F2"/>
            <w:vAlign w:val="center"/>
            <w:hideMark/>
          </w:tcPr>
          <w:p w14:paraId="1F5560F7" w14:textId="6B5FF6FF" w:rsidR="008024DD" w:rsidRPr="00CD710E" w:rsidRDefault="008024DD" w:rsidP="008024DD">
            <w:pPr>
              <w:spacing w:before="40" w:after="40"/>
              <w:rPr>
                <w:rFonts w:eastAsia="Times New Roman"/>
                <w:sz w:val="18"/>
                <w:szCs w:val="18"/>
              </w:rPr>
            </w:pPr>
            <w:r>
              <w:rPr>
                <w:color w:val="000000"/>
                <w:sz w:val="18"/>
                <w:szCs w:val="18"/>
              </w:rPr>
              <w:t>&gt;8% = elevated; &gt;12% = high. Weakens income floor supporting housing affordability</w:t>
            </w:r>
          </w:p>
        </w:tc>
      </w:tr>
      <w:tr w:rsidR="008024DD" w:rsidRPr="00CD710E" w14:paraId="1361799C"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227278AF" w14:textId="43695FD4" w:rsidR="008024DD" w:rsidRPr="00CD710E" w:rsidRDefault="008024DD" w:rsidP="008024DD">
            <w:pPr>
              <w:spacing w:before="40" w:after="40"/>
              <w:rPr>
                <w:rFonts w:eastAsia="Times New Roman"/>
                <w:sz w:val="18"/>
                <w:szCs w:val="18"/>
              </w:rPr>
            </w:pPr>
            <w:r>
              <w:rPr>
                <w:color w:val="000000"/>
                <w:sz w:val="18"/>
                <w:szCs w:val="18"/>
              </w:rPr>
              <w:t>Single-sector employment concentration (top NAICS share)</w:t>
            </w:r>
          </w:p>
        </w:tc>
        <w:tc>
          <w:tcPr>
            <w:tcW w:w="1260" w:type="dxa"/>
            <w:tcBorders>
              <w:top w:val="nil"/>
              <w:left w:val="nil"/>
              <w:bottom w:val="single" w:sz="4" w:space="0" w:color="BFBFBF"/>
              <w:right w:val="single" w:sz="4" w:space="0" w:color="auto"/>
            </w:tcBorders>
            <w:shd w:val="clear" w:color="000000" w:fill="FFFFFF"/>
            <w:vAlign w:val="center"/>
            <w:hideMark/>
          </w:tcPr>
          <w:p w14:paraId="1C8C8700" w14:textId="5E0E6634" w:rsidR="008024DD" w:rsidRPr="00CD710E" w:rsidRDefault="008024DD" w:rsidP="008024DD">
            <w:pPr>
              <w:spacing w:before="40" w:after="40"/>
              <w:rPr>
                <w:rFonts w:eastAsia="Times New Roman"/>
                <w:sz w:val="18"/>
                <w:szCs w:val="18"/>
              </w:rPr>
            </w:pPr>
            <w:r>
              <w:rPr>
                <w:color w:val="000000"/>
                <w:sz w:val="18"/>
                <w:szCs w:val="18"/>
              </w:rPr>
              <w:t>Table 3.2</w:t>
            </w:r>
          </w:p>
        </w:tc>
        <w:tc>
          <w:tcPr>
            <w:tcW w:w="1050" w:type="dxa"/>
            <w:tcBorders>
              <w:top w:val="nil"/>
              <w:left w:val="nil"/>
              <w:bottom w:val="single" w:sz="4" w:space="0" w:color="BFBFBF"/>
              <w:right w:val="single" w:sz="4" w:space="0" w:color="BFBFBF"/>
            </w:tcBorders>
            <w:shd w:val="clear" w:color="000000" w:fill="FFFFFF"/>
            <w:vAlign w:val="center"/>
            <w:hideMark/>
          </w:tcPr>
          <w:p w14:paraId="5623D208" w14:textId="54D57F41"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13.2%</w:t>
            </w:r>
          </w:p>
        </w:tc>
        <w:tc>
          <w:tcPr>
            <w:tcW w:w="1050" w:type="dxa"/>
            <w:tcBorders>
              <w:top w:val="nil"/>
              <w:left w:val="nil"/>
              <w:bottom w:val="single" w:sz="4" w:space="0" w:color="BFBFBF"/>
              <w:right w:val="single" w:sz="4" w:space="0" w:color="BFBFBF"/>
            </w:tcBorders>
            <w:shd w:val="clear" w:color="000000" w:fill="FFFFFF"/>
            <w:vAlign w:val="center"/>
            <w:hideMark/>
          </w:tcPr>
          <w:p w14:paraId="373D5E3D" w14:textId="49CA32AC"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13.3%</w:t>
            </w:r>
          </w:p>
        </w:tc>
        <w:tc>
          <w:tcPr>
            <w:tcW w:w="1050" w:type="dxa"/>
            <w:tcBorders>
              <w:top w:val="nil"/>
              <w:left w:val="nil"/>
              <w:bottom w:val="single" w:sz="4" w:space="0" w:color="BFBFBF"/>
              <w:right w:val="single" w:sz="4" w:space="0" w:color="auto"/>
            </w:tcBorders>
            <w:shd w:val="clear" w:color="000000" w:fill="FFFFFF"/>
            <w:vAlign w:val="center"/>
            <w:hideMark/>
          </w:tcPr>
          <w:p w14:paraId="48552220" w14:textId="3910DDE0"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12.5%</w:t>
            </w:r>
          </w:p>
        </w:tc>
        <w:tc>
          <w:tcPr>
            <w:tcW w:w="5130" w:type="dxa"/>
            <w:tcBorders>
              <w:top w:val="nil"/>
              <w:left w:val="nil"/>
              <w:bottom w:val="single" w:sz="4" w:space="0" w:color="BFBFBF"/>
              <w:right w:val="single" w:sz="4" w:space="0" w:color="auto"/>
            </w:tcBorders>
            <w:shd w:val="clear" w:color="000000" w:fill="FFFFFF"/>
            <w:vAlign w:val="center"/>
            <w:hideMark/>
          </w:tcPr>
          <w:p w14:paraId="050B08E9" w14:textId="037F708D" w:rsidR="008024DD" w:rsidRPr="00CD710E" w:rsidRDefault="008024DD" w:rsidP="008024DD">
            <w:pPr>
              <w:spacing w:before="40" w:after="40"/>
              <w:rPr>
                <w:rFonts w:eastAsia="Times New Roman"/>
                <w:sz w:val="18"/>
                <w:szCs w:val="18"/>
              </w:rPr>
            </w:pPr>
            <w:r>
              <w:rPr>
                <w:color w:val="000000"/>
                <w:sz w:val="18"/>
                <w:szCs w:val="18"/>
              </w:rPr>
              <w:t>&gt;35% in one sector = dependency risk; seasonal/resource industries compound income volatility</w:t>
            </w:r>
          </w:p>
        </w:tc>
      </w:tr>
      <w:tr w:rsidR="008024DD" w:rsidRPr="00CD710E" w14:paraId="1899F0CB"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1D831A89" w14:textId="63043D8A" w:rsidR="008024DD" w:rsidRPr="00CD710E" w:rsidRDefault="008024DD" w:rsidP="008024DD">
            <w:pPr>
              <w:spacing w:before="40" w:after="40"/>
              <w:rPr>
                <w:rFonts w:eastAsia="Times New Roman"/>
                <w:sz w:val="18"/>
                <w:szCs w:val="18"/>
              </w:rPr>
            </w:pPr>
            <w:r>
              <w:rPr>
                <w:color w:val="000000"/>
                <w:sz w:val="18"/>
                <w:szCs w:val="18"/>
              </w:rPr>
              <w:t>Renter median household income (estimated)</w:t>
            </w:r>
          </w:p>
        </w:tc>
        <w:tc>
          <w:tcPr>
            <w:tcW w:w="1260" w:type="dxa"/>
            <w:tcBorders>
              <w:top w:val="nil"/>
              <w:left w:val="nil"/>
              <w:bottom w:val="single" w:sz="4" w:space="0" w:color="BFBFBF"/>
              <w:right w:val="single" w:sz="4" w:space="0" w:color="auto"/>
            </w:tcBorders>
            <w:shd w:val="clear" w:color="000000" w:fill="F2F2F2"/>
            <w:vAlign w:val="center"/>
            <w:hideMark/>
          </w:tcPr>
          <w:p w14:paraId="499DAA79" w14:textId="1799763A" w:rsidR="008024DD" w:rsidRPr="00CD710E" w:rsidRDefault="008024DD" w:rsidP="008024DD">
            <w:pPr>
              <w:spacing w:before="40" w:after="40"/>
              <w:rPr>
                <w:rFonts w:eastAsia="Times New Roman"/>
                <w:sz w:val="18"/>
                <w:szCs w:val="18"/>
              </w:rPr>
            </w:pPr>
            <w:r>
              <w:rPr>
                <w:color w:val="000000"/>
                <w:sz w:val="18"/>
                <w:szCs w:val="18"/>
              </w:rPr>
              <w:t>Table 3.4</w:t>
            </w:r>
          </w:p>
        </w:tc>
        <w:tc>
          <w:tcPr>
            <w:tcW w:w="1050" w:type="dxa"/>
            <w:tcBorders>
              <w:top w:val="nil"/>
              <w:left w:val="nil"/>
              <w:bottom w:val="single" w:sz="4" w:space="0" w:color="BFBFBF"/>
              <w:right w:val="single" w:sz="4" w:space="0" w:color="BFBFBF"/>
            </w:tcBorders>
            <w:shd w:val="clear" w:color="000000" w:fill="F2F2F2"/>
            <w:vAlign w:val="center"/>
            <w:hideMark/>
          </w:tcPr>
          <w:p w14:paraId="40A1C058" w14:textId="4EE02512"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$63,900</w:t>
            </w:r>
          </w:p>
        </w:tc>
        <w:tc>
          <w:tcPr>
            <w:tcW w:w="1050" w:type="dxa"/>
            <w:tcBorders>
              <w:top w:val="nil"/>
              <w:left w:val="nil"/>
              <w:bottom w:val="single" w:sz="4" w:space="0" w:color="BFBFBF"/>
              <w:right w:val="single" w:sz="4" w:space="0" w:color="BFBFBF"/>
            </w:tcBorders>
            <w:shd w:val="clear" w:color="000000" w:fill="F2F2F2"/>
            <w:vAlign w:val="center"/>
            <w:hideMark/>
          </w:tcPr>
          <w:p w14:paraId="185CC863" w14:textId="455B26F1"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$69,900</w:t>
            </w:r>
          </w:p>
        </w:tc>
        <w:tc>
          <w:tcPr>
            <w:tcW w:w="1050" w:type="dxa"/>
            <w:tcBorders>
              <w:top w:val="nil"/>
              <w:left w:val="nil"/>
              <w:bottom w:val="single" w:sz="4" w:space="0" w:color="BFBFBF"/>
              <w:right w:val="single" w:sz="4" w:space="0" w:color="auto"/>
            </w:tcBorders>
            <w:shd w:val="clear" w:color="000000" w:fill="F2F2F2"/>
            <w:vAlign w:val="center"/>
            <w:hideMark/>
          </w:tcPr>
          <w:p w14:paraId="3A803E54" w14:textId="59C123EA"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$66,500</w:t>
            </w:r>
          </w:p>
        </w:tc>
        <w:tc>
          <w:tcPr>
            <w:tcW w:w="5130" w:type="dxa"/>
            <w:tcBorders>
              <w:top w:val="nil"/>
              <w:left w:val="nil"/>
              <w:bottom w:val="single" w:sz="4" w:space="0" w:color="BFBFBF"/>
              <w:right w:val="single" w:sz="4" w:space="0" w:color="auto"/>
            </w:tcBorders>
            <w:shd w:val="clear" w:color="000000" w:fill="F2F2F2"/>
            <w:vAlign w:val="center"/>
            <w:hideMark/>
          </w:tcPr>
          <w:p w14:paraId="64E3F77A" w14:textId="45344ED9" w:rsidR="008024DD" w:rsidRPr="00CD710E" w:rsidRDefault="008024DD" w:rsidP="008024DD">
            <w:pPr>
              <w:spacing w:before="40" w:after="40"/>
              <w:rPr>
                <w:rFonts w:eastAsia="Times New Roman"/>
                <w:sz w:val="18"/>
                <w:szCs w:val="18"/>
              </w:rPr>
            </w:pPr>
            <w:r>
              <w:rPr>
                <w:color w:val="000000"/>
                <w:sz w:val="18"/>
                <w:szCs w:val="18"/>
              </w:rPr>
              <w:t>Well below prov. renter median = reduced purchasing power relative to market rents</w:t>
            </w:r>
          </w:p>
        </w:tc>
      </w:tr>
      <w:tr w:rsidR="008024DD" w:rsidRPr="00CD710E" w14:paraId="7B9C6763" w14:textId="77777777" w:rsidTr="00132060">
        <w:trPr>
          <w:trHeight w:val="402"/>
        </w:trPr>
        <w:tc>
          <w:tcPr>
            <w:tcW w:w="3415"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C0821E" w14:textId="5CEF3423" w:rsidR="008024DD" w:rsidRPr="00CD710E" w:rsidRDefault="008024DD" w:rsidP="008024DD">
            <w:pPr>
              <w:spacing w:before="40" w:after="40"/>
              <w:rPr>
                <w:rFonts w:eastAsia="Times New Roman"/>
                <w:sz w:val="18"/>
                <w:szCs w:val="18"/>
              </w:rPr>
            </w:pPr>
            <w:r>
              <w:rPr>
                <w:color w:val="000000"/>
                <w:sz w:val="18"/>
                <w:szCs w:val="18"/>
              </w:rPr>
              <w:t>Poverty rate — Market Basket Measure (total population)</w:t>
            </w:r>
          </w:p>
        </w:tc>
        <w:tc>
          <w:tcPr>
            <w:tcW w:w="1260" w:type="dxa"/>
            <w:tcBorders>
              <w:top w:val="nil"/>
              <w:left w:val="nil"/>
              <w:bottom w:val="single" w:sz="4" w:space="0" w:color="auto"/>
              <w:right w:val="single" w:sz="4" w:space="0" w:color="auto"/>
            </w:tcBorders>
            <w:shd w:val="clear" w:color="auto" w:fill="FFFFFF" w:themeFill="background1"/>
            <w:vAlign w:val="center"/>
            <w:hideMark/>
          </w:tcPr>
          <w:p w14:paraId="2E4C5825" w14:textId="7F6E6318" w:rsidR="008024DD" w:rsidRPr="00CD710E" w:rsidRDefault="008024DD" w:rsidP="008024DD">
            <w:pPr>
              <w:spacing w:before="40" w:after="40"/>
              <w:rPr>
                <w:rFonts w:eastAsia="Times New Roman"/>
                <w:sz w:val="18"/>
                <w:szCs w:val="18"/>
              </w:rPr>
            </w:pPr>
            <w:r>
              <w:rPr>
                <w:color w:val="000000"/>
                <w:sz w:val="18"/>
                <w:szCs w:val="18"/>
              </w:rPr>
              <w:t>Table 3.7</w:t>
            </w:r>
          </w:p>
        </w:tc>
        <w:tc>
          <w:tcPr>
            <w:tcW w:w="1050" w:type="dxa"/>
            <w:tcBorders>
              <w:top w:val="nil"/>
              <w:left w:val="nil"/>
              <w:bottom w:val="single" w:sz="4" w:space="0" w:color="auto"/>
              <w:right w:val="single" w:sz="4" w:space="0" w:color="BFBFBF"/>
            </w:tcBorders>
            <w:shd w:val="clear" w:color="auto" w:fill="FFFFFF" w:themeFill="background1"/>
            <w:vAlign w:val="center"/>
            <w:hideMark/>
          </w:tcPr>
          <w:p w14:paraId="41DE5378" w14:textId="6B7BB8DF"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13.6%</w:t>
            </w:r>
          </w:p>
        </w:tc>
        <w:tc>
          <w:tcPr>
            <w:tcW w:w="1050" w:type="dxa"/>
            <w:tcBorders>
              <w:top w:val="nil"/>
              <w:left w:val="nil"/>
              <w:bottom w:val="single" w:sz="4" w:space="0" w:color="auto"/>
              <w:right w:val="single" w:sz="4" w:space="0" w:color="BFBFBF"/>
            </w:tcBorders>
            <w:shd w:val="clear" w:color="auto" w:fill="FFFFFF" w:themeFill="background1"/>
            <w:vAlign w:val="center"/>
            <w:hideMark/>
          </w:tcPr>
          <w:p w14:paraId="0934ECC7" w14:textId="5D461AF9"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9.4%</w:t>
            </w:r>
          </w:p>
        </w:tc>
        <w:tc>
          <w:tcPr>
            <w:tcW w:w="1050" w:type="dxa"/>
            <w:tcBorders>
              <w:top w:val="nil"/>
              <w:left w:val="nil"/>
              <w:bottom w:val="single" w:sz="4" w:space="0" w:color="auto"/>
              <w:right w:val="single" w:sz="4" w:space="0" w:color="auto"/>
            </w:tcBorders>
            <w:shd w:val="clear" w:color="auto" w:fill="FFFFFF" w:themeFill="background1"/>
            <w:vAlign w:val="center"/>
            <w:hideMark/>
          </w:tcPr>
          <w:p w14:paraId="4E6C3B06" w14:textId="550E5BA5"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8.7%</w:t>
            </w:r>
          </w:p>
        </w:tc>
        <w:tc>
          <w:tcPr>
            <w:tcW w:w="5130" w:type="dxa"/>
            <w:tcBorders>
              <w:top w:val="nil"/>
              <w:left w:val="nil"/>
              <w:bottom w:val="single" w:sz="4" w:space="0" w:color="auto"/>
              <w:right w:val="single" w:sz="4" w:space="0" w:color="auto"/>
            </w:tcBorders>
            <w:shd w:val="clear" w:color="auto" w:fill="FFFFFF" w:themeFill="background1"/>
            <w:vAlign w:val="center"/>
            <w:hideMark/>
          </w:tcPr>
          <w:p w14:paraId="29213FE1" w14:textId="5647D417" w:rsidR="008024DD" w:rsidRPr="00CD710E" w:rsidRDefault="008024DD" w:rsidP="008024DD">
            <w:pPr>
              <w:spacing w:before="40" w:after="40"/>
              <w:rPr>
                <w:rFonts w:eastAsia="Times New Roman"/>
                <w:sz w:val="18"/>
                <w:szCs w:val="18"/>
              </w:rPr>
            </w:pPr>
            <w:r>
              <w:rPr>
                <w:color w:val="000000"/>
                <w:sz w:val="18"/>
                <w:szCs w:val="18"/>
              </w:rPr>
              <w:t>&gt;15% = elevated; &gt;25% = high. Defines floor of households requiring subsidized housing</w:t>
            </w:r>
          </w:p>
        </w:tc>
      </w:tr>
      <w:tr w:rsidR="00BC6E14" w:rsidRPr="00CD710E" w14:paraId="405DAD4D" w14:textId="77777777" w:rsidTr="003C59F9">
        <w:trPr>
          <w:trHeight w:val="402"/>
        </w:trPr>
        <w:tc>
          <w:tcPr>
            <w:tcW w:w="3415" w:type="dxa"/>
            <w:tcBorders>
              <w:top w:val="nil"/>
              <w:left w:val="single" w:sz="4" w:space="0" w:color="auto"/>
              <w:bottom w:val="single" w:sz="4" w:space="0" w:color="auto"/>
              <w:right w:val="nil"/>
            </w:tcBorders>
            <w:shd w:val="clear" w:color="auto" w:fill="CFD9E3" w:themeFill="accent1"/>
            <w:noWrap/>
            <w:vAlign w:val="center"/>
            <w:hideMark/>
          </w:tcPr>
          <w:p w14:paraId="3A373A33" w14:textId="4CBB8523" w:rsidR="00BC6E14" w:rsidRPr="00CD710E" w:rsidRDefault="00BC6E14" w:rsidP="00340AF2">
            <w:pPr>
              <w:rPr>
                <w:rFonts w:eastAsia="Times New Roman"/>
                <w:sz w:val="18"/>
                <w:szCs w:val="18"/>
              </w:rPr>
            </w:pPr>
            <w:r>
              <w:rPr>
                <w:b/>
                <w:color w:val="000000"/>
                <w:sz w:val="18"/>
                <w:szCs w:val="18"/>
              </w:rPr>
              <w:t>HOUSING</w:t>
            </w:r>
          </w:p>
        </w:tc>
        <w:tc>
          <w:tcPr>
            <w:tcW w:w="1260" w:type="dxa"/>
            <w:tcBorders>
              <w:top w:val="nil"/>
              <w:left w:val="nil"/>
              <w:bottom w:val="single" w:sz="4" w:space="0" w:color="auto"/>
              <w:right w:val="nil"/>
            </w:tcBorders>
            <w:shd w:val="clear" w:color="auto" w:fill="CFD9E3" w:themeFill="accent1"/>
            <w:noWrap/>
            <w:vAlign w:val="center"/>
            <w:hideMark/>
          </w:tcPr>
          <w:p w14:paraId="73C08C78" w14:textId="0DF30444" w:rsidR="00BC6E14" w:rsidRPr="00CD710E" w:rsidRDefault="00BC6E14" w:rsidP="00340AF2">
            <w:pPr>
              <w:rPr>
                <w:rFonts w:eastAsia="Times New Roman"/>
                <w:b/>
                <w:bCs/>
                <w:sz w:val="18"/>
                <w:szCs w:val="18"/>
              </w:rPr>
            </w:pPr>
            <w:r>
              <w:rPr>
                <w:b/>
                <w:color w:val="000000"/>
                <w:sz w:val="18"/>
                <w:szCs w:val="18"/>
              </w:rPr>
              <w:t> </w:t>
            </w:r>
          </w:p>
        </w:tc>
        <w:tc>
          <w:tcPr>
            <w:tcW w:w="1050" w:type="dxa"/>
            <w:tcBorders>
              <w:top w:val="nil"/>
              <w:left w:val="nil"/>
              <w:bottom w:val="single" w:sz="4" w:space="0" w:color="auto"/>
              <w:right w:val="nil"/>
            </w:tcBorders>
            <w:shd w:val="clear" w:color="auto" w:fill="CFD9E3" w:themeFill="accent1"/>
            <w:noWrap/>
            <w:vAlign w:val="center"/>
            <w:hideMark/>
          </w:tcPr>
          <w:p w14:paraId="3CD9BE8C" w14:textId="34463421" w:rsidR="00BC6E14" w:rsidRPr="00CD710E" w:rsidRDefault="00BC6E14" w:rsidP="00340AF2">
            <w:pPr>
              <w:rPr>
                <w:rFonts w:eastAsia="Times New Roman"/>
                <w:b/>
                <w:bCs/>
                <w:sz w:val="18"/>
                <w:szCs w:val="18"/>
              </w:rPr>
            </w:pPr>
            <w:r>
              <w:rPr>
                <w:b/>
                <w:color w:val="000000"/>
                <w:sz w:val="18"/>
                <w:szCs w:val="18"/>
              </w:rPr>
              <w:t> </w:t>
            </w:r>
          </w:p>
        </w:tc>
        <w:tc>
          <w:tcPr>
            <w:tcW w:w="1050" w:type="dxa"/>
            <w:tcBorders>
              <w:top w:val="nil"/>
              <w:left w:val="nil"/>
              <w:bottom w:val="single" w:sz="4" w:space="0" w:color="auto"/>
              <w:right w:val="nil"/>
            </w:tcBorders>
            <w:shd w:val="clear" w:color="auto" w:fill="CFD9E3" w:themeFill="accent1"/>
            <w:noWrap/>
            <w:vAlign w:val="center"/>
            <w:hideMark/>
          </w:tcPr>
          <w:p w14:paraId="086FCA85" w14:textId="41537DA9" w:rsidR="00BC6E14" w:rsidRPr="00CD710E" w:rsidRDefault="00BC6E14" w:rsidP="00340AF2">
            <w:pPr>
              <w:rPr>
                <w:rFonts w:eastAsia="Times New Roman"/>
                <w:b/>
                <w:bCs/>
                <w:sz w:val="18"/>
                <w:szCs w:val="18"/>
              </w:rPr>
            </w:pPr>
            <w:r>
              <w:rPr>
                <w:b/>
                <w:color w:val="000000"/>
                <w:sz w:val="18"/>
                <w:szCs w:val="18"/>
              </w:rPr>
              <w:t> </w:t>
            </w:r>
          </w:p>
        </w:tc>
        <w:tc>
          <w:tcPr>
            <w:tcW w:w="1050" w:type="dxa"/>
            <w:tcBorders>
              <w:top w:val="nil"/>
              <w:left w:val="nil"/>
              <w:bottom w:val="single" w:sz="4" w:space="0" w:color="auto"/>
              <w:right w:val="nil"/>
            </w:tcBorders>
            <w:shd w:val="clear" w:color="auto" w:fill="CFD9E3" w:themeFill="accent1"/>
            <w:noWrap/>
            <w:vAlign w:val="center"/>
            <w:hideMark/>
          </w:tcPr>
          <w:p w14:paraId="43B8F2A2" w14:textId="53756D99" w:rsidR="00BC6E14" w:rsidRPr="00CD710E" w:rsidRDefault="00BC6E14" w:rsidP="00340AF2">
            <w:pPr>
              <w:rPr>
                <w:rFonts w:eastAsia="Times New Roman"/>
                <w:b/>
                <w:bCs/>
                <w:sz w:val="18"/>
                <w:szCs w:val="18"/>
              </w:rPr>
            </w:pPr>
            <w:r>
              <w:rPr>
                <w:b/>
                <w:color w:val="000000"/>
                <w:sz w:val="18"/>
                <w:szCs w:val="18"/>
              </w:rPr>
              <w:t> </w:t>
            </w:r>
          </w:p>
        </w:tc>
        <w:tc>
          <w:tcPr>
            <w:tcW w:w="5130" w:type="dxa"/>
            <w:tcBorders>
              <w:top w:val="nil"/>
              <w:left w:val="nil"/>
              <w:bottom w:val="single" w:sz="4" w:space="0" w:color="auto"/>
              <w:right w:val="single" w:sz="4" w:space="0" w:color="auto"/>
            </w:tcBorders>
            <w:shd w:val="clear" w:color="auto" w:fill="CFD9E3" w:themeFill="accent1"/>
            <w:noWrap/>
            <w:vAlign w:val="center"/>
            <w:hideMark/>
          </w:tcPr>
          <w:p w14:paraId="29411209" w14:textId="52DEBA92" w:rsidR="00BC6E14" w:rsidRPr="00CD710E" w:rsidRDefault="00BC6E14" w:rsidP="00340AF2">
            <w:pPr>
              <w:rPr>
                <w:rFonts w:eastAsia="Times New Roman"/>
                <w:b/>
                <w:bCs/>
                <w:sz w:val="18"/>
                <w:szCs w:val="18"/>
              </w:rPr>
            </w:pPr>
            <w:r>
              <w:rPr>
                <w:b/>
                <w:color w:val="000000"/>
                <w:sz w:val="18"/>
                <w:szCs w:val="18"/>
              </w:rPr>
              <w:t> </w:t>
            </w:r>
          </w:p>
        </w:tc>
      </w:tr>
      <w:tr w:rsidR="008024DD" w:rsidRPr="00CD710E" w14:paraId="3B10CDEE"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64CE2821" w14:textId="6304D7A5" w:rsidR="008024DD" w:rsidRPr="00CD710E" w:rsidRDefault="008024DD" w:rsidP="008024DD">
            <w:pPr>
              <w:spacing w:before="40" w:after="40"/>
              <w:rPr>
                <w:rFonts w:eastAsia="Times New Roman"/>
                <w:sz w:val="18"/>
                <w:szCs w:val="18"/>
              </w:rPr>
            </w:pPr>
            <w:r>
              <w:rPr>
                <w:color w:val="000000"/>
                <w:sz w:val="18"/>
                <w:szCs w:val="18"/>
              </w:rPr>
              <w:t>Renter core housing need rate</w:t>
            </w:r>
          </w:p>
        </w:tc>
        <w:tc>
          <w:tcPr>
            <w:tcW w:w="1260" w:type="dxa"/>
            <w:tcBorders>
              <w:top w:val="nil"/>
              <w:left w:val="nil"/>
              <w:bottom w:val="single" w:sz="4" w:space="0" w:color="BFBFBF"/>
              <w:right w:val="single" w:sz="4" w:space="0" w:color="auto"/>
            </w:tcBorders>
            <w:shd w:val="clear" w:color="000000" w:fill="F2F2F2"/>
            <w:vAlign w:val="center"/>
            <w:hideMark/>
          </w:tcPr>
          <w:p w14:paraId="53E66CED" w14:textId="033CE399" w:rsidR="008024DD" w:rsidRPr="00CD710E" w:rsidRDefault="008024DD" w:rsidP="008024DD">
            <w:pPr>
              <w:spacing w:before="40" w:after="40"/>
              <w:rPr>
                <w:rFonts w:eastAsia="Times New Roman"/>
                <w:sz w:val="18"/>
                <w:szCs w:val="18"/>
              </w:rPr>
            </w:pPr>
            <w:r>
              <w:rPr>
                <w:color w:val="000000"/>
                <w:sz w:val="18"/>
                <w:szCs w:val="18"/>
              </w:rPr>
              <w:t>Table 5.1</w:t>
            </w:r>
          </w:p>
        </w:tc>
        <w:tc>
          <w:tcPr>
            <w:tcW w:w="1050" w:type="dxa"/>
            <w:tcBorders>
              <w:top w:val="nil"/>
              <w:left w:val="nil"/>
              <w:bottom w:val="single" w:sz="4" w:space="0" w:color="BFBFBF"/>
              <w:right w:val="single" w:sz="4" w:space="0" w:color="BFBFBF"/>
            </w:tcBorders>
            <w:shd w:val="clear" w:color="000000" w:fill="F2F2F2"/>
            <w:vAlign w:val="center"/>
            <w:hideMark/>
          </w:tcPr>
          <w:p w14:paraId="49EDB25D" w14:textId="743B837F"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13.9%</w:t>
            </w:r>
          </w:p>
        </w:tc>
        <w:tc>
          <w:tcPr>
            <w:tcW w:w="1050" w:type="dxa"/>
            <w:tcBorders>
              <w:top w:val="nil"/>
              <w:left w:val="nil"/>
              <w:bottom w:val="single" w:sz="4" w:space="0" w:color="BFBFBF"/>
              <w:right w:val="single" w:sz="4" w:space="0" w:color="BFBFBF"/>
            </w:tcBorders>
            <w:shd w:val="clear" w:color="000000" w:fill="F2F2F2"/>
            <w:vAlign w:val="center"/>
            <w:hideMark/>
          </w:tcPr>
          <w:p w14:paraId="3EE073B3" w14:textId="2255ACB5"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12.9%</w:t>
            </w:r>
          </w:p>
        </w:tc>
        <w:tc>
          <w:tcPr>
            <w:tcW w:w="1050" w:type="dxa"/>
            <w:tcBorders>
              <w:top w:val="nil"/>
              <w:left w:val="nil"/>
              <w:bottom w:val="single" w:sz="4" w:space="0" w:color="BFBFBF"/>
              <w:right w:val="single" w:sz="4" w:space="0" w:color="auto"/>
            </w:tcBorders>
            <w:shd w:val="clear" w:color="000000" w:fill="F2F2F2"/>
            <w:vAlign w:val="center"/>
            <w:hideMark/>
          </w:tcPr>
          <w:p w14:paraId="43C372AB" w14:textId="6E4CD781"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14.1%</w:t>
            </w:r>
          </w:p>
        </w:tc>
        <w:tc>
          <w:tcPr>
            <w:tcW w:w="5130" w:type="dxa"/>
            <w:tcBorders>
              <w:top w:val="nil"/>
              <w:left w:val="nil"/>
              <w:bottom w:val="single" w:sz="4" w:space="0" w:color="BFBFBF"/>
              <w:right w:val="single" w:sz="4" w:space="0" w:color="auto"/>
            </w:tcBorders>
            <w:shd w:val="clear" w:color="000000" w:fill="F2F2F2"/>
            <w:vAlign w:val="center"/>
            <w:hideMark/>
          </w:tcPr>
          <w:p w14:paraId="3C12DF64" w14:textId="7E1D8922" w:rsidR="008024DD" w:rsidRPr="00CD710E" w:rsidRDefault="008024DD" w:rsidP="008024DD">
            <w:pPr>
              <w:spacing w:before="40" w:after="40"/>
              <w:rPr>
                <w:rFonts w:eastAsia="Times New Roman"/>
                <w:sz w:val="18"/>
                <w:szCs w:val="18"/>
              </w:rPr>
            </w:pPr>
            <w:r>
              <w:rPr>
                <w:color w:val="000000"/>
                <w:sz w:val="18"/>
                <w:szCs w:val="18"/>
              </w:rPr>
              <w:t>&gt;20% = elevated; &gt;30% = high. Primary federal benchmark for housing precarity among renters</w:t>
            </w:r>
          </w:p>
        </w:tc>
      </w:tr>
      <w:tr w:rsidR="008024DD" w:rsidRPr="00CD710E" w14:paraId="62A6FBF6"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0EB8EBB2" w14:textId="289D994D" w:rsidR="008024DD" w:rsidRPr="00CD710E" w:rsidRDefault="008024DD" w:rsidP="008024DD">
            <w:pPr>
              <w:spacing w:before="40" w:after="40"/>
              <w:rPr>
                <w:rFonts w:eastAsia="Times New Roman"/>
                <w:sz w:val="18"/>
                <w:szCs w:val="18"/>
              </w:rPr>
            </w:pPr>
            <w:r>
              <w:rPr>
                <w:color w:val="000000"/>
                <w:sz w:val="18"/>
                <w:szCs w:val="18"/>
              </w:rPr>
              <w:t>Rental vacancy rate (primary market)</w:t>
            </w:r>
          </w:p>
        </w:tc>
        <w:tc>
          <w:tcPr>
            <w:tcW w:w="1260" w:type="dxa"/>
            <w:tcBorders>
              <w:top w:val="nil"/>
              <w:left w:val="nil"/>
              <w:bottom w:val="single" w:sz="4" w:space="0" w:color="BFBFBF"/>
              <w:right w:val="single" w:sz="4" w:space="0" w:color="auto"/>
            </w:tcBorders>
            <w:shd w:val="clear" w:color="000000" w:fill="FFFFFF"/>
            <w:vAlign w:val="center"/>
            <w:hideMark/>
          </w:tcPr>
          <w:p w14:paraId="6736C309" w14:textId="1D7C7B6B" w:rsidR="008024DD" w:rsidRPr="00CD710E" w:rsidRDefault="008024DD" w:rsidP="008024DD">
            <w:pPr>
              <w:spacing w:before="40" w:after="40"/>
              <w:rPr>
                <w:rFonts w:eastAsia="Times New Roman"/>
                <w:sz w:val="18"/>
                <w:szCs w:val="18"/>
              </w:rPr>
            </w:pPr>
            <w:r>
              <w:rPr>
                <w:color w:val="000000"/>
                <w:sz w:val="18"/>
                <w:szCs w:val="18"/>
              </w:rPr>
              <w:t>Table 4.5</w:t>
            </w:r>
          </w:p>
        </w:tc>
        <w:tc>
          <w:tcPr>
            <w:tcW w:w="1050" w:type="dxa"/>
            <w:tcBorders>
              <w:top w:val="nil"/>
              <w:left w:val="nil"/>
              <w:bottom w:val="single" w:sz="4" w:space="0" w:color="BFBFBF"/>
              <w:right w:val="single" w:sz="4" w:space="0" w:color="BFBFBF"/>
            </w:tcBorders>
            <w:shd w:val="clear" w:color="000000" w:fill="FFFFFF"/>
            <w:vAlign w:val="center"/>
            <w:hideMark/>
          </w:tcPr>
          <w:p w14:paraId="3AE51307" w14:textId="7168C5C3"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1.5%</w:t>
            </w:r>
          </w:p>
        </w:tc>
        <w:tc>
          <w:tcPr>
            <w:tcW w:w="1050" w:type="dxa"/>
            <w:tcBorders>
              <w:top w:val="nil"/>
              <w:left w:val="nil"/>
              <w:bottom w:val="single" w:sz="4" w:space="0" w:color="BFBFBF"/>
              <w:right w:val="single" w:sz="4" w:space="0" w:color="BFBFBF"/>
            </w:tcBorders>
            <w:shd w:val="clear" w:color="000000" w:fill="FFFFFF"/>
            <w:vAlign w:val="center"/>
            <w:hideMark/>
          </w:tcPr>
          <w:p w14:paraId="0117B675" w14:textId="1A7E1D20"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x</w:t>
            </w:r>
          </w:p>
        </w:tc>
        <w:tc>
          <w:tcPr>
            <w:tcW w:w="1050" w:type="dxa"/>
            <w:tcBorders>
              <w:top w:val="nil"/>
              <w:left w:val="nil"/>
              <w:bottom w:val="single" w:sz="4" w:space="0" w:color="BFBFBF"/>
              <w:right w:val="single" w:sz="4" w:space="0" w:color="auto"/>
            </w:tcBorders>
            <w:shd w:val="clear" w:color="000000" w:fill="FFFFFF"/>
            <w:vAlign w:val="center"/>
            <w:hideMark/>
          </w:tcPr>
          <w:p w14:paraId="05BF61DA" w14:textId="1899123E"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2.0%</w:t>
            </w:r>
          </w:p>
        </w:tc>
        <w:tc>
          <w:tcPr>
            <w:tcW w:w="5130" w:type="dxa"/>
            <w:tcBorders>
              <w:top w:val="nil"/>
              <w:left w:val="nil"/>
              <w:bottom w:val="single" w:sz="4" w:space="0" w:color="BFBFBF"/>
              <w:right w:val="single" w:sz="4" w:space="0" w:color="auto"/>
            </w:tcBorders>
            <w:shd w:val="clear" w:color="000000" w:fill="FFFFFF"/>
            <w:vAlign w:val="center"/>
            <w:hideMark/>
          </w:tcPr>
          <w:p w14:paraId="1A199648" w14:textId="7A534A56" w:rsidR="008024DD" w:rsidRPr="00CD710E" w:rsidRDefault="008024DD" w:rsidP="008024DD">
            <w:pPr>
              <w:spacing w:before="40" w:after="40"/>
              <w:rPr>
                <w:rFonts w:eastAsia="Times New Roman"/>
                <w:sz w:val="18"/>
                <w:szCs w:val="18"/>
              </w:rPr>
            </w:pPr>
            <w:r>
              <w:rPr>
                <w:color w:val="000000"/>
                <w:sz w:val="18"/>
                <w:szCs w:val="18"/>
              </w:rPr>
              <w:t>&lt;3% = market stress; &lt;1% = crisis. Reduces renter mobility and compresses affordable choices</w:t>
            </w:r>
          </w:p>
        </w:tc>
      </w:tr>
      <w:tr w:rsidR="008024DD" w:rsidRPr="00CD710E" w14:paraId="0B2A3BC8"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3B1D08F4" w14:textId="085B8DE4" w:rsidR="008024DD" w:rsidRPr="00CD710E" w:rsidRDefault="008024DD" w:rsidP="008024DD">
            <w:pPr>
              <w:spacing w:before="40" w:after="40"/>
              <w:rPr>
                <w:rFonts w:eastAsia="Times New Roman"/>
                <w:sz w:val="18"/>
                <w:szCs w:val="18"/>
              </w:rPr>
            </w:pPr>
            <w:r>
              <w:rPr>
                <w:color w:val="000000"/>
                <w:sz w:val="18"/>
                <w:szCs w:val="18"/>
              </w:rPr>
              <w:t>5-year average rent increase</w:t>
            </w:r>
          </w:p>
        </w:tc>
        <w:tc>
          <w:tcPr>
            <w:tcW w:w="1260" w:type="dxa"/>
            <w:tcBorders>
              <w:top w:val="nil"/>
              <w:left w:val="nil"/>
              <w:bottom w:val="single" w:sz="4" w:space="0" w:color="BFBFBF"/>
              <w:right w:val="single" w:sz="4" w:space="0" w:color="auto"/>
            </w:tcBorders>
            <w:shd w:val="clear" w:color="000000" w:fill="F2F2F2"/>
            <w:vAlign w:val="center"/>
            <w:hideMark/>
          </w:tcPr>
          <w:p w14:paraId="63ED5CF8" w14:textId="0C2619B0" w:rsidR="008024DD" w:rsidRPr="00CD710E" w:rsidRDefault="008024DD" w:rsidP="008024DD">
            <w:pPr>
              <w:spacing w:before="40" w:after="40"/>
              <w:rPr>
                <w:rFonts w:eastAsia="Times New Roman"/>
                <w:sz w:val="18"/>
                <w:szCs w:val="18"/>
              </w:rPr>
            </w:pPr>
            <w:r>
              <w:rPr>
                <w:color w:val="000000"/>
                <w:sz w:val="18"/>
                <w:szCs w:val="18"/>
              </w:rPr>
              <w:t>Table 4.5</w:t>
            </w:r>
          </w:p>
        </w:tc>
        <w:tc>
          <w:tcPr>
            <w:tcW w:w="1050" w:type="dxa"/>
            <w:tcBorders>
              <w:top w:val="nil"/>
              <w:left w:val="nil"/>
              <w:bottom w:val="single" w:sz="4" w:space="0" w:color="BFBFBF"/>
              <w:right w:val="single" w:sz="4" w:space="0" w:color="BFBFBF"/>
            </w:tcBorders>
            <w:shd w:val="clear" w:color="000000" w:fill="F2F2F2"/>
            <w:vAlign w:val="center"/>
            <w:hideMark/>
          </w:tcPr>
          <w:p w14:paraId="24147840" w14:textId="149E66A2"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36%</w:t>
            </w:r>
          </w:p>
        </w:tc>
        <w:tc>
          <w:tcPr>
            <w:tcW w:w="1050" w:type="dxa"/>
            <w:tcBorders>
              <w:top w:val="nil"/>
              <w:left w:val="nil"/>
              <w:bottom w:val="single" w:sz="4" w:space="0" w:color="BFBFBF"/>
              <w:right w:val="single" w:sz="4" w:space="0" w:color="BFBFBF"/>
            </w:tcBorders>
            <w:shd w:val="clear" w:color="000000" w:fill="F2F2F2"/>
            <w:vAlign w:val="center"/>
            <w:hideMark/>
          </w:tcPr>
          <w:p w14:paraId="40560724" w14:textId="32DCD2D5"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x</w:t>
            </w:r>
          </w:p>
        </w:tc>
        <w:tc>
          <w:tcPr>
            <w:tcW w:w="1050" w:type="dxa"/>
            <w:tcBorders>
              <w:top w:val="nil"/>
              <w:left w:val="nil"/>
              <w:bottom w:val="single" w:sz="4" w:space="0" w:color="BFBFBF"/>
              <w:right w:val="single" w:sz="4" w:space="0" w:color="auto"/>
            </w:tcBorders>
            <w:shd w:val="clear" w:color="000000" w:fill="F2F2F2"/>
            <w:vAlign w:val="center"/>
            <w:hideMark/>
          </w:tcPr>
          <w:p w14:paraId="3F5CCC64" w14:textId="41BA2345"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34%</w:t>
            </w:r>
          </w:p>
        </w:tc>
        <w:tc>
          <w:tcPr>
            <w:tcW w:w="5130" w:type="dxa"/>
            <w:tcBorders>
              <w:top w:val="nil"/>
              <w:left w:val="nil"/>
              <w:bottom w:val="single" w:sz="4" w:space="0" w:color="BFBFBF"/>
              <w:right w:val="single" w:sz="4" w:space="0" w:color="auto"/>
            </w:tcBorders>
            <w:shd w:val="clear" w:color="000000" w:fill="F2F2F2"/>
            <w:vAlign w:val="center"/>
            <w:hideMark/>
          </w:tcPr>
          <w:p w14:paraId="6619E9C6" w14:textId="068AAE89" w:rsidR="008024DD" w:rsidRPr="00CD710E" w:rsidRDefault="008024DD" w:rsidP="008024DD">
            <w:pPr>
              <w:spacing w:before="40" w:after="40"/>
              <w:rPr>
                <w:rFonts w:eastAsia="Times New Roman"/>
                <w:sz w:val="18"/>
                <w:szCs w:val="18"/>
              </w:rPr>
            </w:pPr>
            <w:r>
              <w:rPr>
                <w:color w:val="000000"/>
                <w:sz w:val="18"/>
                <w:szCs w:val="18"/>
              </w:rPr>
              <w:t>Growth above prov. CPI or wage growth = widening affordability gap for existing renters</w:t>
            </w:r>
          </w:p>
        </w:tc>
      </w:tr>
      <w:tr w:rsidR="008024DD" w:rsidRPr="00CD710E" w14:paraId="45FED01C"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6E441BE1" w14:textId="3DCD1DD7" w:rsidR="008024DD" w:rsidRPr="00CD710E" w:rsidRDefault="008024DD" w:rsidP="008024DD">
            <w:pPr>
              <w:spacing w:before="40" w:after="40"/>
              <w:rPr>
                <w:rFonts w:eastAsia="Times New Roman"/>
                <w:sz w:val="18"/>
                <w:szCs w:val="18"/>
              </w:rPr>
            </w:pPr>
            <w:r>
              <w:rPr>
                <w:color w:val="000000"/>
                <w:sz w:val="18"/>
                <w:szCs w:val="18"/>
              </w:rPr>
              <w:lastRenderedPageBreak/>
              <w:t>Deeply unaffordable renters (STIR ≥50%)</w:t>
            </w:r>
          </w:p>
        </w:tc>
        <w:tc>
          <w:tcPr>
            <w:tcW w:w="1260" w:type="dxa"/>
            <w:tcBorders>
              <w:top w:val="nil"/>
              <w:left w:val="nil"/>
              <w:bottom w:val="single" w:sz="4" w:space="0" w:color="BFBFBF"/>
              <w:right w:val="single" w:sz="4" w:space="0" w:color="auto"/>
            </w:tcBorders>
            <w:shd w:val="clear" w:color="000000" w:fill="FFFFFF"/>
            <w:vAlign w:val="center"/>
            <w:hideMark/>
          </w:tcPr>
          <w:p w14:paraId="45EE77BB" w14:textId="160F213A" w:rsidR="008024DD" w:rsidRPr="00CD710E" w:rsidRDefault="008024DD" w:rsidP="008024DD">
            <w:pPr>
              <w:spacing w:before="40" w:after="40"/>
              <w:rPr>
                <w:rFonts w:eastAsia="Times New Roman"/>
                <w:sz w:val="18"/>
                <w:szCs w:val="18"/>
              </w:rPr>
            </w:pPr>
            <w:r>
              <w:rPr>
                <w:color w:val="000000"/>
                <w:sz w:val="18"/>
                <w:szCs w:val="18"/>
              </w:rPr>
              <w:t>Table 5.1</w:t>
            </w:r>
          </w:p>
        </w:tc>
        <w:tc>
          <w:tcPr>
            <w:tcW w:w="1050" w:type="dxa"/>
            <w:tcBorders>
              <w:top w:val="nil"/>
              <w:left w:val="nil"/>
              <w:bottom w:val="single" w:sz="4" w:space="0" w:color="BFBFBF"/>
              <w:right w:val="single" w:sz="4" w:space="0" w:color="BFBFBF"/>
            </w:tcBorders>
            <w:shd w:val="clear" w:color="000000" w:fill="FFFFFF"/>
            <w:vAlign w:val="center"/>
            <w:hideMark/>
          </w:tcPr>
          <w:p w14:paraId="68741779" w14:textId="1C18E9FA"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11.4%</w:t>
            </w:r>
          </w:p>
        </w:tc>
        <w:tc>
          <w:tcPr>
            <w:tcW w:w="1050" w:type="dxa"/>
            <w:tcBorders>
              <w:top w:val="nil"/>
              <w:left w:val="nil"/>
              <w:bottom w:val="single" w:sz="4" w:space="0" w:color="BFBFBF"/>
              <w:right w:val="single" w:sz="4" w:space="0" w:color="BFBFBF"/>
            </w:tcBorders>
            <w:shd w:val="clear" w:color="000000" w:fill="FFFFFF"/>
            <w:vAlign w:val="center"/>
            <w:hideMark/>
          </w:tcPr>
          <w:p w14:paraId="48B5754B" w14:textId="3CF2BC50"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11.5%</w:t>
            </w:r>
          </w:p>
        </w:tc>
        <w:tc>
          <w:tcPr>
            <w:tcW w:w="1050" w:type="dxa"/>
            <w:tcBorders>
              <w:top w:val="nil"/>
              <w:left w:val="nil"/>
              <w:bottom w:val="single" w:sz="4" w:space="0" w:color="BFBFBF"/>
              <w:right w:val="single" w:sz="4" w:space="0" w:color="auto"/>
            </w:tcBorders>
            <w:shd w:val="clear" w:color="000000" w:fill="FFFFFF"/>
            <w:vAlign w:val="center"/>
            <w:hideMark/>
          </w:tcPr>
          <w:p w14:paraId="74618D25" w14:textId="73474406"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10.3%</w:t>
            </w:r>
          </w:p>
        </w:tc>
        <w:tc>
          <w:tcPr>
            <w:tcW w:w="5130" w:type="dxa"/>
            <w:tcBorders>
              <w:top w:val="nil"/>
              <w:left w:val="nil"/>
              <w:bottom w:val="single" w:sz="4" w:space="0" w:color="BFBFBF"/>
              <w:right w:val="single" w:sz="4" w:space="0" w:color="auto"/>
            </w:tcBorders>
            <w:shd w:val="clear" w:color="000000" w:fill="FFFFFF"/>
            <w:vAlign w:val="center"/>
            <w:hideMark/>
          </w:tcPr>
          <w:p w14:paraId="5D70A88B" w14:textId="5C858723" w:rsidR="008024DD" w:rsidRPr="00CD710E" w:rsidRDefault="008024DD" w:rsidP="008024DD">
            <w:pPr>
              <w:spacing w:before="40" w:after="40"/>
              <w:rPr>
                <w:rFonts w:eastAsia="Times New Roman"/>
                <w:sz w:val="18"/>
                <w:szCs w:val="18"/>
              </w:rPr>
            </w:pPr>
            <w:r>
              <w:rPr>
                <w:color w:val="000000"/>
                <w:sz w:val="18"/>
                <w:szCs w:val="18"/>
              </w:rPr>
              <w:t>&gt;10% of renter households = significant acute need; elevated homelessness risk</w:t>
            </w:r>
          </w:p>
        </w:tc>
      </w:tr>
      <w:tr w:rsidR="008024DD" w:rsidRPr="00CD710E" w14:paraId="6B1B1B2A"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5B82A66D" w14:textId="738988EE" w:rsidR="008024DD" w:rsidRPr="00CD710E" w:rsidRDefault="008024DD" w:rsidP="008024DD">
            <w:pPr>
              <w:spacing w:before="40" w:after="40"/>
              <w:rPr>
                <w:rFonts w:eastAsia="Times New Roman"/>
                <w:sz w:val="18"/>
                <w:szCs w:val="18"/>
              </w:rPr>
            </w:pPr>
            <w:r>
              <w:rPr>
                <w:color w:val="000000"/>
                <w:sz w:val="18"/>
                <w:szCs w:val="18"/>
              </w:rPr>
              <w:t>Affordable rentals minus total very low/low-income households</w:t>
            </w:r>
          </w:p>
        </w:tc>
        <w:tc>
          <w:tcPr>
            <w:tcW w:w="1260" w:type="dxa"/>
            <w:tcBorders>
              <w:top w:val="nil"/>
              <w:left w:val="nil"/>
              <w:bottom w:val="single" w:sz="4" w:space="0" w:color="BFBFBF"/>
              <w:right w:val="single" w:sz="4" w:space="0" w:color="auto"/>
            </w:tcBorders>
            <w:shd w:val="clear" w:color="000000" w:fill="F2F2F2"/>
            <w:vAlign w:val="center"/>
            <w:hideMark/>
          </w:tcPr>
          <w:p w14:paraId="7207C107" w14:textId="3C029DC3" w:rsidR="008024DD" w:rsidRPr="00CD710E" w:rsidRDefault="008024DD" w:rsidP="008024DD">
            <w:pPr>
              <w:spacing w:before="40" w:after="40"/>
              <w:rPr>
                <w:rFonts w:eastAsia="Times New Roman"/>
                <w:sz w:val="18"/>
                <w:szCs w:val="18"/>
              </w:rPr>
            </w:pPr>
            <w:r>
              <w:rPr>
                <w:color w:val="000000"/>
                <w:sz w:val="18"/>
                <w:szCs w:val="18"/>
              </w:rPr>
              <w:t>Tables 4.8; Table 5.2</w:t>
            </w:r>
          </w:p>
        </w:tc>
        <w:tc>
          <w:tcPr>
            <w:tcW w:w="1050" w:type="dxa"/>
            <w:tcBorders>
              <w:top w:val="nil"/>
              <w:left w:val="nil"/>
              <w:bottom w:val="single" w:sz="4" w:space="0" w:color="BFBFBF"/>
              <w:right w:val="single" w:sz="4" w:space="0" w:color="BFBFBF"/>
            </w:tcBorders>
            <w:shd w:val="clear" w:color="000000" w:fill="F2F2F2"/>
            <w:vAlign w:val="center"/>
            <w:hideMark/>
          </w:tcPr>
          <w:p w14:paraId="2E852BD8" w14:textId="5558C199"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205</w:t>
            </w:r>
          </w:p>
        </w:tc>
        <w:tc>
          <w:tcPr>
            <w:tcW w:w="1050" w:type="dxa"/>
            <w:tcBorders>
              <w:top w:val="nil"/>
              <w:left w:val="nil"/>
              <w:bottom w:val="single" w:sz="4" w:space="0" w:color="BFBFBF"/>
              <w:right w:val="single" w:sz="4" w:space="0" w:color="BFBFBF"/>
            </w:tcBorders>
            <w:shd w:val="clear" w:color="000000" w:fill="F2F2F2"/>
            <w:vAlign w:val="center"/>
            <w:hideMark/>
          </w:tcPr>
          <w:p w14:paraId="45EFD283" w14:textId="50066711"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1,370</w:t>
            </w:r>
          </w:p>
        </w:tc>
        <w:tc>
          <w:tcPr>
            <w:tcW w:w="1050" w:type="dxa"/>
            <w:tcBorders>
              <w:top w:val="nil"/>
              <w:left w:val="nil"/>
              <w:bottom w:val="single" w:sz="4" w:space="0" w:color="BFBFBF"/>
              <w:right w:val="single" w:sz="4" w:space="0" w:color="auto"/>
            </w:tcBorders>
            <w:shd w:val="clear" w:color="000000" w:fill="F2F2F2"/>
            <w:vAlign w:val="center"/>
            <w:hideMark/>
          </w:tcPr>
          <w:p w14:paraId="1C6BCBA7" w14:textId="23B29768"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1,765</w:t>
            </w:r>
          </w:p>
        </w:tc>
        <w:tc>
          <w:tcPr>
            <w:tcW w:w="5130" w:type="dxa"/>
            <w:tcBorders>
              <w:top w:val="nil"/>
              <w:left w:val="nil"/>
              <w:bottom w:val="single" w:sz="4" w:space="0" w:color="BFBFBF"/>
              <w:right w:val="single" w:sz="4" w:space="0" w:color="auto"/>
            </w:tcBorders>
            <w:shd w:val="clear" w:color="000000" w:fill="F2F2F2"/>
            <w:vAlign w:val="center"/>
            <w:hideMark/>
          </w:tcPr>
          <w:p w14:paraId="6E7073E5" w14:textId="358FB3FB" w:rsidR="008024DD" w:rsidRPr="00CD710E" w:rsidRDefault="008024DD" w:rsidP="008024DD">
            <w:pPr>
              <w:spacing w:before="40" w:after="40"/>
              <w:rPr>
                <w:rFonts w:eastAsia="Times New Roman"/>
                <w:sz w:val="18"/>
                <w:szCs w:val="18"/>
              </w:rPr>
            </w:pPr>
            <w:r>
              <w:rPr>
                <w:color w:val="000000"/>
                <w:sz w:val="18"/>
                <w:szCs w:val="18"/>
              </w:rPr>
              <w:t>Negative gap where need exceeds supply = scale of unmet affordable housing requirement</w:t>
            </w:r>
          </w:p>
        </w:tc>
      </w:tr>
      <w:tr w:rsidR="008024DD" w:rsidRPr="00CD710E" w14:paraId="00DA99C2"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09EE0795" w14:textId="28A0850A" w:rsidR="008024DD" w:rsidRPr="00CD710E" w:rsidRDefault="008024DD" w:rsidP="008024DD">
            <w:pPr>
              <w:spacing w:before="40" w:after="40"/>
              <w:rPr>
                <w:rFonts w:eastAsia="Times New Roman"/>
                <w:sz w:val="18"/>
                <w:szCs w:val="18"/>
              </w:rPr>
            </w:pPr>
            <w:r>
              <w:rPr>
                <w:color w:val="000000"/>
                <w:sz w:val="18"/>
                <w:szCs w:val="18"/>
              </w:rPr>
              <w:t>Net loss of affordable rental units (2016–2021)</w:t>
            </w:r>
          </w:p>
        </w:tc>
        <w:tc>
          <w:tcPr>
            <w:tcW w:w="1260" w:type="dxa"/>
            <w:tcBorders>
              <w:top w:val="nil"/>
              <w:left w:val="nil"/>
              <w:bottom w:val="single" w:sz="4" w:space="0" w:color="BFBFBF"/>
              <w:right w:val="single" w:sz="4" w:space="0" w:color="auto"/>
            </w:tcBorders>
            <w:shd w:val="clear" w:color="000000" w:fill="FFFFFF"/>
            <w:vAlign w:val="center"/>
            <w:hideMark/>
          </w:tcPr>
          <w:p w14:paraId="0BA59335" w14:textId="684B05C9" w:rsidR="008024DD" w:rsidRPr="00CD710E" w:rsidRDefault="008024DD" w:rsidP="008024DD">
            <w:pPr>
              <w:spacing w:before="40" w:after="40"/>
              <w:rPr>
                <w:rFonts w:eastAsia="Times New Roman"/>
                <w:sz w:val="18"/>
                <w:szCs w:val="18"/>
              </w:rPr>
            </w:pPr>
            <w:r>
              <w:rPr>
                <w:color w:val="000000"/>
                <w:sz w:val="18"/>
                <w:szCs w:val="18"/>
              </w:rPr>
              <w:t>Table 4.10</w:t>
            </w:r>
          </w:p>
        </w:tc>
        <w:tc>
          <w:tcPr>
            <w:tcW w:w="1050" w:type="dxa"/>
            <w:tcBorders>
              <w:top w:val="nil"/>
              <w:left w:val="nil"/>
              <w:bottom w:val="single" w:sz="4" w:space="0" w:color="BFBFBF"/>
              <w:right w:val="single" w:sz="4" w:space="0" w:color="BFBFBF"/>
            </w:tcBorders>
            <w:shd w:val="clear" w:color="000000" w:fill="FFFFFF"/>
            <w:vAlign w:val="center"/>
            <w:hideMark/>
          </w:tcPr>
          <w:p w14:paraId="6A0D14F2" w14:textId="50FFD7E8"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-560</w:t>
            </w:r>
          </w:p>
        </w:tc>
        <w:tc>
          <w:tcPr>
            <w:tcW w:w="1050" w:type="dxa"/>
            <w:tcBorders>
              <w:top w:val="nil"/>
              <w:left w:val="nil"/>
              <w:bottom w:val="single" w:sz="4" w:space="0" w:color="BFBFBF"/>
              <w:right w:val="single" w:sz="4" w:space="0" w:color="BFBFBF"/>
            </w:tcBorders>
            <w:shd w:val="clear" w:color="000000" w:fill="FFFFFF"/>
            <w:vAlign w:val="center"/>
            <w:hideMark/>
          </w:tcPr>
          <w:p w14:paraId="12E966B4" w14:textId="72A8B232"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-1,650</w:t>
            </w:r>
          </w:p>
        </w:tc>
        <w:tc>
          <w:tcPr>
            <w:tcW w:w="1050" w:type="dxa"/>
            <w:tcBorders>
              <w:top w:val="nil"/>
              <w:left w:val="nil"/>
              <w:bottom w:val="single" w:sz="4" w:space="0" w:color="BFBFBF"/>
              <w:right w:val="single" w:sz="4" w:space="0" w:color="auto"/>
            </w:tcBorders>
            <w:shd w:val="clear" w:color="000000" w:fill="FFFFFF"/>
            <w:vAlign w:val="center"/>
            <w:hideMark/>
          </w:tcPr>
          <w:p w14:paraId="1F15B240" w14:textId="59E280A2"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-960</w:t>
            </w:r>
          </w:p>
        </w:tc>
        <w:tc>
          <w:tcPr>
            <w:tcW w:w="5130" w:type="dxa"/>
            <w:tcBorders>
              <w:top w:val="nil"/>
              <w:left w:val="nil"/>
              <w:bottom w:val="single" w:sz="4" w:space="0" w:color="BFBFBF"/>
              <w:right w:val="single" w:sz="4" w:space="0" w:color="auto"/>
            </w:tcBorders>
            <w:shd w:val="clear" w:color="000000" w:fill="FFFFFF"/>
            <w:vAlign w:val="center"/>
            <w:hideMark/>
          </w:tcPr>
          <w:p w14:paraId="1E641732" w14:textId="47838369" w:rsidR="008024DD" w:rsidRPr="00CD710E" w:rsidRDefault="008024DD" w:rsidP="008024DD">
            <w:pPr>
              <w:spacing w:before="40" w:after="40"/>
              <w:rPr>
                <w:rFonts w:eastAsia="Times New Roman"/>
                <w:sz w:val="18"/>
                <w:szCs w:val="18"/>
              </w:rPr>
            </w:pPr>
            <w:r>
              <w:rPr>
                <w:color w:val="000000"/>
                <w:sz w:val="18"/>
                <w:szCs w:val="18"/>
              </w:rPr>
              <w:t>Any net loss indicates market erosion of affordable supply; size of loss indicates urgency</w:t>
            </w:r>
          </w:p>
        </w:tc>
      </w:tr>
      <w:tr w:rsidR="008024DD" w:rsidRPr="00CD710E" w14:paraId="2762A9C0"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2F2F2"/>
            <w:vAlign w:val="center"/>
            <w:hideMark/>
          </w:tcPr>
          <w:p w14:paraId="5D494A9E" w14:textId="2D24774C" w:rsidR="008024DD" w:rsidRPr="00CD710E" w:rsidRDefault="008024DD" w:rsidP="008024DD">
            <w:pPr>
              <w:spacing w:before="40" w:after="40"/>
              <w:rPr>
                <w:rFonts w:eastAsia="Times New Roman"/>
                <w:sz w:val="18"/>
                <w:szCs w:val="18"/>
              </w:rPr>
            </w:pPr>
            <w:r>
              <w:rPr>
                <w:color w:val="000000"/>
                <w:sz w:val="18"/>
                <w:szCs w:val="18"/>
              </w:rPr>
              <w:t>Subsidized housing as % of rental stock</w:t>
            </w:r>
          </w:p>
        </w:tc>
        <w:tc>
          <w:tcPr>
            <w:tcW w:w="1260" w:type="dxa"/>
            <w:tcBorders>
              <w:top w:val="nil"/>
              <w:left w:val="nil"/>
              <w:bottom w:val="single" w:sz="4" w:space="0" w:color="BFBFBF"/>
              <w:right w:val="single" w:sz="4" w:space="0" w:color="auto"/>
            </w:tcBorders>
            <w:shd w:val="clear" w:color="000000" w:fill="F2F2F2"/>
            <w:vAlign w:val="center"/>
            <w:hideMark/>
          </w:tcPr>
          <w:p w14:paraId="5FC07081" w14:textId="5CCCDC19" w:rsidR="008024DD" w:rsidRPr="00CD710E" w:rsidRDefault="008024DD" w:rsidP="008024DD">
            <w:pPr>
              <w:spacing w:before="40" w:after="40"/>
              <w:rPr>
                <w:rFonts w:eastAsia="Times New Roman"/>
                <w:sz w:val="18"/>
                <w:szCs w:val="18"/>
              </w:rPr>
            </w:pPr>
            <w:r>
              <w:rPr>
                <w:color w:val="000000"/>
                <w:sz w:val="18"/>
                <w:szCs w:val="18"/>
              </w:rPr>
              <w:t>Table 4.13</w:t>
            </w:r>
          </w:p>
        </w:tc>
        <w:tc>
          <w:tcPr>
            <w:tcW w:w="1050" w:type="dxa"/>
            <w:tcBorders>
              <w:top w:val="nil"/>
              <w:left w:val="nil"/>
              <w:bottom w:val="single" w:sz="4" w:space="0" w:color="BFBFBF"/>
              <w:right w:val="single" w:sz="4" w:space="0" w:color="BFBFBF"/>
            </w:tcBorders>
            <w:shd w:val="clear" w:color="000000" w:fill="F2F2F2"/>
            <w:vAlign w:val="center"/>
            <w:hideMark/>
          </w:tcPr>
          <w:p w14:paraId="74A8F9C0" w14:textId="7CC44191"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17%</w:t>
            </w:r>
          </w:p>
        </w:tc>
        <w:tc>
          <w:tcPr>
            <w:tcW w:w="1050" w:type="dxa"/>
            <w:tcBorders>
              <w:top w:val="nil"/>
              <w:left w:val="nil"/>
              <w:bottom w:val="single" w:sz="4" w:space="0" w:color="BFBFBF"/>
              <w:right w:val="single" w:sz="4" w:space="0" w:color="BFBFBF"/>
            </w:tcBorders>
            <w:shd w:val="clear" w:color="000000" w:fill="F2F2F2"/>
            <w:vAlign w:val="center"/>
            <w:hideMark/>
          </w:tcPr>
          <w:p w14:paraId="11822261" w14:textId="763A32F7"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15%</w:t>
            </w:r>
          </w:p>
        </w:tc>
        <w:tc>
          <w:tcPr>
            <w:tcW w:w="1050" w:type="dxa"/>
            <w:tcBorders>
              <w:top w:val="nil"/>
              <w:left w:val="nil"/>
              <w:bottom w:val="single" w:sz="4" w:space="0" w:color="BFBFBF"/>
              <w:right w:val="single" w:sz="4" w:space="0" w:color="auto"/>
            </w:tcBorders>
            <w:shd w:val="clear" w:color="000000" w:fill="F2F2F2"/>
            <w:vAlign w:val="center"/>
            <w:hideMark/>
          </w:tcPr>
          <w:p w14:paraId="486D9ECE" w14:textId="02910E54"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18%</w:t>
            </w:r>
          </w:p>
        </w:tc>
        <w:tc>
          <w:tcPr>
            <w:tcW w:w="5130" w:type="dxa"/>
            <w:tcBorders>
              <w:top w:val="nil"/>
              <w:left w:val="nil"/>
              <w:bottom w:val="single" w:sz="4" w:space="0" w:color="BFBFBF"/>
              <w:right w:val="single" w:sz="4" w:space="0" w:color="auto"/>
            </w:tcBorders>
            <w:shd w:val="clear" w:color="000000" w:fill="F2F2F2"/>
            <w:vAlign w:val="center"/>
            <w:hideMark/>
          </w:tcPr>
          <w:p w14:paraId="30722E30" w14:textId="4318F1F0" w:rsidR="008024DD" w:rsidRPr="00CD710E" w:rsidRDefault="008024DD" w:rsidP="008024DD">
            <w:pPr>
              <w:spacing w:before="40" w:after="40"/>
              <w:rPr>
                <w:rFonts w:eastAsia="Times New Roman"/>
                <w:sz w:val="18"/>
                <w:szCs w:val="18"/>
              </w:rPr>
            </w:pPr>
            <w:r>
              <w:rPr>
                <w:color w:val="000000"/>
                <w:sz w:val="18"/>
                <w:szCs w:val="18"/>
              </w:rPr>
              <w:t>Below reg. and prov. avg. = underserved relative to comparators (lower value = higher vulnerability)</w:t>
            </w:r>
          </w:p>
        </w:tc>
      </w:tr>
      <w:tr w:rsidR="008024DD" w:rsidRPr="00CD710E" w14:paraId="068D77DC" w14:textId="77777777" w:rsidTr="00340AF2">
        <w:trPr>
          <w:trHeight w:val="402"/>
        </w:trPr>
        <w:tc>
          <w:tcPr>
            <w:tcW w:w="3415" w:type="dxa"/>
            <w:tcBorders>
              <w:top w:val="nil"/>
              <w:left w:val="single" w:sz="4" w:space="0" w:color="auto"/>
              <w:bottom w:val="single" w:sz="4" w:space="0" w:color="BFBFBF"/>
              <w:right w:val="single" w:sz="4" w:space="0" w:color="auto"/>
            </w:tcBorders>
            <w:shd w:val="clear" w:color="000000" w:fill="FFFFFF"/>
            <w:vAlign w:val="center"/>
            <w:hideMark/>
          </w:tcPr>
          <w:p w14:paraId="0F16FB14" w14:textId="212711AB" w:rsidR="008024DD" w:rsidRPr="00CD710E" w:rsidRDefault="008024DD" w:rsidP="008024DD">
            <w:pPr>
              <w:spacing w:before="40" w:after="40"/>
              <w:rPr>
                <w:rFonts w:eastAsia="Times New Roman"/>
                <w:sz w:val="18"/>
                <w:szCs w:val="18"/>
              </w:rPr>
            </w:pPr>
            <w:r>
              <w:rPr>
                <w:color w:val="000000"/>
                <w:sz w:val="18"/>
                <w:szCs w:val="18"/>
              </w:rPr>
              <w:t>Pre-1980 housing stock share</w:t>
            </w:r>
          </w:p>
        </w:tc>
        <w:tc>
          <w:tcPr>
            <w:tcW w:w="1260" w:type="dxa"/>
            <w:tcBorders>
              <w:top w:val="nil"/>
              <w:left w:val="nil"/>
              <w:bottom w:val="single" w:sz="4" w:space="0" w:color="BFBFBF"/>
              <w:right w:val="single" w:sz="4" w:space="0" w:color="auto"/>
            </w:tcBorders>
            <w:shd w:val="clear" w:color="000000" w:fill="FFFFFF"/>
            <w:vAlign w:val="center"/>
            <w:hideMark/>
          </w:tcPr>
          <w:p w14:paraId="7FAAD6F3" w14:textId="29A6D9E5" w:rsidR="008024DD" w:rsidRPr="00CD710E" w:rsidRDefault="008024DD" w:rsidP="008024DD">
            <w:pPr>
              <w:spacing w:before="40" w:after="40"/>
              <w:rPr>
                <w:rFonts w:eastAsia="Times New Roman"/>
                <w:sz w:val="18"/>
                <w:szCs w:val="18"/>
              </w:rPr>
            </w:pPr>
            <w:r>
              <w:rPr>
                <w:color w:val="000000"/>
                <w:sz w:val="18"/>
                <w:szCs w:val="18"/>
              </w:rPr>
              <w:t>Table 4.2</w:t>
            </w:r>
          </w:p>
        </w:tc>
        <w:tc>
          <w:tcPr>
            <w:tcW w:w="1050" w:type="dxa"/>
            <w:tcBorders>
              <w:top w:val="nil"/>
              <w:left w:val="nil"/>
              <w:bottom w:val="single" w:sz="4" w:space="0" w:color="BFBFBF"/>
              <w:right w:val="single" w:sz="4" w:space="0" w:color="BFBFBF"/>
            </w:tcBorders>
            <w:shd w:val="clear" w:color="000000" w:fill="FFFFFF"/>
            <w:vAlign w:val="center"/>
            <w:hideMark/>
          </w:tcPr>
          <w:p w14:paraId="58051A51" w14:textId="5984F737"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50%</w:t>
            </w:r>
          </w:p>
        </w:tc>
        <w:tc>
          <w:tcPr>
            <w:tcW w:w="1050" w:type="dxa"/>
            <w:tcBorders>
              <w:top w:val="nil"/>
              <w:left w:val="nil"/>
              <w:bottom w:val="single" w:sz="4" w:space="0" w:color="BFBFBF"/>
              <w:right w:val="single" w:sz="4" w:space="0" w:color="BFBFBF"/>
            </w:tcBorders>
            <w:shd w:val="clear" w:color="000000" w:fill="FFFFFF"/>
            <w:vAlign w:val="center"/>
            <w:hideMark/>
          </w:tcPr>
          <w:p w14:paraId="56CF80F2" w14:textId="509BCCFA"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44%</w:t>
            </w:r>
          </w:p>
        </w:tc>
        <w:tc>
          <w:tcPr>
            <w:tcW w:w="1050" w:type="dxa"/>
            <w:tcBorders>
              <w:top w:val="nil"/>
              <w:left w:val="nil"/>
              <w:bottom w:val="single" w:sz="4" w:space="0" w:color="BFBFBF"/>
              <w:right w:val="single" w:sz="4" w:space="0" w:color="auto"/>
            </w:tcBorders>
            <w:shd w:val="clear" w:color="000000" w:fill="FFFFFF"/>
            <w:vAlign w:val="center"/>
            <w:hideMark/>
          </w:tcPr>
          <w:p w14:paraId="7192B6DA" w14:textId="795054A6"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48%</w:t>
            </w:r>
          </w:p>
        </w:tc>
        <w:tc>
          <w:tcPr>
            <w:tcW w:w="5130" w:type="dxa"/>
            <w:tcBorders>
              <w:top w:val="nil"/>
              <w:left w:val="nil"/>
              <w:bottom w:val="single" w:sz="4" w:space="0" w:color="BFBFBF"/>
              <w:right w:val="single" w:sz="4" w:space="0" w:color="auto"/>
            </w:tcBorders>
            <w:shd w:val="clear" w:color="000000" w:fill="FFFFFF"/>
            <w:vAlign w:val="center"/>
            <w:hideMark/>
          </w:tcPr>
          <w:p w14:paraId="247DBB77" w14:textId="4F5B7671" w:rsidR="008024DD" w:rsidRPr="00CD710E" w:rsidRDefault="008024DD" w:rsidP="008024DD">
            <w:pPr>
              <w:spacing w:before="40" w:after="40"/>
              <w:rPr>
                <w:rFonts w:eastAsia="Times New Roman"/>
                <w:sz w:val="18"/>
                <w:szCs w:val="18"/>
              </w:rPr>
            </w:pPr>
            <w:r>
              <w:rPr>
                <w:color w:val="000000"/>
                <w:sz w:val="18"/>
                <w:szCs w:val="18"/>
              </w:rPr>
              <w:t>The higher the share, the greater the risk of habitability, accessibility, and energy efficiency deficiencies</w:t>
            </w:r>
          </w:p>
        </w:tc>
      </w:tr>
      <w:tr w:rsidR="008024DD" w:rsidRPr="00CD710E" w14:paraId="7FBC0B77" w14:textId="77777777" w:rsidTr="00340AF2">
        <w:trPr>
          <w:trHeight w:val="402"/>
        </w:trPr>
        <w:tc>
          <w:tcPr>
            <w:tcW w:w="3415" w:type="dxa"/>
            <w:tcBorders>
              <w:top w:val="nil"/>
              <w:left w:val="single" w:sz="4" w:space="0" w:color="auto"/>
              <w:bottom w:val="single" w:sz="4" w:space="0" w:color="auto"/>
              <w:right w:val="single" w:sz="4" w:space="0" w:color="auto"/>
            </w:tcBorders>
            <w:shd w:val="clear" w:color="000000" w:fill="F2F2F2"/>
            <w:vAlign w:val="center"/>
            <w:hideMark/>
          </w:tcPr>
          <w:p w14:paraId="7C3BEC2A" w14:textId="3FA12A5F" w:rsidR="008024DD" w:rsidRPr="00CD710E" w:rsidRDefault="008024DD" w:rsidP="008024DD">
            <w:pPr>
              <w:spacing w:before="40" w:after="40"/>
              <w:rPr>
                <w:rFonts w:eastAsia="Times New Roman"/>
                <w:sz w:val="18"/>
                <w:szCs w:val="18"/>
              </w:rPr>
            </w:pPr>
            <w:r>
              <w:rPr>
                <w:color w:val="000000"/>
                <w:sz w:val="18"/>
                <w:szCs w:val="18"/>
              </w:rPr>
              <w:t>Share of housing stock susceptible to flood</w:t>
            </w:r>
          </w:p>
        </w:tc>
        <w:tc>
          <w:tcPr>
            <w:tcW w:w="1260" w:type="dxa"/>
            <w:tcBorders>
              <w:top w:val="nil"/>
              <w:left w:val="nil"/>
              <w:bottom w:val="single" w:sz="4" w:space="0" w:color="auto"/>
              <w:right w:val="single" w:sz="4" w:space="0" w:color="auto"/>
            </w:tcBorders>
            <w:shd w:val="clear" w:color="000000" w:fill="F2F2F2"/>
            <w:vAlign w:val="center"/>
            <w:hideMark/>
          </w:tcPr>
          <w:p w14:paraId="21DFFEC5" w14:textId="41F0C54C" w:rsidR="008024DD" w:rsidRPr="00CD710E" w:rsidRDefault="008024DD" w:rsidP="008024DD">
            <w:pPr>
              <w:spacing w:before="40" w:after="40"/>
              <w:rPr>
                <w:rFonts w:eastAsia="Times New Roman"/>
                <w:sz w:val="18"/>
                <w:szCs w:val="18"/>
              </w:rPr>
            </w:pPr>
            <w:r>
              <w:rPr>
                <w:color w:val="000000"/>
                <w:sz w:val="18"/>
                <w:szCs w:val="18"/>
              </w:rPr>
              <w:t>Table 7.6</w:t>
            </w:r>
          </w:p>
        </w:tc>
        <w:tc>
          <w:tcPr>
            <w:tcW w:w="1050" w:type="dxa"/>
            <w:tcBorders>
              <w:top w:val="nil"/>
              <w:left w:val="nil"/>
              <w:bottom w:val="single" w:sz="4" w:space="0" w:color="auto"/>
              <w:right w:val="single" w:sz="4" w:space="0" w:color="BFBFBF"/>
            </w:tcBorders>
            <w:shd w:val="clear" w:color="000000" w:fill="F2F2F2"/>
            <w:vAlign w:val="center"/>
            <w:hideMark/>
          </w:tcPr>
          <w:p w14:paraId="293D9A9E" w14:textId="2B14256D"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0%</w:t>
            </w:r>
          </w:p>
        </w:tc>
        <w:tc>
          <w:tcPr>
            <w:tcW w:w="1050" w:type="dxa"/>
            <w:tcBorders>
              <w:top w:val="nil"/>
              <w:left w:val="nil"/>
              <w:bottom w:val="single" w:sz="4" w:space="0" w:color="auto"/>
              <w:right w:val="single" w:sz="4" w:space="0" w:color="BFBFBF"/>
            </w:tcBorders>
            <w:shd w:val="clear" w:color="000000" w:fill="F2F2F2"/>
            <w:vAlign w:val="center"/>
            <w:hideMark/>
          </w:tcPr>
          <w:p w14:paraId="3B616B14" w14:textId="12672D51"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7%</w:t>
            </w:r>
          </w:p>
        </w:tc>
        <w:tc>
          <w:tcPr>
            <w:tcW w:w="1050" w:type="dxa"/>
            <w:tcBorders>
              <w:top w:val="nil"/>
              <w:left w:val="nil"/>
              <w:bottom w:val="single" w:sz="4" w:space="0" w:color="auto"/>
              <w:right w:val="single" w:sz="4" w:space="0" w:color="auto"/>
            </w:tcBorders>
            <w:shd w:val="clear" w:color="000000" w:fill="F2F2F2"/>
            <w:vAlign w:val="center"/>
            <w:hideMark/>
          </w:tcPr>
          <w:p w14:paraId="2355A347" w14:textId="57006DE6" w:rsidR="008024DD" w:rsidRPr="000D1490" w:rsidRDefault="008024DD" w:rsidP="008024DD">
            <w:pPr>
              <w:spacing w:before="40" w:after="40"/>
              <w:jc w:val="center"/>
              <w:rPr>
                <w:rFonts w:eastAsia="Times New Roman"/>
                <w:color w:val="C00000"/>
                <w:sz w:val="18"/>
                <w:szCs w:val="18"/>
              </w:rPr>
            </w:pPr>
            <w:r w:rsidRPr="000D1490">
              <w:rPr>
                <w:color w:val="C00000"/>
                <w:sz w:val="18"/>
                <w:szCs w:val="18"/>
              </w:rPr>
              <w:t>21%</w:t>
            </w:r>
          </w:p>
        </w:tc>
        <w:tc>
          <w:tcPr>
            <w:tcW w:w="5130" w:type="dxa"/>
            <w:tcBorders>
              <w:top w:val="nil"/>
              <w:left w:val="nil"/>
              <w:bottom w:val="single" w:sz="4" w:space="0" w:color="auto"/>
              <w:right w:val="single" w:sz="4" w:space="0" w:color="auto"/>
            </w:tcBorders>
            <w:shd w:val="clear" w:color="000000" w:fill="F2F2F2"/>
            <w:vAlign w:val="center"/>
            <w:hideMark/>
          </w:tcPr>
          <w:p w14:paraId="2765996F" w14:textId="72FBC38D" w:rsidR="008024DD" w:rsidRPr="00CD710E" w:rsidRDefault="008024DD" w:rsidP="008024DD">
            <w:pPr>
              <w:spacing w:before="40" w:after="40"/>
              <w:rPr>
                <w:rFonts w:eastAsia="Times New Roman"/>
                <w:sz w:val="18"/>
                <w:szCs w:val="18"/>
              </w:rPr>
            </w:pPr>
            <w:r>
              <w:rPr>
                <w:color w:val="000000"/>
                <w:sz w:val="18"/>
                <w:szCs w:val="18"/>
              </w:rPr>
              <w:t>&gt;5% = elevated; &gt;15% = high. Physical risk to existing stock with limited substitution options</w:t>
            </w:r>
          </w:p>
        </w:tc>
      </w:tr>
    </w:tbl>
    <w:p w14:paraId="6C10D3C2" w14:textId="5723CF83" w:rsidR="00125C7D" w:rsidRDefault="00125C7D" w:rsidP="00BC6E14"/>
    <w:p w14:paraId="7C361CE2" w14:textId="0EDB7921" w:rsidR="0043538E" w:rsidRDefault="0043538E" w:rsidP="003C59F9"/>
    <w:sectPr w:rsidR="0043538E" w:rsidSect="00125C7D">
      <w:headerReference w:type="default" r:id="rId26"/>
      <w:footerReference w:type="default" r:id="rId27"/>
      <w:pgSz w:w="15840" w:h="12240" w:orient="landscape"/>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A477A" w14:textId="77777777" w:rsidR="00BD79E5" w:rsidRDefault="00BD79E5">
      <w:r>
        <w:separator/>
      </w:r>
    </w:p>
  </w:endnote>
  <w:endnote w:type="continuationSeparator" w:id="0">
    <w:p w14:paraId="7B295849" w14:textId="77777777" w:rsidR="00BD79E5" w:rsidRDefault="00BD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990292"/>
      <w:docPartObj>
        <w:docPartGallery w:val="Page Numbers (Bottom of Page)"/>
        <w:docPartUnique/>
      </w:docPartObj>
    </w:sdtPr>
    <w:sdtEndPr>
      <w:rPr>
        <w:noProof/>
      </w:rPr>
    </w:sdtEndPr>
    <w:sdtContent>
      <w:p w14:paraId="7371F113" w14:textId="1F9613D5" w:rsidR="006E49A5" w:rsidRDefault="006E49A5" w:rsidP="003C59F9">
        <w:pPr>
          <w:pStyle w:val="Footer"/>
          <w:tabs>
            <w:tab w:val="left" w:pos="4143"/>
          </w:tabs>
        </w:pPr>
        <w:r>
          <w:tab/>
        </w:r>
        <w:r>
          <w:tab/>
        </w:r>
        <w:r>
          <w:tab/>
        </w:r>
        <w:r>
          <w:fldChar w:fldCharType="begin"/>
        </w:r>
        <w:r>
          <w:instrText xml:space="preserve"> PAGE   \* MERGEFORMAT </w:instrText>
        </w:r>
        <w:r>
          <w:fldChar w:fldCharType="separate"/>
        </w:r>
        <w:r>
          <w:rPr>
            <w:noProof/>
          </w:rPr>
          <w:t>2</w:t>
        </w:r>
        <w:r>
          <w:rPr>
            <w:noProof/>
          </w:rPr>
          <w:fldChar w:fldCharType="end"/>
        </w:r>
      </w:p>
    </w:sdtContent>
  </w:sdt>
  <w:p w14:paraId="3E213BC8" w14:textId="77777777" w:rsidR="006E49A5" w:rsidRDefault="006E4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463508"/>
      <w:docPartObj>
        <w:docPartGallery w:val="Page Numbers (Bottom of Page)"/>
        <w:docPartUnique/>
      </w:docPartObj>
    </w:sdtPr>
    <w:sdtEndPr>
      <w:rPr>
        <w:noProof/>
      </w:rPr>
    </w:sdtEndPr>
    <w:sdtContent>
      <w:p w14:paraId="19F5916C" w14:textId="663D081C" w:rsidR="007A144D" w:rsidRDefault="007A14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B68E2E" w14:textId="77777777" w:rsidR="00CD710E" w:rsidRDefault="00CD710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06516"/>
      <w:docPartObj>
        <w:docPartGallery w:val="Page Numbers (Bottom of Page)"/>
        <w:docPartUnique/>
      </w:docPartObj>
    </w:sdtPr>
    <w:sdtEndPr>
      <w:rPr>
        <w:noProof/>
      </w:rPr>
    </w:sdtEndPr>
    <w:sdtContent>
      <w:p w14:paraId="3BEBDFB9" w14:textId="5D7F71D7" w:rsidR="008D66BC" w:rsidRDefault="008D66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DA3C22" w14:textId="19F655DE" w:rsidR="0043538E" w:rsidRDefault="0043538E">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785323"/>
      <w:docPartObj>
        <w:docPartGallery w:val="Page Numbers (Bottom of Page)"/>
        <w:docPartUnique/>
      </w:docPartObj>
    </w:sdtPr>
    <w:sdtEndPr>
      <w:rPr>
        <w:noProof/>
      </w:rPr>
    </w:sdtEndPr>
    <w:sdtContent>
      <w:p w14:paraId="5024CF6A" w14:textId="680AFC14" w:rsidR="00485257" w:rsidRDefault="004852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D5FB99" w14:textId="77777777" w:rsidR="00BC6E14" w:rsidRDefault="00BC6E14">
    <w:pP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914603"/>
      <w:docPartObj>
        <w:docPartGallery w:val="Page Numbers (Bottom of Page)"/>
        <w:docPartUnique/>
      </w:docPartObj>
    </w:sdtPr>
    <w:sdtEndPr>
      <w:rPr>
        <w:noProof/>
      </w:rPr>
    </w:sdtEndPr>
    <w:sdtContent>
      <w:p w14:paraId="62A85B8A" w14:textId="0F32C252" w:rsidR="00485257" w:rsidRDefault="004852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E5AED" w14:textId="1A48DBAD" w:rsidR="0043538E" w:rsidRDefault="0043538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70DCD" w14:textId="77777777" w:rsidR="00BD79E5" w:rsidRDefault="00BD79E5">
      <w:r>
        <w:separator/>
      </w:r>
    </w:p>
  </w:footnote>
  <w:footnote w:type="continuationSeparator" w:id="0">
    <w:p w14:paraId="5F36530D" w14:textId="77777777" w:rsidR="00BD79E5" w:rsidRDefault="00BD79E5">
      <w:r>
        <w:continuationSeparator/>
      </w:r>
    </w:p>
  </w:footnote>
  <w:footnote w:id="1">
    <w:p w14:paraId="2039D470" w14:textId="6E40798F" w:rsidR="00CE4DF5" w:rsidRPr="005E228C" w:rsidRDefault="00CE4DF5" w:rsidP="00CE4DF5">
      <w:pPr>
        <w:pStyle w:val="Footnote"/>
      </w:pPr>
      <w:r w:rsidRPr="005E228C">
        <w:rPr>
          <w:rStyle w:val="FootnoteReference"/>
        </w:rPr>
        <w:footnoteRef/>
      </w:r>
      <w:r w:rsidRPr="005E228C">
        <w:t xml:space="preserve"> Statistics Canada. 2023. “HART - 2021 Census of Canada - Selected Characteristics of Census Households for Housing Need - Canada, All Provinces and Territories at the Census Division (CD) and Census Subdivision (CSD) Level [Custom Tabulation].” </w:t>
      </w:r>
      <w:r w:rsidRPr="005E228C">
        <w:rPr>
          <w:i/>
          <w:iCs/>
        </w:rPr>
        <w:t>HART Custom Census Order - ORD-06922-K8P7F5, ORD-06989-C7H4H0, ORD-06990-D2D8R9, ORD-06993-V7C5W4, ORD-06995-J3N4P7, ORD-06997-C9W3K1</w:t>
      </w:r>
      <w:r w:rsidRPr="005E228C">
        <w:t xml:space="preserve">. Borealis. </w:t>
      </w:r>
      <w:hyperlink r:id="rId1" w:history="1">
        <w:r w:rsidR="00AC3F64" w:rsidRPr="001D2602">
          <w:rPr>
            <w:rStyle w:val="Hyperlink"/>
          </w:rPr>
          <w:t>https://doi.org/10.5683/SP3/8PUZQA</w:t>
        </w:r>
      </w:hyperlink>
      <w:r w:rsidR="00AC3F64">
        <w:t xml:space="preserve">. </w:t>
      </w:r>
    </w:p>
  </w:footnote>
  <w:footnote w:id="2">
    <w:p w14:paraId="6188DD98" w14:textId="41FC2732" w:rsidR="00B71252" w:rsidRPr="00B71252" w:rsidRDefault="00B71252" w:rsidP="00B71252">
      <w:pPr>
        <w:pStyle w:val="Footnote"/>
      </w:pPr>
      <w:r>
        <w:rPr>
          <w:rStyle w:val="FootnoteReference"/>
        </w:rPr>
        <w:footnoteRef/>
      </w:r>
      <w:r>
        <w:t xml:space="preserve"> </w:t>
      </w:r>
      <w:r w:rsidR="005E42A5">
        <w:t>R</w:t>
      </w:r>
      <w:r w:rsidR="00572DD1">
        <w:t>esults</w:t>
      </w:r>
      <w:r w:rsidR="000A7735">
        <w:t xml:space="preserve"> may differ </w:t>
      </w:r>
      <w:r w:rsidR="005E42A5">
        <w:t xml:space="preserve">between industry and </w:t>
      </w:r>
      <w:r w:rsidR="00A34F8A">
        <w:t>government</w:t>
      </w:r>
      <w:r w:rsidR="000A7735">
        <w:t xml:space="preserve"> sourced registration data. Users should </w:t>
      </w:r>
      <w:r w:rsidR="00A34F8A">
        <w:t>be</w:t>
      </w:r>
      <w:r w:rsidR="000A7735">
        <w:t xml:space="preserve"> comfortable with the </w:t>
      </w:r>
      <w:r w:rsidR="00D10FBF">
        <w:t>source used a</w:t>
      </w:r>
      <w:r w:rsidR="00D71B7D">
        <w:t>nd its limitations</w:t>
      </w:r>
      <w:r w:rsidR="00AD124D">
        <w:t xml:space="preserve">. For example, </w:t>
      </w:r>
      <w:r w:rsidR="00D71B7D">
        <w:t xml:space="preserve">data </w:t>
      </w:r>
      <w:r w:rsidR="00D10FBF">
        <w:t xml:space="preserve">users may not </w:t>
      </w:r>
      <w:r w:rsidR="00D71B7D">
        <w:t xml:space="preserve">wish to use </w:t>
      </w:r>
      <w:r w:rsidR="00235CA1">
        <w:t>private industry outputs where there is no access to the backend process</w:t>
      </w:r>
      <w:r w:rsidR="00A34F8A">
        <w:t>es</w:t>
      </w:r>
      <w:r w:rsidR="00AD124D">
        <w:t>. Conversely, registration data may not capture all units (i.e.,</w:t>
      </w:r>
      <w:r w:rsidR="00141A76">
        <w:t xml:space="preserve"> units except from registration or </w:t>
      </w:r>
      <w:r w:rsidR="008E1B0D">
        <w:t>illegal units).</w:t>
      </w:r>
      <w:r w:rsidR="00AD124D">
        <w:t xml:space="preserve"> </w:t>
      </w:r>
    </w:p>
  </w:footnote>
  <w:footnote w:id="3">
    <w:p w14:paraId="59EFF2EF" w14:textId="0C7D6C0D" w:rsidR="006712FF" w:rsidRPr="005E228C" w:rsidRDefault="006712FF" w:rsidP="00790FEB">
      <w:pPr>
        <w:pStyle w:val="Footnote"/>
      </w:pPr>
      <w:r w:rsidRPr="005E228C">
        <w:rPr>
          <w:rStyle w:val="FootnoteReference"/>
        </w:rPr>
        <w:footnoteRef/>
      </w:r>
      <w:r w:rsidRPr="005E228C">
        <w:t xml:space="preserve"> </w:t>
      </w:r>
      <w:proofErr w:type="spellStart"/>
      <w:r w:rsidR="009D3EB3" w:rsidRPr="005E228C">
        <w:t>Arbenser</w:t>
      </w:r>
      <w:proofErr w:type="spellEnd"/>
      <w:r w:rsidR="009D3EB3" w:rsidRPr="005E228C">
        <w:t>, L.; Bernard, M.-C.; Dormer, A.; and Vipond, O. (2024</w:t>
      </w:r>
      <w:r w:rsidR="00790FEB" w:rsidRPr="005E228C">
        <w:t xml:space="preserve">, July 30). Short-term rentals in the Canadian housing market. </w:t>
      </w:r>
      <w:hyperlink r:id="rId2" w:history="1">
        <w:r w:rsidR="00790FEB" w:rsidRPr="005E228C">
          <w:rPr>
            <w:rStyle w:val="Hyperlink"/>
          </w:rPr>
          <w:t>https://www150.statcan.gc.ca/n1/pub/11-621-m/11-621-m2024010-eng.htm</w:t>
        </w:r>
      </w:hyperlink>
      <w:r w:rsidR="00790FEB" w:rsidRPr="005E228C">
        <w:t xml:space="preserve"> </w:t>
      </w:r>
    </w:p>
  </w:footnote>
  <w:footnote w:id="4">
    <w:p w14:paraId="3A6B4A9A" w14:textId="5C5B9A04" w:rsidR="006512A0" w:rsidRPr="006512A0" w:rsidRDefault="006512A0" w:rsidP="006512A0">
      <w:pPr>
        <w:pStyle w:val="Footnote"/>
        <w:rPr>
          <w:lang w:val="en-US"/>
        </w:rPr>
      </w:pPr>
      <w:r>
        <w:rPr>
          <w:rStyle w:val="FootnoteReference"/>
        </w:rPr>
        <w:footnoteRef/>
      </w:r>
      <w:r>
        <w:t xml:space="preserve"> </w:t>
      </w:r>
      <w:r w:rsidRPr="006512A0">
        <w:t xml:space="preserve">Statistics Canada. </w:t>
      </w:r>
      <w:r w:rsidR="000A2F5C" w:rsidRPr="000A2F5C">
        <w:t>2025.</w:t>
      </w:r>
      <w:r w:rsidRPr="006512A0">
        <w:t xml:space="preserve"> “HART </w:t>
      </w:r>
      <w:r w:rsidR="000A2F5C" w:rsidRPr="000A2F5C">
        <w:t xml:space="preserve">(2025) </w:t>
      </w:r>
      <w:r w:rsidRPr="006512A0">
        <w:t xml:space="preserve">- 2021 Census of Canada - Selected Characteristics of Households </w:t>
      </w:r>
      <w:r w:rsidR="000A2F5C" w:rsidRPr="000A2F5C">
        <w:t xml:space="preserve">and Dwellings </w:t>
      </w:r>
      <w:r w:rsidRPr="006512A0">
        <w:t xml:space="preserve">for Housing Need </w:t>
      </w:r>
      <w:r w:rsidR="000A2F5C" w:rsidRPr="000A2F5C">
        <w:t xml:space="preserve">Related to Federal HNA Template </w:t>
      </w:r>
      <w:r w:rsidRPr="006512A0">
        <w:t xml:space="preserve">- Canada, All Provinces and Territories at the Census Division (CD) and Census Subdivision (CSD) Level [Custom Tabulation].” Borealis. </w:t>
      </w:r>
      <w:hyperlink r:id="rId3" w:history="1">
        <w:r w:rsidR="000A2F5C" w:rsidRPr="001D2602">
          <w:rPr>
            <w:rStyle w:val="Hyperlink"/>
          </w:rPr>
          <w:t>https://doi.org/10.5683/SP3/LCXVCR</w:t>
        </w:r>
      </w:hyperlink>
      <w:r w:rsidR="000A2F5C">
        <w:t>.</w:t>
      </w:r>
    </w:p>
  </w:footnote>
  <w:footnote w:id="5">
    <w:p w14:paraId="197F6500" w14:textId="6827D90F" w:rsidR="00DF646D" w:rsidRPr="00DF646D" w:rsidRDefault="00DF646D" w:rsidP="00E2073E">
      <w:pPr>
        <w:pStyle w:val="Footnote"/>
        <w:rPr>
          <w:lang w:val="en-US"/>
        </w:rPr>
      </w:pPr>
      <w:r>
        <w:rPr>
          <w:rStyle w:val="FootnoteReference"/>
        </w:rPr>
        <w:footnoteRef/>
      </w:r>
      <w:r>
        <w:t xml:space="preserve"> </w:t>
      </w:r>
      <w:r>
        <w:rPr>
          <w:lang w:val="en-US"/>
        </w:rPr>
        <w:t>Ibid.</w:t>
      </w:r>
    </w:p>
  </w:footnote>
  <w:footnote w:id="6">
    <w:p w14:paraId="3C4F224D" w14:textId="6000075D" w:rsidR="00916A36" w:rsidRPr="00916A36" w:rsidRDefault="00916A36" w:rsidP="00E2073E">
      <w:pPr>
        <w:pStyle w:val="Footnote"/>
        <w:rPr>
          <w:lang w:val="en-US"/>
        </w:rPr>
      </w:pPr>
      <w:r>
        <w:rPr>
          <w:rStyle w:val="FootnoteReference"/>
        </w:rPr>
        <w:footnoteRef/>
      </w:r>
      <w:r>
        <w:t xml:space="preserve"> </w:t>
      </w:r>
      <w:r>
        <w:rPr>
          <w:lang w:val="en-US"/>
        </w:rPr>
        <w:t>Ibid.</w:t>
      </w:r>
    </w:p>
  </w:footnote>
  <w:footnote w:id="7">
    <w:p w14:paraId="254ACBF0" w14:textId="7C818BAE" w:rsidR="00916A36" w:rsidRPr="00916A36" w:rsidRDefault="00916A36" w:rsidP="00E2073E">
      <w:pPr>
        <w:pStyle w:val="Footnote"/>
        <w:rPr>
          <w:lang w:val="en-US"/>
        </w:rPr>
      </w:pPr>
      <w:r>
        <w:rPr>
          <w:rStyle w:val="FootnoteReference"/>
        </w:rPr>
        <w:footnoteRef/>
      </w:r>
      <w:r>
        <w:t xml:space="preserve"> </w:t>
      </w:r>
      <w:r w:rsidR="00E2073E" w:rsidRPr="00E2073E">
        <w:t>Statistics Canada. 2023. “HART - 2016 Census of Canada - Selected Characteristics of Census Households for Housing Need - Canada, All Provinces and Territories at the Census Division (CD) and Census Subdivision (CSD) Level [Custom Tabulation].” </w:t>
      </w:r>
      <w:r w:rsidR="00E2073E" w:rsidRPr="00E2073E">
        <w:rPr>
          <w:i/>
          <w:iCs/>
        </w:rPr>
        <w:t>HART Custom Census Order - ORD-05563-K2P1Y6</w:t>
      </w:r>
      <w:r w:rsidR="00E2073E" w:rsidRPr="00E2073E">
        <w:t xml:space="preserve">. Borealis. </w:t>
      </w:r>
      <w:hyperlink r:id="rId4" w:history="1">
        <w:r w:rsidR="00E2073E" w:rsidRPr="001D2602">
          <w:rPr>
            <w:rStyle w:val="Hyperlink"/>
          </w:rPr>
          <w:t>https://doi.org/10.5683/SP3/QMNEON</w:t>
        </w:r>
      </w:hyperlink>
      <w:r w:rsidR="00E2073E">
        <w:t xml:space="preserve">. </w:t>
      </w:r>
    </w:p>
  </w:footnote>
  <w:footnote w:id="8">
    <w:p w14:paraId="41D574E8" w14:textId="77777777" w:rsidR="003C1152" w:rsidRPr="005E228C" w:rsidRDefault="003C1152" w:rsidP="003C1152">
      <w:pPr>
        <w:pStyle w:val="Footnote"/>
      </w:pPr>
      <w:r w:rsidRPr="005E228C">
        <w:rPr>
          <w:rStyle w:val="FootnoteReference"/>
        </w:rPr>
        <w:footnoteRef/>
      </w:r>
      <w:r w:rsidRPr="005E228C">
        <w:t xml:space="preserve"> Statistics Canada. 2023. “HART - 2021 Census of Canada - Selected Characteristics of Census Households for Housing Need - Canada, All Provinces and Territories at the Census Division (CD) and Census Subdivision (CSD) Level [Custom Tabulation].” </w:t>
      </w:r>
      <w:r w:rsidRPr="005E228C">
        <w:rPr>
          <w:i/>
          <w:iCs/>
        </w:rPr>
        <w:t>HART Custom Census Order - ORD-06922-K8P7F5, ORD-06989-C7H4H0, ORD-06990-D2D8R9, ORD-06993-V7C5W4, ORD-06995-J3N4P7, ORD-06997-C9W3K1</w:t>
      </w:r>
      <w:r w:rsidRPr="005E228C">
        <w:t>. Borealis. https://doi.org/10.5683/SP3/8PUZQA.</w:t>
      </w:r>
    </w:p>
  </w:footnote>
  <w:footnote w:id="9">
    <w:p w14:paraId="0EA25FDD" w14:textId="54FD0125" w:rsidR="004A30FD" w:rsidRDefault="004A30FD" w:rsidP="00AC6EDE">
      <w:pPr>
        <w:pStyle w:val="Footnote"/>
      </w:pPr>
      <w:r w:rsidRPr="005E228C">
        <w:rPr>
          <w:rStyle w:val="FootnoteReference"/>
        </w:rPr>
        <w:footnoteRef/>
      </w:r>
      <w:r w:rsidRPr="005E228C">
        <w:t xml:space="preserve"> Statistics Canada. 2023. “HART - 2021 Census of Canada - Selected Characteristics of Census Households for Housing Need - Canada, All Provinces and Territories at the Census Division (CD) and Census Subdivision (CSD) Level [Custom Tabulation].” </w:t>
      </w:r>
      <w:r w:rsidRPr="005E228C">
        <w:rPr>
          <w:i/>
          <w:iCs/>
        </w:rPr>
        <w:t>HART Custom Census Order - ORD-06922-K8P7F5, ORD-06989-C7H4H0, ORD-06990-D2D8R9, ORD-06993-V7C5W4, ORD-06995-J3N4P7, ORD-06997-C9W3K1</w:t>
      </w:r>
      <w:r w:rsidRPr="005E228C">
        <w:t xml:space="preserve">. Borealis. </w:t>
      </w:r>
      <w:hyperlink r:id="rId5" w:history="1">
        <w:r w:rsidR="00083DA6" w:rsidRPr="001D2602">
          <w:rPr>
            <w:rStyle w:val="Hyperlink"/>
          </w:rPr>
          <w:t>https://doi.org/10.5683/SP3/8PUZQA</w:t>
        </w:r>
      </w:hyperlink>
      <w:r w:rsidR="00083DA6">
        <w:t xml:space="preserve">. </w:t>
      </w:r>
    </w:p>
    <w:p w14:paraId="1E956457" w14:textId="77777777" w:rsidR="00746B87" w:rsidRPr="005E228C" w:rsidRDefault="00746B87" w:rsidP="00AC6EDE">
      <w:pPr>
        <w:pStyle w:val="Footnote"/>
      </w:pPr>
    </w:p>
  </w:footnote>
  <w:footnote w:id="10">
    <w:p w14:paraId="232BBAB9" w14:textId="71BC623D" w:rsidR="00746B87" w:rsidRDefault="00E42D60" w:rsidP="00AC6EDE">
      <w:pPr>
        <w:pStyle w:val="FootnoteText"/>
        <w:rPr>
          <w:sz w:val="16"/>
          <w:szCs w:val="16"/>
        </w:rPr>
      </w:pPr>
      <w:r w:rsidRPr="00746B87">
        <w:rPr>
          <w:rStyle w:val="FootnoteReference"/>
          <w:sz w:val="16"/>
          <w:szCs w:val="16"/>
        </w:rPr>
        <w:footnoteRef/>
      </w:r>
      <w:r w:rsidRPr="00746B87">
        <w:rPr>
          <w:sz w:val="16"/>
          <w:szCs w:val="16"/>
        </w:rPr>
        <w:t xml:space="preserve"> </w:t>
      </w:r>
      <w:r w:rsidRPr="00E42D60">
        <w:rPr>
          <w:sz w:val="16"/>
          <w:szCs w:val="16"/>
        </w:rPr>
        <w:t>Employment and Social Development Canada. (2022, August 12). Overview: Reaching Home - Canada's Homelessness</w:t>
      </w:r>
    </w:p>
    <w:p w14:paraId="3F370E6B" w14:textId="317F22A0" w:rsidR="00E42D60" w:rsidRPr="00E42D60" w:rsidRDefault="00E42D60" w:rsidP="00AC6EDE">
      <w:pPr>
        <w:pStyle w:val="FootnoteText"/>
        <w:ind w:left="360"/>
        <w:rPr>
          <w:lang w:val="en-US"/>
        </w:rPr>
      </w:pPr>
      <w:r w:rsidRPr="00E42D60">
        <w:rPr>
          <w:sz w:val="16"/>
          <w:szCs w:val="16"/>
        </w:rPr>
        <w:t xml:space="preserve">Strategy. Government of Canada. </w:t>
      </w:r>
      <w:hyperlink r:id="rId6" w:history="1">
        <w:r w:rsidR="00746B87" w:rsidRPr="00C452A4">
          <w:rPr>
            <w:rStyle w:val="Hyperlink"/>
            <w:sz w:val="16"/>
            <w:szCs w:val="16"/>
          </w:rPr>
          <w:t>https://www.canada.ca/en/housing-infrastructure-communities/news/2022/08/overview-reaching-home.html</w:t>
        </w:r>
      </w:hyperlink>
      <w:r w:rsidR="00746B87">
        <w:rPr>
          <w:sz w:val="16"/>
          <w:szCs w:val="16"/>
        </w:rPr>
        <w:t xml:space="preserve"> </w:t>
      </w:r>
    </w:p>
  </w:footnote>
  <w:footnote w:id="11">
    <w:p w14:paraId="7E2B5341" w14:textId="27E5ED70" w:rsidR="00B975A0" w:rsidRPr="00B975A0" w:rsidRDefault="00B975A0" w:rsidP="00120E88">
      <w:pPr>
        <w:pStyle w:val="Footnote"/>
      </w:pPr>
      <w:r>
        <w:rPr>
          <w:rStyle w:val="FootnoteReference"/>
        </w:rPr>
        <w:footnoteRef/>
      </w:r>
      <w:r w:rsidRPr="00B975A0">
        <w:t xml:space="preserve"> Gaetz, S.; Donaldson, J.; Richter, T. ;</w:t>
      </w:r>
      <w:r>
        <w:t xml:space="preserve"> and Gulliver, T. (2</w:t>
      </w:r>
      <w:r w:rsidR="00120E88">
        <w:t xml:space="preserve">013). </w:t>
      </w:r>
      <w:hyperlink r:id="rId7" w:history="1">
        <w:r w:rsidR="00120E88" w:rsidRPr="00120E88">
          <w:rPr>
            <w:rStyle w:val="Hyperlink"/>
          </w:rPr>
          <w:t>The Sate of Homelessness in Canada 2013</w:t>
        </w:r>
      </w:hyperlink>
      <w:r w:rsidR="00120E88">
        <w:t>. Homeless Hub Paper #4.</w:t>
      </w:r>
    </w:p>
  </w:footnote>
  <w:footnote w:id="12">
    <w:p w14:paraId="59725B21" w14:textId="47C01D57" w:rsidR="001556DC" w:rsidRPr="005E228C" w:rsidRDefault="001556DC" w:rsidP="006512A0">
      <w:pPr>
        <w:pStyle w:val="Footnote"/>
      </w:pPr>
      <w:r w:rsidRPr="005E228C">
        <w:rPr>
          <w:rStyle w:val="FootnoteReference"/>
        </w:rPr>
        <w:footnoteRef/>
      </w:r>
      <w:r w:rsidRPr="00120E88">
        <w:t xml:space="preserve"> </w:t>
      </w:r>
      <w:r w:rsidR="006E206B" w:rsidRPr="00120E88">
        <w:t xml:space="preserve">Natural Resources Canada. </w:t>
      </w:r>
      <w:r w:rsidR="006E206B" w:rsidRPr="005E228C">
        <w:t xml:space="preserve">(2023, </w:t>
      </w:r>
      <w:r w:rsidR="0082765B" w:rsidRPr="005E228C">
        <w:t xml:space="preserve">July). Flood Susceptibility Index. </w:t>
      </w:r>
    </w:p>
  </w:footnote>
  <w:footnote w:id="13">
    <w:p w14:paraId="1A3963EE" w14:textId="77777777" w:rsidR="0035316C" w:rsidRPr="00465211" w:rsidRDefault="0035316C" w:rsidP="0035316C">
      <w:pPr>
        <w:pStyle w:val="Footnote"/>
        <w:rPr>
          <w:lang w:val="en-US"/>
        </w:rPr>
      </w:pPr>
      <w:r>
        <w:rPr>
          <w:rStyle w:val="FootnoteReference"/>
        </w:rPr>
        <w:footnoteRef/>
      </w:r>
      <w:r>
        <w:t xml:space="preserve"> Wang, X. (2026). </w:t>
      </w:r>
      <w:hyperlink r:id="rId8" w:history="1">
        <w:r w:rsidRPr="00C5518B">
          <w:rPr>
            <w:rStyle w:val="Hyperlink"/>
          </w:rPr>
          <w:t>CHRIS: PEI Climate Hazard &amp; Risk Information System</w:t>
        </w:r>
      </w:hyperlink>
      <w:r>
        <w:t>. Government of Prince Edward Island and the University of Prince Edward Island.</w:t>
      </w:r>
    </w:p>
  </w:footnote>
  <w:footnote w:id="14">
    <w:p w14:paraId="4A714C24" w14:textId="77777777" w:rsidR="00D43FD4" w:rsidRDefault="00D43FD4" w:rsidP="00D43FD4">
      <w:pPr>
        <w:pStyle w:val="Footnote"/>
      </w:pPr>
      <w:r w:rsidRPr="005E228C">
        <w:rPr>
          <w:rStyle w:val="FootnoteReference"/>
        </w:rPr>
        <w:footnoteRef/>
      </w:r>
      <w:r w:rsidRPr="005E228C">
        <w:t xml:space="preserve"> </w:t>
      </w:r>
      <w:r w:rsidRPr="00284B92">
        <w:t xml:space="preserve">Statistics Canada. (2023). The Canadian Index of Multiple Deprivation, 2021. </w:t>
      </w:r>
      <w:r w:rsidRPr="00EB791A">
        <w:t>Statistics Canada Catalogue no. 45</w:t>
      </w:r>
      <w:r w:rsidRPr="00EB791A">
        <w:rPr>
          <w:rFonts w:ascii="Cambria Math" w:hAnsi="Cambria Math" w:cs="Cambria Math"/>
        </w:rPr>
        <w:t>‑</w:t>
      </w:r>
      <w:r w:rsidRPr="00EB791A">
        <w:t>20-0001.</w:t>
      </w:r>
    </w:p>
    <w:p w14:paraId="08F8C498" w14:textId="77777777" w:rsidR="00D43FD4" w:rsidRPr="00EB791A" w:rsidRDefault="00D43FD4" w:rsidP="00D43FD4">
      <w:pPr>
        <w:pStyle w:val="Footnote"/>
      </w:pPr>
    </w:p>
  </w:footnote>
  <w:footnote w:id="15">
    <w:p w14:paraId="59ABEF71" w14:textId="77777777" w:rsidR="00D43FD4" w:rsidRDefault="00D43FD4" w:rsidP="00D43FD4">
      <w:pPr>
        <w:pStyle w:val="Footnote"/>
        <w:rPr>
          <w:lang w:val="fr-FR"/>
        </w:rPr>
      </w:pPr>
      <w:r w:rsidRPr="005E228C">
        <w:rPr>
          <w:rStyle w:val="FootnoteReference"/>
        </w:rPr>
        <w:footnoteRef/>
      </w:r>
      <w:r w:rsidRPr="005E228C">
        <w:t xml:space="preserve"> </w:t>
      </w:r>
      <w:r w:rsidRPr="00885DDB">
        <w:t xml:space="preserve">Statistics Canada. (2025). The Canadian Index of Social Resilience and the Canadian Index of Social Vulnerability, 2021. </w:t>
      </w:r>
      <w:proofErr w:type="spellStart"/>
      <w:r w:rsidRPr="00FB6961">
        <w:rPr>
          <w:lang w:val="fr-FR"/>
        </w:rPr>
        <w:t>Statistics</w:t>
      </w:r>
      <w:proofErr w:type="spellEnd"/>
      <w:r w:rsidRPr="00FB6961">
        <w:rPr>
          <w:lang w:val="fr-FR"/>
        </w:rPr>
        <w:t xml:space="preserve"> Canada Catalogue no. 45-20-00012025002.</w:t>
      </w:r>
    </w:p>
    <w:p w14:paraId="2AC2591F" w14:textId="77777777" w:rsidR="00D43FD4" w:rsidRPr="00FB6961" w:rsidRDefault="00D43FD4" w:rsidP="00D43FD4">
      <w:pPr>
        <w:pStyle w:val="Footnote"/>
        <w:rPr>
          <w:lang w:val="fr-FR"/>
        </w:rPr>
      </w:pPr>
    </w:p>
  </w:footnote>
  <w:footnote w:id="16">
    <w:p w14:paraId="5DB3A051" w14:textId="77777777" w:rsidR="00D43FD4" w:rsidRPr="002042B8" w:rsidRDefault="00D43FD4" w:rsidP="00D43FD4">
      <w:pPr>
        <w:pStyle w:val="Footnote"/>
        <w:rPr>
          <w:lang w:val="fr-FR"/>
        </w:rPr>
      </w:pPr>
      <w:r w:rsidRPr="005E228C">
        <w:rPr>
          <w:rStyle w:val="FootnoteReference"/>
        </w:rPr>
        <w:footnoteRef/>
      </w:r>
      <w:r w:rsidRPr="00885DDB">
        <w:rPr>
          <w:lang w:val="fr-FR"/>
        </w:rPr>
        <w:t xml:space="preserve"> </w:t>
      </w:r>
      <w:r w:rsidRPr="002042B8">
        <w:rPr>
          <w:lang w:val="fr-FR"/>
        </w:rPr>
        <w:t xml:space="preserve">Institut national de santé publique du Québec (INSPQ). Index of </w:t>
      </w:r>
      <w:proofErr w:type="spellStart"/>
      <w:r w:rsidRPr="002042B8">
        <w:rPr>
          <w:lang w:val="fr-FR"/>
        </w:rPr>
        <w:t>material</w:t>
      </w:r>
      <w:proofErr w:type="spellEnd"/>
      <w:r w:rsidRPr="002042B8">
        <w:rPr>
          <w:lang w:val="fr-FR"/>
        </w:rPr>
        <w:t xml:space="preserve"> and social </w:t>
      </w:r>
      <w:proofErr w:type="spellStart"/>
      <w:r w:rsidRPr="002042B8">
        <w:rPr>
          <w:lang w:val="fr-FR"/>
        </w:rPr>
        <w:t>deprivation</w:t>
      </w:r>
      <w:proofErr w:type="spellEnd"/>
      <w:r w:rsidRPr="002042B8">
        <w:rPr>
          <w:lang w:val="fr-FR"/>
        </w:rPr>
        <w:t xml:space="preserve"> </w:t>
      </w:r>
      <w:proofErr w:type="spellStart"/>
      <w:r w:rsidRPr="002042B8">
        <w:rPr>
          <w:lang w:val="fr-FR"/>
        </w:rPr>
        <w:t>compiled</w:t>
      </w:r>
      <w:proofErr w:type="spellEnd"/>
      <w:r w:rsidRPr="002042B8">
        <w:rPr>
          <w:lang w:val="fr-FR"/>
        </w:rPr>
        <w:t xml:space="preserve"> by the Bureau d'information et d'études en santé des populations (BIESP) </w:t>
      </w:r>
      <w:proofErr w:type="spellStart"/>
      <w:r w:rsidRPr="002042B8">
        <w:rPr>
          <w:lang w:val="fr-FR"/>
        </w:rPr>
        <w:t>from</w:t>
      </w:r>
      <w:proofErr w:type="spellEnd"/>
      <w:r w:rsidRPr="002042B8">
        <w:rPr>
          <w:lang w:val="fr-FR"/>
        </w:rPr>
        <w:t xml:space="preserve"> 1991, 1996, 2001, 2006, 2011, 2016 and 2021 Canadian </w:t>
      </w:r>
      <w:proofErr w:type="spellStart"/>
      <w:r w:rsidRPr="002042B8">
        <w:rPr>
          <w:lang w:val="fr-FR"/>
        </w:rPr>
        <w:t>Census</w:t>
      </w:r>
      <w:proofErr w:type="spellEnd"/>
      <w:r w:rsidRPr="002042B8">
        <w:rPr>
          <w:lang w:val="fr-FR"/>
        </w:rPr>
        <w:t xml:space="preserve"> data.</w:t>
      </w:r>
    </w:p>
  </w:footnote>
  <w:footnote w:id="17">
    <w:p w14:paraId="06AD7318" w14:textId="157CBDE4" w:rsidR="002F2274" w:rsidRPr="002F2274" w:rsidRDefault="002F2274" w:rsidP="00A3256B">
      <w:pPr>
        <w:pStyle w:val="Footnote"/>
        <w:rPr>
          <w:lang w:val="en-US"/>
        </w:rPr>
      </w:pPr>
      <w:r>
        <w:rPr>
          <w:rStyle w:val="FootnoteReference"/>
        </w:rPr>
        <w:footnoteRef/>
      </w:r>
      <w:r>
        <w:t xml:space="preserve"> </w:t>
      </w:r>
      <w:r>
        <w:rPr>
          <w:lang w:val="en-US"/>
        </w:rPr>
        <w:t xml:space="preserve">Government of Canada. (2025, November). </w:t>
      </w:r>
      <w:hyperlink r:id="rId9" w:history="1">
        <w:r w:rsidR="00A3256B" w:rsidRPr="00A3256B">
          <w:rPr>
            <w:rStyle w:val="Hyperlink"/>
            <w:lang w:val="en-US"/>
          </w:rPr>
          <w:t>Build Canada Homes – Housing affordability by income level</w:t>
        </w:r>
      </w:hyperlink>
      <w:r w:rsidR="00A3256B">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8AEA" w14:textId="77777777" w:rsidR="00CD710E" w:rsidRPr="004D6634" w:rsidRDefault="00CD710E" w:rsidP="004D6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20BC" w14:textId="1EA0ABDE" w:rsidR="0043538E" w:rsidRPr="004D6634" w:rsidRDefault="0043538E" w:rsidP="004D6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994F" w14:textId="77777777" w:rsidR="00BC6E14" w:rsidRPr="004D6634" w:rsidRDefault="00BC6E14" w:rsidP="004D66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C3A7" w14:textId="43950682" w:rsidR="0043538E" w:rsidRDefault="0043538E" w:rsidP="003C59F9">
    <w:pPr>
      <w:tabs>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25F"/>
    <w:multiLevelType w:val="hybridMultilevel"/>
    <w:tmpl w:val="F60CE68A"/>
    <w:lvl w:ilvl="0" w:tplc="19005C0E">
      <w:start w:val="2"/>
      <w:numFmt w:val="bullet"/>
      <w:lvlText w:val=""/>
      <w:lvlJc w:val="left"/>
      <w:pPr>
        <w:ind w:left="1080" w:hanging="720"/>
      </w:pPr>
      <w:rPr>
        <w:rFonts w:ascii="Symbol" w:eastAsia="Arial" w:hAnsi="Symbo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343E01"/>
    <w:multiLevelType w:val="multilevel"/>
    <w:tmpl w:val="617A166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8AD521C"/>
    <w:multiLevelType w:val="hybridMultilevel"/>
    <w:tmpl w:val="F8AEF67E"/>
    <w:lvl w:ilvl="0" w:tplc="19005C0E">
      <w:start w:val="2"/>
      <w:numFmt w:val="bullet"/>
      <w:lvlText w:val=""/>
      <w:lvlJc w:val="left"/>
      <w:pPr>
        <w:ind w:left="72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9306B94"/>
    <w:multiLevelType w:val="hybridMultilevel"/>
    <w:tmpl w:val="A538D742"/>
    <w:lvl w:ilvl="0" w:tplc="6A6E5B2C">
      <w:start w:val="1"/>
      <w:numFmt w:val="bullet"/>
      <w:lvlText w:val="–"/>
      <w:lvlJc w:val="left"/>
      <w:pPr>
        <w:ind w:left="540" w:hanging="280"/>
      </w:pPr>
    </w:lvl>
    <w:lvl w:ilvl="1" w:tplc="358C9B68">
      <w:numFmt w:val="decimal"/>
      <w:lvlText w:val=""/>
      <w:lvlJc w:val="left"/>
    </w:lvl>
    <w:lvl w:ilvl="2" w:tplc="7012FBB2">
      <w:numFmt w:val="decimal"/>
      <w:lvlText w:val=""/>
      <w:lvlJc w:val="left"/>
    </w:lvl>
    <w:lvl w:ilvl="3" w:tplc="9884A448">
      <w:numFmt w:val="decimal"/>
      <w:lvlText w:val=""/>
      <w:lvlJc w:val="left"/>
    </w:lvl>
    <w:lvl w:ilvl="4" w:tplc="0A7A3E00">
      <w:numFmt w:val="decimal"/>
      <w:lvlText w:val=""/>
      <w:lvlJc w:val="left"/>
    </w:lvl>
    <w:lvl w:ilvl="5" w:tplc="D3FAD6E8">
      <w:numFmt w:val="decimal"/>
      <w:lvlText w:val=""/>
      <w:lvlJc w:val="left"/>
    </w:lvl>
    <w:lvl w:ilvl="6" w:tplc="FD6469E8">
      <w:numFmt w:val="decimal"/>
      <w:lvlText w:val=""/>
      <w:lvlJc w:val="left"/>
    </w:lvl>
    <w:lvl w:ilvl="7" w:tplc="59687BC8">
      <w:numFmt w:val="decimal"/>
      <w:lvlText w:val=""/>
      <w:lvlJc w:val="left"/>
    </w:lvl>
    <w:lvl w:ilvl="8" w:tplc="0BDAF31E">
      <w:numFmt w:val="decimal"/>
      <w:lvlText w:val=""/>
      <w:lvlJc w:val="left"/>
    </w:lvl>
  </w:abstractNum>
  <w:abstractNum w:abstractNumId="4" w15:restartNumberingAfterBreak="0">
    <w:nsid w:val="1BA42494"/>
    <w:multiLevelType w:val="hybridMultilevel"/>
    <w:tmpl w:val="4FCE2BF6"/>
    <w:lvl w:ilvl="0" w:tplc="898ADD24">
      <w:numFmt w:val="bullet"/>
      <w:lvlText w:val="•"/>
      <w:lvlJc w:val="left"/>
      <w:pPr>
        <w:ind w:left="1080" w:hanging="72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F703225"/>
    <w:multiLevelType w:val="hybridMultilevel"/>
    <w:tmpl w:val="D62003B4"/>
    <w:lvl w:ilvl="0" w:tplc="62609104">
      <w:start w:val="1"/>
      <w:numFmt w:val="bullet"/>
      <w:lvlText w:val="•"/>
      <w:lvlJc w:val="left"/>
      <w:pPr>
        <w:ind w:left="540" w:hanging="280"/>
      </w:pPr>
    </w:lvl>
    <w:lvl w:ilvl="1" w:tplc="E97E0F12">
      <w:numFmt w:val="decimal"/>
      <w:lvlText w:val=""/>
      <w:lvlJc w:val="left"/>
    </w:lvl>
    <w:lvl w:ilvl="2" w:tplc="9D9E5A5E">
      <w:numFmt w:val="decimal"/>
      <w:lvlText w:val=""/>
      <w:lvlJc w:val="left"/>
    </w:lvl>
    <w:lvl w:ilvl="3" w:tplc="53788A74">
      <w:numFmt w:val="decimal"/>
      <w:lvlText w:val=""/>
      <w:lvlJc w:val="left"/>
    </w:lvl>
    <w:lvl w:ilvl="4" w:tplc="0D9A161C">
      <w:numFmt w:val="decimal"/>
      <w:lvlText w:val=""/>
      <w:lvlJc w:val="left"/>
    </w:lvl>
    <w:lvl w:ilvl="5" w:tplc="7E5C0066">
      <w:numFmt w:val="decimal"/>
      <w:lvlText w:val=""/>
      <w:lvlJc w:val="left"/>
    </w:lvl>
    <w:lvl w:ilvl="6" w:tplc="95C6466A">
      <w:numFmt w:val="decimal"/>
      <w:lvlText w:val=""/>
      <w:lvlJc w:val="left"/>
    </w:lvl>
    <w:lvl w:ilvl="7" w:tplc="A0BCCEDC">
      <w:numFmt w:val="decimal"/>
      <w:lvlText w:val=""/>
      <w:lvlJc w:val="left"/>
    </w:lvl>
    <w:lvl w:ilvl="8" w:tplc="4A2C03FC">
      <w:numFmt w:val="decimal"/>
      <w:lvlText w:val=""/>
      <w:lvlJc w:val="left"/>
    </w:lvl>
  </w:abstractNum>
  <w:abstractNum w:abstractNumId="6" w15:restartNumberingAfterBreak="0">
    <w:nsid w:val="38210D3D"/>
    <w:multiLevelType w:val="hybridMultilevel"/>
    <w:tmpl w:val="144ADADE"/>
    <w:lvl w:ilvl="0" w:tplc="898ADD24">
      <w:numFmt w:val="bullet"/>
      <w:lvlText w:val="•"/>
      <w:lvlJc w:val="left"/>
      <w:pPr>
        <w:ind w:left="1080" w:hanging="72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D0842EA"/>
    <w:multiLevelType w:val="hybridMultilevel"/>
    <w:tmpl w:val="83442D84"/>
    <w:lvl w:ilvl="0" w:tplc="8FB6D3B4">
      <w:start w:val="1"/>
      <w:numFmt w:val="bullet"/>
      <w:lvlText w:val="●"/>
      <w:lvlJc w:val="left"/>
      <w:pPr>
        <w:ind w:left="720" w:hanging="360"/>
      </w:pPr>
    </w:lvl>
    <w:lvl w:ilvl="1" w:tplc="31588E88">
      <w:start w:val="1"/>
      <w:numFmt w:val="bullet"/>
      <w:lvlText w:val="○"/>
      <w:lvlJc w:val="left"/>
      <w:pPr>
        <w:ind w:left="1440" w:hanging="360"/>
      </w:pPr>
    </w:lvl>
    <w:lvl w:ilvl="2" w:tplc="9D30BD20">
      <w:start w:val="1"/>
      <w:numFmt w:val="bullet"/>
      <w:lvlText w:val="■"/>
      <w:lvlJc w:val="left"/>
      <w:pPr>
        <w:ind w:left="2160" w:hanging="360"/>
      </w:pPr>
    </w:lvl>
    <w:lvl w:ilvl="3" w:tplc="FA44C050">
      <w:start w:val="1"/>
      <w:numFmt w:val="bullet"/>
      <w:lvlText w:val="●"/>
      <w:lvlJc w:val="left"/>
      <w:pPr>
        <w:ind w:left="2880" w:hanging="360"/>
      </w:pPr>
    </w:lvl>
    <w:lvl w:ilvl="4" w:tplc="4FB2D0B0">
      <w:start w:val="1"/>
      <w:numFmt w:val="bullet"/>
      <w:lvlText w:val="○"/>
      <w:lvlJc w:val="left"/>
      <w:pPr>
        <w:ind w:left="3600" w:hanging="360"/>
      </w:pPr>
    </w:lvl>
    <w:lvl w:ilvl="5" w:tplc="7A5488DE">
      <w:start w:val="1"/>
      <w:numFmt w:val="bullet"/>
      <w:lvlText w:val="■"/>
      <w:lvlJc w:val="left"/>
      <w:pPr>
        <w:ind w:left="4320" w:hanging="360"/>
      </w:pPr>
    </w:lvl>
    <w:lvl w:ilvl="6" w:tplc="19288174">
      <w:start w:val="1"/>
      <w:numFmt w:val="bullet"/>
      <w:lvlText w:val="●"/>
      <w:lvlJc w:val="left"/>
      <w:pPr>
        <w:ind w:left="5040" w:hanging="360"/>
      </w:pPr>
    </w:lvl>
    <w:lvl w:ilvl="7" w:tplc="9D927412">
      <w:start w:val="1"/>
      <w:numFmt w:val="bullet"/>
      <w:lvlText w:val="●"/>
      <w:lvlJc w:val="left"/>
      <w:pPr>
        <w:ind w:left="5760" w:hanging="360"/>
      </w:pPr>
    </w:lvl>
    <w:lvl w:ilvl="8" w:tplc="50AEACE4">
      <w:start w:val="1"/>
      <w:numFmt w:val="bullet"/>
      <w:lvlText w:val="●"/>
      <w:lvlJc w:val="left"/>
      <w:pPr>
        <w:ind w:left="6480" w:hanging="360"/>
      </w:pPr>
    </w:lvl>
  </w:abstractNum>
  <w:abstractNum w:abstractNumId="8" w15:restartNumberingAfterBreak="0">
    <w:nsid w:val="5F1C767B"/>
    <w:multiLevelType w:val="hybridMultilevel"/>
    <w:tmpl w:val="41AEFB0E"/>
    <w:lvl w:ilvl="0" w:tplc="F6B2BE24">
      <w:start w:val="1"/>
      <w:numFmt w:val="bullet"/>
      <w:lvlText w:val="•"/>
      <w:lvlJc w:val="left"/>
      <w:pPr>
        <w:ind w:left="720" w:hanging="360"/>
      </w:pPr>
    </w:lvl>
    <w:lvl w:ilvl="1" w:tplc="FC7013E8">
      <w:numFmt w:val="decimal"/>
      <w:lvlText w:val=""/>
      <w:lvlJc w:val="left"/>
    </w:lvl>
    <w:lvl w:ilvl="2" w:tplc="155250EE">
      <w:numFmt w:val="decimal"/>
      <w:lvlText w:val=""/>
      <w:lvlJc w:val="left"/>
    </w:lvl>
    <w:lvl w:ilvl="3" w:tplc="461E7C9A">
      <w:numFmt w:val="decimal"/>
      <w:lvlText w:val=""/>
      <w:lvlJc w:val="left"/>
    </w:lvl>
    <w:lvl w:ilvl="4" w:tplc="A0A67918">
      <w:numFmt w:val="decimal"/>
      <w:lvlText w:val=""/>
      <w:lvlJc w:val="left"/>
    </w:lvl>
    <w:lvl w:ilvl="5" w:tplc="16EE19CE">
      <w:numFmt w:val="decimal"/>
      <w:lvlText w:val=""/>
      <w:lvlJc w:val="left"/>
    </w:lvl>
    <w:lvl w:ilvl="6" w:tplc="4802D800">
      <w:numFmt w:val="decimal"/>
      <w:lvlText w:val=""/>
      <w:lvlJc w:val="left"/>
    </w:lvl>
    <w:lvl w:ilvl="7" w:tplc="0D48D750">
      <w:numFmt w:val="decimal"/>
      <w:lvlText w:val=""/>
      <w:lvlJc w:val="left"/>
    </w:lvl>
    <w:lvl w:ilvl="8" w:tplc="9222C624">
      <w:numFmt w:val="decimal"/>
      <w:lvlText w:val=""/>
      <w:lvlJc w:val="left"/>
    </w:lvl>
  </w:abstractNum>
  <w:abstractNum w:abstractNumId="9" w15:restartNumberingAfterBreak="0">
    <w:nsid w:val="77804ABA"/>
    <w:multiLevelType w:val="hybridMultilevel"/>
    <w:tmpl w:val="22E2AFE0"/>
    <w:lvl w:ilvl="0" w:tplc="19005C0E">
      <w:start w:val="2"/>
      <w:numFmt w:val="bullet"/>
      <w:lvlText w:val=""/>
      <w:lvlJc w:val="left"/>
      <w:pPr>
        <w:ind w:left="72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9033A19"/>
    <w:multiLevelType w:val="hybridMultilevel"/>
    <w:tmpl w:val="BD643A5E"/>
    <w:lvl w:ilvl="0" w:tplc="CFB26276">
      <w:start w:val="5"/>
      <w:numFmt w:val="bullet"/>
      <w:lvlText w:val=""/>
      <w:lvlJc w:val="left"/>
      <w:pPr>
        <w:ind w:left="72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548539">
    <w:abstractNumId w:val="7"/>
    <w:lvlOverride w:ilvl="0">
      <w:startOverride w:val="1"/>
    </w:lvlOverride>
  </w:num>
  <w:num w:numId="2" w16cid:durableId="1084110161">
    <w:abstractNumId w:val="1"/>
  </w:num>
  <w:num w:numId="3" w16cid:durableId="1569608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5074324">
    <w:abstractNumId w:val="10"/>
  </w:num>
  <w:num w:numId="5" w16cid:durableId="1293705888">
    <w:abstractNumId w:val="5"/>
    <w:lvlOverride w:ilvl="0">
      <w:startOverride w:val="1"/>
    </w:lvlOverride>
  </w:num>
  <w:num w:numId="6" w16cid:durableId="212153715">
    <w:abstractNumId w:val="3"/>
  </w:num>
  <w:num w:numId="7" w16cid:durableId="779035946">
    <w:abstractNumId w:val="3"/>
  </w:num>
  <w:num w:numId="8" w16cid:durableId="451486939">
    <w:abstractNumId w:val="2"/>
  </w:num>
  <w:num w:numId="9" w16cid:durableId="2023504255">
    <w:abstractNumId w:val="9"/>
  </w:num>
  <w:num w:numId="10" w16cid:durableId="1441677384">
    <w:abstractNumId w:val="4"/>
  </w:num>
  <w:num w:numId="11" w16cid:durableId="697120766">
    <w:abstractNumId w:val="6"/>
  </w:num>
  <w:num w:numId="12" w16cid:durableId="1970283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38E"/>
    <w:rsid w:val="000003CA"/>
    <w:rsid w:val="000016F7"/>
    <w:rsid w:val="000017CA"/>
    <w:rsid w:val="00001B8D"/>
    <w:rsid w:val="00002B69"/>
    <w:rsid w:val="00002DC2"/>
    <w:rsid w:val="000030F0"/>
    <w:rsid w:val="00004569"/>
    <w:rsid w:val="00004F28"/>
    <w:rsid w:val="000058EE"/>
    <w:rsid w:val="000059CB"/>
    <w:rsid w:val="000064F0"/>
    <w:rsid w:val="000066D9"/>
    <w:rsid w:val="000068D6"/>
    <w:rsid w:val="000073CB"/>
    <w:rsid w:val="00007709"/>
    <w:rsid w:val="00007C62"/>
    <w:rsid w:val="00007EA7"/>
    <w:rsid w:val="00010877"/>
    <w:rsid w:val="00010CCB"/>
    <w:rsid w:val="0001491D"/>
    <w:rsid w:val="00016035"/>
    <w:rsid w:val="00016150"/>
    <w:rsid w:val="00016891"/>
    <w:rsid w:val="000168CE"/>
    <w:rsid w:val="00017A8E"/>
    <w:rsid w:val="0002021B"/>
    <w:rsid w:val="00020393"/>
    <w:rsid w:val="0002226C"/>
    <w:rsid w:val="00022B3E"/>
    <w:rsid w:val="00022BFD"/>
    <w:rsid w:val="00022C07"/>
    <w:rsid w:val="00023294"/>
    <w:rsid w:val="00023EC7"/>
    <w:rsid w:val="00024333"/>
    <w:rsid w:val="00024F38"/>
    <w:rsid w:val="0002529C"/>
    <w:rsid w:val="00025711"/>
    <w:rsid w:val="00025B9D"/>
    <w:rsid w:val="00026A52"/>
    <w:rsid w:val="000270B7"/>
    <w:rsid w:val="000304D5"/>
    <w:rsid w:val="00032281"/>
    <w:rsid w:val="0003267A"/>
    <w:rsid w:val="0003297A"/>
    <w:rsid w:val="00032DBA"/>
    <w:rsid w:val="00033136"/>
    <w:rsid w:val="00034316"/>
    <w:rsid w:val="0003471E"/>
    <w:rsid w:val="00034CF2"/>
    <w:rsid w:val="00034E2D"/>
    <w:rsid w:val="000362A3"/>
    <w:rsid w:val="0003685E"/>
    <w:rsid w:val="000368E1"/>
    <w:rsid w:val="000368E3"/>
    <w:rsid w:val="00036D4A"/>
    <w:rsid w:val="00037308"/>
    <w:rsid w:val="00037838"/>
    <w:rsid w:val="00037F41"/>
    <w:rsid w:val="00037FE4"/>
    <w:rsid w:val="00040274"/>
    <w:rsid w:val="00042C80"/>
    <w:rsid w:val="00043DAB"/>
    <w:rsid w:val="00043DD9"/>
    <w:rsid w:val="00044D11"/>
    <w:rsid w:val="00045862"/>
    <w:rsid w:val="000458E1"/>
    <w:rsid w:val="00047742"/>
    <w:rsid w:val="00047E19"/>
    <w:rsid w:val="00047FD8"/>
    <w:rsid w:val="00050053"/>
    <w:rsid w:val="00050812"/>
    <w:rsid w:val="000511ED"/>
    <w:rsid w:val="00052C25"/>
    <w:rsid w:val="00052E99"/>
    <w:rsid w:val="00053640"/>
    <w:rsid w:val="00053FBC"/>
    <w:rsid w:val="00055E31"/>
    <w:rsid w:val="00055EBB"/>
    <w:rsid w:val="00056BAA"/>
    <w:rsid w:val="00060667"/>
    <w:rsid w:val="000608A6"/>
    <w:rsid w:val="00060E53"/>
    <w:rsid w:val="00061ACA"/>
    <w:rsid w:val="00062C38"/>
    <w:rsid w:val="00062DCD"/>
    <w:rsid w:val="00065731"/>
    <w:rsid w:val="00065DC4"/>
    <w:rsid w:val="00065EB9"/>
    <w:rsid w:val="000675A8"/>
    <w:rsid w:val="00070826"/>
    <w:rsid w:val="000709F2"/>
    <w:rsid w:val="00070DD2"/>
    <w:rsid w:val="00071242"/>
    <w:rsid w:val="0007129F"/>
    <w:rsid w:val="000717F6"/>
    <w:rsid w:val="00072002"/>
    <w:rsid w:val="0007222E"/>
    <w:rsid w:val="0007233E"/>
    <w:rsid w:val="000727B4"/>
    <w:rsid w:val="00072A58"/>
    <w:rsid w:val="00072A93"/>
    <w:rsid w:val="00074B88"/>
    <w:rsid w:val="00074C2C"/>
    <w:rsid w:val="00075112"/>
    <w:rsid w:val="0007539A"/>
    <w:rsid w:val="00075AA3"/>
    <w:rsid w:val="00075E75"/>
    <w:rsid w:val="00076F2E"/>
    <w:rsid w:val="00077726"/>
    <w:rsid w:val="000779C3"/>
    <w:rsid w:val="00077B0D"/>
    <w:rsid w:val="00080183"/>
    <w:rsid w:val="0008095C"/>
    <w:rsid w:val="000819AE"/>
    <w:rsid w:val="00081B54"/>
    <w:rsid w:val="000823A2"/>
    <w:rsid w:val="00082DBF"/>
    <w:rsid w:val="000831EE"/>
    <w:rsid w:val="00083419"/>
    <w:rsid w:val="0008372A"/>
    <w:rsid w:val="0008379D"/>
    <w:rsid w:val="00083DA6"/>
    <w:rsid w:val="00083F34"/>
    <w:rsid w:val="000840A7"/>
    <w:rsid w:val="00086072"/>
    <w:rsid w:val="00086CE3"/>
    <w:rsid w:val="000875E4"/>
    <w:rsid w:val="00087930"/>
    <w:rsid w:val="00087CD6"/>
    <w:rsid w:val="00090130"/>
    <w:rsid w:val="000903AB"/>
    <w:rsid w:val="0009124F"/>
    <w:rsid w:val="0009133A"/>
    <w:rsid w:val="0009165A"/>
    <w:rsid w:val="000923AE"/>
    <w:rsid w:val="0009301F"/>
    <w:rsid w:val="00093F32"/>
    <w:rsid w:val="00094051"/>
    <w:rsid w:val="00094A19"/>
    <w:rsid w:val="00094AF7"/>
    <w:rsid w:val="00094B3C"/>
    <w:rsid w:val="00094D29"/>
    <w:rsid w:val="00094FE6"/>
    <w:rsid w:val="000956AD"/>
    <w:rsid w:val="0009656D"/>
    <w:rsid w:val="000969A9"/>
    <w:rsid w:val="00096C46"/>
    <w:rsid w:val="000974AE"/>
    <w:rsid w:val="00097A4B"/>
    <w:rsid w:val="00097BA6"/>
    <w:rsid w:val="00097FD3"/>
    <w:rsid w:val="000A0367"/>
    <w:rsid w:val="000A0B10"/>
    <w:rsid w:val="000A2CFA"/>
    <w:rsid w:val="000A2E10"/>
    <w:rsid w:val="000A2F5C"/>
    <w:rsid w:val="000A4998"/>
    <w:rsid w:val="000A4E86"/>
    <w:rsid w:val="000A6352"/>
    <w:rsid w:val="000A6481"/>
    <w:rsid w:val="000A65F4"/>
    <w:rsid w:val="000A71FE"/>
    <w:rsid w:val="000A72B2"/>
    <w:rsid w:val="000A7735"/>
    <w:rsid w:val="000B0D36"/>
    <w:rsid w:val="000B0E4E"/>
    <w:rsid w:val="000B1CD7"/>
    <w:rsid w:val="000B22A1"/>
    <w:rsid w:val="000B2B5D"/>
    <w:rsid w:val="000B2F2E"/>
    <w:rsid w:val="000B36A0"/>
    <w:rsid w:val="000B3F08"/>
    <w:rsid w:val="000B46BC"/>
    <w:rsid w:val="000B4876"/>
    <w:rsid w:val="000B5590"/>
    <w:rsid w:val="000B5D93"/>
    <w:rsid w:val="000B614A"/>
    <w:rsid w:val="000B6965"/>
    <w:rsid w:val="000B6F2F"/>
    <w:rsid w:val="000B73DC"/>
    <w:rsid w:val="000C0162"/>
    <w:rsid w:val="000C07A9"/>
    <w:rsid w:val="000C1195"/>
    <w:rsid w:val="000C1339"/>
    <w:rsid w:val="000C1B0E"/>
    <w:rsid w:val="000C264A"/>
    <w:rsid w:val="000C3289"/>
    <w:rsid w:val="000C40B3"/>
    <w:rsid w:val="000C546F"/>
    <w:rsid w:val="000C6AD5"/>
    <w:rsid w:val="000C72FC"/>
    <w:rsid w:val="000C7C94"/>
    <w:rsid w:val="000D071D"/>
    <w:rsid w:val="000D09E0"/>
    <w:rsid w:val="000D0F3B"/>
    <w:rsid w:val="000D1490"/>
    <w:rsid w:val="000D159F"/>
    <w:rsid w:val="000D1966"/>
    <w:rsid w:val="000D26F2"/>
    <w:rsid w:val="000D292C"/>
    <w:rsid w:val="000D2A73"/>
    <w:rsid w:val="000D307D"/>
    <w:rsid w:val="000D5810"/>
    <w:rsid w:val="000D5A6A"/>
    <w:rsid w:val="000D5F19"/>
    <w:rsid w:val="000D6A15"/>
    <w:rsid w:val="000E0003"/>
    <w:rsid w:val="000E0205"/>
    <w:rsid w:val="000E061C"/>
    <w:rsid w:val="000E069C"/>
    <w:rsid w:val="000E0EE5"/>
    <w:rsid w:val="000E0F93"/>
    <w:rsid w:val="000E2CB1"/>
    <w:rsid w:val="000E3494"/>
    <w:rsid w:val="000E35B3"/>
    <w:rsid w:val="000E3E0D"/>
    <w:rsid w:val="000E41C4"/>
    <w:rsid w:val="000E5765"/>
    <w:rsid w:val="000E7014"/>
    <w:rsid w:val="000E7B6A"/>
    <w:rsid w:val="000F0C01"/>
    <w:rsid w:val="000F116D"/>
    <w:rsid w:val="000F24DE"/>
    <w:rsid w:val="000F3BF6"/>
    <w:rsid w:val="000F47D1"/>
    <w:rsid w:val="000F4915"/>
    <w:rsid w:val="000F4FFD"/>
    <w:rsid w:val="000F5004"/>
    <w:rsid w:val="000F5985"/>
    <w:rsid w:val="000F5B6A"/>
    <w:rsid w:val="000F68BA"/>
    <w:rsid w:val="000F6F5A"/>
    <w:rsid w:val="000F7D2D"/>
    <w:rsid w:val="00103508"/>
    <w:rsid w:val="00103553"/>
    <w:rsid w:val="00104DE3"/>
    <w:rsid w:val="00105EDC"/>
    <w:rsid w:val="0010632C"/>
    <w:rsid w:val="001078C2"/>
    <w:rsid w:val="0011029A"/>
    <w:rsid w:val="001107B8"/>
    <w:rsid w:val="00110983"/>
    <w:rsid w:val="00111118"/>
    <w:rsid w:val="00111453"/>
    <w:rsid w:val="0011147E"/>
    <w:rsid w:val="00111694"/>
    <w:rsid w:val="00112377"/>
    <w:rsid w:val="00112586"/>
    <w:rsid w:val="001129FB"/>
    <w:rsid w:val="0011364A"/>
    <w:rsid w:val="00113C52"/>
    <w:rsid w:val="00113F0E"/>
    <w:rsid w:val="00113F6E"/>
    <w:rsid w:val="00114F83"/>
    <w:rsid w:val="001160F5"/>
    <w:rsid w:val="00116A90"/>
    <w:rsid w:val="00116AF2"/>
    <w:rsid w:val="00117858"/>
    <w:rsid w:val="00120AC1"/>
    <w:rsid w:val="00120E88"/>
    <w:rsid w:val="001210D1"/>
    <w:rsid w:val="00121409"/>
    <w:rsid w:val="00121D11"/>
    <w:rsid w:val="00123D90"/>
    <w:rsid w:val="00123F5A"/>
    <w:rsid w:val="001252AD"/>
    <w:rsid w:val="00125972"/>
    <w:rsid w:val="00125C7D"/>
    <w:rsid w:val="00126CBC"/>
    <w:rsid w:val="00127159"/>
    <w:rsid w:val="001279EE"/>
    <w:rsid w:val="001309FB"/>
    <w:rsid w:val="00132060"/>
    <w:rsid w:val="001328AA"/>
    <w:rsid w:val="00133091"/>
    <w:rsid w:val="0013378F"/>
    <w:rsid w:val="00136C78"/>
    <w:rsid w:val="00137206"/>
    <w:rsid w:val="001375E9"/>
    <w:rsid w:val="00137DF1"/>
    <w:rsid w:val="00141A76"/>
    <w:rsid w:val="0014277B"/>
    <w:rsid w:val="0014311F"/>
    <w:rsid w:val="00143A73"/>
    <w:rsid w:val="001440D2"/>
    <w:rsid w:val="00144390"/>
    <w:rsid w:val="001443E3"/>
    <w:rsid w:val="001444B0"/>
    <w:rsid w:val="00144BF7"/>
    <w:rsid w:val="00145BB7"/>
    <w:rsid w:val="00146167"/>
    <w:rsid w:val="00146349"/>
    <w:rsid w:val="001464D2"/>
    <w:rsid w:val="00146638"/>
    <w:rsid w:val="0014765E"/>
    <w:rsid w:val="00150405"/>
    <w:rsid w:val="001504B1"/>
    <w:rsid w:val="00150E2F"/>
    <w:rsid w:val="00151808"/>
    <w:rsid w:val="00151EB1"/>
    <w:rsid w:val="00152502"/>
    <w:rsid w:val="00152A5E"/>
    <w:rsid w:val="00152E45"/>
    <w:rsid w:val="00153FAE"/>
    <w:rsid w:val="00154320"/>
    <w:rsid w:val="001556DC"/>
    <w:rsid w:val="001568EF"/>
    <w:rsid w:val="00157576"/>
    <w:rsid w:val="00157A27"/>
    <w:rsid w:val="00157AAF"/>
    <w:rsid w:val="00157AF3"/>
    <w:rsid w:val="00160819"/>
    <w:rsid w:val="00161E89"/>
    <w:rsid w:val="00162312"/>
    <w:rsid w:val="0016340E"/>
    <w:rsid w:val="00163650"/>
    <w:rsid w:val="001637A4"/>
    <w:rsid w:val="00164953"/>
    <w:rsid w:val="00164A04"/>
    <w:rsid w:val="00164F68"/>
    <w:rsid w:val="001650AF"/>
    <w:rsid w:val="0016586C"/>
    <w:rsid w:val="0016693A"/>
    <w:rsid w:val="0016769C"/>
    <w:rsid w:val="00171AAF"/>
    <w:rsid w:val="00172438"/>
    <w:rsid w:val="001727B8"/>
    <w:rsid w:val="00172C4F"/>
    <w:rsid w:val="00172DEE"/>
    <w:rsid w:val="00172F81"/>
    <w:rsid w:val="0017356F"/>
    <w:rsid w:val="00173D0D"/>
    <w:rsid w:val="00174492"/>
    <w:rsid w:val="001750EF"/>
    <w:rsid w:val="0017568B"/>
    <w:rsid w:val="00177E8C"/>
    <w:rsid w:val="0018144B"/>
    <w:rsid w:val="00181D85"/>
    <w:rsid w:val="001822C2"/>
    <w:rsid w:val="00182A27"/>
    <w:rsid w:val="001840AE"/>
    <w:rsid w:val="0018449D"/>
    <w:rsid w:val="00184555"/>
    <w:rsid w:val="0018483D"/>
    <w:rsid w:val="00184DA5"/>
    <w:rsid w:val="00184E3D"/>
    <w:rsid w:val="0018743C"/>
    <w:rsid w:val="001903F0"/>
    <w:rsid w:val="001907A7"/>
    <w:rsid w:val="00190965"/>
    <w:rsid w:val="00190B1C"/>
    <w:rsid w:val="00190C2B"/>
    <w:rsid w:val="00192B8B"/>
    <w:rsid w:val="00193034"/>
    <w:rsid w:val="001939E0"/>
    <w:rsid w:val="00194AE0"/>
    <w:rsid w:val="00194EB0"/>
    <w:rsid w:val="0019556D"/>
    <w:rsid w:val="0019651D"/>
    <w:rsid w:val="001969FD"/>
    <w:rsid w:val="001979F0"/>
    <w:rsid w:val="001A0ACE"/>
    <w:rsid w:val="001A0AD2"/>
    <w:rsid w:val="001A0D89"/>
    <w:rsid w:val="001A22CD"/>
    <w:rsid w:val="001A279F"/>
    <w:rsid w:val="001A3000"/>
    <w:rsid w:val="001A3B03"/>
    <w:rsid w:val="001A442A"/>
    <w:rsid w:val="001A497B"/>
    <w:rsid w:val="001A5781"/>
    <w:rsid w:val="001A7C35"/>
    <w:rsid w:val="001B13F9"/>
    <w:rsid w:val="001B15BF"/>
    <w:rsid w:val="001B2D82"/>
    <w:rsid w:val="001B3975"/>
    <w:rsid w:val="001B4036"/>
    <w:rsid w:val="001B40DA"/>
    <w:rsid w:val="001B44F9"/>
    <w:rsid w:val="001B4B4A"/>
    <w:rsid w:val="001B554F"/>
    <w:rsid w:val="001B5EEE"/>
    <w:rsid w:val="001B5F85"/>
    <w:rsid w:val="001B71CB"/>
    <w:rsid w:val="001B7AD6"/>
    <w:rsid w:val="001C134F"/>
    <w:rsid w:val="001C2A71"/>
    <w:rsid w:val="001C4554"/>
    <w:rsid w:val="001C4A42"/>
    <w:rsid w:val="001C4D9F"/>
    <w:rsid w:val="001C57E0"/>
    <w:rsid w:val="001C6349"/>
    <w:rsid w:val="001C7211"/>
    <w:rsid w:val="001D0DF9"/>
    <w:rsid w:val="001D0E76"/>
    <w:rsid w:val="001D11EC"/>
    <w:rsid w:val="001D1914"/>
    <w:rsid w:val="001D1C26"/>
    <w:rsid w:val="001D2B71"/>
    <w:rsid w:val="001D3509"/>
    <w:rsid w:val="001D4197"/>
    <w:rsid w:val="001D4BFE"/>
    <w:rsid w:val="001D5203"/>
    <w:rsid w:val="001D55FF"/>
    <w:rsid w:val="001D56D9"/>
    <w:rsid w:val="001D5F85"/>
    <w:rsid w:val="001D607F"/>
    <w:rsid w:val="001D65B9"/>
    <w:rsid w:val="001D7147"/>
    <w:rsid w:val="001D7CD1"/>
    <w:rsid w:val="001D7E94"/>
    <w:rsid w:val="001E0402"/>
    <w:rsid w:val="001E0FED"/>
    <w:rsid w:val="001E1561"/>
    <w:rsid w:val="001E174F"/>
    <w:rsid w:val="001E282A"/>
    <w:rsid w:val="001E2902"/>
    <w:rsid w:val="001E2B74"/>
    <w:rsid w:val="001E2BF9"/>
    <w:rsid w:val="001E4F7F"/>
    <w:rsid w:val="001E6400"/>
    <w:rsid w:val="001E6DA2"/>
    <w:rsid w:val="001E6FCF"/>
    <w:rsid w:val="001E713B"/>
    <w:rsid w:val="001E790E"/>
    <w:rsid w:val="001E7B7E"/>
    <w:rsid w:val="001E7BE3"/>
    <w:rsid w:val="001E7F4C"/>
    <w:rsid w:val="001E7FA5"/>
    <w:rsid w:val="001F076A"/>
    <w:rsid w:val="001F2783"/>
    <w:rsid w:val="001F2807"/>
    <w:rsid w:val="001F360F"/>
    <w:rsid w:val="001F610A"/>
    <w:rsid w:val="001F70AC"/>
    <w:rsid w:val="001F7BCF"/>
    <w:rsid w:val="00200AF7"/>
    <w:rsid w:val="00201166"/>
    <w:rsid w:val="00201954"/>
    <w:rsid w:val="00203153"/>
    <w:rsid w:val="00203304"/>
    <w:rsid w:val="002033F4"/>
    <w:rsid w:val="002036F0"/>
    <w:rsid w:val="00203729"/>
    <w:rsid w:val="002042B1"/>
    <w:rsid w:val="002042B8"/>
    <w:rsid w:val="00204535"/>
    <w:rsid w:val="002054AC"/>
    <w:rsid w:val="002055E6"/>
    <w:rsid w:val="0020616C"/>
    <w:rsid w:val="0020662D"/>
    <w:rsid w:val="00206DF5"/>
    <w:rsid w:val="00206E8A"/>
    <w:rsid w:val="00207D1F"/>
    <w:rsid w:val="002135F7"/>
    <w:rsid w:val="00213878"/>
    <w:rsid w:val="00214D3D"/>
    <w:rsid w:val="0021601B"/>
    <w:rsid w:val="00216083"/>
    <w:rsid w:val="00216346"/>
    <w:rsid w:val="002163DC"/>
    <w:rsid w:val="00216AA0"/>
    <w:rsid w:val="00216CC3"/>
    <w:rsid w:val="00216FA2"/>
    <w:rsid w:val="00217081"/>
    <w:rsid w:val="00220411"/>
    <w:rsid w:val="00220E71"/>
    <w:rsid w:val="00223E63"/>
    <w:rsid w:val="00223EB9"/>
    <w:rsid w:val="00224227"/>
    <w:rsid w:val="00224ABC"/>
    <w:rsid w:val="002267C0"/>
    <w:rsid w:val="00226C12"/>
    <w:rsid w:val="00227BBD"/>
    <w:rsid w:val="00227DA7"/>
    <w:rsid w:val="00230877"/>
    <w:rsid w:val="00230FC2"/>
    <w:rsid w:val="0023120F"/>
    <w:rsid w:val="002324E3"/>
    <w:rsid w:val="002326F0"/>
    <w:rsid w:val="00232F1E"/>
    <w:rsid w:val="0023320B"/>
    <w:rsid w:val="00233CDF"/>
    <w:rsid w:val="00233E41"/>
    <w:rsid w:val="00234CEA"/>
    <w:rsid w:val="002353E7"/>
    <w:rsid w:val="002354B2"/>
    <w:rsid w:val="00235CA1"/>
    <w:rsid w:val="0023674D"/>
    <w:rsid w:val="00236B9D"/>
    <w:rsid w:val="00236C8A"/>
    <w:rsid w:val="00236D94"/>
    <w:rsid w:val="00237141"/>
    <w:rsid w:val="00237706"/>
    <w:rsid w:val="00240274"/>
    <w:rsid w:val="002409B3"/>
    <w:rsid w:val="00240D99"/>
    <w:rsid w:val="00240E7A"/>
    <w:rsid w:val="00242081"/>
    <w:rsid w:val="002420ED"/>
    <w:rsid w:val="0024220B"/>
    <w:rsid w:val="00243026"/>
    <w:rsid w:val="0024349A"/>
    <w:rsid w:val="00244F5D"/>
    <w:rsid w:val="0024562E"/>
    <w:rsid w:val="002461F3"/>
    <w:rsid w:val="00246B0C"/>
    <w:rsid w:val="0024731F"/>
    <w:rsid w:val="00247391"/>
    <w:rsid w:val="00247BCE"/>
    <w:rsid w:val="00247D6A"/>
    <w:rsid w:val="002502CF"/>
    <w:rsid w:val="00250539"/>
    <w:rsid w:val="00251AF8"/>
    <w:rsid w:val="00253520"/>
    <w:rsid w:val="002545DB"/>
    <w:rsid w:val="002546E5"/>
    <w:rsid w:val="00254D4B"/>
    <w:rsid w:val="00256120"/>
    <w:rsid w:val="002572A5"/>
    <w:rsid w:val="0025769D"/>
    <w:rsid w:val="002579D8"/>
    <w:rsid w:val="00260D16"/>
    <w:rsid w:val="002611E7"/>
    <w:rsid w:val="00262740"/>
    <w:rsid w:val="00263C4F"/>
    <w:rsid w:val="00264F8C"/>
    <w:rsid w:val="0026555A"/>
    <w:rsid w:val="00265A2A"/>
    <w:rsid w:val="00265B1F"/>
    <w:rsid w:val="0026738F"/>
    <w:rsid w:val="00267755"/>
    <w:rsid w:val="00272290"/>
    <w:rsid w:val="00272C82"/>
    <w:rsid w:val="00274C94"/>
    <w:rsid w:val="00275E66"/>
    <w:rsid w:val="0027637B"/>
    <w:rsid w:val="002768BA"/>
    <w:rsid w:val="0027758E"/>
    <w:rsid w:val="00277C00"/>
    <w:rsid w:val="00277DAA"/>
    <w:rsid w:val="00277ED8"/>
    <w:rsid w:val="00277F4F"/>
    <w:rsid w:val="00281C1A"/>
    <w:rsid w:val="002833AA"/>
    <w:rsid w:val="00283898"/>
    <w:rsid w:val="002839C5"/>
    <w:rsid w:val="00284334"/>
    <w:rsid w:val="00284B92"/>
    <w:rsid w:val="00284D4B"/>
    <w:rsid w:val="00285880"/>
    <w:rsid w:val="00285FB8"/>
    <w:rsid w:val="0028619E"/>
    <w:rsid w:val="00286DC8"/>
    <w:rsid w:val="002872D1"/>
    <w:rsid w:val="00287973"/>
    <w:rsid w:val="00290202"/>
    <w:rsid w:val="002906D7"/>
    <w:rsid w:val="0029138E"/>
    <w:rsid w:val="00291508"/>
    <w:rsid w:val="00292FEC"/>
    <w:rsid w:val="002931A1"/>
    <w:rsid w:val="0029331F"/>
    <w:rsid w:val="0029376C"/>
    <w:rsid w:val="00294410"/>
    <w:rsid w:val="002945AD"/>
    <w:rsid w:val="0029556C"/>
    <w:rsid w:val="00295890"/>
    <w:rsid w:val="00295945"/>
    <w:rsid w:val="00297CE3"/>
    <w:rsid w:val="002A0178"/>
    <w:rsid w:val="002A0AFF"/>
    <w:rsid w:val="002A0B06"/>
    <w:rsid w:val="002A19A2"/>
    <w:rsid w:val="002A2106"/>
    <w:rsid w:val="002A26AF"/>
    <w:rsid w:val="002A2F5A"/>
    <w:rsid w:val="002A384D"/>
    <w:rsid w:val="002A3C4A"/>
    <w:rsid w:val="002A3E25"/>
    <w:rsid w:val="002A40EC"/>
    <w:rsid w:val="002A44D9"/>
    <w:rsid w:val="002A57AB"/>
    <w:rsid w:val="002A5A2A"/>
    <w:rsid w:val="002A5A68"/>
    <w:rsid w:val="002A62D2"/>
    <w:rsid w:val="002A69BA"/>
    <w:rsid w:val="002B093F"/>
    <w:rsid w:val="002B152F"/>
    <w:rsid w:val="002B26D9"/>
    <w:rsid w:val="002B3B23"/>
    <w:rsid w:val="002B3E3F"/>
    <w:rsid w:val="002B6535"/>
    <w:rsid w:val="002B6E3B"/>
    <w:rsid w:val="002B6EB4"/>
    <w:rsid w:val="002B72C1"/>
    <w:rsid w:val="002B7A64"/>
    <w:rsid w:val="002B7E0B"/>
    <w:rsid w:val="002C031A"/>
    <w:rsid w:val="002C086D"/>
    <w:rsid w:val="002C202F"/>
    <w:rsid w:val="002C2D68"/>
    <w:rsid w:val="002C3C41"/>
    <w:rsid w:val="002C3CC4"/>
    <w:rsid w:val="002C466A"/>
    <w:rsid w:val="002C4691"/>
    <w:rsid w:val="002C4EC7"/>
    <w:rsid w:val="002C648D"/>
    <w:rsid w:val="002C64B2"/>
    <w:rsid w:val="002C675B"/>
    <w:rsid w:val="002C6C20"/>
    <w:rsid w:val="002C783B"/>
    <w:rsid w:val="002C7C72"/>
    <w:rsid w:val="002C7D3B"/>
    <w:rsid w:val="002D00F3"/>
    <w:rsid w:val="002D0327"/>
    <w:rsid w:val="002D0970"/>
    <w:rsid w:val="002D0C12"/>
    <w:rsid w:val="002D1546"/>
    <w:rsid w:val="002D1B1F"/>
    <w:rsid w:val="002D3CFD"/>
    <w:rsid w:val="002D42D1"/>
    <w:rsid w:val="002D45CE"/>
    <w:rsid w:val="002D4A62"/>
    <w:rsid w:val="002D527D"/>
    <w:rsid w:val="002D5539"/>
    <w:rsid w:val="002D694B"/>
    <w:rsid w:val="002D6C62"/>
    <w:rsid w:val="002D6F44"/>
    <w:rsid w:val="002D709C"/>
    <w:rsid w:val="002E048B"/>
    <w:rsid w:val="002E0DE1"/>
    <w:rsid w:val="002E0E11"/>
    <w:rsid w:val="002E20C0"/>
    <w:rsid w:val="002E2741"/>
    <w:rsid w:val="002E2BAA"/>
    <w:rsid w:val="002E35D1"/>
    <w:rsid w:val="002E43E0"/>
    <w:rsid w:val="002E4784"/>
    <w:rsid w:val="002E4970"/>
    <w:rsid w:val="002E4B3A"/>
    <w:rsid w:val="002E4E46"/>
    <w:rsid w:val="002E4EF9"/>
    <w:rsid w:val="002E740C"/>
    <w:rsid w:val="002E7BD2"/>
    <w:rsid w:val="002E7ECD"/>
    <w:rsid w:val="002E7FBC"/>
    <w:rsid w:val="002F0B00"/>
    <w:rsid w:val="002F1354"/>
    <w:rsid w:val="002F136D"/>
    <w:rsid w:val="002F1E93"/>
    <w:rsid w:val="002F200D"/>
    <w:rsid w:val="002F2274"/>
    <w:rsid w:val="002F2847"/>
    <w:rsid w:val="002F3C8D"/>
    <w:rsid w:val="002F3CE6"/>
    <w:rsid w:val="002F4B52"/>
    <w:rsid w:val="002F4B66"/>
    <w:rsid w:val="002F4B89"/>
    <w:rsid w:val="002F5B1F"/>
    <w:rsid w:val="002F5EC7"/>
    <w:rsid w:val="002F61A1"/>
    <w:rsid w:val="002F7740"/>
    <w:rsid w:val="002F7824"/>
    <w:rsid w:val="002F7A65"/>
    <w:rsid w:val="00300FED"/>
    <w:rsid w:val="003011D5"/>
    <w:rsid w:val="00301EA4"/>
    <w:rsid w:val="003020D6"/>
    <w:rsid w:val="00302B19"/>
    <w:rsid w:val="00302EE9"/>
    <w:rsid w:val="00303133"/>
    <w:rsid w:val="003031CC"/>
    <w:rsid w:val="003031FC"/>
    <w:rsid w:val="00303466"/>
    <w:rsid w:val="0030366A"/>
    <w:rsid w:val="00304241"/>
    <w:rsid w:val="00304D2D"/>
    <w:rsid w:val="00305612"/>
    <w:rsid w:val="00305B3A"/>
    <w:rsid w:val="00307770"/>
    <w:rsid w:val="00307DFE"/>
    <w:rsid w:val="0031162D"/>
    <w:rsid w:val="00312605"/>
    <w:rsid w:val="003130B6"/>
    <w:rsid w:val="003135DB"/>
    <w:rsid w:val="00313BEA"/>
    <w:rsid w:val="00313D1F"/>
    <w:rsid w:val="00314226"/>
    <w:rsid w:val="003142FC"/>
    <w:rsid w:val="003143EF"/>
    <w:rsid w:val="00314882"/>
    <w:rsid w:val="00314F5D"/>
    <w:rsid w:val="0031521B"/>
    <w:rsid w:val="00315686"/>
    <w:rsid w:val="00316B63"/>
    <w:rsid w:val="00316DC1"/>
    <w:rsid w:val="00317F5F"/>
    <w:rsid w:val="00317F84"/>
    <w:rsid w:val="003201E1"/>
    <w:rsid w:val="003205B3"/>
    <w:rsid w:val="003208CB"/>
    <w:rsid w:val="00320CFC"/>
    <w:rsid w:val="00321458"/>
    <w:rsid w:val="003214B5"/>
    <w:rsid w:val="003219E0"/>
    <w:rsid w:val="00322521"/>
    <w:rsid w:val="00322628"/>
    <w:rsid w:val="00325825"/>
    <w:rsid w:val="00325BF2"/>
    <w:rsid w:val="00330135"/>
    <w:rsid w:val="00330985"/>
    <w:rsid w:val="00330D5C"/>
    <w:rsid w:val="00331614"/>
    <w:rsid w:val="00331BCA"/>
    <w:rsid w:val="00332A9E"/>
    <w:rsid w:val="00332E03"/>
    <w:rsid w:val="00334CDE"/>
    <w:rsid w:val="0033585A"/>
    <w:rsid w:val="003360A1"/>
    <w:rsid w:val="00336AD6"/>
    <w:rsid w:val="00337828"/>
    <w:rsid w:val="00337CED"/>
    <w:rsid w:val="00337EBD"/>
    <w:rsid w:val="00337FF9"/>
    <w:rsid w:val="003403F4"/>
    <w:rsid w:val="0034049D"/>
    <w:rsid w:val="00340A24"/>
    <w:rsid w:val="003410E9"/>
    <w:rsid w:val="003421BE"/>
    <w:rsid w:val="00342BBA"/>
    <w:rsid w:val="00343A4B"/>
    <w:rsid w:val="0034441C"/>
    <w:rsid w:val="0034522D"/>
    <w:rsid w:val="0034696C"/>
    <w:rsid w:val="00346E56"/>
    <w:rsid w:val="003478BB"/>
    <w:rsid w:val="0035015C"/>
    <w:rsid w:val="00350631"/>
    <w:rsid w:val="00350888"/>
    <w:rsid w:val="00351EC4"/>
    <w:rsid w:val="0035242C"/>
    <w:rsid w:val="003527FE"/>
    <w:rsid w:val="0035316C"/>
    <w:rsid w:val="00354CBD"/>
    <w:rsid w:val="00354EDB"/>
    <w:rsid w:val="00356B32"/>
    <w:rsid w:val="003575A3"/>
    <w:rsid w:val="00357A3F"/>
    <w:rsid w:val="00360A3F"/>
    <w:rsid w:val="00361B72"/>
    <w:rsid w:val="0036316E"/>
    <w:rsid w:val="003633A0"/>
    <w:rsid w:val="0036357C"/>
    <w:rsid w:val="003656DC"/>
    <w:rsid w:val="00366414"/>
    <w:rsid w:val="00366577"/>
    <w:rsid w:val="00366B08"/>
    <w:rsid w:val="00366E49"/>
    <w:rsid w:val="00366F93"/>
    <w:rsid w:val="003674A7"/>
    <w:rsid w:val="00370206"/>
    <w:rsid w:val="00370780"/>
    <w:rsid w:val="00370912"/>
    <w:rsid w:val="003712B7"/>
    <w:rsid w:val="003716BE"/>
    <w:rsid w:val="003717CE"/>
    <w:rsid w:val="00371D87"/>
    <w:rsid w:val="0037218B"/>
    <w:rsid w:val="0037449E"/>
    <w:rsid w:val="00375A18"/>
    <w:rsid w:val="00375DEE"/>
    <w:rsid w:val="003767E2"/>
    <w:rsid w:val="0037714F"/>
    <w:rsid w:val="0037748E"/>
    <w:rsid w:val="0037783F"/>
    <w:rsid w:val="00380B45"/>
    <w:rsid w:val="003813AC"/>
    <w:rsid w:val="003831AE"/>
    <w:rsid w:val="0038367C"/>
    <w:rsid w:val="00384B4F"/>
    <w:rsid w:val="003858C8"/>
    <w:rsid w:val="003860B4"/>
    <w:rsid w:val="003868DD"/>
    <w:rsid w:val="0038764A"/>
    <w:rsid w:val="00390FF3"/>
    <w:rsid w:val="00392BBD"/>
    <w:rsid w:val="00392D62"/>
    <w:rsid w:val="00396840"/>
    <w:rsid w:val="00396B59"/>
    <w:rsid w:val="003A04F3"/>
    <w:rsid w:val="003A1087"/>
    <w:rsid w:val="003A10DB"/>
    <w:rsid w:val="003A15B1"/>
    <w:rsid w:val="003A19C9"/>
    <w:rsid w:val="003A2EA5"/>
    <w:rsid w:val="003A419F"/>
    <w:rsid w:val="003A54CD"/>
    <w:rsid w:val="003A5A00"/>
    <w:rsid w:val="003A766E"/>
    <w:rsid w:val="003A767A"/>
    <w:rsid w:val="003B0211"/>
    <w:rsid w:val="003B0538"/>
    <w:rsid w:val="003B0B61"/>
    <w:rsid w:val="003B1575"/>
    <w:rsid w:val="003B1B67"/>
    <w:rsid w:val="003B1E88"/>
    <w:rsid w:val="003B2BC4"/>
    <w:rsid w:val="003B2EE0"/>
    <w:rsid w:val="003B3092"/>
    <w:rsid w:val="003B3585"/>
    <w:rsid w:val="003B3FF1"/>
    <w:rsid w:val="003B426E"/>
    <w:rsid w:val="003B5785"/>
    <w:rsid w:val="003B5D70"/>
    <w:rsid w:val="003B67E8"/>
    <w:rsid w:val="003B6A12"/>
    <w:rsid w:val="003B701B"/>
    <w:rsid w:val="003B73F2"/>
    <w:rsid w:val="003C0459"/>
    <w:rsid w:val="003C0B40"/>
    <w:rsid w:val="003C1152"/>
    <w:rsid w:val="003C134B"/>
    <w:rsid w:val="003C183C"/>
    <w:rsid w:val="003C1AF1"/>
    <w:rsid w:val="003C2112"/>
    <w:rsid w:val="003C2635"/>
    <w:rsid w:val="003C316E"/>
    <w:rsid w:val="003C352B"/>
    <w:rsid w:val="003C49D5"/>
    <w:rsid w:val="003C522A"/>
    <w:rsid w:val="003C59F9"/>
    <w:rsid w:val="003C6646"/>
    <w:rsid w:val="003C7ABA"/>
    <w:rsid w:val="003C7C52"/>
    <w:rsid w:val="003D086D"/>
    <w:rsid w:val="003D0DFF"/>
    <w:rsid w:val="003D150B"/>
    <w:rsid w:val="003D28A5"/>
    <w:rsid w:val="003D29DE"/>
    <w:rsid w:val="003D3CEF"/>
    <w:rsid w:val="003D3E71"/>
    <w:rsid w:val="003D4814"/>
    <w:rsid w:val="003D4987"/>
    <w:rsid w:val="003D4B4A"/>
    <w:rsid w:val="003D521D"/>
    <w:rsid w:val="003D5598"/>
    <w:rsid w:val="003D57EA"/>
    <w:rsid w:val="003D64A5"/>
    <w:rsid w:val="003D7124"/>
    <w:rsid w:val="003D78FF"/>
    <w:rsid w:val="003E0602"/>
    <w:rsid w:val="003E10F7"/>
    <w:rsid w:val="003E1C28"/>
    <w:rsid w:val="003E205E"/>
    <w:rsid w:val="003E21ED"/>
    <w:rsid w:val="003E21EF"/>
    <w:rsid w:val="003E2F88"/>
    <w:rsid w:val="003E3071"/>
    <w:rsid w:val="003E328B"/>
    <w:rsid w:val="003E338D"/>
    <w:rsid w:val="003E395D"/>
    <w:rsid w:val="003E3A8C"/>
    <w:rsid w:val="003E48A0"/>
    <w:rsid w:val="003E4E43"/>
    <w:rsid w:val="003E4FF3"/>
    <w:rsid w:val="003E6305"/>
    <w:rsid w:val="003E64A1"/>
    <w:rsid w:val="003E6CE2"/>
    <w:rsid w:val="003F019F"/>
    <w:rsid w:val="003F0956"/>
    <w:rsid w:val="003F0F9D"/>
    <w:rsid w:val="003F10CD"/>
    <w:rsid w:val="003F1827"/>
    <w:rsid w:val="003F2668"/>
    <w:rsid w:val="003F31F5"/>
    <w:rsid w:val="003F41FB"/>
    <w:rsid w:val="003F42AA"/>
    <w:rsid w:val="003F50B4"/>
    <w:rsid w:val="003F5858"/>
    <w:rsid w:val="003F5B14"/>
    <w:rsid w:val="003F6151"/>
    <w:rsid w:val="003F6222"/>
    <w:rsid w:val="003F6369"/>
    <w:rsid w:val="003F6DE9"/>
    <w:rsid w:val="003F75AB"/>
    <w:rsid w:val="003F7DFF"/>
    <w:rsid w:val="003F7FCF"/>
    <w:rsid w:val="00400625"/>
    <w:rsid w:val="00400AD0"/>
    <w:rsid w:val="00401B5C"/>
    <w:rsid w:val="00402E43"/>
    <w:rsid w:val="00404F71"/>
    <w:rsid w:val="00405390"/>
    <w:rsid w:val="00405882"/>
    <w:rsid w:val="004063F3"/>
    <w:rsid w:val="004070F7"/>
    <w:rsid w:val="00407CC9"/>
    <w:rsid w:val="00410784"/>
    <w:rsid w:val="00410D76"/>
    <w:rsid w:val="0041132B"/>
    <w:rsid w:val="00411650"/>
    <w:rsid w:val="00411707"/>
    <w:rsid w:val="004120C9"/>
    <w:rsid w:val="004124B4"/>
    <w:rsid w:val="00412D67"/>
    <w:rsid w:val="00412DF2"/>
    <w:rsid w:val="004136CB"/>
    <w:rsid w:val="00414174"/>
    <w:rsid w:val="004142A9"/>
    <w:rsid w:val="00415918"/>
    <w:rsid w:val="00415EC3"/>
    <w:rsid w:val="0041638C"/>
    <w:rsid w:val="00417354"/>
    <w:rsid w:val="00417A34"/>
    <w:rsid w:val="00417AFA"/>
    <w:rsid w:val="00420452"/>
    <w:rsid w:val="00421609"/>
    <w:rsid w:val="00421855"/>
    <w:rsid w:val="00422FF6"/>
    <w:rsid w:val="00424BB4"/>
    <w:rsid w:val="00424D33"/>
    <w:rsid w:val="00424D6B"/>
    <w:rsid w:val="0042576C"/>
    <w:rsid w:val="004257FB"/>
    <w:rsid w:val="0042674D"/>
    <w:rsid w:val="00426B82"/>
    <w:rsid w:val="00426DA7"/>
    <w:rsid w:val="004300C3"/>
    <w:rsid w:val="00432637"/>
    <w:rsid w:val="00433829"/>
    <w:rsid w:val="0043538E"/>
    <w:rsid w:val="00436613"/>
    <w:rsid w:val="00436944"/>
    <w:rsid w:val="00437313"/>
    <w:rsid w:val="004375D7"/>
    <w:rsid w:val="00437E7E"/>
    <w:rsid w:val="00437F8A"/>
    <w:rsid w:val="00440090"/>
    <w:rsid w:val="00440619"/>
    <w:rsid w:val="00440F92"/>
    <w:rsid w:val="0044106F"/>
    <w:rsid w:val="00441BA3"/>
    <w:rsid w:val="00441C24"/>
    <w:rsid w:val="00442083"/>
    <w:rsid w:val="004429FE"/>
    <w:rsid w:val="00443E50"/>
    <w:rsid w:val="00444E02"/>
    <w:rsid w:val="004462C3"/>
    <w:rsid w:val="0044691A"/>
    <w:rsid w:val="00447E48"/>
    <w:rsid w:val="00450490"/>
    <w:rsid w:val="0045083C"/>
    <w:rsid w:val="00450D0B"/>
    <w:rsid w:val="004512CF"/>
    <w:rsid w:val="00451497"/>
    <w:rsid w:val="0045170D"/>
    <w:rsid w:val="004533C8"/>
    <w:rsid w:val="00453D85"/>
    <w:rsid w:val="0045486C"/>
    <w:rsid w:val="00455742"/>
    <w:rsid w:val="00457071"/>
    <w:rsid w:val="00457A45"/>
    <w:rsid w:val="00457B85"/>
    <w:rsid w:val="00457F36"/>
    <w:rsid w:val="0046044D"/>
    <w:rsid w:val="004608FD"/>
    <w:rsid w:val="004609E3"/>
    <w:rsid w:val="00460A37"/>
    <w:rsid w:val="00461134"/>
    <w:rsid w:val="00461F01"/>
    <w:rsid w:val="0046239B"/>
    <w:rsid w:val="00462BA9"/>
    <w:rsid w:val="00462E8C"/>
    <w:rsid w:val="0046307B"/>
    <w:rsid w:val="00463466"/>
    <w:rsid w:val="00464D22"/>
    <w:rsid w:val="00465211"/>
    <w:rsid w:val="0046569E"/>
    <w:rsid w:val="004659D2"/>
    <w:rsid w:val="00466D9B"/>
    <w:rsid w:val="00467020"/>
    <w:rsid w:val="00467A3B"/>
    <w:rsid w:val="00467FA3"/>
    <w:rsid w:val="00470072"/>
    <w:rsid w:val="00470C4A"/>
    <w:rsid w:val="00471168"/>
    <w:rsid w:val="0047196A"/>
    <w:rsid w:val="00472AAE"/>
    <w:rsid w:val="004748F0"/>
    <w:rsid w:val="00475B5C"/>
    <w:rsid w:val="00475E86"/>
    <w:rsid w:val="0047790E"/>
    <w:rsid w:val="00477A4D"/>
    <w:rsid w:val="00477FC6"/>
    <w:rsid w:val="004822A9"/>
    <w:rsid w:val="00483761"/>
    <w:rsid w:val="00483E05"/>
    <w:rsid w:val="004846DC"/>
    <w:rsid w:val="00485187"/>
    <w:rsid w:val="00485257"/>
    <w:rsid w:val="0048586B"/>
    <w:rsid w:val="00486949"/>
    <w:rsid w:val="00487AE2"/>
    <w:rsid w:val="00487C20"/>
    <w:rsid w:val="004900B2"/>
    <w:rsid w:val="004917B5"/>
    <w:rsid w:val="00492E6C"/>
    <w:rsid w:val="0049325E"/>
    <w:rsid w:val="0049360B"/>
    <w:rsid w:val="0049360C"/>
    <w:rsid w:val="0049370C"/>
    <w:rsid w:val="00493864"/>
    <w:rsid w:val="00494872"/>
    <w:rsid w:val="004948B2"/>
    <w:rsid w:val="00494F0C"/>
    <w:rsid w:val="00495305"/>
    <w:rsid w:val="00495895"/>
    <w:rsid w:val="004974EE"/>
    <w:rsid w:val="004A062C"/>
    <w:rsid w:val="004A0905"/>
    <w:rsid w:val="004A14FD"/>
    <w:rsid w:val="004A1F22"/>
    <w:rsid w:val="004A2246"/>
    <w:rsid w:val="004A2388"/>
    <w:rsid w:val="004A2410"/>
    <w:rsid w:val="004A298E"/>
    <w:rsid w:val="004A30FD"/>
    <w:rsid w:val="004A3F5D"/>
    <w:rsid w:val="004A5861"/>
    <w:rsid w:val="004A667F"/>
    <w:rsid w:val="004A6F1C"/>
    <w:rsid w:val="004B0531"/>
    <w:rsid w:val="004B13FF"/>
    <w:rsid w:val="004B1504"/>
    <w:rsid w:val="004B1C5F"/>
    <w:rsid w:val="004B35B4"/>
    <w:rsid w:val="004B3DDD"/>
    <w:rsid w:val="004B3E12"/>
    <w:rsid w:val="004B44E7"/>
    <w:rsid w:val="004B470A"/>
    <w:rsid w:val="004B536A"/>
    <w:rsid w:val="004B5AC5"/>
    <w:rsid w:val="004B66BB"/>
    <w:rsid w:val="004B707E"/>
    <w:rsid w:val="004B7858"/>
    <w:rsid w:val="004C1B78"/>
    <w:rsid w:val="004C20A8"/>
    <w:rsid w:val="004C2543"/>
    <w:rsid w:val="004C25C9"/>
    <w:rsid w:val="004C2B79"/>
    <w:rsid w:val="004C3732"/>
    <w:rsid w:val="004C3E21"/>
    <w:rsid w:val="004C3E8A"/>
    <w:rsid w:val="004C41B6"/>
    <w:rsid w:val="004C4B71"/>
    <w:rsid w:val="004C76D7"/>
    <w:rsid w:val="004C7A42"/>
    <w:rsid w:val="004D0D57"/>
    <w:rsid w:val="004D0F52"/>
    <w:rsid w:val="004D1093"/>
    <w:rsid w:val="004D10A0"/>
    <w:rsid w:val="004D1941"/>
    <w:rsid w:val="004D1F7F"/>
    <w:rsid w:val="004D26BD"/>
    <w:rsid w:val="004D30FD"/>
    <w:rsid w:val="004D3DCA"/>
    <w:rsid w:val="004D3EB6"/>
    <w:rsid w:val="004D415A"/>
    <w:rsid w:val="004D4757"/>
    <w:rsid w:val="004D565B"/>
    <w:rsid w:val="004D56E0"/>
    <w:rsid w:val="004D62BA"/>
    <w:rsid w:val="004D6426"/>
    <w:rsid w:val="004D6634"/>
    <w:rsid w:val="004D66B4"/>
    <w:rsid w:val="004D6A28"/>
    <w:rsid w:val="004D6B89"/>
    <w:rsid w:val="004D7191"/>
    <w:rsid w:val="004D726E"/>
    <w:rsid w:val="004D74FB"/>
    <w:rsid w:val="004D79EB"/>
    <w:rsid w:val="004E009D"/>
    <w:rsid w:val="004E05C2"/>
    <w:rsid w:val="004E0626"/>
    <w:rsid w:val="004E1B04"/>
    <w:rsid w:val="004E22B0"/>
    <w:rsid w:val="004E235D"/>
    <w:rsid w:val="004E445B"/>
    <w:rsid w:val="004E44E7"/>
    <w:rsid w:val="004E553E"/>
    <w:rsid w:val="004E5872"/>
    <w:rsid w:val="004E5ECD"/>
    <w:rsid w:val="004E61A1"/>
    <w:rsid w:val="004E6C09"/>
    <w:rsid w:val="004E7071"/>
    <w:rsid w:val="004E724D"/>
    <w:rsid w:val="004F08BD"/>
    <w:rsid w:val="004F0F53"/>
    <w:rsid w:val="004F14B1"/>
    <w:rsid w:val="004F15A5"/>
    <w:rsid w:val="004F15C0"/>
    <w:rsid w:val="004F1A8E"/>
    <w:rsid w:val="004F1DE3"/>
    <w:rsid w:val="004F2C51"/>
    <w:rsid w:val="004F2FD0"/>
    <w:rsid w:val="004F3B89"/>
    <w:rsid w:val="004F4284"/>
    <w:rsid w:val="004F4A0B"/>
    <w:rsid w:val="004F592D"/>
    <w:rsid w:val="004F6F4E"/>
    <w:rsid w:val="004F75CE"/>
    <w:rsid w:val="0050038F"/>
    <w:rsid w:val="00500457"/>
    <w:rsid w:val="00500E88"/>
    <w:rsid w:val="00502F0E"/>
    <w:rsid w:val="0050316A"/>
    <w:rsid w:val="00503259"/>
    <w:rsid w:val="00503CBA"/>
    <w:rsid w:val="0050474C"/>
    <w:rsid w:val="00505CA9"/>
    <w:rsid w:val="00505CE3"/>
    <w:rsid w:val="00506524"/>
    <w:rsid w:val="00506A1C"/>
    <w:rsid w:val="005072F9"/>
    <w:rsid w:val="005075F4"/>
    <w:rsid w:val="00507F0B"/>
    <w:rsid w:val="00512B4C"/>
    <w:rsid w:val="00512E83"/>
    <w:rsid w:val="00512F7A"/>
    <w:rsid w:val="005137D3"/>
    <w:rsid w:val="00513AEC"/>
    <w:rsid w:val="00513F09"/>
    <w:rsid w:val="00513FE1"/>
    <w:rsid w:val="0051417F"/>
    <w:rsid w:val="0051490E"/>
    <w:rsid w:val="00515FEC"/>
    <w:rsid w:val="005163B8"/>
    <w:rsid w:val="005165B0"/>
    <w:rsid w:val="00516E02"/>
    <w:rsid w:val="0051743A"/>
    <w:rsid w:val="00520332"/>
    <w:rsid w:val="00520EC3"/>
    <w:rsid w:val="00522304"/>
    <w:rsid w:val="00522E3B"/>
    <w:rsid w:val="00524ACA"/>
    <w:rsid w:val="00524EAB"/>
    <w:rsid w:val="00525863"/>
    <w:rsid w:val="00527117"/>
    <w:rsid w:val="0052712D"/>
    <w:rsid w:val="0052731F"/>
    <w:rsid w:val="005304AD"/>
    <w:rsid w:val="0053147E"/>
    <w:rsid w:val="00531A9D"/>
    <w:rsid w:val="00531D50"/>
    <w:rsid w:val="0053225B"/>
    <w:rsid w:val="0053228B"/>
    <w:rsid w:val="005326F1"/>
    <w:rsid w:val="0053331A"/>
    <w:rsid w:val="00533E6C"/>
    <w:rsid w:val="005344E0"/>
    <w:rsid w:val="005345EF"/>
    <w:rsid w:val="0053480E"/>
    <w:rsid w:val="00534DBA"/>
    <w:rsid w:val="0053502F"/>
    <w:rsid w:val="0053508C"/>
    <w:rsid w:val="00535892"/>
    <w:rsid w:val="00537131"/>
    <w:rsid w:val="00537FB6"/>
    <w:rsid w:val="005403B4"/>
    <w:rsid w:val="00540FD1"/>
    <w:rsid w:val="00541ACB"/>
    <w:rsid w:val="00542115"/>
    <w:rsid w:val="005421DC"/>
    <w:rsid w:val="00542241"/>
    <w:rsid w:val="005422B4"/>
    <w:rsid w:val="0054316B"/>
    <w:rsid w:val="00543498"/>
    <w:rsid w:val="00543E61"/>
    <w:rsid w:val="0054401F"/>
    <w:rsid w:val="005444AE"/>
    <w:rsid w:val="00544713"/>
    <w:rsid w:val="00544BBA"/>
    <w:rsid w:val="00544C73"/>
    <w:rsid w:val="005450F5"/>
    <w:rsid w:val="0054624E"/>
    <w:rsid w:val="005471C8"/>
    <w:rsid w:val="00547336"/>
    <w:rsid w:val="00550114"/>
    <w:rsid w:val="00551319"/>
    <w:rsid w:val="00552302"/>
    <w:rsid w:val="0055230E"/>
    <w:rsid w:val="0055238E"/>
    <w:rsid w:val="005533C9"/>
    <w:rsid w:val="00555633"/>
    <w:rsid w:val="00555D12"/>
    <w:rsid w:val="00555FE3"/>
    <w:rsid w:val="005561D6"/>
    <w:rsid w:val="005601B2"/>
    <w:rsid w:val="00560C6F"/>
    <w:rsid w:val="00560E01"/>
    <w:rsid w:val="00561F7D"/>
    <w:rsid w:val="005622F3"/>
    <w:rsid w:val="00562FCD"/>
    <w:rsid w:val="005644BC"/>
    <w:rsid w:val="00565AAA"/>
    <w:rsid w:val="00565CC0"/>
    <w:rsid w:val="00565DD0"/>
    <w:rsid w:val="00566AD1"/>
    <w:rsid w:val="00566D31"/>
    <w:rsid w:val="00566EC8"/>
    <w:rsid w:val="0057168F"/>
    <w:rsid w:val="00571BE8"/>
    <w:rsid w:val="00572DD1"/>
    <w:rsid w:val="005735A4"/>
    <w:rsid w:val="0057428B"/>
    <w:rsid w:val="00574591"/>
    <w:rsid w:val="005751F9"/>
    <w:rsid w:val="0057551D"/>
    <w:rsid w:val="0057573E"/>
    <w:rsid w:val="00575F81"/>
    <w:rsid w:val="00576708"/>
    <w:rsid w:val="005769E6"/>
    <w:rsid w:val="0057772F"/>
    <w:rsid w:val="005778FB"/>
    <w:rsid w:val="00580DED"/>
    <w:rsid w:val="00581F92"/>
    <w:rsid w:val="005839BE"/>
    <w:rsid w:val="005848FC"/>
    <w:rsid w:val="00584D5C"/>
    <w:rsid w:val="00585086"/>
    <w:rsid w:val="00585561"/>
    <w:rsid w:val="005860A1"/>
    <w:rsid w:val="00586B83"/>
    <w:rsid w:val="00587C3E"/>
    <w:rsid w:val="00590075"/>
    <w:rsid w:val="005900FF"/>
    <w:rsid w:val="0059153D"/>
    <w:rsid w:val="00591A5A"/>
    <w:rsid w:val="00592D08"/>
    <w:rsid w:val="00593494"/>
    <w:rsid w:val="00595332"/>
    <w:rsid w:val="0059564B"/>
    <w:rsid w:val="00596E23"/>
    <w:rsid w:val="005971E3"/>
    <w:rsid w:val="005972D4"/>
    <w:rsid w:val="0059791A"/>
    <w:rsid w:val="00597D16"/>
    <w:rsid w:val="005A0785"/>
    <w:rsid w:val="005A214A"/>
    <w:rsid w:val="005A2FE5"/>
    <w:rsid w:val="005A328D"/>
    <w:rsid w:val="005A4905"/>
    <w:rsid w:val="005A4C5A"/>
    <w:rsid w:val="005A533F"/>
    <w:rsid w:val="005A6B6E"/>
    <w:rsid w:val="005A6ED8"/>
    <w:rsid w:val="005B012C"/>
    <w:rsid w:val="005B1128"/>
    <w:rsid w:val="005B17E5"/>
    <w:rsid w:val="005B1811"/>
    <w:rsid w:val="005B1EC1"/>
    <w:rsid w:val="005B2332"/>
    <w:rsid w:val="005B43ED"/>
    <w:rsid w:val="005B4580"/>
    <w:rsid w:val="005B483F"/>
    <w:rsid w:val="005B55BD"/>
    <w:rsid w:val="005B5E76"/>
    <w:rsid w:val="005B5FD8"/>
    <w:rsid w:val="005B71CB"/>
    <w:rsid w:val="005B762C"/>
    <w:rsid w:val="005B790D"/>
    <w:rsid w:val="005C004B"/>
    <w:rsid w:val="005C03F0"/>
    <w:rsid w:val="005C0D91"/>
    <w:rsid w:val="005C171C"/>
    <w:rsid w:val="005C1A9D"/>
    <w:rsid w:val="005C1DA0"/>
    <w:rsid w:val="005C28A5"/>
    <w:rsid w:val="005C2D19"/>
    <w:rsid w:val="005C3385"/>
    <w:rsid w:val="005C3B78"/>
    <w:rsid w:val="005C3EB0"/>
    <w:rsid w:val="005C49CE"/>
    <w:rsid w:val="005C4AB4"/>
    <w:rsid w:val="005C5579"/>
    <w:rsid w:val="005C5CFA"/>
    <w:rsid w:val="005C5D82"/>
    <w:rsid w:val="005C6619"/>
    <w:rsid w:val="005C675B"/>
    <w:rsid w:val="005C68BB"/>
    <w:rsid w:val="005C74F5"/>
    <w:rsid w:val="005D04AA"/>
    <w:rsid w:val="005D072A"/>
    <w:rsid w:val="005D0A9A"/>
    <w:rsid w:val="005D0D22"/>
    <w:rsid w:val="005D0DF8"/>
    <w:rsid w:val="005D165A"/>
    <w:rsid w:val="005D1B61"/>
    <w:rsid w:val="005D1CA8"/>
    <w:rsid w:val="005D1D66"/>
    <w:rsid w:val="005D3F00"/>
    <w:rsid w:val="005D4085"/>
    <w:rsid w:val="005D5A80"/>
    <w:rsid w:val="005D5AEE"/>
    <w:rsid w:val="005D6FE7"/>
    <w:rsid w:val="005D731A"/>
    <w:rsid w:val="005D760A"/>
    <w:rsid w:val="005E06E9"/>
    <w:rsid w:val="005E0BC7"/>
    <w:rsid w:val="005E1CCD"/>
    <w:rsid w:val="005E1ED7"/>
    <w:rsid w:val="005E228C"/>
    <w:rsid w:val="005E22ED"/>
    <w:rsid w:val="005E2807"/>
    <w:rsid w:val="005E3A20"/>
    <w:rsid w:val="005E3FBA"/>
    <w:rsid w:val="005E42A5"/>
    <w:rsid w:val="005E42F8"/>
    <w:rsid w:val="005E459C"/>
    <w:rsid w:val="005E49DF"/>
    <w:rsid w:val="005E4DC9"/>
    <w:rsid w:val="005E5310"/>
    <w:rsid w:val="005E5AFD"/>
    <w:rsid w:val="005E6C37"/>
    <w:rsid w:val="005E6E3E"/>
    <w:rsid w:val="005E6E72"/>
    <w:rsid w:val="005F0D35"/>
    <w:rsid w:val="005F1ABD"/>
    <w:rsid w:val="005F1F3F"/>
    <w:rsid w:val="005F2087"/>
    <w:rsid w:val="005F328E"/>
    <w:rsid w:val="005F3370"/>
    <w:rsid w:val="005F602E"/>
    <w:rsid w:val="005F60BB"/>
    <w:rsid w:val="006004F3"/>
    <w:rsid w:val="00600CEC"/>
    <w:rsid w:val="00600CF9"/>
    <w:rsid w:val="00601B22"/>
    <w:rsid w:val="006028BE"/>
    <w:rsid w:val="00602E8E"/>
    <w:rsid w:val="00604413"/>
    <w:rsid w:val="0060459D"/>
    <w:rsid w:val="00604B13"/>
    <w:rsid w:val="006053CE"/>
    <w:rsid w:val="00605897"/>
    <w:rsid w:val="006064AF"/>
    <w:rsid w:val="006068BB"/>
    <w:rsid w:val="00607216"/>
    <w:rsid w:val="00607517"/>
    <w:rsid w:val="00607B0A"/>
    <w:rsid w:val="00607D6A"/>
    <w:rsid w:val="00610140"/>
    <w:rsid w:val="00613311"/>
    <w:rsid w:val="00613899"/>
    <w:rsid w:val="006139BD"/>
    <w:rsid w:val="00613D11"/>
    <w:rsid w:val="00613D53"/>
    <w:rsid w:val="006144A6"/>
    <w:rsid w:val="006146E5"/>
    <w:rsid w:val="00614EA0"/>
    <w:rsid w:val="00615EDA"/>
    <w:rsid w:val="006161CE"/>
    <w:rsid w:val="00616728"/>
    <w:rsid w:val="006175FB"/>
    <w:rsid w:val="006177C8"/>
    <w:rsid w:val="0062049D"/>
    <w:rsid w:val="006204A2"/>
    <w:rsid w:val="006207D8"/>
    <w:rsid w:val="00620EED"/>
    <w:rsid w:val="0062137F"/>
    <w:rsid w:val="00621E3B"/>
    <w:rsid w:val="00622BD0"/>
    <w:rsid w:val="00622D59"/>
    <w:rsid w:val="0062348D"/>
    <w:rsid w:val="006235FB"/>
    <w:rsid w:val="006241A8"/>
    <w:rsid w:val="00624748"/>
    <w:rsid w:val="00624F68"/>
    <w:rsid w:val="00624FDC"/>
    <w:rsid w:val="006252D4"/>
    <w:rsid w:val="00625E33"/>
    <w:rsid w:val="006267E3"/>
    <w:rsid w:val="006272B0"/>
    <w:rsid w:val="00630C1D"/>
    <w:rsid w:val="00631940"/>
    <w:rsid w:val="00631D1D"/>
    <w:rsid w:val="00632244"/>
    <w:rsid w:val="006330B8"/>
    <w:rsid w:val="0063318E"/>
    <w:rsid w:val="006333D4"/>
    <w:rsid w:val="0063412B"/>
    <w:rsid w:val="00634FC0"/>
    <w:rsid w:val="0063525E"/>
    <w:rsid w:val="0063531D"/>
    <w:rsid w:val="00635A31"/>
    <w:rsid w:val="00635BDD"/>
    <w:rsid w:val="00635D6A"/>
    <w:rsid w:val="0063604C"/>
    <w:rsid w:val="00636581"/>
    <w:rsid w:val="00636F44"/>
    <w:rsid w:val="00637931"/>
    <w:rsid w:val="006403D9"/>
    <w:rsid w:val="00640F91"/>
    <w:rsid w:val="0064110D"/>
    <w:rsid w:val="00641E5D"/>
    <w:rsid w:val="00642068"/>
    <w:rsid w:val="00642684"/>
    <w:rsid w:val="0064274C"/>
    <w:rsid w:val="00642BCB"/>
    <w:rsid w:val="00642C28"/>
    <w:rsid w:val="00642FB4"/>
    <w:rsid w:val="0064328C"/>
    <w:rsid w:val="006435C0"/>
    <w:rsid w:val="00643888"/>
    <w:rsid w:val="00643C26"/>
    <w:rsid w:val="00643E2D"/>
    <w:rsid w:val="0064492E"/>
    <w:rsid w:val="00645F9D"/>
    <w:rsid w:val="006463AD"/>
    <w:rsid w:val="00646788"/>
    <w:rsid w:val="00646C92"/>
    <w:rsid w:val="0064710F"/>
    <w:rsid w:val="00647EFC"/>
    <w:rsid w:val="006502F8"/>
    <w:rsid w:val="006512A0"/>
    <w:rsid w:val="0065248D"/>
    <w:rsid w:val="006524BB"/>
    <w:rsid w:val="00653118"/>
    <w:rsid w:val="006546CC"/>
    <w:rsid w:val="006547E8"/>
    <w:rsid w:val="00654F41"/>
    <w:rsid w:val="00655D7B"/>
    <w:rsid w:val="00656BC2"/>
    <w:rsid w:val="00657402"/>
    <w:rsid w:val="00657BE4"/>
    <w:rsid w:val="00660C23"/>
    <w:rsid w:val="006610D8"/>
    <w:rsid w:val="0066194B"/>
    <w:rsid w:val="0066360D"/>
    <w:rsid w:val="00663719"/>
    <w:rsid w:val="00663723"/>
    <w:rsid w:val="00663C10"/>
    <w:rsid w:val="00663D1D"/>
    <w:rsid w:val="006641A1"/>
    <w:rsid w:val="00664A15"/>
    <w:rsid w:val="00664CA2"/>
    <w:rsid w:val="00666709"/>
    <w:rsid w:val="00666871"/>
    <w:rsid w:val="00667BA5"/>
    <w:rsid w:val="00667EA0"/>
    <w:rsid w:val="0067099C"/>
    <w:rsid w:val="00670E7D"/>
    <w:rsid w:val="006711D4"/>
    <w:rsid w:val="006712FF"/>
    <w:rsid w:val="0067132A"/>
    <w:rsid w:val="00671448"/>
    <w:rsid w:val="006731FD"/>
    <w:rsid w:val="006740CE"/>
    <w:rsid w:val="006741F7"/>
    <w:rsid w:val="00674591"/>
    <w:rsid w:val="00674AE7"/>
    <w:rsid w:val="00675EE5"/>
    <w:rsid w:val="00676B88"/>
    <w:rsid w:val="006774A1"/>
    <w:rsid w:val="006812BF"/>
    <w:rsid w:val="0068139C"/>
    <w:rsid w:val="00681728"/>
    <w:rsid w:val="00681E85"/>
    <w:rsid w:val="0068314F"/>
    <w:rsid w:val="00683239"/>
    <w:rsid w:val="00683659"/>
    <w:rsid w:val="0068400F"/>
    <w:rsid w:val="006849BE"/>
    <w:rsid w:val="00684E15"/>
    <w:rsid w:val="00686BCE"/>
    <w:rsid w:val="006874B9"/>
    <w:rsid w:val="00687736"/>
    <w:rsid w:val="0069043B"/>
    <w:rsid w:val="006908C7"/>
    <w:rsid w:val="00690E4E"/>
    <w:rsid w:val="006924BE"/>
    <w:rsid w:val="0069287B"/>
    <w:rsid w:val="0069385A"/>
    <w:rsid w:val="00694289"/>
    <w:rsid w:val="00694939"/>
    <w:rsid w:val="00694CD2"/>
    <w:rsid w:val="00694E7E"/>
    <w:rsid w:val="00695307"/>
    <w:rsid w:val="006954F8"/>
    <w:rsid w:val="00696565"/>
    <w:rsid w:val="006968D9"/>
    <w:rsid w:val="00696923"/>
    <w:rsid w:val="00697612"/>
    <w:rsid w:val="006A1450"/>
    <w:rsid w:val="006A2914"/>
    <w:rsid w:val="006A2F59"/>
    <w:rsid w:val="006A43CC"/>
    <w:rsid w:val="006A4699"/>
    <w:rsid w:val="006A4B40"/>
    <w:rsid w:val="006A52F4"/>
    <w:rsid w:val="006A6A7D"/>
    <w:rsid w:val="006A6A8A"/>
    <w:rsid w:val="006A7606"/>
    <w:rsid w:val="006B13DF"/>
    <w:rsid w:val="006B21E0"/>
    <w:rsid w:val="006B2993"/>
    <w:rsid w:val="006B2CC9"/>
    <w:rsid w:val="006B3057"/>
    <w:rsid w:val="006B5103"/>
    <w:rsid w:val="006B641E"/>
    <w:rsid w:val="006B7D22"/>
    <w:rsid w:val="006C050B"/>
    <w:rsid w:val="006C1556"/>
    <w:rsid w:val="006C29AD"/>
    <w:rsid w:val="006C3CCA"/>
    <w:rsid w:val="006C4154"/>
    <w:rsid w:val="006C5177"/>
    <w:rsid w:val="006C5B75"/>
    <w:rsid w:val="006C6DB3"/>
    <w:rsid w:val="006C76D4"/>
    <w:rsid w:val="006D052D"/>
    <w:rsid w:val="006D0F96"/>
    <w:rsid w:val="006D146E"/>
    <w:rsid w:val="006D24EB"/>
    <w:rsid w:val="006D2ED1"/>
    <w:rsid w:val="006D3E34"/>
    <w:rsid w:val="006D511E"/>
    <w:rsid w:val="006D5269"/>
    <w:rsid w:val="006D5BB3"/>
    <w:rsid w:val="006D5F06"/>
    <w:rsid w:val="006D66AC"/>
    <w:rsid w:val="006D6968"/>
    <w:rsid w:val="006D758B"/>
    <w:rsid w:val="006D75F4"/>
    <w:rsid w:val="006D7887"/>
    <w:rsid w:val="006D7C75"/>
    <w:rsid w:val="006D7F91"/>
    <w:rsid w:val="006E024A"/>
    <w:rsid w:val="006E033A"/>
    <w:rsid w:val="006E11F9"/>
    <w:rsid w:val="006E206B"/>
    <w:rsid w:val="006E22CB"/>
    <w:rsid w:val="006E2900"/>
    <w:rsid w:val="006E49A5"/>
    <w:rsid w:val="006E4A48"/>
    <w:rsid w:val="006E5200"/>
    <w:rsid w:val="006E646E"/>
    <w:rsid w:val="006E65CC"/>
    <w:rsid w:val="006E6F3B"/>
    <w:rsid w:val="006E7689"/>
    <w:rsid w:val="006E7EBA"/>
    <w:rsid w:val="006F17E0"/>
    <w:rsid w:val="006F28EF"/>
    <w:rsid w:val="006F2CCA"/>
    <w:rsid w:val="006F2DC9"/>
    <w:rsid w:val="006F2F99"/>
    <w:rsid w:val="006F35C6"/>
    <w:rsid w:val="006F4121"/>
    <w:rsid w:val="006F463F"/>
    <w:rsid w:val="006F4C98"/>
    <w:rsid w:val="006F5587"/>
    <w:rsid w:val="006F6504"/>
    <w:rsid w:val="006F7258"/>
    <w:rsid w:val="00700842"/>
    <w:rsid w:val="00700B95"/>
    <w:rsid w:val="00702237"/>
    <w:rsid w:val="00702FCB"/>
    <w:rsid w:val="007039E8"/>
    <w:rsid w:val="00703D0F"/>
    <w:rsid w:val="00704483"/>
    <w:rsid w:val="00704D6C"/>
    <w:rsid w:val="00704F4C"/>
    <w:rsid w:val="00705298"/>
    <w:rsid w:val="00706614"/>
    <w:rsid w:val="00706640"/>
    <w:rsid w:val="007066C2"/>
    <w:rsid w:val="007068F2"/>
    <w:rsid w:val="00707096"/>
    <w:rsid w:val="007104EC"/>
    <w:rsid w:val="00712E11"/>
    <w:rsid w:val="0071317E"/>
    <w:rsid w:val="00713929"/>
    <w:rsid w:val="00713B13"/>
    <w:rsid w:val="00714A3C"/>
    <w:rsid w:val="00714CFE"/>
    <w:rsid w:val="00714FAF"/>
    <w:rsid w:val="0071559E"/>
    <w:rsid w:val="0071643F"/>
    <w:rsid w:val="00716B1B"/>
    <w:rsid w:val="0072031C"/>
    <w:rsid w:val="00720BB2"/>
    <w:rsid w:val="00721952"/>
    <w:rsid w:val="007219B8"/>
    <w:rsid w:val="00721E3D"/>
    <w:rsid w:val="00722865"/>
    <w:rsid w:val="00722D14"/>
    <w:rsid w:val="00722E35"/>
    <w:rsid w:val="00723898"/>
    <w:rsid w:val="0072411B"/>
    <w:rsid w:val="00724653"/>
    <w:rsid w:val="007254B5"/>
    <w:rsid w:val="00725AC2"/>
    <w:rsid w:val="00725BD3"/>
    <w:rsid w:val="00726435"/>
    <w:rsid w:val="00726B47"/>
    <w:rsid w:val="00726B6C"/>
    <w:rsid w:val="00726F70"/>
    <w:rsid w:val="00727423"/>
    <w:rsid w:val="00727E45"/>
    <w:rsid w:val="00732BD4"/>
    <w:rsid w:val="007331F4"/>
    <w:rsid w:val="00733705"/>
    <w:rsid w:val="007351D0"/>
    <w:rsid w:val="00735246"/>
    <w:rsid w:val="007353AE"/>
    <w:rsid w:val="00735973"/>
    <w:rsid w:val="007361CD"/>
    <w:rsid w:val="00737E50"/>
    <w:rsid w:val="00737F02"/>
    <w:rsid w:val="00740CBD"/>
    <w:rsid w:val="00741A88"/>
    <w:rsid w:val="00741B14"/>
    <w:rsid w:val="00741C5C"/>
    <w:rsid w:val="00742A38"/>
    <w:rsid w:val="00743098"/>
    <w:rsid w:val="00743800"/>
    <w:rsid w:val="00744437"/>
    <w:rsid w:val="007445F5"/>
    <w:rsid w:val="00744E08"/>
    <w:rsid w:val="007455AB"/>
    <w:rsid w:val="0074627A"/>
    <w:rsid w:val="007462D3"/>
    <w:rsid w:val="00746B87"/>
    <w:rsid w:val="0074720E"/>
    <w:rsid w:val="00747437"/>
    <w:rsid w:val="00747975"/>
    <w:rsid w:val="00750648"/>
    <w:rsid w:val="0075104A"/>
    <w:rsid w:val="007511A2"/>
    <w:rsid w:val="00751779"/>
    <w:rsid w:val="007518C2"/>
    <w:rsid w:val="00752033"/>
    <w:rsid w:val="007538D1"/>
    <w:rsid w:val="00753AC6"/>
    <w:rsid w:val="00753BC8"/>
    <w:rsid w:val="0075577F"/>
    <w:rsid w:val="00755F69"/>
    <w:rsid w:val="007565DA"/>
    <w:rsid w:val="00760080"/>
    <w:rsid w:val="00761699"/>
    <w:rsid w:val="007617DC"/>
    <w:rsid w:val="00761D40"/>
    <w:rsid w:val="00762242"/>
    <w:rsid w:val="00762A5A"/>
    <w:rsid w:val="00762AC9"/>
    <w:rsid w:val="0076371A"/>
    <w:rsid w:val="007652C1"/>
    <w:rsid w:val="00765F50"/>
    <w:rsid w:val="00766BA3"/>
    <w:rsid w:val="00766D79"/>
    <w:rsid w:val="00766EE4"/>
    <w:rsid w:val="00766FB9"/>
    <w:rsid w:val="00767079"/>
    <w:rsid w:val="0076796F"/>
    <w:rsid w:val="00767BAE"/>
    <w:rsid w:val="0077023E"/>
    <w:rsid w:val="00771A32"/>
    <w:rsid w:val="00771B4A"/>
    <w:rsid w:val="007721CA"/>
    <w:rsid w:val="00773909"/>
    <w:rsid w:val="007739E4"/>
    <w:rsid w:val="00773F40"/>
    <w:rsid w:val="007765D3"/>
    <w:rsid w:val="007775D2"/>
    <w:rsid w:val="00777FB2"/>
    <w:rsid w:val="00780967"/>
    <w:rsid w:val="00780DA6"/>
    <w:rsid w:val="007825EA"/>
    <w:rsid w:val="0078270F"/>
    <w:rsid w:val="00783453"/>
    <w:rsid w:val="00784B74"/>
    <w:rsid w:val="00784E3F"/>
    <w:rsid w:val="0078511A"/>
    <w:rsid w:val="0078554F"/>
    <w:rsid w:val="0078787F"/>
    <w:rsid w:val="0078797F"/>
    <w:rsid w:val="00790747"/>
    <w:rsid w:val="00790FEB"/>
    <w:rsid w:val="00792136"/>
    <w:rsid w:val="0079276D"/>
    <w:rsid w:val="00792829"/>
    <w:rsid w:val="007944D4"/>
    <w:rsid w:val="00794E3A"/>
    <w:rsid w:val="00796152"/>
    <w:rsid w:val="007961E1"/>
    <w:rsid w:val="00796FFC"/>
    <w:rsid w:val="0079722F"/>
    <w:rsid w:val="00797ADD"/>
    <w:rsid w:val="007A06D5"/>
    <w:rsid w:val="007A09DA"/>
    <w:rsid w:val="007A10E3"/>
    <w:rsid w:val="007A144D"/>
    <w:rsid w:val="007A25CD"/>
    <w:rsid w:val="007A2D90"/>
    <w:rsid w:val="007A3447"/>
    <w:rsid w:val="007A3A3D"/>
    <w:rsid w:val="007A58A8"/>
    <w:rsid w:val="007A5A33"/>
    <w:rsid w:val="007B0170"/>
    <w:rsid w:val="007B04C4"/>
    <w:rsid w:val="007B0A22"/>
    <w:rsid w:val="007B1C93"/>
    <w:rsid w:val="007B2F79"/>
    <w:rsid w:val="007B3595"/>
    <w:rsid w:val="007B4248"/>
    <w:rsid w:val="007B59CE"/>
    <w:rsid w:val="007B65C4"/>
    <w:rsid w:val="007B7138"/>
    <w:rsid w:val="007B7623"/>
    <w:rsid w:val="007B79DC"/>
    <w:rsid w:val="007C0044"/>
    <w:rsid w:val="007C0F47"/>
    <w:rsid w:val="007C1681"/>
    <w:rsid w:val="007C3C65"/>
    <w:rsid w:val="007C44C8"/>
    <w:rsid w:val="007C469A"/>
    <w:rsid w:val="007C531D"/>
    <w:rsid w:val="007C640D"/>
    <w:rsid w:val="007D0249"/>
    <w:rsid w:val="007D0899"/>
    <w:rsid w:val="007D1B06"/>
    <w:rsid w:val="007D2671"/>
    <w:rsid w:val="007D2AB8"/>
    <w:rsid w:val="007D3991"/>
    <w:rsid w:val="007D3F5A"/>
    <w:rsid w:val="007D41A1"/>
    <w:rsid w:val="007D4BC6"/>
    <w:rsid w:val="007D4CD4"/>
    <w:rsid w:val="007D5245"/>
    <w:rsid w:val="007D5294"/>
    <w:rsid w:val="007D52BE"/>
    <w:rsid w:val="007E03B1"/>
    <w:rsid w:val="007E044B"/>
    <w:rsid w:val="007E06C9"/>
    <w:rsid w:val="007E0C21"/>
    <w:rsid w:val="007E0F82"/>
    <w:rsid w:val="007E10E3"/>
    <w:rsid w:val="007E3CD2"/>
    <w:rsid w:val="007E4680"/>
    <w:rsid w:val="007E4E3D"/>
    <w:rsid w:val="007E57D3"/>
    <w:rsid w:val="007E5916"/>
    <w:rsid w:val="007E5A69"/>
    <w:rsid w:val="007E5C0D"/>
    <w:rsid w:val="007E5EC1"/>
    <w:rsid w:val="007E6EDE"/>
    <w:rsid w:val="007E7364"/>
    <w:rsid w:val="007E753D"/>
    <w:rsid w:val="007E7866"/>
    <w:rsid w:val="007F106A"/>
    <w:rsid w:val="007F1116"/>
    <w:rsid w:val="007F2D61"/>
    <w:rsid w:val="007F3684"/>
    <w:rsid w:val="007F3B2C"/>
    <w:rsid w:val="007F3F46"/>
    <w:rsid w:val="007F4752"/>
    <w:rsid w:val="007F4BE7"/>
    <w:rsid w:val="007F4DC2"/>
    <w:rsid w:val="007F5059"/>
    <w:rsid w:val="00800297"/>
    <w:rsid w:val="008002AA"/>
    <w:rsid w:val="00801ACB"/>
    <w:rsid w:val="00801EB5"/>
    <w:rsid w:val="00802041"/>
    <w:rsid w:val="008024DD"/>
    <w:rsid w:val="0080254E"/>
    <w:rsid w:val="0080340B"/>
    <w:rsid w:val="00804490"/>
    <w:rsid w:val="008046AB"/>
    <w:rsid w:val="008050BF"/>
    <w:rsid w:val="0080531B"/>
    <w:rsid w:val="00805886"/>
    <w:rsid w:val="00805FAC"/>
    <w:rsid w:val="00805FE8"/>
    <w:rsid w:val="00806B95"/>
    <w:rsid w:val="00811A72"/>
    <w:rsid w:val="0081296C"/>
    <w:rsid w:val="008133AF"/>
    <w:rsid w:val="008134FA"/>
    <w:rsid w:val="00814347"/>
    <w:rsid w:val="008150A5"/>
    <w:rsid w:val="00815F96"/>
    <w:rsid w:val="008162D7"/>
    <w:rsid w:val="00816324"/>
    <w:rsid w:val="00816B66"/>
    <w:rsid w:val="00817F54"/>
    <w:rsid w:val="00821C23"/>
    <w:rsid w:val="00821D3B"/>
    <w:rsid w:val="00821E4C"/>
    <w:rsid w:val="00821F03"/>
    <w:rsid w:val="00822B5D"/>
    <w:rsid w:val="00822C6C"/>
    <w:rsid w:val="00823581"/>
    <w:rsid w:val="00823614"/>
    <w:rsid w:val="0082463C"/>
    <w:rsid w:val="00825048"/>
    <w:rsid w:val="00825088"/>
    <w:rsid w:val="008258B2"/>
    <w:rsid w:val="00825B3A"/>
    <w:rsid w:val="00825D69"/>
    <w:rsid w:val="008266C6"/>
    <w:rsid w:val="0082765B"/>
    <w:rsid w:val="0082778F"/>
    <w:rsid w:val="008278F0"/>
    <w:rsid w:val="00827EC9"/>
    <w:rsid w:val="008305EE"/>
    <w:rsid w:val="00830C6D"/>
    <w:rsid w:val="00830EB9"/>
    <w:rsid w:val="008312A7"/>
    <w:rsid w:val="008319F4"/>
    <w:rsid w:val="00831E8C"/>
    <w:rsid w:val="00832072"/>
    <w:rsid w:val="008321ED"/>
    <w:rsid w:val="0083287C"/>
    <w:rsid w:val="008343C9"/>
    <w:rsid w:val="00836C9E"/>
    <w:rsid w:val="00837436"/>
    <w:rsid w:val="008403D1"/>
    <w:rsid w:val="008421E0"/>
    <w:rsid w:val="008427E7"/>
    <w:rsid w:val="00842981"/>
    <w:rsid w:val="008449A2"/>
    <w:rsid w:val="00844A86"/>
    <w:rsid w:val="008474FF"/>
    <w:rsid w:val="00847CA0"/>
    <w:rsid w:val="00847F29"/>
    <w:rsid w:val="00850DB3"/>
    <w:rsid w:val="008521B1"/>
    <w:rsid w:val="008527A8"/>
    <w:rsid w:val="0085298D"/>
    <w:rsid w:val="00852EE5"/>
    <w:rsid w:val="0085336A"/>
    <w:rsid w:val="00853664"/>
    <w:rsid w:val="0085424A"/>
    <w:rsid w:val="0085532A"/>
    <w:rsid w:val="008553A7"/>
    <w:rsid w:val="0085603D"/>
    <w:rsid w:val="00856363"/>
    <w:rsid w:val="0085656C"/>
    <w:rsid w:val="00857C63"/>
    <w:rsid w:val="00860408"/>
    <w:rsid w:val="00860CF9"/>
    <w:rsid w:val="00861DB0"/>
    <w:rsid w:val="00862382"/>
    <w:rsid w:val="00862CD8"/>
    <w:rsid w:val="00864A20"/>
    <w:rsid w:val="00864DE5"/>
    <w:rsid w:val="008651E8"/>
    <w:rsid w:val="0086539D"/>
    <w:rsid w:val="00866748"/>
    <w:rsid w:val="00866750"/>
    <w:rsid w:val="00867154"/>
    <w:rsid w:val="00867AF5"/>
    <w:rsid w:val="00867CFC"/>
    <w:rsid w:val="008701C2"/>
    <w:rsid w:val="008701CE"/>
    <w:rsid w:val="008706FE"/>
    <w:rsid w:val="00871033"/>
    <w:rsid w:val="00873297"/>
    <w:rsid w:val="00873D4F"/>
    <w:rsid w:val="00874659"/>
    <w:rsid w:val="00874692"/>
    <w:rsid w:val="008748E1"/>
    <w:rsid w:val="00876599"/>
    <w:rsid w:val="00880723"/>
    <w:rsid w:val="008824AB"/>
    <w:rsid w:val="00882F62"/>
    <w:rsid w:val="00883A09"/>
    <w:rsid w:val="008844F3"/>
    <w:rsid w:val="008848CE"/>
    <w:rsid w:val="00884904"/>
    <w:rsid w:val="00884E53"/>
    <w:rsid w:val="008850C4"/>
    <w:rsid w:val="00885DDB"/>
    <w:rsid w:val="00885EC1"/>
    <w:rsid w:val="00885FCB"/>
    <w:rsid w:val="00886D1D"/>
    <w:rsid w:val="00886E5E"/>
    <w:rsid w:val="0088711A"/>
    <w:rsid w:val="0088791A"/>
    <w:rsid w:val="00890508"/>
    <w:rsid w:val="00890707"/>
    <w:rsid w:val="00890C6E"/>
    <w:rsid w:val="0089236F"/>
    <w:rsid w:val="00892546"/>
    <w:rsid w:val="00892719"/>
    <w:rsid w:val="00892763"/>
    <w:rsid w:val="00892A62"/>
    <w:rsid w:val="008932F3"/>
    <w:rsid w:val="00894614"/>
    <w:rsid w:val="00894638"/>
    <w:rsid w:val="008951BC"/>
    <w:rsid w:val="008955F4"/>
    <w:rsid w:val="0089603C"/>
    <w:rsid w:val="008966FC"/>
    <w:rsid w:val="00896704"/>
    <w:rsid w:val="008977BB"/>
    <w:rsid w:val="008A0436"/>
    <w:rsid w:val="008A09B1"/>
    <w:rsid w:val="008A19C1"/>
    <w:rsid w:val="008A2F68"/>
    <w:rsid w:val="008A3079"/>
    <w:rsid w:val="008A3AA1"/>
    <w:rsid w:val="008A3C0E"/>
    <w:rsid w:val="008A4500"/>
    <w:rsid w:val="008A4701"/>
    <w:rsid w:val="008A4B93"/>
    <w:rsid w:val="008A4E34"/>
    <w:rsid w:val="008A533D"/>
    <w:rsid w:val="008A5676"/>
    <w:rsid w:val="008A5E72"/>
    <w:rsid w:val="008A5FCA"/>
    <w:rsid w:val="008B1A79"/>
    <w:rsid w:val="008B2151"/>
    <w:rsid w:val="008B22DC"/>
    <w:rsid w:val="008B2910"/>
    <w:rsid w:val="008B2CBD"/>
    <w:rsid w:val="008B30D1"/>
    <w:rsid w:val="008B4C8A"/>
    <w:rsid w:val="008B5353"/>
    <w:rsid w:val="008B6077"/>
    <w:rsid w:val="008B64E3"/>
    <w:rsid w:val="008B7380"/>
    <w:rsid w:val="008B7DAD"/>
    <w:rsid w:val="008B7F7F"/>
    <w:rsid w:val="008C05FD"/>
    <w:rsid w:val="008C0790"/>
    <w:rsid w:val="008C192B"/>
    <w:rsid w:val="008C2AE9"/>
    <w:rsid w:val="008C39E8"/>
    <w:rsid w:val="008C4298"/>
    <w:rsid w:val="008C4661"/>
    <w:rsid w:val="008C488E"/>
    <w:rsid w:val="008C4B20"/>
    <w:rsid w:val="008C52DE"/>
    <w:rsid w:val="008C556F"/>
    <w:rsid w:val="008C5E18"/>
    <w:rsid w:val="008C6619"/>
    <w:rsid w:val="008C694D"/>
    <w:rsid w:val="008C6A5F"/>
    <w:rsid w:val="008C6A80"/>
    <w:rsid w:val="008C6E75"/>
    <w:rsid w:val="008D0529"/>
    <w:rsid w:val="008D1B5C"/>
    <w:rsid w:val="008D1F8B"/>
    <w:rsid w:val="008D2BD5"/>
    <w:rsid w:val="008D3401"/>
    <w:rsid w:val="008D3586"/>
    <w:rsid w:val="008D3C0B"/>
    <w:rsid w:val="008D4599"/>
    <w:rsid w:val="008D51C0"/>
    <w:rsid w:val="008D59D0"/>
    <w:rsid w:val="008D5A65"/>
    <w:rsid w:val="008D6386"/>
    <w:rsid w:val="008D66BC"/>
    <w:rsid w:val="008D6F00"/>
    <w:rsid w:val="008D72B8"/>
    <w:rsid w:val="008D753F"/>
    <w:rsid w:val="008E0892"/>
    <w:rsid w:val="008E0A3F"/>
    <w:rsid w:val="008E0D61"/>
    <w:rsid w:val="008E1B0D"/>
    <w:rsid w:val="008E1F4A"/>
    <w:rsid w:val="008E224C"/>
    <w:rsid w:val="008E2AF2"/>
    <w:rsid w:val="008E2D40"/>
    <w:rsid w:val="008E322F"/>
    <w:rsid w:val="008E3335"/>
    <w:rsid w:val="008E494B"/>
    <w:rsid w:val="008E50A4"/>
    <w:rsid w:val="008E52C2"/>
    <w:rsid w:val="008E55CE"/>
    <w:rsid w:val="008E5DCC"/>
    <w:rsid w:val="008F098F"/>
    <w:rsid w:val="008F0C75"/>
    <w:rsid w:val="008F18D6"/>
    <w:rsid w:val="008F1AA6"/>
    <w:rsid w:val="008F37D7"/>
    <w:rsid w:val="008F391B"/>
    <w:rsid w:val="008F6C8A"/>
    <w:rsid w:val="008F7562"/>
    <w:rsid w:val="00900B42"/>
    <w:rsid w:val="00902C63"/>
    <w:rsid w:val="00903FA3"/>
    <w:rsid w:val="00904668"/>
    <w:rsid w:val="0090513B"/>
    <w:rsid w:val="0090552E"/>
    <w:rsid w:val="00906540"/>
    <w:rsid w:val="00906CA3"/>
    <w:rsid w:val="00906E65"/>
    <w:rsid w:val="00907014"/>
    <w:rsid w:val="00907A66"/>
    <w:rsid w:val="00911856"/>
    <w:rsid w:val="009124D3"/>
    <w:rsid w:val="009148E3"/>
    <w:rsid w:val="0091689B"/>
    <w:rsid w:val="00916A36"/>
    <w:rsid w:val="00917262"/>
    <w:rsid w:val="00917666"/>
    <w:rsid w:val="009206BD"/>
    <w:rsid w:val="009208A2"/>
    <w:rsid w:val="009218D1"/>
    <w:rsid w:val="00921A85"/>
    <w:rsid w:val="00922130"/>
    <w:rsid w:val="00922BE3"/>
    <w:rsid w:val="009238A8"/>
    <w:rsid w:val="00923DAF"/>
    <w:rsid w:val="00924313"/>
    <w:rsid w:val="00924C08"/>
    <w:rsid w:val="00924DA3"/>
    <w:rsid w:val="0092506C"/>
    <w:rsid w:val="0092513C"/>
    <w:rsid w:val="00925B5C"/>
    <w:rsid w:val="00925D8B"/>
    <w:rsid w:val="00926077"/>
    <w:rsid w:val="00926358"/>
    <w:rsid w:val="009264B0"/>
    <w:rsid w:val="009269FB"/>
    <w:rsid w:val="009317B9"/>
    <w:rsid w:val="00932ED7"/>
    <w:rsid w:val="00932F31"/>
    <w:rsid w:val="0093315F"/>
    <w:rsid w:val="009339B5"/>
    <w:rsid w:val="00933BC5"/>
    <w:rsid w:val="009340AF"/>
    <w:rsid w:val="009341AF"/>
    <w:rsid w:val="00934F2C"/>
    <w:rsid w:val="00935FAF"/>
    <w:rsid w:val="00936032"/>
    <w:rsid w:val="0093639C"/>
    <w:rsid w:val="0094060A"/>
    <w:rsid w:val="00940824"/>
    <w:rsid w:val="00941019"/>
    <w:rsid w:val="0094101C"/>
    <w:rsid w:val="0094108F"/>
    <w:rsid w:val="00941202"/>
    <w:rsid w:val="00942015"/>
    <w:rsid w:val="00942D73"/>
    <w:rsid w:val="00943206"/>
    <w:rsid w:val="00943967"/>
    <w:rsid w:val="00944164"/>
    <w:rsid w:val="00944667"/>
    <w:rsid w:val="00944871"/>
    <w:rsid w:val="009455AC"/>
    <w:rsid w:val="009460D0"/>
    <w:rsid w:val="00946CA0"/>
    <w:rsid w:val="00946F15"/>
    <w:rsid w:val="00947E27"/>
    <w:rsid w:val="00950795"/>
    <w:rsid w:val="0095085E"/>
    <w:rsid w:val="00950E46"/>
    <w:rsid w:val="009511DC"/>
    <w:rsid w:val="00951616"/>
    <w:rsid w:val="00952889"/>
    <w:rsid w:val="00952DD9"/>
    <w:rsid w:val="00952DEE"/>
    <w:rsid w:val="00952E29"/>
    <w:rsid w:val="00952F2F"/>
    <w:rsid w:val="009537B8"/>
    <w:rsid w:val="00953E17"/>
    <w:rsid w:val="00954F13"/>
    <w:rsid w:val="00954F34"/>
    <w:rsid w:val="009554A8"/>
    <w:rsid w:val="00955D90"/>
    <w:rsid w:val="00956381"/>
    <w:rsid w:val="00956915"/>
    <w:rsid w:val="009573FD"/>
    <w:rsid w:val="00960F5C"/>
    <w:rsid w:val="009612C6"/>
    <w:rsid w:val="009621F5"/>
    <w:rsid w:val="0096360A"/>
    <w:rsid w:val="00963692"/>
    <w:rsid w:val="009636D8"/>
    <w:rsid w:val="00964813"/>
    <w:rsid w:val="00965715"/>
    <w:rsid w:val="0096614D"/>
    <w:rsid w:val="00966186"/>
    <w:rsid w:val="009669EF"/>
    <w:rsid w:val="00966AC1"/>
    <w:rsid w:val="00966CD2"/>
    <w:rsid w:val="0096787A"/>
    <w:rsid w:val="00967CC4"/>
    <w:rsid w:val="00970589"/>
    <w:rsid w:val="00970736"/>
    <w:rsid w:val="00970EFC"/>
    <w:rsid w:val="00971DA3"/>
    <w:rsid w:val="00972110"/>
    <w:rsid w:val="009724BD"/>
    <w:rsid w:val="00972BFD"/>
    <w:rsid w:val="00972D04"/>
    <w:rsid w:val="00972D26"/>
    <w:rsid w:val="00972ECA"/>
    <w:rsid w:val="0097348A"/>
    <w:rsid w:val="0098045A"/>
    <w:rsid w:val="0098045B"/>
    <w:rsid w:val="00980546"/>
    <w:rsid w:val="00981567"/>
    <w:rsid w:val="00981EA7"/>
    <w:rsid w:val="0098398F"/>
    <w:rsid w:val="00983FC4"/>
    <w:rsid w:val="009847DD"/>
    <w:rsid w:val="00984818"/>
    <w:rsid w:val="00984A82"/>
    <w:rsid w:val="00984C4D"/>
    <w:rsid w:val="00984FD6"/>
    <w:rsid w:val="0098556E"/>
    <w:rsid w:val="0098616B"/>
    <w:rsid w:val="009862CC"/>
    <w:rsid w:val="009865C9"/>
    <w:rsid w:val="00986989"/>
    <w:rsid w:val="00986A13"/>
    <w:rsid w:val="00987222"/>
    <w:rsid w:val="00987DF7"/>
    <w:rsid w:val="00990A27"/>
    <w:rsid w:val="009916D0"/>
    <w:rsid w:val="00991791"/>
    <w:rsid w:val="009934A9"/>
    <w:rsid w:val="009952B4"/>
    <w:rsid w:val="0099594A"/>
    <w:rsid w:val="009959F2"/>
    <w:rsid w:val="00995B8E"/>
    <w:rsid w:val="00996240"/>
    <w:rsid w:val="009962D2"/>
    <w:rsid w:val="00996A4E"/>
    <w:rsid w:val="00997593"/>
    <w:rsid w:val="0099781C"/>
    <w:rsid w:val="009A075F"/>
    <w:rsid w:val="009A1B61"/>
    <w:rsid w:val="009A2086"/>
    <w:rsid w:val="009A21E2"/>
    <w:rsid w:val="009A2484"/>
    <w:rsid w:val="009A302A"/>
    <w:rsid w:val="009A5741"/>
    <w:rsid w:val="009A589B"/>
    <w:rsid w:val="009A5B85"/>
    <w:rsid w:val="009A6984"/>
    <w:rsid w:val="009A6BB3"/>
    <w:rsid w:val="009A7106"/>
    <w:rsid w:val="009A7892"/>
    <w:rsid w:val="009B0D41"/>
    <w:rsid w:val="009B1327"/>
    <w:rsid w:val="009B164F"/>
    <w:rsid w:val="009B28D6"/>
    <w:rsid w:val="009B2C77"/>
    <w:rsid w:val="009B3914"/>
    <w:rsid w:val="009B3F11"/>
    <w:rsid w:val="009B40A7"/>
    <w:rsid w:val="009B439D"/>
    <w:rsid w:val="009B4BBB"/>
    <w:rsid w:val="009B4C38"/>
    <w:rsid w:val="009B5F38"/>
    <w:rsid w:val="009B5F49"/>
    <w:rsid w:val="009B7C4E"/>
    <w:rsid w:val="009B7CD4"/>
    <w:rsid w:val="009C01DD"/>
    <w:rsid w:val="009C02FF"/>
    <w:rsid w:val="009C0B32"/>
    <w:rsid w:val="009C110C"/>
    <w:rsid w:val="009C15F5"/>
    <w:rsid w:val="009C20D6"/>
    <w:rsid w:val="009C3C53"/>
    <w:rsid w:val="009C3E6B"/>
    <w:rsid w:val="009C3F24"/>
    <w:rsid w:val="009C4809"/>
    <w:rsid w:val="009C4D73"/>
    <w:rsid w:val="009C4F94"/>
    <w:rsid w:val="009C56FE"/>
    <w:rsid w:val="009C5DF9"/>
    <w:rsid w:val="009C5FBD"/>
    <w:rsid w:val="009C6549"/>
    <w:rsid w:val="009C694C"/>
    <w:rsid w:val="009C7472"/>
    <w:rsid w:val="009D03C7"/>
    <w:rsid w:val="009D0970"/>
    <w:rsid w:val="009D0E87"/>
    <w:rsid w:val="009D1BE5"/>
    <w:rsid w:val="009D1CBD"/>
    <w:rsid w:val="009D2E7E"/>
    <w:rsid w:val="009D3CE6"/>
    <w:rsid w:val="009D3EB3"/>
    <w:rsid w:val="009D407B"/>
    <w:rsid w:val="009D446E"/>
    <w:rsid w:val="009D5103"/>
    <w:rsid w:val="009D5DCF"/>
    <w:rsid w:val="009D5FC1"/>
    <w:rsid w:val="009D6926"/>
    <w:rsid w:val="009D739B"/>
    <w:rsid w:val="009D751F"/>
    <w:rsid w:val="009D7C80"/>
    <w:rsid w:val="009D7EA2"/>
    <w:rsid w:val="009E0F10"/>
    <w:rsid w:val="009E2DBE"/>
    <w:rsid w:val="009E34C2"/>
    <w:rsid w:val="009E36CF"/>
    <w:rsid w:val="009E53F2"/>
    <w:rsid w:val="009E5B3B"/>
    <w:rsid w:val="009E6317"/>
    <w:rsid w:val="009E673C"/>
    <w:rsid w:val="009E6AA8"/>
    <w:rsid w:val="009E7FC3"/>
    <w:rsid w:val="009F0290"/>
    <w:rsid w:val="009F085B"/>
    <w:rsid w:val="009F0F3E"/>
    <w:rsid w:val="009F0FF5"/>
    <w:rsid w:val="009F1191"/>
    <w:rsid w:val="009F1417"/>
    <w:rsid w:val="009F295D"/>
    <w:rsid w:val="009F3010"/>
    <w:rsid w:val="009F31C0"/>
    <w:rsid w:val="009F35BF"/>
    <w:rsid w:val="009F3AC4"/>
    <w:rsid w:val="009F3B85"/>
    <w:rsid w:val="009F3BEC"/>
    <w:rsid w:val="009F41A4"/>
    <w:rsid w:val="009F4B79"/>
    <w:rsid w:val="009F61D7"/>
    <w:rsid w:val="009F6675"/>
    <w:rsid w:val="009F6739"/>
    <w:rsid w:val="009F69A9"/>
    <w:rsid w:val="00A00068"/>
    <w:rsid w:val="00A02EE9"/>
    <w:rsid w:val="00A03055"/>
    <w:rsid w:val="00A0313D"/>
    <w:rsid w:val="00A0367B"/>
    <w:rsid w:val="00A03949"/>
    <w:rsid w:val="00A0425B"/>
    <w:rsid w:val="00A0450B"/>
    <w:rsid w:val="00A04FEB"/>
    <w:rsid w:val="00A067FD"/>
    <w:rsid w:val="00A078E5"/>
    <w:rsid w:val="00A10054"/>
    <w:rsid w:val="00A10538"/>
    <w:rsid w:val="00A1056B"/>
    <w:rsid w:val="00A10A36"/>
    <w:rsid w:val="00A10C85"/>
    <w:rsid w:val="00A1107A"/>
    <w:rsid w:val="00A11605"/>
    <w:rsid w:val="00A1287B"/>
    <w:rsid w:val="00A14FD4"/>
    <w:rsid w:val="00A150D7"/>
    <w:rsid w:val="00A15493"/>
    <w:rsid w:val="00A157BF"/>
    <w:rsid w:val="00A1738E"/>
    <w:rsid w:val="00A175AF"/>
    <w:rsid w:val="00A17E81"/>
    <w:rsid w:val="00A2045D"/>
    <w:rsid w:val="00A207F2"/>
    <w:rsid w:val="00A20D2A"/>
    <w:rsid w:val="00A20E4C"/>
    <w:rsid w:val="00A21462"/>
    <w:rsid w:val="00A219F4"/>
    <w:rsid w:val="00A230B7"/>
    <w:rsid w:val="00A23565"/>
    <w:rsid w:val="00A26519"/>
    <w:rsid w:val="00A27F05"/>
    <w:rsid w:val="00A300D6"/>
    <w:rsid w:val="00A3018B"/>
    <w:rsid w:val="00A313F9"/>
    <w:rsid w:val="00A31940"/>
    <w:rsid w:val="00A31A7A"/>
    <w:rsid w:val="00A322B1"/>
    <w:rsid w:val="00A3256B"/>
    <w:rsid w:val="00A32F9B"/>
    <w:rsid w:val="00A33B73"/>
    <w:rsid w:val="00A33BBE"/>
    <w:rsid w:val="00A33C33"/>
    <w:rsid w:val="00A34E48"/>
    <w:rsid w:val="00A34F8A"/>
    <w:rsid w:val="00A35791"/>
    <w:rsid w:val="00A35E3E"/>
    <w:rsid w:val="00A360C6"/>
    <w:rsid w:val="00A36D13"/>
    <w:rsid w:val="00A3749E"/>
    <w:rsid w:val="00A408D9"/>
    <w:rsid w:val="00A411A3"/>
    <w:rsid w:val="00A4124E"/>
    <w:rsid w:val="00A42145"/>
    <w:rsid w:val="00A42962"/>
    <w:rsid w:val="00A433F9"/>
    <w:rsid w:val="00A44061"/>
    <w:rsid w:val="00A449D1"/>
    <w:rsid w:val="00A45044"/>
    <w:rsid w:val="00A45771"/>
    <w:rsid w:val="00A45829"/>
    <w:rsid w:val="00A45F38"/>
    <w:rsid w:val="00A47C96"/>
    <w:rsid w:val="00A5114D"/>
    <w:rsid w:val="00A51628"/>
    <w:rsid w:val="00A53DEF"/>
    <w:rsid w:val="00A54238"/>
    <w:rsid w:val="00A547CB"/>
    <w:rsid w:val="00A5532C"/>
    <w:rsid w:val="00A55529"/>
    <w:rsid w:val="00A555D4"/>
    <w:rsid w:val="00A55C71"/>
    <w:rsid w:val="00A55F50"/>
    <w:rsid w:val="00A5641E"/>
    <w:rsid w:val="00A56E9F"/>
    <w:rsid w:val="00A5702E"/>
    <w:rsid w:val="00A5732C"/>
    <w:rsid w:val="00A575A3"/>
    <w:rsid w:val="00A575CE"/>
    <w:rsid w:val="00A57886"/>
    <w:rsid w:val="00A6075B"/>
    <w:rsid w:val="00A619C5"/>
    <w:rsid w:val="00A61EB9"/>
    <w:rsid w:val="00A62443"/>
    <w:rsid w:val="00A624CE"/>
    <w:rsid w:val="00A62D3C"/>
    <w:rsid w:val="00A631E5"/>
    <w:rsid w:val="00A63BD3"/>
    <w:rsid w:val="00A64022"/>
    <w:rsid w:val="00A65059"/>
    <w:rsid w:val="00A65E02"/>
    <w:rsid w:val="00A667D4"/>
    <w:rsid w:val="00A67656"/>
    <w:rsid w:val="00A67FA4"/>
    <w:rsid w:val="00A707DF"/>
    <w:rsid w:val="00A70D3F"/>
    <w:rsid w:val="00A7176A"/>
    <w:rsid w:val="00A718C5"/>
    <w:rsid w:val="00A71B07"/>
    <w:rsid w:val="00A71B2E"/>
    <w:rsid w:val="00A72776"/>
    <w:rsid w:val="00A72BA8"/>
    <w:rsid w:val="00A72F26"/>
    <w:rsid w:val="00A73213"/>
    <w:rsid w:val="00A73650"/>
    <w:rsid w:val="00A737DF"/>
    <w:rsid w:val="00A73FC0"/>
    <w:rsid w:val="00A745D0"/>
    <w:rsid w:val="00A745F0"/>
    <w:rsid w:val="00A75559"/>
    <w:rsid w:val="00A756E1"/>
    <w:rsid w:val="00A76981"/>
    <w:rsid w:val="00A77AD4"/>
    <w:rsid w:val="00A80554"/>
    <w:rsid w:val="00A806B6"/>
    <w:rsid w:val="00A806E7"/>
    <w:rsid w:val="00A806F3"/>
    <w:rsid w:val="00A8456F"/>
    <w:rsid w:val="00A8459A"/>
    <w:rsid w:val="00A846F3"/>
    <w:rsid w:val="00A8494A"/>
    <w:rsid w:val="00A854D0"/>
    <w:rsid w:val="00A85543"/>
    <w:rsid w:val="00A85649"/>
    <w:rsid w:val="00A86270"/>
    <w:rsid w:val="00A862F8"/>
    <w:rsid w:val="00A86E08"/>
    <w:rsid w:val="00A9142E"/>
    <w:rsid w:val="00A9146D"/>
    <w:rsid w:val="00A91726"/>
    <w:rsid w:val="00A92D4A"/>
    <w:rsid w:val="00A93858"/>
    <w:rsid w:val="00A93997"/>
    <w:rsid w:val="00A93CF9"/>
    <w:rsid w:val="00A94ECD"/>
    <w:rsid w:val="00A95A1B"/>
    <w:rsid w:val="00A962B8"/>
    <w:rsid w:val="00A96C57"/>
    <w:rsid w:val="00A97D19"/>
    <w:rsid w:val="00AA00C3"/>
    <w:rsid w:val="00AA0577"/>
    <w:rsid w:val="00AA1C75"/>
    <w:rsid w:val="00AA1E1D"/>
    <w:rsid w:val="00AA2445"/>
    <w:rsid w:val="00AA279F"/>
    <w:rsid w:val="00AA2D1E"/>
    <w:rsid w:val="00AA2F1C"/>
    <w:rsid w:val="00AA2F71"/>
    <w:rsid w:val="00AA3078"/>
    <w:rsid w:val="00AA36ED"/>
    <w:rsid w:val="00AA474D"/>
    <w:rsid w:val="00AA4AB6"/>
    <w:rsid w:val="00AA53DC"/>
    <w:rsid w:val="00AA55D4"/>
    <w:rsid w:val="00AB0760"/>
    <w:rsid w:val="00AB12DF"/>
    <w:rsid w:val="00AB1466"/>
    <w:rsid w:val="00AB200A"/>
    <w:rsid w:val="00AB387C"/>
    <w:rsid w:val="00AB528F"/>
    <w:rsid w:val="00AB5E56"/>
    <w:rsid w:val="00AB5E7F"/>
    <w:rsid w:val="00AB5E99"/>
    <w:rsid w:val="00AB725F"/>
    <w:rsid w:val="00AB796E"/>
    <w:rsid w:val="00AB7B32"/>
    <w:rsid w:val="00AC0102"/>
    <w:rsid w:val="00AC0284"/>
    <w:rsid w:val="00AC11A1"/>
    <w:rsid w:val="00AC23A0"/>
    <w:rsid w:val="00AC3792"/>
    <w:rsid w:val="00AC3F64"/>
    <w:rsid w:val="00AC445B"/>
    <w:rsid w:val="00AC448B"/>
    <w:rsid w:val="00AC45E0"/>
    <w:rsid w:val="00AC4736"/>
    <w:rsid w:val="00AC57A5"/>
    <w:rsid w:val="00AC5A7A"/>
    <w:rsid w:val="00AC6556"/>
    <w:rsid w:val="00AC6C9C"/>
    <w:rsid w:val="00AC6EDE"/>
    <w:rsid w:val="00AD00EB"/>
    <w:rsid w:val="00AD0C83"/>
    <w:rsid w:val="00AD1041"/>
    <w:rsid w:val="00AD10FE"/>
    <w:rsid w:val="00AD124D"/>
    <w:rsid w:val="00AD20C9"/>
    <w:rsid w:val="00AD213F"/>
    <w:rsid w:val="00AD256D"/>
    <w:rsid w:val="00AD2B07"/>
    <w:rsid w:val="00AD3028"/>
    <w:rsid w:val="00AD4C50"/>
    <w:rsid w:val="00AD5D15"/>
    <w:rsid w:val="00AD5F3E"/>
    <w:rsid w:val="00AD64BC"/>
    <w:rsid w:val="00AD7602"/>
    <w:rsid w:val="00AE0854"/>
    <w:rsid w:val="00AE216F"/>
    <w:rsid w:val="00AE3380"/>
    <w:rsid w:val="00AE3ACC"/>
    <w:rsid w:val="00AE3D51"/>
    <w:rsid w:val="00AE42E3"/>
    <w:rsid w:val="00AE4338"/>
    <w:rsid w:val="00AE4876"/>
    <w:rsid w:val="00AE55DE"/>
    <w:rsid w:val="00AE6620"/>
    <w:rsid w:val="00AE67A5"/>
    <w:rsid w:val="00AE79F7"/>
    <w:rsid w:val="00AE7B6E"/>
    <w:rsid w:val="00AF070C"/>
    <w:rsid w:val="00AF13F3"/>
    <w:rsid w:val="00AF1B97"/>
    <w:rsid w:val="00AF28D1"/>
    <w:rsid w:val="00AF2CD2"/>
    <w:rsid w:val="00AF3339"/>
    <w:rsid w:val="00AF33FA"/>
    <w:rsid w:val="00AF340E"/>
    <w:rsid w:val="00AF39BF"/>
    <w:rsid w:val="00AF4583"/>
    <w:rsid w:val="00AF57F6"/>
    <w:rsid w:val="00AF6F5F"/>
    <w:rsid w:val="00AF6FE1"/>
    <w:rsid w:val="00AF7543"/>
    <w:rsid w:val="00AF7F64"/>
    <w:rsid w:val="00B0044D"/>
    <w:rsid w:val="00B00543"/>
    <w:rsid w:val="00B00A36"/>
    <w:rsid w:val="00B014F5"/>
    <w:rsid w:val="00B01575"/>
    <w:rsid w:val="00B01B62"/>
    <w:rsid w:val="00B02453"/>
    <w:rsid w:val="00B0269F"/>
    <w:rsid w:val="00B02776"/>
    <w:rsid w:val="00B034B6"/>
    <w:rsid w:val="00B034EB"/>
    <w:rsid w:val="00B03B42"/>
    <w:rsid w:val="00B03CC3"/>
    <w:rsid w:val="00B03DC7"/>
    <w:rsid w:val="00B04287"/>
    <w:rsid w:val="00B049C5"/>
    <w:rsid w:val="00B05605"/>
    <w:rsid w:val="00B060B1"/>
    <w:rsid w:val="00B06A3B"/>
    <w:rsid w:val="00B07A14"/>
    <w:rsid w:val="00B07EF5"/>
    <w:rsid w:val="00B10CE3"/>
    <w:rsid w:val="00B10FE0"/>
    <w:rsid w:val="00B12B9F"/>
    <w:rsid w:val="00B14277"/>
    <w:rsid w:val="00B14ABB"/>
    <w:rsid w:val="00B1703F"/>
    <w:rsid w:val="00B173B0"/>
    <w:rsid w:val="00B17410"/>
    <w:rsid w:val="00B175D1"/>
    <w:rsid w:val="00B17803"/>
    <w:rsid w:val="00B21184"/>
    <w:rsid w:val="00B2146C"/>
    <w:rsid w:val="00B22005"/>
    <w:rsid w:val="00B23505"/>
    <w:rsid w:val="00B246C8"/>
    <w:rsid w:val="00B248BE"/>
    <w:rsid w:val="00B24ED8"/>
    <w:rsid w:val="00B255D1"/>
    <w:rsid w:val="00B25945"/>
    <w:rsid w:val="00B27492"/>
    <w:rsid w:val="00B27DE7"/>
    <w:rsid w:val="00B308B2"/>
    <w:rsid w:val="00B30D1E"/>
    <w:rsid w:val="00B30E14"/>
    <w:rsid w:val="00B32155"/>
    <w:rsid w:val="00B327A2"/>
    <w:rsid w:val="00B331DB"/>
    <w:rsid w:val="00B335D8"/>
    <w:rsid w:val="00B34EE0"/>
    <w:rsid w:val="00B35862"/>
    <w:rsid w:val="00B35E12"/>
    <w:rsid w:val="00B35F5E"/>
    <w:rsid w:val="00B36F92"/>
    <w:rsid w:val="00B371EB"/>
    <w:rsid w:val="00B37AEB"/>
    <w:rsid w:val="00B37D7B"/>
    <w:rsid w:val="00B37EC0"/>
    <w:rsid w:val="00B40945"/>
    <w:rsid w:val="00B41305"/>
    <w:rsid w:val="00B41835"/>
    <w:rsid w:val="00B41905"/>
    <w:rsid w:val="00B438C3"/>
    <w:rsid w:val="00B44136"/>
    <w:rsid w:val="00B44BAA"/>
    <w:rsid w:val="00B44C31"/>
    <w:rsid w:val="00B457AC"/>
    <w:rsid w:val="00B462FC"/>
    <w:rsid w:val="00B465A8"/>
    <w:rsid w:val="00B50153"/>
    <w:rsid w:val="00B501F1"/>
    <w:rsid w:val="00B50A2D"/>
    <w:rsid w:val="00B50A88"/>
    <w:rsid w:val="00B50D66"/>
    <w:rsid w:val="00B51277"/>
    <w:rsid w:val="00B51A46"/>
    <w:rsid w:val="00B51B09"/>
    <w:rsid w:val="00B53053"/>
    <w:rsid w:val="00B539B7"/>
    <w:rsid w:val="00B54E8A"/>
    <w:rsid w:val="00B554C0"/>
    <w:rsid w:val="00B5684F"/>
    <w:rsid w:val="00B56DA5"/>
    <w:rsid w:val="00B56DB8"/>
    <w:rsid w:val="00B572BD"/>
    <w:rsid w:val="00B57471"/>
    <w:rsid w:val="00B57780"/>
    <w:rsid w:val="00B6016E"/>
    <w:rsid w:val="00B60442"/>
    <w:rsid w:val="00B60562"/>
    <w:rsid w:val="00B61289"/>
    <w:rsid w:val="00B612FD"/>
    <w:rsid w:val="00B61D10"/>
    <w:rsid w:val="00B61E17"/>
    <w:rsid w:val="00B62E1F"/>
    <w:rsid w:val="00B63185"/>
    <w:rsid w:val="00B6455F"/>
    <w:rsid w:val="00B64B2D"/>
    <w:rsid w:val="00B650A5"/>
    <w:rsid w:val="00B67A73"/>
    <w:rsid w:val="00B701C9"/>
    <w:rsid w:val="00B71252"/>
    <w:rsid w:val="00B7148A"/>
    <w:rsid w:val="00B72852"/>
    <w:rsid w:val="00B72D89"/>
    <w:rsid w:val="00B73062"/>
    <w:rsid w:val="00B73C6C"/>
    <w:rsid w:val="00B7561A"/>
    <w:rsid w:val="00B76186"/>
    <w:rsid w:val="00B76910"/>
    <w:rsid w:val="00B771B1"/>
    <w:rsid w:val="00B7749D"/>
    <w:rsid w:val="00B77E95"/>
    <w:rsid w:val="00B808D1"/>
    <w:rsid w:val="00B80EF9"/>
    <w:rsid w:val="00B80F63"/>
    <w:rsid w:val="00B81980"/>
    <w:rsid w:val="00B83366"/>
    <w:rsid w:val="00B83CC4"/>
    <w:rsid w:val="00B83E7E"/>
    <w:rsid w:val="00B84524"/>
    <w:rsid w:val="00B84C5E"/>
    <w:rsid w:val="00B8709F"/>
    <w:rsid w:val="00B87720"/>
    <w:rsid w:val="00B910E4"/>
    <w:rsid w:val="00B913E4"/>
    <w:rsid w:val="00B91B31"/>
    <w:rsid w:val="00B92D48"/>
    <w:rsid w:val="00B93439"/>
    <w:rsid w:val="00B93CE7"/>
    <w:rsid w:val="00B94450"/>
    <w:rsid w:val="00B95258"/>
    <w:rsid w:val="00B9539C"/>
    <w:rsid w:val="00B95652"/>
    <w:rsid w:val="00B95656"/>
    <w:rsid w:val="00B95AD8"/>
    <w:rsid w:val="00B95D5F"/>
    <w:rsid w:val="00B96E31"/>
    <w:rsid w:val="00B975A0"/>
    <w:rsid w:val="00BA09DF"/>
    <w:rsid w:val="00BA0ADC"/>
    <w:rsid w:val="00BA1583"/>
    <w:rsid w:val="00BA16CE"/>
    <w:rsid w:val="00BA1C27"/>
    <w:rsid w:val="00BA1C33"/>
    <w:rsid w:val="00BA2003"/>
    <w:rsid w:val="00BA27E2"/>
    <w:rsid w:val="00BA2ED0"/>
    <w:rsid w:val="00BA398C"/>
    <w:rsid w:val="00BA4BDF"/>
    <w:rsid w:val="00BA5028"/>
    <w:rsid w:val="00BA508B"/>
    <w:rsid w:val="00BA586C"/>
    <w:rsid w:val="00BA5F7B"/>
    <w:rsid w:val="00BA7623"/>
    <w:rsid w:val="00BA787E"/>
    <w:rsid w:val="00BA79ED"/>
    <w:rsid w:val="00BB05FC"/>
    <w:rsid w:val="00BB0F54"/>
    <w:rsid w:val="00BB1C35"/>
    <w:rsid w:val="00BB24AD"/>
    <w:rsid w:val="00BB2A60"/>
    <w:rsid w:val="00BB2B0F"/>
    <w:rsid w:val="00BB388A"/>
    <w:rsid w:val="00BB4ACB"/>
    <w:rsid w:val="00BB766C"/>
    <w:rsid w:val="00BB7E3E"/>
    <w:rsid w:val="00BC01CF"/>
    <w:rsid w:val="00BC01E5"/>
    <w:rsid w:val="00BC0FDF"/>
    <w:rsid w:val="00BC10BC"/>
    <w:rsid w:val="00BC10C8"/>
    <w:rsid w:val="00BC146C"/>
    <w:rsid w:val="00BC165A"/>
    <w:rsid w:val="00BC1F8F"/>
    <w:rsid w:val="00BC238E"/>
    <w:rsid w:val="00BC302A"/>
    <w:rsid w:val="00BC4045"/>
    <w:rsid w:val="00BC4235"/>
    <w:rsid w:val="00BC4448"/>
    <w:rsid w:val="00BC550A"/>
    <w:rsid w:val="00BC5C00"/>
    <w:rsid w:val="00BC6E14"/>
    <w:rsid w:val="00BC7EC9"/>
    <w:rsid w:val="00BC7EDD"/>
    <w:rsid w:val="00BD0940"/>
    <w:rsid w:val="00BD19C5"/>
    <w:rsid w:val="00BD25BE"/>
    <w:rsid w:val="00BD3F62"/>
    <w:rsid w:val="00BD4309"/>
    <w:rsid w:val="00BD4359"/>
    <w:rsid w:val="00BD4AC9"/>
    <w:rsid w:val="00BD5271"/>
    <w:rsid w:val="00BD5EA1"/>
    <w:rsid w:val="00BD6353"/>
    <w:rsid w:val="00BD66B1"/>
    <w:rsid w:val="00BD7490"/>
    <w:rsid w:val="00BD75C6"/>
    <w:rsid w:val="00BD79E5"/>
    <w:rsid w:val="00BE17AB"/>
    <w:rsid w:val="00BE1950"/>
    <w:rsid w:val="00BE1E71"/>
    <w:rsid w:val="00BE2527"/>
    <w:rsid w:val="00BE2A93"/>
    <w:rsid w:val="00BE2EE2"/>
    <w:rsid w:val="00BE34DE"/>
    <w:rsid w:val="00BE44AE"/>
    <w:rsid w:val="00BE47B3"/>
    <w:rsid w:val="00BE4869"/>
    <w:rsid w:val="00BE4B23"/>
    <w:rsid w:val="00BE6866"/>
    <w:rsid w:val="00BE77BD"/>
    <w:rsid w:val="00BE7DB1"/>
    <w:rsid w:val="00BF0259"/>
    <w:rsid w:val="00BF03B0"/>
    <w:rsid w:val="00BF0427"/>
    <w:rsid w:val="00BF052C"/>
    <w:rsid w:val="00BF2960"/>
    <w:rsid w:val="00BF3D54"/>
    <w:rsid w:val="00BF3DE5"/>
    <w:rsid w:val="00BF462D"/>
    <w:rsid w:val="00BF4DBD"/>
    <w:rsid w:val="00BF4FF3"/>
    <w:rsid w:val="00BF5FBD"/>
    <w:rsid w:val="00BF6419"/>
    <w:rsid w:val="00BF66EE"/>
    <w:rsid w:val="00BF6E96"/>
    <w:rsid w:val="00BF7A2C"/>
    <w:rsid w:val="00C008F9"/>
    <w:rsid w:val="00C0156C"/>
    <w:rsid w:val="00C01BD3"/>
    <w:rsid w:val="00C022FB"/>
    <w:rsid w:val="00C02925"/>
    <w:rsid w:val="00C02DF5"/>
    <w:rsid w:val="00C02E3D"/>
    <w:rsid w:val="00C02ED8"/>
    <w:rsid w:val="00C02F63"/>
    <w:rsid w:val="00C047D6"/>
    <w:rsid w:val="00C04B48"/>
    <w:rsid w:val="00C04FCC"/>
    <w:rsid w:val="00C052C5"/>
    <w:rsid w:val="00C057F1"/>
    <w:rsid w:val="00C05D75"/>
    <w:rsid w:val="00C0612B"/>
    <w:rsid w:val="00C07020"/>
    <w:rsid w:val="00C071EB"/>
    <w:rsid w:val="00C07DEE"/>
    <w:rsid w:val="00C101B5"/>
    <w:rsid w:val="00C10F42"/>
    <w:rsid w:val="00C113FF"/>
    <w:rsid w:val="00C11FD9"/>
    <w:rsid w:val="00C1236C"/>
    <w:rsid w:val="00C126B5"/>
    <w:rsid w:val="00C12F5A"/>
    <w:rsid w:val="00C1334B"/>
    <w:rsid w:val="00C142A5"/>
    <w:rsid w:val="00C1444B"/>
    <w:rsid w:val="00C1453F"/>
    <w:rsid w:val="00C16A90"/>
    <w:rsid w:val="00C16EB5"/>
    <w:rsid w:val="00C20B42"/>
    <w:rsid w:val="00C2114C"/>
    <w:rsid w:val="00C2130D"/>
    <w:rsid w:val="00C2438E"/>
    <w:rsid w:val="00C248B0"/>
    <w:rsid w:val="00C258FB"/>
    <w:rsid w:val="00C25A06"/>
    <w:rsid w:val="00C25D4D"/>
    <w:rsid w:val="00C26389"/>
    <w:rsid w:val="00C2662A"/>
    <w:rsid w:val="00C27C67"/>
    <w:rsid w:val="00C30ADF"/>
    <w:rsid w:val="00C31A44"/>
    <w:rsid w:val="00C31E79"/>
    <w:rsid w:val="00C32C7A"/>
    <w:rsid w:val="00C33004"/>
    <w:rsid w:val="00C3312A"/>
    <w:rsid w:val="00C33680"/>
    <w:rsid w:val="00C33D4E"/>
    <w:rsid w:val="00C348E7"/>
    <w:rsid w:val="00C34AD2"/>
    <w:rsid w:val="00C34C1D"/>
    <w:rsid w:val="00C353CD"/>
    <w:rsid w:val="00C358BB"/>
    <w:rsid w:val="00C35C01"/>
    <w:rsid w:val="00C364AD"/>
    <w:rsid w:val="00C36869"/>
    <w:rsid w:val="00C36E6B"/>
    <w:rsid w:val="00C36EF9"/>
    <w:rsid w:val="00C37153"/>
    <w:rsid w:val="00C3780F"/>
    <w:rsid w:val="00C37FD0"/>
    <w:rsid w:val="00C41B52"/>
    <w:rsid w:val="00C42568"/>
    <w:rsid w:val="00C4317F"/>
    <w:rsid w:val="00C43197"/>
    <w:rsid w:val="00C436EF"/>
    <w:rsid w:val="00C450CC"/>
    <w:rsid w:val="00C45BCD"/>
    <w:rsid w:val="00C45D71"/>
    <w:rsid w:val="00C45EFE"/>
    <w:rsid w:val="00C47E3E"/>
    <w:rsid w:val="00C47F63"/>
    <w:rsid w:val="00C50767"/>
    <w:rsid w:val="00C50790"/>
    <w:rsid w:val="00C50925"/>
    <w:rsid w:val="00C51830"/>
    <w:rsid w:val="00C51F7E"/>
    <w:rsid w:val="00C520ED"/>
    <w:rsid w:val="00C5338E"/>
    <w:rsid w:val="00C54F8F"/>
    <w:rsid w:val="00C5518B"/>
    <w:rsid w:val="00C55320"/>
    <w:rsid w:val="00C554C1"/>
    <w:rsid w:val="00C55E8E"/>
    <w:rsid w:val="00C566FE"/>
    <w:rsid w:val="00C57374"/>
    <w:rsid w:val="00C6029A"/>
    <w:rsid w:val="00C608CF"/>
    <w:rsid w:val="00C60ACE"/>
    <w:rsid w:val="00C60B2E"/>
    <w:rsid w:val="00C61EB4"/>
    <w:rsid w:val="00C620AB"/>
    <w:rsid w:val="00C628AD"/>
    <w:rsid w:val="00C63F46"/>
    <w:rsid w:val="00C6434C"/>
    <w:rsid w:val="00C64E32"/>
    <w:rsid w:val="00C650B6"/>
    <w:rsid w:val="00C65BEC"/>
    <w:rsid w:val="00C65CF7"/>
    <w:rsid w:val="00C6652D"/>
    <w:rsid w:val="00C6746D"/>
    <w:rsid w:val="00C6753B"/>
    <w:rsid w:val="00C677EA"/>
    <w:rsid w:val="00C67AF7"/>
    <w:rsid w:val="00C70CC3"/>
    <w:rsid w:val="00C731B7"/>
    <w:rsid w:val="00C733EA"/>
    <w:rsid w:val="00C73C80"/>
    <w:rsid w:val="00C74300"/>
    <w:rsid w:val="00C743AB"/>
    <w:rsid w:val="00C743AF"/>
    <w:rsid w:val="00C749A0"/>
    <w:rsid w:val="00C74CE9"/>
    <w:rsid w:val="00C75432"/>
    <w:rsid w:val="00C757B1"/>
    <w:rsid w:val="00C757B6"/>
    <w:rsid w:val="00C75D46"/>
    <w:rsid w:val="00C763EF"/>
    <w:rsid w:val="00C77B88"/>
    <w:rsid w:val="00C80A5F"/>
    <w:rsid w:val="00C80F03"/>
    <w:rsid w:val="00C81FFB"/>
    <w:rsid w:val="00C8352F"/>
    <w:rsid w:val="00C83882"/>
    <w:rsid w:val="00C83C2B"/>
    <w:rsid w:val="00C83CD4"/>
    <w:rsid w:val="00C841B0"/>
    <w:rsid w:val="00C84748"/>
    <w:rsid w:val="00C847AF"/>
    <w:rsid w:val="00C85EE6"/>
    <w:rsid w:val="00C8624E"/>
    <w:rsid w:val="00C8790D"/>
    <w:rsid w:val="00C87F7C"/>
    <w:rsid w:val="00C9069B"/>
    <w:rsid w:val="00C90E07"/>
    <w:rsid w:val="00C91713"/>
    <w:rsid w:val="00C91736"/>
    <w:rsid w:val="00C91A36"/>
    <w:rsid w:val="00C91DA4"/>
    <w:rsid w:val="00C91DC3"/>
    <w:rsid w:val="00C92F78"/>
    <w:rsid w:val="00C951DF"/>
    <w:rsid w:val="00C95259"/>
    <w:rsid w:val="00C975E9"/>
    <w:rsid w:val="00C97821"/>
    <w:rsid w:val="00CA0728"/>
    <w:rsid w:val="00CA2772"/>
    <w:rsid w:val="00CA30B7"/>
    <w:rsid w:val="00CA38A9"/>
    <w:rsid w:val="00CA5785"/>
    <w:rsid w:val="00CA5CAD"/>
    <w:rsid w:val="00CA6116"/>
    <w:rsid w:val="00CA702D"/>
    <w:rsid w:val="00CA75CB"/>
    <w:rsid w:val="00CB00BD"/>
    <w:rsid w:val="00CB0655"/>
    <w:rsid w:val="00CB07C8"/>
    <w:rsid w:val="00CB1C84"/>
    <w:rsid w:val="00CB3FC1"/>
    <w:rsid w:val="00CB467C"/>
    <w:rsid w:val="00CB5464"/>
    <w:rsid w:val="00CB583C"/>
    <w:rsid w:val="00CB5BC0"/>
    <w:rsid w:val="00CB78D1"/>
    <w:rsid w:val="00CB79F5"/>
    <w:rsid w:val="00CB7B5F"/>
    <w:rsid w:val="00CC15B7"/>
    <w:rsid w:val="00CC2175"/>
    <w:rsid w:val="00CC2452"/>
    <w:rsid w:val="00CC3095"/>
    <w:rsid w:val="00CC353F"/>
    <w:rsid w:val="00CC3868"/>
    <w:rsid w:val="00CC38DC"/>
    <w:rsid w:val="00CC40F0"/>
    <w:rsid w:val="00CC6508"/>
    <w:rsid w:val="00CC67AC"/>
    <w:rsid w:val="00CC76FA"/>
    <w:rsid w:val="00CD02A8"/>
    <w:rsid w:val="00CD0515"/>
    <w:rsid w:val="00CD06B6"/>
    <w:rsid w:val="00CD0CEE"/>
    <w:rsid w:val="00CD0E2A"/>
    <w:rsid w:val="00CD1B63"/>
    <w:rsid w:val="00CD21E4"/>
    <w:rsid w:val="00CD2567"/>
    <w:rsid w:val="00CD3CBD"/>
    <w:rsid w:val="00CD5214"/>
    <w:rsid w:val="00CD53E6"/>
    <w:rsid w:val="00CD563B"/>
    <w:rsid w:val="00CD5A5A"/>
    <w:rsid w:val="00CD6147"/>
    <w:rsid w:val="00CD6AB9"/>
    <w:rsid w:val="00CD6ABE"/>
    <w:rsid w:val="00CD6BC3"/>
    <w:rsid w:val="00CD710E"/>
    <w:rsid w:val="00CE0FB4"/>
    <w:rsid w:val="00CE14B3"/>
    <w:rsid w:val="00CE2156"/>
    <w:rsid w:val="00CE28CC"/>
    <w:rsid w:val="00CE30AE"/>
    <w:rsid w:val="00CE336E"/>
    <w:rsid w:val="00CE348C"/>
    <w:rsid w:val="00CE4DF5"/>
    <w:rsid w:val="00CE5E52"/>
    <w:rsid w:val="00CE65D0"/>
    <w:rsid w:val="00CE66DB"/>
    <w:rsid w:val="00CE6A7F"/>
    <w:rsid w:val="00CE757C"/>
    <w:rsid w:val="00CE7620"/>
    <w:rsid w:val="00CE781B"/>
    <w:rsid w:val="00CE7DFD"/>
    <w:rsid w:val="00CF0951"/>
    <w:rsid w:val="00CF0A5C"/>
    <w:rsid w:val="00CF1D19"/>
    <w:rsid w:val="00CF1DC5"/>
    <w:rsid w:val="00CF2B6B"/>
    <w:rsid w:val="00CF3685"/>
    <w:rsid w:val="00CF47AF"/>
    <w:rsid w:val="00CF480A"/>
    <w:rsid w:val="00CF4F0C"/>
    <w:rsid w:val="00CF63A2"/>
    <w:rsid w:val="00CF65CC"/>
    <w:rsid w:val="00CF6704"/>
    <w:rsid w:val="00CF6B4B"/>
    <w:rsid w:val="00CF7696"/>
    <w:rsid w:val="00CF7B84"/>
    <w:rsid w:val="00D004D2"/>
    <w:rsid w:val="00D009C8"/>
    <w:rsid w:val="00D0128D"/>
    <w:rsid w:val="00D0301B"/>
    <w:rsid w:val="00D03107"/>
    <w:rsid w:val="00D038BA"/>
    <w:rsid w:val="00D03E21"/>
    <w:rsid w:val="00D04157"/>
    <w:rsid w:val="00D0468E"/>
    <w:rsid w:val="00D064A6"/>
    <w:rsid w:val="00D07318"/>
    <w:rsid w:val="00D07C4A"/>
    <w:rsid w:val="00D1064D"/>
    <w:rsid w:val="00D106D4"/>
    <w:rsid w:val="00D10CC3"/>
    <w:rsid w:val="00D10FBF"/>
    <w:rsid w:val="00D11325"/>
    <w:rsid w:val="00D121A6"/>
    <w:rsid w:val="00D13E21"/>
    <w:rsid w:val="00D14B9D"/>
    <w:rsid w:val="00D16095"/>
    <w:rsid w:val="00D165AE"/>
    <w:rsid w:val="00D16EC6"/>
    <w:rsid w:val="00D17460"/>
    <w:rsid w:val="00D174A7"/>
    <w:rsid w:val="00D17EB0"/>
    <w:rsid w:val="00D203FC"/>
    <w:rsid w:val="00D2189C"/>
    <w:rsid w:val="00D21E25"/>
    <w:rsid w:val="00D2204E"/>
    <w:rsid w:val="00D22596"/>
    <w:rsid w:val="00D23759"/>
    <w:rsid w:val="00D239E5"/>
    <w:rsid w:val="00D2461E"/>
    <w:rsid w:val="00D2465C"/>
    <w:rsid w:val="00D25226"/>
    <w:rsid w:val="00D258A4"/>
    <w:rsid w:val="00D267DD"/>
    <w:rsid w:val="00D26F3D"/>
    <w:rsid w:val="00D301B9"/>
    <w:rsid w:val="00D303B0"/>
    <w:rsid w:val="00D30431"/>
    <w:rsid w:val="00D314AF"/>
    <w:rsid w:val="00D315C0"/>
    <w:rsid w:val="00D3258B"/>
    <w:rsid w:val="00D3341F"/>
    <w:rsid w:val="00D33767"/>
    <w:rsid w:val="00D34FA9"/>
    <w:rsid w:val="00D36AF5"/>
    <w:rsid w:val="00D4051A"/>
    <w:rsid w:val="00D417B2"/>
    <w:rsid w:val="00D41E4E"/>
    <w:rsid w:val="00D43CE8"/>
    <w:rsid w:val="00D43FD4"/>
    <w:rsid w:val="00D44D9A"/>
    <w:rsid w:val="00D45614"/>
    <w:rsid w:val="00D45960"/>
    <w:rsid w:val="00D46353"/>
    <w:rsid w:val="00D46871"/>
    <w:rsid w:val="00D46D6A"/>
    <w:rsid w:val="00D47513"/>
    <w:rsid w:val="00D503B5"/>
    <w:rsid w:val="00D50403"/>
    <w:rsid w:val="00D50AD2"/>
    <w:rsid w:val="00D51A6F"/>
    <w:rsid w:val="00D5231E"/>
    <w:rsid w:val="00D5284A"/>
    <w:rsid w:val="00D53F64"/>
    <w:rsid w:val="00D5430B"/>
    <w:rsid w:val="00D547C5"/>
    <w:rsid w:val="00D5592B"/>
    <w:rsid w:val="00D5626C"/>
    <w:rsid w:val="00D56A5A"/>
    <w:rsid w:val="00D570C8"/>
    <w:rsid w:val="00D572E2"/>
    <w:rsid w:val="00D57DA2"/>
    <w:rsid w:val="00D60531"/>
    <w:rsid w:val="00D606A9"/>
    <w:rsid w:val="00D621C2"/>
    <w:rsid w:val="00D6330A"/>
    <w:rsid w:val="00D63A35"/>
    <w:rsid w:val="00D64966"/>
    <w:rsid w:val="00D65257"/>
    <w:rsid w:val="00D653EA"/>
    <w:rsid w:val="00D669D9"/>
    <w:rsid w:val="00D673A4"/>
    <w:rsid w:val="00D6765E"/>
    <w:rsid w:val="00D67BB1"/>
    <w:rsid w:val="00D67E7A"/>
    <w:rsid w:val="00D70E98"/>
    <w:rsid w:val="00D715E2"/>
    <w:rsid w:val="00D71B7D"/>
    <w:rsid w:val="00D72DB8"/>
    <w:rsid w:val="00D73328"/>
    <w:rsid w:val="00D7355B"/>
    <w:rsid w:val="00D73DDE"/>
    <w:rsid w:val="00D74034"/>
    <w:rsid w:val="00D740B0"/>
    <w:rsid w:val="00D750ED"/>
    <w:rsid w:val="00D75879"/>
    <w:rsid w:val="00D776EF"/>
    <w:rsid w:val="00D77E9B"/>
    <w:rsid w:val="00D80D84"/>
    <w:rsid w:val="00D81117"/>
    <w:rsid w:val="00D81F62"/>
    <w:rsid w:val="00D82D1F"/>
    <w:rsid w:val="00D83440"/>
    <w:rsid w:val="00D834B1"/>
    <w:rsid w:val="00D838EA"/>
    <w:rsid w:val="00D83931"/>
    <w:rsid w:val="00D83CF6"/>
    <w:rsid w:val="00D853D3"/>
    <w:rsid w:val="00D8560E"/>
    <w:rsid w:val="00D85895"/>
    <w:rsid w:val="00D85E3E"/>
    <w:rsid w:val="00D8605E"/>
    <w:rsid w:val="00D8641F"/>
    <w:rsid w:val="00D93651"/>
    <w:rsid w:val="00D94223"/>
    <w:rsid w:val="00D94E3D"/>
    <w:rsid w:val="00D95159"/>
    <w:rsid w:val="00D95598"/>
    <w:rsid w:val="00D96277"/>
    <w:rsid w:val="00D969BD"/>
    <w:rsid w:val="00DA009A"/>
    <w:rsid w:val="00DA0267"/>
    <w:rsid w:val="00DA0404"/>
    <w:rsid w:val="00DA0FAD"/>
    <w:rsid w:val="00DA11D5"/>
    <w:rsid w:val="00DA1AE5"/>
    <w:rsid w:val="00DA1C1B"/>
    <w:rsid w:val="00DA1CB0"/>
    <w:rsid w:val="00DA24BD"/>
    <w:rsid w:val="00DA24F7"/>
    <w:rsid w:val="00DA2AF7"/>
    <w:rsid w:val="00DA3387"/>
    <w:rsid w:val="00DA4452"/>
    <w:rsid w:val="00DA55A9"/>
    <w:rsid w:val="00DA569F"/>
    <w:rsid w:val="00DA581C"/>
    <w:rsid w:val="00DA5AB4"/>
    <w:rsid w:val="00DA6D26"/>
    <w:rsid w:val="00DA73B9"/>
    <w:rsid w:val="00DB084C"/>
    <w:rsid w:val="00DB1A5F"/>
    <w:rsid w:val="00DB1ABC"/>
    <w:rsid w:val="00DB1FF1"/>
    <w:rsid w:val="00DB2CF6"/>
    <w:rsid w:val="00DB390B"/>
    <w:rsid w:val="00DB3D4B"/>
    <w:rsid w:val="00DB3EFC"/>
    <w:rsid w:val="00DB3F5B"/>
    <w:rsid w:val="00DB43E6"/>
    <w:rsid w:val="00DB46FC"/>
    <w:rsid w:val="00DB4B5C"/>
    <w:rsid w:val="00DB4D52"/>
    <w:rsid w:val="00DB4D8E"/>
    <w:rsid w:val="00DB50AC"/>
    <w:rsid w:val="00DB6D29"/>
    <w:rsid w:val="00DC071A"/>
    <w:rsid w:val="00DC1550"/>
    <w:rsid w:val="00DC23BF"/>
    <w:rsid w:val="00DC3807"/>
    <w:rsid w:val="00DC3D71"/>
    <w:rsid w:val="00DC4228"/>
    <w:rsid w:val="00DC422E"/>
    <w:rsid w:val="00DC42A0"/>
    <w:rsid w:val="00DC4D78"/>
    <w:rsid w:val="00DC508F"/>
    <w:rsid w:val="00DC56B4"/>
    <w:rsid w:val="00DC7DE7"/>
    <w:rsid w:val="00DD058D"/>
    <w:rsid w:val="00DD061F"/>
    <w:rsid w:val="00DD3BB6"/>
    <w:rsid w:val="00DD40E2"/>
    <w:rsid w:val="00DD479B"/>
    <w:rsid w:val="00DD49C5"/>
    <w:rsid w:val="00DD4C4B"/>
    <w:rsid w:val="00DD5D9F"/>
    <w:rsid w:val="00DD64E8"/>
    <w:rsid w:val="00DD75A2"/>
    <w:rsid w:val="00DE06E4"/>
    <w:rsid w:val="00DE1E01"/>
    <w:rsid w:val="00DE2792"/>
    <w:rsid w:val="00DE29F9"/>
    <w:rsid w:val="00DE3E35"/>
    <w:rsid w:val="00DE5364"/>
    <w:rsid w:val="00DE56CF"/>
    <w:rsid w:val="00DE5ABA"/>
    <w:rsid w:val="00DE5D15"/>
    <w:rsid w:val="00DE61F5"/>
    <w:rsid w:val="00DE67DC"/>
    <w:rsid w:val="00DE7BA4"/>
    <w:rsid w:val="00DF0507"/>
    <w:rsid w:val="00DF09B8"/>
    <w:rsid w:val="00DF13BA"/>
    <w:rsid w:val="00DF1472"/>
    <w:rsid w:val="00DF14CA"/>
    <w:rsid w:val="00DF18F1"/>
    <w:rsid w:val="00DF2564"/>
    <w:rsid w:val="00DF4B68"/>
    <w:rsid w:val="00DF4CAC"/>
    <w:rsid w:val="00DF4F17"/>
    <w:rsid w:val="00DF4F18"/>
    <w:rsid w:val="00DF504D"/>
    <w:rsid w:val="00DF50ED"/>
    <w:rsid w:val="00DF5791"/>
    <w:rsid w:val="00DF6388"/>
    <w:rsid w:val="00DF646D"/>
    <w:rsid w:val="00DF7561"/>
    <w:rsid w:val="00E002CC"/>
    <w:rsid w:val="00E021FC"/>
    <w:rsid w:val="00E03AD3"/>
    <w:rsid w:val="00E044FB"/>
    <w:rsid w:val="00E04F27"/>
    <w:rsid w:val="00E05CEA"/>
    <w:rsid w:val="00E06285"/>
    <w:rsid w:val="00E06DF4"/>
    <w:rsid w:val="00E07374"/>
    <w:rsid w:val="00E10FC9"/>
    <w:rsid w:val="00E11506"/>
    <w:rsid w:val="00E12A2E"/>
    <w:rsid w:val="00E14214"/>
    <w:rsid w:val="00E14557"/>
    <w:rsid w:val="00E149B2"/>
    <w:rsid w:val="00E15111"/>
    <w:rsid w:val="00E15D2C"/>
    <w:rsid w:val="00E16881"/>
    <w:rsid w:val="00E16951"/>
    <w:rsid w:val="00E16FAF"/>
    <w:rsid w:val="00E17502"/>
    <w:rsid w:val="00E17B66"/>
    <w:rsid w:val="00E20104"/>
    <w:rsid w:val="00E2073E"/>
    <w:rsid w:val="00E2176F"/>
    <w:rsid w:val="00E22138"/>
    <w:rsid w:val="00E22720"/>
    <w:rsid w:val="00E22F38"/>
    <w:rsid w:val="00E23CDC"/>
    <w:rsid w:val="00E23EDF"/>
    <w:rsid w:val="00E23EE5"/>
    <w:rsid w:val="00E24769"/>
    <w:rsid w:val="00E24F2E"/>
    <w:rsid w:val="00E25094"/>
    <w:rsid w:val="00E2530F"/>
    <w:rsid w:val="00E25999"/>
    <w:rsid w:val="00E25D29"/>
    <w:rsid w:val="00E26578"/>
    <w:rsid w:val="00E26777"/>
    <w:rsid w:val="00E270DA"/>
    <w:rsid w:val="00E27F0F"/>
    <w:rsid w:val="00E3007F"/>
    <w:rsid w:val="00E30944"/>
    <w:rsid w:val="00E31F66"/>
    <w:rsid w:val="00E32E1E"/>
    <w:rsid w:val="00E33899"/>
    <w:rsid w:val="00E33B26"/>
    <w:rsid w:val="00E33D40"/>
    <w:rsid w:val="00E34699"/>
    <w:rsid w:val="00E35307"/>
    <w:rsid w:val="00E362E3"/>
    <w:rsid w:val="00E3753D"/>
    <w:rsid w:val="00E379B5"/>
    <w:rsid w:val="00E37D31"/>
    <w:rsid w:val="00E37EB9"/>
    <w:rsid w:val="00E40119"/>
    <w:rsid w:val="00E40C32"/>
    <w:rsid w:val="00E40D91"/>
    <w:rsid w:val="00E41478"/>
    <w:rsid w:val="00E42D60"/>
    <w:rsid w:val="00E43B18"/>
    <w:rsid w:val="00E43C97"/>
    <w:rsid w:val="00E43DE2"/>
    <w:rsid w:val="00E43E9D"/>
    <w:rsid w:val="00E4421F"/>
    <w:rsid w:val="00E44883"/>
    <w:rsid w:val="00E45BF6"/>
    <w:rsid w:val="00E45F43"/>
    <w:rsid w:val="00E46E8F"/>
    <w:rsid w:val="00E46EAC"/>
    <w:rsid w:val="00E47327"/>
    <w:rsid w:val="00E47E0B"/>
    <w:rsid w:val="00E522FA"/>
    <w:rsid w:val="00E52D63"/>
    <w:rsid w:val="00E52DF2"/>
    <w:rsid w:val="00E53580"/>
    <w:rsid w:val="00E5390B"/>
    <w:rsid w:val="00E54383"/>
    <w:rsid w:val="00E5563D"/>
    <w:rsid w:val="00E55640"/>
    <w:rsid w:val="00E55C20"/>
    <w:rsid w:val="00E56B05"/>
    <w:rsid w:val="00E5737F"/>
    <w:rsid w:val="00E604DB"/>
    <w:rsid w:val="00E6051F"/>
    <w:rsid w:val="00E6074A"/>
    <w:rsid w:val="00E62AC3"/>
    <w:rsid w:val="00E62EEE"/>
    <w:rsid w:val="00E62FDB"/>
    <w:rsid w:val="00E63C04"/>
    <w:rsid w:val="00E6484F"/>
    <w:rsid w:val="00E65479"/>
    <w:rsid w:val="00E67222"/>
    <w:rsid w:val="00E70221"/>
    <w:rsid w:val="00E702B0"/>
    <w:rsid w:val="00E7032B"/>
    <w:rsid w:val="00E7055B"/>
    <w:rsid w:val="00E716C6"/>
    <w:rsid w:val="00E717AD"/>
    <w:rsid w:val="00E71FDD"/>
    <w:rsid w:val="00E73643"/>
    <w:rsid w:val="00E73F5C"/>
    <w:rsid w:val="00E74159"/>
    <w:rsid w:val="00E75186"/>
    <w:rsid w:val="00E7518D"/>
    <w:rsid w:val="00E75A1C"/>
    <w:rsid w:val="00E76295"/>
    <w:rsid w:val="00E76845"/>
    <w:rsid w:val="00E76B87"/>
    <w:rsid w:val="00E7711D"/>
    <w:rsid w:val="00E77328"/>
    <w:rsid w:val="00E775AF"/>
    <w:rsid w:val="00E77BBE"/>
    <w:rsid w:val="00E77D30"/>
    <w:rsid w:val="00E803DE"/>
    <w:rsid w:val="00E80591"/>
    <w:rsid w:val="00E82176"/>
    <w:rsid w:val="00E82E2D"/>
    <w:rsid w:val="00E833DB"/>
    <w:rsid w:val="00E834F2"/>
    <w:rsid w:val="00E8376A"/>
    <w:rsid w:val="00E83F9B"/>
    <w:rsid w:val="00E83FB8"/>
    <w:rsid w:val="00E84840"/>
    <w:rsid w:val="00E84EE6"/>
    <w:rsid w:val="00E854B7"/>
    <w:rsid w:val="00E855E0"/>
    <w:rsid w:val="00E85734"/>
    <w:rsid w:val="00E86086"/>
    <w:rsid w:val="00E86AA9"/>
    <w:rsid w:val="00E90EA9"/>
    <w:rsid w:val="00E9128E"/>
    <w:rsid w:val="00E920CE"/>
    <w:rsid w:val="00E9258F"/>
    <w:rsid w:val="00E940B3"/>
    <w:rsid w:val="00E9459E"/>
    <w:rsid w:val="00E94A0E"/>
    <w:rsid w:val="00E95C98"/>
    <w:rsid w:val="00E96555"/>
    <w:rsid w:val="00E96810"/>
    <w:rsid w:val="00E96CCB"/>
    <w:rsid w:val="00E9759A"/>
    <w:rsid w:val="00E97E7B"/>
    <w:rsid w:val="00EA160F"/>
    <w:rsid w:val="00EA1BDE"/>
    <w:rsid w:val="00EA270C"/>
    <w:rsid w:val="00EA2734"/>
    <w:rsid w:val="00EA38D0"/>
    <w:rsid w:val="00EA4FA6"/>
    <w:rsid w:val="00EA5401"/>
    <w:rsid w:val="00EA5699"/>
    <w:rsid w:val="00EA58A2"/>
    <w:rsid w:val="00EA6765"/>
    <w:rsid w:val="00EA6BBB"/>
    <w:rsid w:val="00EA7516"/>
    <w:rsid w:val="00EA7C83"/>
    <w:rsid w:val="00EB010C"/>
    <w:rsid w:val="00EB0E23"/>
    <w:rsid w:val="00EB24B2"/>
    <w:rsid w:val="00EB2792"/>
    <w:rsid w:val="00EB300C"/>
    <w:rsid w:val="00EB38E5"/>
    <w:rsid w:val="00EB50A4"/>
    <w:rsid w:val="00EB53C5"/>
    <w:rsid w:val="00EB71E2"/>
    <w:rsid w:val="00EB7601"/>
    <w:rsid w:val="00EB791A"/>
    <w:rsid w:val="00EB7B21"/>
    <w:rsid w:val="00EB7CC9"/>
    <w:rsid w:val="00EB7F3E"/>
    <w:rsid w:val="00EC0231"/>
    <w:rsid w:val="00EC03A1"/>
    <w:rsid w:val="00EC055B"/>
    <w:rsid w:val="00EC0D24"/>
    <w:rsid w:val="00EC1196"/>
    <w:rsid w:val="00EC12D5"/>
    <w:rsid w:val="00EC1382"/>
    <w:rsid w:val="00EC1577"/>
    <w:rsid w:val="00EC16E5"/>
    <w:rsid w:val="00EC1AAE"/>
    <w:rsid w:val="00EC1ACD"/>
    <w:rsid w:val="00EC219C"/>
    <w:rsid w:val="00EC2BCD"/>
    <w:rsid w:val="00EC2D45"/>
    <w:rsid w:val="00EC2DD9"/>
    <w:rsid w:val="00EC3906"/>
    <w:rsid w:val="00EC395D"/>
    <w:rsid w:val="00EC4901"/>
    <w:rsid w:val="00EC4F05"/>
    <w:rsid w:val="00EC506D"/>
    <w:rsid w:val="00EC53A4"/>
    <w:rsid w:val="00EC606A"/>
    <w:rsid w:val="00EC677E"/>
    <w:rsid w:val="00EC696F"/>
    <w:rsid w:val="00EC70BA"/>
    <w:rsid w:val="00EC7A68"/>
    <w:rsid w:val="00EC7B98"/>
    <w:rsid w:val="00ED006F"/>
    <w:rsid w:val="00ED098E"/>
    <w:rsid w:val="00ED1719"/>
    <w:rsid w:val="00ED27FC"/>
    <w:rsid w:val="00ED28A5"/>
    <w:rsid w:val="00ED2EFE"/>
    <w:rsid w:val="00ED35E9"/>
    <w:rsid w:val="00ED36E7"/>
    <w:rsid w:val="00ED456E"/>
    <w:rsid w:val="00ED5AFD"/>
    <w:rsid w:val="00ED5CA6"/>
    <w:rsid w:val="00ED7A85"/>
    <w:rsid w:val="00ED7B44"/>
    <w:rsid w:val="00ED7BD0"/>
    <w:rsid w:val="00ED7C65"/>
    <w:rsid w:val="00EE119F"/>
    <w:rsid w:val="00EE1258"/>
    <w:rsid w:val="00EE16A3"/>
    <w:rsid w:val="00EE1FDD"/>
    <w:rsid w:val="00EE38FE"/>
    <w:rsid w:val="00EE3FA6"/>
    <w:rsid w:val="00EE727D"/>
    <w:rsid w:val="00EE7A66"/>
    <w:rsid w:val="00EE7D49"/>
    <w:rsid w:val="00EF1277"/>
    <w:rsid w:val="00EF198D"/>
    <w:rsid w:val="00EF3691"/>
    <w:rsid w:val="00EF46F6"/>
    <w:rsid w:val="00EF478C"/>
    <w:rsid w:val="00EF52D8"/>
    <w:rsid w:val="00EF5606"/>
    <w:rsid w:val="00EF6705"/>
    <w:rsid w:val="00EF6C06"/>
    <w:rsid w:val="00EF7560"/>
    <w:rsid w:val="00EF75A8"/>
    <w:rsid w:val="00F0012D"/>
    <w:rsid w:val="00F0079D"/>
    <w:rsid w:val="00F00AF3"/>
    <w:rsid w:val="00F00C2D"/>
    <w:rsid w:val="00F0154F"/>
    <w:rsid w:val="00F01B37"/>
    <w:rsid w:val="00F021A7"/>
    <w:rsid w:val="00F025D6"/>
    <w:rsid w:val="00F042FD"/>
    <w:rsid w:val="00F05648"/>
    <w:rsid w:val="00F061B4"/>
    <w:rsid w:val="00F06DCE"/>
    <w:rsid w:val="00F07A1C"/>
    <w:rsid w:val="00F07D49"/>
    <w:rsid w:val="00F07F69"/>
    <w:rsid w:val="00F10D68"/>
    <w:rsid w:val="00F10E94"/>
    <w:rsid w:val="00F11C94"/>
    <w:rsid w:val="00F12134"/>
    <w:rsid w:val="00F12B6C"/>
    <w:rsid w:val="00F12C8A"/>
    <w:rsid w:val="00F144D7"/>
    <w:rsid w:val="00F153BF"/>
    <w:rsid w:val="00F1591E"/>
    <w:rsid w:val="00F17014"/>
    <w:rsid w:val="00F172B1"/>
    <w:rsid w:val="00F17EDA"/>
    <w:rsid w:val="00F220AF"/>
    <w:rsid w:val="00F2232F"/>
    <w:rsid w:val="00F2306C"/>
    <w:rsid w:val="00F23785"/>
    <w:rsid w:val="00F23B16"/>
    <w:rsid w:val="00F25114"/>
    <w:rsid w:val="00F2583D"/>
    <w:rsid w:val="00F25ED9"/>
    <w:rsid w:val="00F25F59"/>
    <w:rsid w:val="00F26112"/>
    <w:rsid w:val="00F2662C"/>
    <w:rsid w:val="00F267CF"/>
    <w:rsid w:val="00F2759C"/>
    <w:rsid w:val="00F278A9"/>
    <w:rsid w:val="00F27D20"/>
    <w:rsid w:val="00F27FE1"/>
    <w:rsid w:val="00F309D5"/>
    <w:rsid w:val="00F30A38"/>
    <w:rsid w:val="00F30DE7"/>
    <w:rsid w:val="00F311FD"/>
    <w:rsid w:val="00F31411"/>
    <w:rsid w:val="00F319EC"/>
    <w:rsid w:val="00F31DD5"/>
    <w:rsid w:val="00F3244E"/>
    <w:rsid w:val="00F324FF"/>
    <w:rsid w:val="00F34195"/>
    <w:rsid w:val="00F3448C"/>
    <w:rsid w:val="00F344AE"/>
    <w:rsid w:val="00F35C9B"/>
    <w:rsid w:val="00F36EF7"/>
    <w:rsid w:val="00F4004A"/>
    <w:rsid w:val="00F401D8"/>
    <w:rsid w:val="00F42C7E"/>
    <w:rsid w:val="00F441AE"/>
    <w:rsid w:val="00F442B6"/>
    <w:rsid w:val="00F44421"/>
    <w:rsid w:val="00F445FE"/>
    <w:rsid w:val="00F447B2"/>
    <w:rsid w:val="00F44C0C"/>
    <w:rsid w:val="00F44EBE"/>
    <w:rsid w:val="00F450BA"/>
    <w:rsid w:val="00F466AD"/>
    <w:rsid w:val="00F469BA"/>
    <w:rsid w:val="00F46B05"/>
    <w:rsid w:val="00F46B1F"/>
    <w:rsid w:val="00F46B71"/>
    <w:rsid w:val="00F46E31"/>
    <w:rsid w:val="00F472EF"/>
    <w:rsid w:val="00F47A9C"/>
    <w:rsid w:val="00F47B6B"/>
    <w:rsid w:val="00F47CA6"/>
    <w:rsid w:val="00F53DDC"/>
    <w:rsid w:val="00F542B1"/>
    <w:rsid w:val="00F54A51"/>
    <w:rsid w:val="00F5524D"/>
    <w:rsid w:val="00F55E07"/>
    <w:rsid w:val="00F55F7F"/>
    <w:rsid w:val="00F56221"/>
    <w:rsid w:val="00F569E8"/>
    <w:rsid w:val="00F60AEF"/>
    <w:rsid w:val="00F60F0A"/>
    <w:rsid w:val="00F61705"/>
    <w:rsid w:val="00F6178D"/>
    <w:rsid w:val="00F61DB8"/>
    <w:rsid w:val="00F62010"/>
    <w:rsid w:val="00F62954"/>
    <w:rsid w:val="00F63074"/>
    <w:rsid w:val="00F63526"/>
    <w:rsid w:val="00F6363A"/>
    <w:rsid w:val="00F63A1E"/>
    <w:rsid w:val="00F63A2C"/>
    <w:rsid w:val="00F63C56"/>
    <w:rsid w:val="00F64067"/>
    <w:rsid w:val="00F64522"/>
    <w:rsid w:val="00F64824"/>
    <w:rsid w:val="00F64DDF"/>
    <w:rsid w:val="00F6583A"/>
    <w:rsid w:val="00F65F3D"/>
    <w:rsid w:val="00F674CA"/>
    <w:rsid w:val="00F679CF"/>
    <w:rsid w:val="00F7000F"/>
    <w:rsid w:val="00F701D0"/>
    <w:rsid w:val="00F70336"/>
    <w:rsid w:val="00F70A8B"/>
    <w:rsid w:val="00F70DDD"/>
    <w:rsid w:val="00F71618"/>
    <w:rsid w:val="00F7181F"/>
    <w:rsid w:val="00F72588"/>
    <w:rsid w:val="00F72812"/>
    <w:rsid w:val="00F72A2B"/>
    <w:rsid w:val="00F75024"/>
    <w:rsid w:val="00F75A96"/>
    <w:rsid w:val="00F76304"/>
    <w:rsid w:val="00F763CA"/>
    <w:rsid w:val="00F7776B"/>
    <w:rsid w:val="00F80362"/>
    <w:rsid w:val="00F809B2"/>
    <w:rsid w:val="00F811DC"/>
    <w:rsid w:val="00F81630"/>
    <w:rsid w:val="00F821B6"/>
    <w:rsid w:val="00F822C9"/>
    <w:rsid w:val="00F83084"/>
    <w:rsid w:val="00F83602"/>
    <w:rsid w:val="00F83FD1"/>
    <w:rsid w:val="00F84059"/>
    <w:rsid w:val="00F84B18"/>
    <w:rsid w:val="00F86287"/>
    <w:rsid w:val="00F87010"/>
    <w:rsid w:val="00F87652"/>
    <w:rsid w:val="00F87A8F"/>
    <w:rsid w:val="00F9105E"/>
    <w:rsid w:val="00F9108D"/>
    <w:rsid w:val="00F91976"/>
    <w:rsid w:val="00F91FC0"/>
    <w:rsid w:val="00F92629"/>
    <w:rsid w:val="00F92716"/>
    <w:rsid w:val="00F92C3C"/>
    <w:rsid w:val="00F92F20"/>
    <w:rsid w:val="00F94DCB"/>
    <w:rsid w:val="00F9586B"/>
    <w:rsid w:val="00F95A6A"/>
    <w:rsid w:val="00F95C6A"/>
    <w:rsid w:val="00F960D0"/>
    <w:rsid w:val="00F9650D"/>
    <w:rsid w:val="00F96649"/>
    <w:rsid w:val="00F969BF"/>
    <w:rsid w:val="00FA0478"/>
    <w:rsid w:val="00FA07D4"/>
    <w:rsid w:val="00FA1C8B"/>
    <w:rsid w:val="00FA20E3"/>
    <w:rsid w:val="00FA4DC0"/>
    <w:rsid w:val="00FA4F22"/>
    <w:rsid w:val="00FA5BA3"/>
    <w:rsid w:val="00FA5C18"/>
    <w:rsid w:val="00FB0208"/>
    <w:rsid w:val="00FB0357"/>
    <w:rsid w:val="00FB03CE"/>
    <w:rsid w:val="00FB044B"/>
    <w:rsid w:val="00FB0A5C"/>
    <w:rsid w:val="00FB178F"/>
    <w:rsid w:val="00FB1EC7"/>
    <w:rsid w:val="00FB291A"/>
    <w:rsid w:val="00FB2929"/>
    <w:rsid w:val="00FB42F9"/>
    <w:rsid w:val="00FB4E78"/>
    <w:rsid w:val="00FB5191"/>
    <w:rsid w:val="00FB622B"/>
    <w:rsid w:val="00FB62C1"/>
    <w:rsid w:val="00FB6961"/>
    <w:rsid w:val="00FB6AE5"/>
    <w:rsid w:val="00FB6DB4"/>
    <w:rsid w:val="00FC1013"/>
    <w:rsid w:val="00FC2483"/>
    <w:rsid w:val="00FC3B82"/>
    <w:rsid w:val="00FC406A"/>
    <w:rsid w:val="00FC4179"/>
    <w:rsid w:val="00FC54F1"/>
    <w:rsid w:val="00FC54F8"/>
    <w:rsid w:val="00FC5532"/>
    <w:rsid w:val="00FC5D8E"/>
    <w:rsid w:val="00FC64D7"/>
    <w:rsid w:val="00FC6538"/>
    <w:rsid w:val="00FC6650"/>
    <w:rsid w:val="00FC689C"/>
    <w:rsid w:val="00FC6BDF"/>
    <w:rsid w:val="00FC6C1E"/>
    <w:rsid w:val="00FC7740"/>
    <w:rsid w:val="00FD0396"/>
    <w:rsid w:val="00FD04A7"/>
    <w:rsid w:val="00FD0789"/>
    <w:rsid w:val="00FD12AD"/>
    <w:rsid w:val="00FD2084"/>
    <w:rsid w:val="00FD25A8"/>
    <w:rsid w:val="00FD276A"/>
    <w:rsid w:val="00FD2D17"/>
    <w:rsid w:val="00FD32D9"/>
    <w:rsid w:val="00FD45B9"/>
    <w:rsid w:val="00FD4F3C"/>
    <w:rsid w:val="00FD5032"/>
    <w:rsid w:val="00FD5582"/>
    <w:rsid w:val="00FD637D"/>
    <w:rsid w:val="00FD64B4"/>
    <w:rsid w:val="00FD64B8"/>
    <w:rsid w:val="00FD7F99"/>
    <w:rsid w:val="00FE04B8"/>
    <w:rsid w:val="00FE10CC"/>
    <w:rsid w:val="00FE1869"/>
    <w:rsid w:val="00FE1C1C"/>
    <w:rsid w:val="00FE3338"/>
    <w:rsid w:val="00FE4329"/>
    <w:rsid w:val="00FE4A03"/>
    <w:rsid w:val="00FE540A"/>
    <w:rsid w:val="00FE5C56"/>
    <w:rsid w:val="00FE5C88"/>
    <w:rsid w:val="00FE5EE8"/>
    <w:rsid w:val="00FE5FB4"/>
    <w:rsid w:val="00FE6736"/>
    <w:rsid w:val="00FE6955"/>
    <w:rsid w:val="00FE7295"/>
    <w:rsid w:val="00FE7A41"/>
    <w:rsid w:val="00FE7B85"/>
    <w:rsid w:val="00FF4070"/>
    <w:rsid w:val="00FF43FA"/>
    <w:rsid w:val="00FF490D"/>
    <w:rsid w:val="00FF4ACA"/>
    <w:rsid w:val="00FF65A9"/>
    <w:rsid w:val="00FF695D"/>
    <w:rsid w:val="00FF6979"/>
    <w:rsid w:val="00FF6CA9"/>
    <w:rsid w:val="00FF73F1"/>
    <w:rsid w:val="292D7C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8866D"/>
  <w15:docId w15:val="{16F888E6-0135-4F27-8DE9-FA7247AB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2A3E25"/>
    <w:pPr>
      <w:numPr>
        <w:numId w:val="2"/>
      </w:numPr>
      <w:ind w:left="720" w:hanging="720"/>
      <w:outlineLvl w:val="0"/>
    </w:pPr>
    <w:rPr>
      <w:rFonts w:ascii="Bahnschrift" w:hAnsi="Bahnschrift"/>
      <w:b/>
      <w:bCs/>
      <w:color w:val="42618C" w:themeColor="accent3"/>
      <w:sz w:val="56"/>
      <w:szCs w:val="56"/>
    </w:rPr>
  </w:style>
  <w:style w:type="paragraph" w:styleId="Heading2">
    <w:name w:val="heading 2"/>
    <w:uiPriority w:val="9"/>
    <w:unhideWhenUsed/>
    <w:qFormat/>
    <w:rsid w:val="00025711"/>
    <w:pPr>
      <w:keepNext/>
      <w:numPr>
        <w:ilvl w:val="1"/>
        <w:numId w:val="2"/>
      </w:numPr>
      <w:spacing w:before="120" w:after="120"/>
      <w:ind w:left="720" w:hanging="720"/>
      <w:outlineLvl w:val="1"/>
    </w:pPr>
    <w:rPr>
      <w:rFonts w:ascii="Bahnschrift" w:hAnsi="Bahnschrift"/>
      <w:b/>
      <w:bCs/>
      <w:color w:val="006B5F" w:themeColor="accent2"/>
      <w:sz w:val="26"/>
      <w:szCs w:val="26"/>
    </w:rPr>
  </w:style>
  <w:style w:type="paragraph" w:styleId="Heading3">
    <w:name w:val="heading 3"/>
    <w:uiPriority w:val="9"/>
    <w:unhideWhenUsed/>
    <w:qFormat/>
    <w:rsid w:val="00025711"/>
    <w:pPr>
      <w:keepNext/>
      <w:numPr>
        <w:ilvl w:val="2"/>
        <w:numId w:val="2"/>
      </w:numPr>
      <w:spacing w:before="120" w:after="120"/>
      <w:outlineLvl w:val="2"/>
    </w:pPr>
    <w:rPr>
      <w:rFonts w:ascii="Bahnschrift" w:hAnsi="Bahnschrift"/>
      <w:b/>
      <w:bCs/>
      <w:color w:val="1A2940" w:themeColor="text2"/>
      <w:sz w:val="24"/>
      <w:szCs w:val="24"/>
    </w:rPr>
  </w:style>
  <w:style w:type="paragraph" w:styleId="Heading4">
    <w:name w:val="heading 4"/>
    <w:uiPriority w:val="9"/>
    <w:semiHidden/>
    <w:unhideWhenUsed/>
    <w:qFormat/>
    <w:pPr>
      <w:numPr>
        <w:ilvl w:val="3"/>
        <w:numId w:val="2"/>
      </w:numPr>
      <w:outlineLvl w:val="3"/>
    </w:pPr>
    <w:rPr>
      <w:i/>
      <w:iCs/>
      <w:color w:val="2E74B5"/>
    </w:rPr>
  </w:style>
  <w:style w:type="paragraph" w:styleId="Heading5">
    <w:name w:val="heading 5"/>
    <w:uiPriority w:val="9"/>
    <w:semiHidden/>
    <w:unhideWhenUsed/>
    <w:qFormat/>
    <w:pPr>
      <w:numPr>
        <w:ilvl w:val="4"/>
        <w:numId w:val="2"/>
      </w:numPr>
      <w:outlineLvl w:val="4"/>
    </w:pPr>
    <w:rPr>
      <w:color w:val="2E74B5"/>
    </w:rPr>
  </w:style>
  <w:style w:type="paragraph" w:styleId="Heading6">
    <w:name w:val="heading 6"/>
    <w:uiPriority w:val="9"/>
    <w:semiHidden/>
    <w:unhideWhenUsed/>
    <w:qFormat/>
    <w:pPr>
      <w:numPr>
        <w:ilvl w:val="5"/>
        <w:numId w:val="2"/>
      </w:numPr>
      <w:outlineLvl w:val="5"/>
    </w:pPr>
    <w:rPr>
      <w:color w:val="1F4D78"/>
    </w:rPr>
  </w:style>
  <w:style w:type="paragraph" w:styleId="Heading7">
    <w:name w:val="heading 7"/>
    <w:basedOn w:val="Normal"/>
    <w:next w:val="Normal"/>
    <w:link w:val="Heading7Char"/>
    <w:uiPriority w:val="9"/>
    <w:semiHidden/>
    <w:unhideWhenUsed/>
    <w:qFormat/>
    <w:rsid w:val="005C675B"/>
    <w:pPr>
      <w:keepNext/>
      <w:keepLines/>
      <w:numPr>
        <w:ilvl w:val="6"/>
        <w:numId w:val="2"/>
      </w:numPr>
      <w:spacing w:before="40"/>
      <w:outlineLvl w:val="6"/>
    </w:pPr>
    <w:rPr>
      <w:rFonts w:asciiTheme="majorHAnsi" w:eastAsiaTheme="majorEastAsia" w:hAnsiTheme="majorHAnsi" w:cstheme="majorBidi"/>
      <w:i/>
      <w:iCs/>
      <w:color w:val="4F6B88" w:themeColor="accent1" w:themeShade="7F"/>
    </w:rPr>
  </w:style>
  <w:style w:type="paragraph" w:styleId="Heading8">
    <w:name w:val="heading 8"/>
    <w:basedOn w:val="Normal"/>
    <w:next w:val="Normal"/>
    <w:link w:val="Heading8Char"/>
    <w:uiPriority w:val="9"/>
    <w:semiHidden/>
    <w:unhideWhenUsed/>
    <w:qFormat/>
    <w:rsid w:val="005C675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C675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TOC1">
    <w:name w:val="toc 1"/>
    <w:basedOn w:val="Normal"/>
    <w:next w:val="Normal"/>
    <w:autoRedefine/>
    <w:uiPriority w:val="39"/>
    <w:unhideWhenUsed/>
    <w:rsid w:val="006139BD"/>
    <w:pPr>
      <w:tabs>
        <w:tab w:val="left" w:pos="540"/>
        <w:tab w:val="right" w:leader="dot" w:pos="9350"/>
      </w:tabs>
      <w:spacing w:after="100"/>
    </w:pPr>
    <w:rPr>
      <w:sz w:val="20"/>
    </w:rPr>
  </w:style>
  <w:style w:type="paragraph" w:styleId="TOC2">
    <w:name w:val="toc 2"/>
    <w:basedOn w:val="Normal"/>
    <w:next w:val="Normal"/>
    <w:autoRedefine/>
    <w:uiPriority w:val="39"/>
    <w:unhideWhenUsed/>
    <w:rsid w:val="00FE540A"/>
    <w:pPr>
      <w:tabs>
        <w:tab w:val="left" w:pos="1080"/>
        <w:tab w:val="right" w:leader="dot" w:pos="9350"/>
      </w:tabs>
      <w:spacing w:after="100"/>
      <w:ind w:left="540"/>
    </w:pPr>
    <w:rPr>
      <w:sz w:val="20"/>
    </w:rPr>
  </w:style>
  <w:style w:type="paragraph" w:styleId="Header">
    <w:name w:val="header"/>
    <w:basedOn w:val="Normal"/>
    <w:link w:val="HeaderChar"/>
    <w:uiPriority w:val="99"/>
    <w:unhideWhenUsed/>
    <w:rsid w:val="005C675B"/>
    <w:pPr>
      <w:tabs>
        <w:tab w:val="center" w:pos="4680"/>
        <w:tab w:val="right" w:pos="9360"/>
      </w:tabs>
    </w:pPr>
  </w:style>
  <w:style w:type="character" w:customStyle="1" w:styleId="HeaderChar">
    <w:name w:val="Header Char"/>
    <w:basedOn w:val="DefaultParagraphFont"/>
    <w:link w:val="Header"/>
    <w:uiPriority w:val="99"/>
    <w:rsid w:val="005C675B"/>
  </w:style>
  <w:style w:type="paragraph" w:styleId="Footer">
    <w:name w:val="footer"/>
    <w:basedOn w:val="Normal"/>
    <w:link w:val="FooterChar"/>
    <w:uiPriority w:val="99"/>
    <w:unhideWhenUsed/>
    <w:rsid w:val="005C675B"/>
    <w:pPr>
      <w:tabs>
        <w:tab w:val="center" w:pos="4680"/>
        <w:tab w:val="right" w:pos="9360"/>
      </w:tabs>
    </w:pPr>
  </w:style>
  <w:style w:type="character" w:customStyle="1" w:styleId="FooterChar">
    <w:name w:val="Footer Char"/>
    <w:basedOn w:val="DefaultParagraphFont"/>
    <w:link w:val="Footer"/>
    <w:uiPriority w:val="99"/>
    <w:rsid w:val="005C675B"/>
  </w:style>
  <w:style w:type="character" w:customStyle="1" w:styleId="Heading7Char">
    <w:name w:val="Heading 7 Char"/>
    <w:basedOn w:val="DefaultParagraphFont"/>
    <w:link w:val="Heading7"/>
    <w:uiPriority w:val="9"/>
    <w:semiHidden/>
    <w:rsid w:val="005C675B"/>
    <w:rPr>
      <w:rFonts w:asciiTheme="majorHAnsi" w:eastAsiaTheme="majorEastAsia" w:hAnsiTheme="majorHAnsi" w:cstheme="majorBidi"/>
      <w:i/>
      <w:iCs/>
      <w:color w:val="4F6B88" w:themeColor="accent1" w:themeShade="7F"/>
    </w:rPr>
  </w:style>
  <w:style w:type="character" w:customStyle="1" w:styleId="Heading8Char">
    <w:name w:val="Heading 8 Char"/>
    <w:basedOn w:val="DefaultParagraphFont"/>
    <w:link w:val="Heading8"/>
    <w:uiPriority w:val="9"/>
    <w:semiHidden/>
    <w:rsid w:val="005C67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C675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F70336"/>
    <w:pPr>
      <w:keepNext/>
      <w:keepLines/>
      <w:numPr>
        <w:numId w:val="0"/>
      </w:numPr>
      <w:spacing w:before="240" w:line="259" w:lineRule="auto"/>
      <w:outlineLvl w:val="9"/>
    </w:pPr>
    <w:rPr>
      <w:rFonts w:asciiTheme="majorHAnsi" w:eastAsiaTheme="majorEastAsia" w:hAnsiTheme="majorHAnsi" w:cstheme="majorBidi"/>
      <w:b w:val="0"/>
      <w:bCs w:val="0"/>
      <w:sz w:val="32"/>
      <w:szCs w:val="32"/>
      <w:lang w:val="en-US" w:eastAsia="en-US"/>
    </w:rPr>
  </w:style>
  <w:style w:type="paragraph" w:styleId="TOC3">
    <w:name w:val="toc 3"/>
    <w:basedOn w:val="Normal"/>
    <w:next w:val="Normal"/>
    <w:autoRedefine/>
    <w:uiPriority w:val="39"/>
    <w:unhideWhenUsed/>
    <w:rsid w:val="00FE540A"/>
    <w:pPr>
      <w:spacing w:after="100"/>
      <w:ind w:left="440"/>
    </w:pPr>
    <w:rPr>
      <w:sz w:val="20"/>
    </w:rPr>
  </w:style>
  <w:style w:type="character" w:styleId="PlaceholderText">
    <w:name w:val="Placeholder Text"/>
    <w:basedOn w:val="DefaultParagraphFont"/>
    <w:uiPriority w:val="99"/>
    <w:semiHidden/>
    <w:rsid w:val="00B17410"/>
    <w:rPr>
      <w:color w:val="666666"/>
    </w:rPr>
  </w:style>
  <w:style w:type="paragraph" w:styleId="NoSpacing">
    <w:name w:val="No Spacing"/>
    <w:uiPriority w:val="1"/>
    <w:qFormat/>
    <w:rsid w:val="00B35862"/>
  </w:style>
  <w:style w:type="character" w:styleId="CommentReference">
    <w:name w:val="annotation reference"/>
    <w:basedOn w:val="DefaultParagraphFont"/>
    <w:uiPriority w:val="99"/>
    <w:semiHidden/>
    <w:unhideWhenUsed/>
    <w:rsid w:val="00620EED"/>
    <w:rPr>
      <w:sz w:val="16"/>
      <w:szCs w:val="16"/>
    </w:rPr>
  </w:style>
  <w:style w:type="paragraph" w:styleId="CommentText">
    <w:name w:val="annotation text"/>
    <w:basedOn w:val="Normal"/>
    <w:link w:val="CommentTextChar"/>
    <w:uiPriority w:val="99"/>
    <w:semiHidden/>
    <w:unhideWhenUsed/>
    <w:rsid w:val="00620EED"/>
    <w:rPr>
      <w:sz w:val="20"/>
      <w:szCs w:val="20"/>
    </w:rPr>
  </w:style>
  <w:style w:type="character" w:customStyle="1" w:styleId="CommentTextChar">
    <w:name w:val="Comment Text Char"/>
    <w:basedOn w:val="DefaultParagraphFont"/>
    <w:link w:val="CommentText"/>
    <w:uiPriority w:val="99"/>
    <w:semiHidden/>
    <w:rsid w:val="00620EED"/>
    <w:rPr>
      <w:sz w:val="20"/>
      <w:szCs w:val="20"/>
    </w:rPr>
  </w:style>
  <w:style w:type="paragraph" w:styleId="CommentSubject">
    <w:name w:val="annotation subject"/>
    <w:basedOn w:val="CommentText"/>
    <w:next w:val="CommentText"/>
    <w:link w:val="CommentSubjectChar"/>
    <w:uiPriority w:val="99"/>
    <w:semiHidden/>
    <w:unhideWhenUsed/>
    <w:rsid w:val="00620EED"/>
    <w:rPr>
      <w:b/>
      <w:bCs/>
    </w:rPr>
  </w:style>
  <w:style w:type="character" w:customStyle="1" w:styleId="CommentSubjectChar">
    <w:name w:val="Comment Subject Char"/>
    <w:basedOn w:val="CommentTextChar"/>
    <w:link w:val="CommentSubject"/>
    <w:uiPriority w:val="99"/>
    <w:semiHidden/>
    <w:rsid w:val="00620EED"/>
    <w:rPr>
      <w:b/>
      <w:bCs/>
      <w:sz w:val="20"/>
      <w:szCs w:val="20"/>
    </w:rPr>
  </w:style>
  <w:style w:type="character" w:styleId="UnresolvedMention">
    <w:name w:val="Unresolved Mention"/>
    <w:basedOn w:val="DefaultParagraphFont"/>
    <w:uiPriority w:val="99"/>
    <w:semiHidden/>
    <w:unhideWhenUsed/>
    <w:rsid w:val="00DB1A5F"/>
    <w:rPr>
      <w:color w:val="605E5C"/>
      <w:shd w:val="clear" w:color="auto" w:fill="E1DFDD"/>
    </w:rPr>
  </w:style>
  <w:style w:type="character" w:styleId="FollowedHyperlink">
    <w:name w:val="FollowedHyperlink"/>
    <w:basedOn w:val="DefaultParagraphFont"/>
    <w:uiPriority w:val="99"/>
    <w:semiHidden/>
    <w:unhideWhenUsed/>
    <w:rsid w:val="00DB1A5F"/>
    <w:rPr>
      <w:color w:val="954F72" w:themeColor="followedHyperlink"/>
      <w:u w:val="single"/>
    </w:rPr>
  </w:style>
  <w:style w:type="paragraph" w:customStyle="1" w:styleId="Source">
    <w:name w:val="Source"/>
    <w:basedOn w:val="Normal"/>
    <w:link w:val="SourceChar"/>
    <w:qFormat/>
    <w:rsid w:val="00307770"/>
    <w:pPr>
      <w:spacing w:before="120"/>
    </w:pPr>
    <w:rPr>
      <w:sz w:val="16"/>
      <w:szCs w:val="16"/>
    </w:rPr>
  </w:style>
  <w:style w:type="character" w:customStyle="1" w:styleId="SourceChar">
    <w:name w:val="Source Char"/>
    <w:basedOn w:val="DefaultParagraphFont"/>
    <w:link w:val="Source"/>
    <w:rsid w:val="00307770"/>
    <w:rPr>
      <w:sz w:val="16"/>
      <w:szCs w:val="16"/>
    </w:rPr>
  </w:style>
  <w:style w:type="paragraph" w:styleId="Caption">
    <w:name w:val="caption"/>
    <w:basedOn w:val="Normal"/>
    <w:next w:val="Normal"/>
    <w:uiPriority w:val="35"/>
    <w:unhideWhenUsed/>
    <w:qFormat/>
    <w:rsid w:val="00307770"/>
    <w:pPr>
      <w:keepNext/>
      <w:spacing w:after="120"/>
    </w:pPr>
    <w:rPr>
      <w:i/>
      <w:iCs/>
      <w:color w:val="1A2940" w:themeColor="text2"/>
      <w:sz w:val="18"/>
      <w:szCs w:val="16"/>
    </w:rPr>
  </w:style>
  <w:style w:type="paragraph" w:customStyle="1" w:styleId="Figure-text">
    <w:name w:val="Figure-text"/>
    <w:basedOn w:val="Normal"/>
    <w:link w:val="Figure-textChar"/>
    <w:qFormat/>
    <w:rsid w:val="009B4BBB"/>
    <w:pPr>
      <w:jc w:val="both"/>
    </w:pPr>
    <w:rPr>
      <w:b/>
      <w:bCs/>
    </w:rPr>
  </w:style>
  <w:style w:type="character" w:customStyle="1" w:styleId="Figure-textChar">
    <w:name w:val="Figure-text Char"/>
    <w:basedOn w:val="DefaultParagraphFont"/>
    <w:link w:val="Figure-text"/>
    <w:rsid w:val="009B4BBB"/>
    <w:rPr>
      <w:b/>
      <w:bCs/>
    </w:rPr>
  </w:style>
  <w:style w:type="paragraph" w:customStyle="1" w:styleId="Footnote">
    <w:name w:val="Footnote"/>
    <w:basedOn w:val="FootnoteText"/>
    <w:link w:val="FootnoteChar"/>
    <w:qFormat/>
    <w:rsid w:val="00CE4DF5"/>
    <w:pPr>
      <w:ind w:left="360" w:hanging="360"/>
    </w:pPr>
    <w:rPr>
      <w:sz w:val="16"/>
      <w:szCs w:val="16"/>
    </w:rPr>
  </w:style>
  <w:style w:type="character" w:customStyle="1" w:styleId="FootnoteChar">
    <w:name w:val="Footnote Char"/>
    <w:basedOn w:val="FootnoteTextChar"/>
    <w:link w:val="Footnote"/>
    <w:rsid w:val="00CE4DF5"/>
    <w:rPr>
      <w:sz w:val="16"/>
      <w:szCs w:val="16"/>
    </w:rPr>
  </w:style>
  <w:style w:type="table" w:styleId="TableGrid">
    <w:name w:val="Table Grid"/>
    <w:basedOn w:val="TableNormal"/>
    <w:uiPriority w:val="39"/>
    <w:rsid w:val="0007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FE540A"/>
    <w:pPr>
      <w:spacing w:after="100"/>
      <w:ind w:left="660"/>
    </w:pPr>
    <w:rPr>
      <w:sz w:val="20"/>
    </w:rPr>
  </w:style>
  <w:style w:type="paragraph" w:styleId="TOC5">
    <w:name w:val="toc 5"/>
    <w:basedOn w:val="Normal"/>
    <w:next w:val="Normal"/>
    <w:autoRedefine/>
    <w:uiPriority w:val="39"/>
    <w:semiHidden/>
    <w:unhideWhenUsed/>
    <w:rsid w:val="00FE540A"/>
    <w:pPr>
      <w:spacing w:after="100"/>
      <w:ind w:left="880"/>
    </w:pPr>
    <w:rPr>
      <w:sz w:val="20"/>
    </w:rPr>
  </w:style>
  <w:style w:type="paragraph" w:styleId="TOC6">
    <w:name w:val="toc 6"/>
    <w:basedOn w:val="Normal"/>
    <w:next w:val="Normal"/>
    <w:autoRedefine/>
    <w:uiPriority w:val="39"/>
    <w:semiHidden/>
    <w:unhideWhenUsed/>
    <w:rsid w:val="00FE540A"/>
    <w:pPr>
      <w:spacing w:after="100"/>
      <w:ind w:left="1100"/>
    </w:pPr>
    <w:rPr>
      <w:sz w:val="20"/>
    </w:rPr>
  </w:style>
  <w:style w:type="paragraph" w:styleId="TOC7">
    <w:name w:val="toc 7"/>
    <w:basedOn w:val="Normal"/>
    <w:next w:val="Normal"/>
    <w:autoRedefine/>
    <w:uiPriority w:val="39"/>
    <w:semiHidden/>
    <w:unhideWhenUsed/>
    <w:rsid w:val="00FE540A"/>
    <w:pPr>
      <w:spacing w:after="100"/>
      <w:ind w:left="1320"/>
    </w:pPr>
    <w:rPr>
      <w:sz w:val="20"/>
    </w:rPr>
  </w:style>
  <w:style w:type="paragraph" w:styleId="TOC8">
    <w:name w:val="toc 8"/>
    <w:basedOn w:val="Normal"/>
    <w:next w:val="Normal"/>
    <w:autoRedefine/>
    <w:uiPriority w:val="39"/>
    <w:semiHidden/>
    <w:unhideWhenUsed/>
    <w:rsid w:val="00FE540A"/>
    <w:pPr>
      <w:spacing w:after="100"/>
      <w:ind w:left="1540"/>
    </w:pPr>
    <w:rPr>
      <w:sz w:val="20"/>
    </w:rPr>
  </w:style>
  <w:style w:type="paragraph" w:styleId="TOC9">
    <w:name w:val="toc 9"/>
    <w:basedOn w:val="Normal"/>
    <w:next w:val="Normal"/>
    <w:autoRedefine/>
    <w:uiPriority w:val="39"/>
    <w:semiHidden/>
    <w:unhideWhenUsed/>
    <w:rsid w:val="00FE540A"/>
    <w:pPr>
      <w:spacing w:after="100"/>
      <w:ind w:left="1760"/>
    </w:pPr>
    <w:rPr>
      <w:sz w:val="20"/>
    </w:rPr>
  </w:style>
  <w:style w:type="paragraph" w:styleId="Revision">
    <w:name w:val="Revision"/>
    <w:hidden/>
    <w:uiPriority w:val="99"/>
    <w:semiHidden/>
    <w:rsid w:val="00560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hart" Target="charts/chart4.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chris.peiclimate.ca/" TargetMode="External"/><Relationship Id="rId3" Type="http://schemas.openxmlformats.org/officeDocument/2006/relationships/hyperlink" Target="https://doi.org/10.5683/SP3/LCXVCR" TargetMode="External"/><Relationship Id="rId7" Type="http://schemas.openxmlformats.org/officeDocument/2006/relationships/hyperlink" Target="https://homelesshub.ca/resource/state-homelessness-canada-2013/" TargetMode="External"/><Relationship Id="rId2" Type="http://schemas.openxmlformats.org/officeDocument/2006/relationships/hyperlink" Target="https://www150.statcan.gc.ca/n1/pub/11-621-m/11-621-m2024010-eng.htm" TargetMode="External"/><Relationship Id="rId1" Type="http://schemas.openxmlformats.org/officeDocument/2006/relationships/hyperlink" Target="https://doi.org/10.5683/SP3/8PUZQA" TargetMode="External"/><Relationship Id="rId6" Type="http://schemas.openxmlformats.org/officeDocument/2006/relationships/hyperlink" Target="https://www.canada.ca/en/housing-infrastructure-communities/news/2022/08/overview-reaching-home.html" TargetMode="External"/><Relationship Id="rId5" Type="http://schemas.openxmlformats.org/officeDocument/2006/relationships/hyperlink" Target="https://doi.org/10.5683/SP3/8PUZQA" TargetMode="External"/><Relationship Id="rId4" Type="http://schemas.openxmlformats.org/officeDocument/2006/relationships/hyperlink" Target="https://doi.org/10.5683/SP3/QMNEON" TargetMode="External"/><Relationship Id="rId9" Type="http://schemas.openxmlformats.org/officeDocument/2006/relationships/hyperlink" Target="https://housing-infrastructure.canada.ca/bch-mc/housing-affordability-abordabilite-logement-eng.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TDPServer\J\Jobs\1000_Resource_Centre\(8)%20Planning%20Division\Data\R%20-%20API%20Statistics%20Canada\RKI%20databook.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pop_now!$D$28</c:f>
              <c:strCache>
                <c:ptCount val="1"/>
                <c:pt idx="0">
                  <c:v>Ann. change</c:v>
                </c:pt>
              </c:strCache>
            </c:strRef>
          </c:tx>
          <c:spPr>
            <a:solidFill>
              <a:schemeClr val="accent2"/>
            </a:solidFill>
            <a:ln>
              <a:noFill/>
            </a:ln>
            <a:effectLst/>
          </c:spPr>
          <c:invertIfNegative val="0"/>
          <c:cat>
            <c:numRef>
              <c:f>pop_now!$B$30:$B$53</c:f>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pop_now!$D$30:$D$53</c:f>
              <c:numCache>
                <c:formatCode>0.0%</c:formatCode>
                <c:ptCount val="24"/>
                <c:pt idx="0">
                  <c:v>3.6732070158262964E-4</c:v>
                </c:pt>
                <c:pt idx="1">
                  <c:v>3.9778464551276649E-4</c:v>
                </c:pt>
                <c:pt idx="2">
                  <c:v>3.058665198496513E-5</c:v>
                </c:pt>
                <c:pt idx="3">
                  <c:v>9.7874292705313337E-4</c:v>
                </c:pt>
                <c:pt idx="4">
                  <c:v>-6.1111620374609821E-4</c:v>
                </c:pt>
                <c:pt idx="5">
                  <c:v>6.390069404103027E-3</c:v>
                </c:pt>
                <c:pt idx="6">
                  <c:v>1.1909101956495416E-2</c:v>
                </c:pt>
                <c:pt idx="7">
                  <c:v>1.9634922541131195E-2</c:v>
                </c:pt>
                <c:pt idx="8">
                  <c:v>1.8903480360402902E-2</c:v>
                </c:pt>
                <c:pt idx="9">
                  <c:v>3.0112125765807463E-2</c:v>
                </c:pt>
                <c:pt idx="10">
                  <c:v>9.1735398081131958E-3</c:v>
                </c:pt>
                <c:pt idx="11">
                  <c:v>-8.9233591860562456E-3</c:v>
                </c:pt>
                <c:pt idx="12">
                  <c:v>5.4975877931111583E-3</c:v>
                </c:pt>
                <c:pt idx="13">
                  <c:v>1.1827717027449225E-2</c:v>
                </c:pt>
                <c:pt idx="14">
                  <c:v>2.8120864578738525E-2</c:v>
                </c:pt>
                <c:pt idx="15">
                  <c:v>2.3356215810361514E-2</c:v>
                </c:pt>
                <c:pt idx="16">
                  <c:v>1.6219898854911818E-2</c:v>
                </c:pt>
                <c:pt idx="17">
                  <c:v>2.7048630808106822E-2</c:v>
                </c:pt>
                <c:pt idx="18">
                  <c:v>2.3750345208505941E-2</c:v>
                </c:pt>
                <c:pt idx="19">
                  <c:v>6.3025725286314227E-3</c:v>
                </c:pt>
                <c:pt idx="20">
                  <c:v>2.9487741872593398E-2</c:v>
                </c:pt>
                <c:pt idx="21">
                  <c:v>5.678912981725226E-2</c:v>
                </c:pt>
                <c:pt idx="22">
                  <c:v>5.9628609188450588E-2</c:v>
                </c:pt>
                <c:pt idx="23">
                  <c:v>1.7186343938272897E-2</c:v>
                </c:pt>
              </c:numCache>
            </c:numRef>
          </c:val>
          <c:extLst>
            <c:ext xmlns:c16="http://schemas.microsoft.com/office/drawing/2014/chart" uri="{C3380CC4-5D6E-409C-BE32-E72D297353CC}">
              <c16:uniqueId val="{00000000-67F3-4836-A6D6-F746B31699F1}"/>
            </c:ext>
          </c:extLst>
        </c:ser>
        <c:dLbls>
          <c:showLegendKey val="0"/>
          <c:showVal val="0"/>
          <c:showCatName val="0"/>
          <c:showSerName val="0"/>
          <c:showPercent val="0"/>
          <c:showBubbleSize val="0"/>
        </c:dLbls>
        <c:gapWidth val="50"/>
        <c:overlap val="-27"/>
        <c:axId val="1877744751"/>
        <c:axId val="1877757711"/>
      </c:barChart>
      <c:catAx>
        <c:axId val="1877744751"/>
        <c:scaling>
          <c:orientation val="minMax"/>
        </c:scaling>
        <c:delete val="0"/>
        <c:axPos val="b"/>
        <c:numFmt formatCode="General" sourceLinked="1"/>
        <c:majorTickMark val="cross"/>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77757711"/>
        <c:crosses val="autoZero"/>
        <c:auto val="1"/>
        <c:lblAlgn val="ctr"/>
        <c:lblOffset val="100"/>
        <c:noMultiLvlLbl val="0"/>
      </c:catAx>
      <c:valAx>
        <c:axId val="1877757711"/>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Population change over previous year</a:t>
                </a:r>
              </a:p>
            </c:rich>
          </c:tx>
          <c:layout>
            <c:manualLayout>
              <c:xMode val="edge"/>
              <c:yMode val="edge"/>
              <c:x val="0"/>
              <c:y val="6.951012880010308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CA"/>
            </a:p>
          </c:txPr>
        </c:title>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77744751"/>
        <c:crosses val="autoZero"/>
        <c:crossBetween val="between"/>
        <c:majorUnit val="1.0000000000000002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93126856747977"/>
          <c:y val="5.0376180612851297E-2"/>
          <c:w val="0.85640736838896092"/>
          <c:h val="0.62558301173440012"/>
        </c:manualLayout>
      </c:layout>
      <c:barChart>
        <c:barDir val="col"/>
        <c:grouping val="stacked"/>
        <c:varyColors val="0"/>
        <c:ser>
          <c:idx val="0"/>
          <c:order val="0"/>
          <c:tx>
            <c:strRef>
              <c:f>pop_now!$B$71</c:f>
              <c:strCache>
                <c:ptCount val="1"/>
                <c:pt idx="0">
                  <c:v>Net natural change</c:v>
                </c:pt>
              </c:strCache>
            </c:strRef>
          </c:tx>
          <c:spPr>
            <a:solidFill>
              <a:srgbClr val="CFD9E3"/>
            </a:solidFill>
            <a:ln>
              <a:noFill/>
            </a:ln>
            <a:effectLst/>
          </c:spPr>
          <c:invertIfNegative val="0"/>
          <c:cat>
            <c:strRef>
              <c:f>pop_now!$C$70:$Z$70</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pop_now!$C$71:$Z$71</c:f>
              <c:numCache>
                <c:formatCode>0%</c:formatCode>
                <c:ptCount val="24"/>
                <c:pt idx="0">
                  <c:v>4.5680430780304813E-4</c:v>
                </c:pt>
                <c:pt idx="1">
                  <c:v>1.5315203443851152E-3</c:v>
                </c:pt>
                <c:pt idx="2">
                  <c:v>1.2366714301418049E-3</c:v>
                </c:pt>
                <c:pt idx="3">
                  <c:v>1.6133883890727119E-3</c:v>
                </c:pt>
                <c:pt idx="4">
                  <c:v>1.2919896640826874E-3</c:v>
                </c:pt>
                <c:pt idx="5">
                  <c:v>2.7651643510674347E-3</c:v>
                </c:pt>
                <c:pt idx="6">
                  <c:v>2.0709538569823631E-3</c:v>
                </c:pt>
                <c:pt idx="7">
                  <c:v>2.1399529210357373E-3</c:v>
                </c:pt>
                <c:pt idx="8">
                  <c:v>2.7854055261394544E-3</c:v>
                </c:pt>
                <c:pt idx="9">
                  <c:v>2.5330127422113075E-3</c:v>
                </c:pt>
                <c:pt idx="10">
                  <c:v>2.0969332351436025E-3</c:v>
                </c:pt>
                <c:pt idx="11">
                  <c:v>1.2457754643905568E-3</c:v>
                </c:pt>
                <c:pt idx="12">
                  <c:v>1.7900129621628296E-3</c:v>
                </c:pt>
                <c:pt idx="13">
                  <c:v>9.322408125214661E-4</c:v>
                </c:pt>
                <c:pt idx="14">
                  <c:v>3.0706492056364011E-3</c:v>
                </c:pt>
                <c:pt idx="15">
                  <c:v>1.3371356896898555E-3</c:v>
                </c:pt>
                <c:pt idx="16">
                  <c:v>4.6136633640526421E-4</c:v>
                </c:pt>
                <c:pt idx="17">
                  <c:v>3.9535067604965602E-4</c:v>
                </c:pt>
                <c:pt idx="18">
                  <c:v>4.4062568847763828E-5</c:v>
                </c:pt>
                <c:pt idx="19">
                  <c:v>1.0327022375215145E-3</c:v>
                </c:pt>
                <c:pt idx="20">
                  <c:v>-1.3747739554361734E-4</c:v>
                </c:pt>
                <c:pt idx="21">
                  <c:v>-1.3256648719203786E-3</c:v>
                </c:pt>
                <c:pt idx="22">
                  <c:v>-8.0928237129485178E-4</c:v>
                </c:pt>
                <c:pt idx="23">
                  <c:v>-9.5321757658449057E-4</c:v>
                </c:pt>
              </c:numCache>
            </c:numRef>
          </c:val>
          <c:extLst>
            <c:ext xmlns:c16="http://schemas.microsoft.com/office/drawing/2014/chart" uri="{C3380CC4-5D6E-409C-BE32-E72D297353CC}">
              <c16:uniqueId val="{00000000-4D53-42AA-BD71-49B4086FD6C3}"/>
            </c:ext>
          </c:extLst>
        </c:ser>
        <c:ser>
          <c:idx val="1"/>
          <c:order val="1"/>
          <c:tx>
            <c:strRef>
              <c:f>pop_now!$B$72</c:f>
              <c:strCache>
                <c:ptCount val="1"/>
                <c:pt idx="0">
                  <c:v>Net international</c:v>
                </c:pt>
              </c:strCache>
            </c:strRef>
          </c:tx>
          <c:spPr>
            <a:solidFill>
              <a:schemeClr val="accent2"/>
            </a:solidFill>
            <a:ln>
              <a:noFill/>
            </a:ln>
            <a:effectLst/>
          </c:spPr>
          <c:invertIfNegative val="0"/>
          <c:cat>
            <c:strRef>
              <c:f>pop_now!$C$70:$Z$70</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pop_now!$C$72:$Z$72</c:f>
              <c:numCache>
                <c:formatCode>0%</c:formatCode>
                <c:ptCount val="24"/>
                <c:pt idx="0">
                  <c:v>7.4749795822316972E-4</c:v>
                </c:pt>
                <c:pt idx="1">
                  <c:v>4.1392441740138253E-4</c:v>
                </c:pt>
                <c:pt idx="2">
                  <c:v>1.1954490491370782E-3</c:v>
                </c:pt>
                <c:pt idx="3">
                  <c:v>2.9806666848970439E-3</c:v>
                </c:pt>
                <c:pt idx="4">
                  <c:v>4.2023663810689515E-3</c:v>
                </c:pt>
                <c:pt idx="5">
                  <c:v>1.0274483226025076E-2</c:v>
                </c:pt>
                <c:pt idx="6">
                  <c:v>1.7650482545784323E-2</c:v>
                </c:pt>
                <c:pt idx="7">
                  <c:v>2.5197945645195806E-2</c:v>
                </c:pt>
                <c:pt idx="8">
                  <c:v>2.3623392150937447E-2</c:v>
                </c:pt>
                <c:pt idx="9">
                  <c:v>3.3404909158705462E-2</c:v>
                </c:pt>
                <c:pt idx="10">
                  <c:v>1.6638166681228701E-2</c:v>
                </c:pt>
                <c:pt idx="11">
                  <c:v>9.1891358511976707E-3</c:v>
                </c:pt>
                <c:pt idx="12">
                  <c:v>1.4999074131226468E-2</c:v>
                </c:pt>
                <c:pt idx="13">
                  <c:v>1.794563564103822E-2</c:v>
                </c:pt>
                <c:pt idx="14">
                  <c:v>2.7138227762067167E-2</c:v>
                </c:pt>
                <c:pt idx="15">
                  <c:v>3.0197967080429305E-2</c:v>
                </c:pt>
                <c:pt idx="16">
                  <c:v>2.8893066817379669E-2</c:v>
                </c:pt>
                <c:pt idx="17">
                  <c:v>2.9018739622044754E-2</c:v>
                </c:pt>
                <c:pt idx="18">
                  <c:v>2.315487992949989E-2</c:v>
                </c:pt>
                <c:pt idx="19">
                  <c:v>1.3392857142857142E-2</c:v>
                </c:pt>
                <c:pt idx="20">
                  <c:v>2.9504764120514799E-2</c:v>
                </c:pt>
                <c:pt idx="21">
                  <c:v>3.9300864741393375E-2</c:v>
                </c:pt>
                <c:pt idx="22">
                  <c:v>3.8767550702028079E-2</c:v>
                </c:pt>
                <c:pt idx="23">
                  <c:v>1.1775040651926061E-2</c:v>
                </c:pt>
              </c:numCache>
            </c:numRef>
          </c:val>
          <c:extLst>
            <c:ext xmlns:c16="http://schemas.microsoft.com/office/drawing/2014/chart" uri="{C3380CC4-5D6E-409C-BE32-E72D297353CC}">
              <c16:uniqueId val="{00000001-4D53-42AA-BD71-49B4086FD6C3}"/>
            </c:ext>
          </c:extLst>
        </c:ser>
        <c:ser>
          <c:idx val="2"/>
          <c:order val="2"/>
          <c:tx>
            <c:strRef>
              <c:f>pop_now!$B$73</c:f>
              <c:strCache>
                <c:ptCount val="1"/>
                <c:pt idx="0">
                  <c:v>Net interprovincial</c:v>
                </c:pt>
              </c:strCache>
            </c:strRef>
          </c:tx>
          <c:spPr>
            <a:solidFill>
              <a:schemeClr val="accent5">
                <a:lumMod val="40000"/>
                <a:lumOff val="60000"/>
              </a:schemeClr>
            </a:solidFill>
            <a:ln>
              <a:noFill/>
            </a:ln>
            <a:effectLst/>
          </c:spPr>
          <c:invertIfNegative val="0"/>
          <c:dPt>
            <c:idx val="10"/>
            <c:invertIfNegative val="0"/>
            <c:bubble3D val="0"/>
            <c:spPr>
              <a:solidFill>
                <a:srgbClr val="FFD07B"/>
              </a:solidFill>
              <a:ln>
                <a:noFill/>
              </a:ln>
              <a:effectLst/>
            </c:spPr>
            <c:extLst>
              <c:ext xmlns:c16="http://schemas.microsoft.com/office/drawing/2014/chart" uri="{C3380CC4-5D6E-409C-BE32-E72D297353CC}">
                <c16:uniqueId val="{00000000-E9A4-4CA0-A641-F5119F83D903}"/>
              </c:ext>
            </c:extLst>
          </c:dPt>
          <c:cat>
            <c:strRef>
              <c:f>pop_now!$C$70:$Z$70</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pop_now!$C$73:$Z$73</c:f>
              <c:numCache>
                <c:formatCode>0%</c:formatCode>
                <c:ptCount val="24"/>
                <c:pt idx="0">
                  <c:v>3.5990642432967427E-4</c:v>
                </c:pt>
                <c:pt idx="1">
                  <c:v>3.1734205334105995E-4</c:v>
                </c:pt>
                <c:pt idx="2">
                  <c:v>-8.2444762009453663E-5</c:v>
                </c:pt>
                <c:pt idx="3">
                  <c:v>-1.5176789083650086E-3</c:v>
                </c:pt>
                <c:pt idx="4">
                  <c:v>-3.7263701890384877E-3</c:v>
                </c:pt>
                <c:pt idx="5">
                  <c:v>-7.0349034225686211E-3</c:v>
                </c:pt>
                <c:pt idx="6">
                  <c:v>-2.368738071711853E-3</c:v>
                </c:pt>
                <c:pt idx="7">
                  <c:v>-4.3869034881232616E-3</c:v>
                </c:pt>
                <c:pt idx="8">
                  <c:v>2.4963540092759262E-4</c:v>
                </c:pt>
                <c:pt idx="9">
                  <c:v>-1.2986512028596042E-3</c:v>
                </c:pt>
                <c:pt idx="10">
                  <c:v>-6.0286830510378571E-3</c:v>
                </c:pt>
                <c:pt idx="11">
                  <c:v>-8.2640550608086439E-3</c:v>
                </c:pt>
                <c:pt idx="12">
                  <c:v>-7.8019875316338496E-3</c:v>
                </c:pt>
                <c:pt idx="13">
                  <c:v>-5.6425101810509788E-3</c:v>
                </c:pt>
                <c:pt idx="14">
                  <c:v>-9.4668236379304063E-4</c:v>
                </c:pt>
                <c:pt idx="15">
                  <c:v>-3.7865789442544583E-4</c:v>
                </c:pt>
                <c:pt idx="16">
                  <c:v>-2.4337074245377685E-3</c:v>
                </c:pt>
                <c:pt idx="17">
                  <c:v>1.897683245038349E-3</c:v>
                </c:pt>
                <c:pt idx="18">
                  <c:v>6.4771976206212823E-3</c:v>
                </c:pt>
                <c:pt idx="19">
                  <c:v>6.5727194492254731E-3</c:v>
                </c:pt>
                <c:pt idx="20">
                  <c:v>6.2182083522805383E-3</c:v>
                </c:pt>
                <c:pt idx="21">
                  <c:v>6.9342470223527491E-3</c:v>
                </c:pt>
                <c:pt idx="22">
                  <c:v>5.0994539781591261E-3</c:v>
                </c:pt>
                <c:pt idx="23">
                  <c:v>4.5791824757490237E-3</c:v>
                </c:pt>
              </c:numCache>
            </c:numRef>
          </c:val>
          <c:extLst>
            <c:ext xmlns:c16="http://schemas.microsoft.com/office/drawing/2014/chart" uri="{C3380CC4-5D6E-409C-BE32-E72D297353CC}">
              <c16:uniqueId val="{00000002-4D53-42AA-BD71-49B4086FD6C3}"/>
            </c:ext>
          </c:extLst>
        </c:ser>
        <c:ser>
          <c:idx val="3"/>
          <c:order val="3"/>
          <c:tx>
            <c:strRef>
              <c:f>pop_now!$B$74</c:f>
              <c:strCache>
                <c:ptCount val="1"/>
                <c:pt idx="0">
                  <c:v>Net intraprovincial</c:v>
                </c:pt>
              </c:strCache>
            </c:strRef>
          </c:tx>
          <c:spPr>
            <a:solidFill>
              <a:srgbClr val="602BDF"/>
            </a:solidFill>
            <a:ln>
              <a:noFill/>
            </a:ln>
            <a:effectLst/>
          </c:spPr>
          <c:invertIfNegative val="0"/>
          <c:cat>
            <c:strRef>
              <c:f>pop_now!$C$70:$Z$70</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pop_now!$C$74:$Z$74</c:f>
              <c:numCache>
                <c:formatCode>0%</c:formatCode>
                <c:ptCount val="24"/>
                <c:pt idx="0">
                  <c:v>2.3255492033609723E-3</c:v>
                </c:pt>
                <c:pt idx="1">
                  <c:v>2.455951543248203E-3</c:v>
                </c:pt>
                <c:pt idx="2">
                  <c:v>3.1329009563592393E-3</c:v>
                </c:pt>
                <c:pt idx="3">
                  <c:v>2.5294648472750144E-3</c:v>
                </c:pt>
                <c:pt idx="4">
                  <c:v>2.5975792193662453E-3</c:v>
                </c:pt>
                <c:pt idx="5">
                  <c:v>3.8088783463232803E-3</c:v>
                </c:pt>
                <c:pt idx="6">
                  <c:v>3.235019423652188E-3</c:v>
                </c:pt>
                <c:pt idx="7">
                  <c:v>3.4105499679007063E-3</c:v>
                </c:pt>
                <c:pt idx="8">
                  <c:v>3.3109537386185966E-3</c:v>
                </c:pt>
                <c:pt idx="9">
                  <c:v>3.3302045697092822E-3</c:v>
                </c:pt>
                <c:pt idx="10">
                  <c:v>5.8913838511177406E-3</c:v>
                </c:pt>
                <c:pt idx="11">
                  <c:v>3.5029725929397832E-3</c:v>
                </c:pt>
                <c:pt idx="12">
                  <c:v>3.999753101660391E-3</c:v>
                </c:pt>
                <c:pt idx="13">
                  <c:v>4.1828173298660521E-3</c:v>
                </c:pt>
                <c:pt idx="14">
                  <c:v>3.1070600657822872E-3</c:v>
                </c:pt>
                <c:pt idx="15">
                  <c:v>1.8104580577216628E-3</c:v>
                </c:pt>
                <c:pt idx="16">
                  <c:v>1.0380742569118444E-3</c:v>
                </c:pt>
                <c:pt idx="17">
                  <c:v>7.4551841769363708E-4</c:v>
                </c:pt>
                <c:pt idx="18">
                  <c:v>5.2875082617316594E-4</c:v>
                </c:pt>
                <c:pt idx="19">
                  <c:v>2.2160068846815836E-3</c:v>
                </c:pt>
                <c:pt idx="20">
                  <c:v>1.4593754296168611E-3</c:v>
                </c:pt>
                <c:pt idx="21">
                  <c:v>9.381628324359602E-4</c:v>
                </c:pt>
                <c:pt idx="22">
                  <c:v>2.9251170046801873E-4</c:v>
                </c:pt>
                <c:pt idx="23">
                  <c:v>5.6071622152028855E-5</c:v>
                </c:pt>
              </c:numCache>
            </c:numRef>
          </c:val>
          <c:extLst>
            <c:ext xmlns:c16="http://schemas.microsoft.com/office/drawing/2014/chart" uri="{C3380CC4-5D6E-409C-BE32-E72D297353CC}">
              <c16:uniqueId val="{00000003-4D53-42AA-BD71-49B4086FD6C3}"/>
            </c:ext>
          </c:extLst>
        </c:ser>
        <c:dLbls>
          <c:showLegendKey val="0"/>
          <c:showVal val="0"/>
          <c:showCatName val="0"/>
          <c:showSerName val="0"/>
          <c:showPercent val="0"/>
          <c:showBubbleSize val="0"/>
        </c:dLbls>
        <c:gapWidth val="25"/>
        <c:overlap val="100"/>
        <c:axId val="797489695"/>
        <c:axId val="797491135"/>
      </c:barChart>
      <c:catAx>
        <c:axId val="797489695"/>
        <c:scaling>
          <c:orientation val="minMax"/>
        </c:scaling>
        <c:delete val="0"/>
        <c:axPos val="b"/>
        <c:numFmt formatCode="General" sourceLinked="1"/>
        <c:majorTickMark val="cross"/>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797491135"/>
        <c:crosses val="autoZero"/>
        <c:auto val="1"/>
        <c:lblAlgn val="ctr"/>
        <c:lblOffset val="100"/>
        <c:noMultiLvlLbl val="0"/>
      </c:catAx>
      <c:valAx>
        <c:axId val="797491135"/>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Share of population growth</a:t>
                </a:r>
              </a:p>
            </c:rich>
          </c:tx>
          <c:layout>
            <c:manualLayout>
              <c:xMode val="edge"/>
              <c:yMode val="edge"/>
              <c:x val="1.2152549026762266E-2"/>
              <c:y val="8.6788618412462132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797489695"/>
        <c:crosses val="autoZero"/>
        <c:crossBetween val="between"/>
        <c:majorUnit val="2.0000000000000004E-2"/>
      </c:valAx>
      <c:spPr>
        <a:noFill/>
        <a:ln>
          <a:noFill/>
        </a:ln>
        <a:effectLst/>
      </c:spPr>
    </c:plotArea>
    <c:legend>
      <c:legendPos val="b"/>
      <c:layout>
        <c:manualLayout>
          <c:xMode val="edge"/>
          <c:yMode val="edge"/>
          <c:x val="7.0071001026398419E-2"/>
          <c:y val="0.90345780657752273"/>
          <c:w val="0.84264973391552356"/>
          <c:h val="7.8223908317578597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2"/>
          <c:tx>
            <c:strRef>
              <c:f>pop_fut!$B$21</c:f>
              <c:strCache>
                <c:ptCount val="1"/>
                <c:pt idx="0">
                  <c:v>Minimum</c:v>
                </c:pt>
              </c:strCache>
            </c:strRef>
          </c:tx>
          <c:spPr>
            <a:noFill/>
            <a:ln>
              <a:noFill/>
            </a:ln>
            <a:effectLst/>
          </c:spPr>
          <c:cat>
            <c:numRef>
              <c:f>pop_fut!$H$19:$AB$19</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pop_fut!$H$21:$W$21</c:f>
              <c:numCache>
                <c:formatCode>General</c:formatCode>
                <c:ptCount val="16"/>
                <c:pt idx="5" formatCode="#,##0">
                  <c:v>48120</c:v>
                </c:pt>
                <c:pt idx="6" formatCode="#,##0">
                  <c:v>48040</c:v>
                </c:pt>
                <c:pt idx="7" formatCode="#,##0">
                  <c:v>48025</c:v>
                </c:pt>
                <c:pt idx="8" formatCode="#,##0">
                  <c:v>48235</c:v>
                </c:pt>
                <c:pt idx="9" formatCode="#,##0">
                  <c:v>48650</c:v>
                </c:pt>
                <c:pt idx="10" formatCode="#,##0">
                  <c:v>49060</c:v>
                </c:pt>
                <c:pt idx="11" formatCode="#,##0">
                  <c:v>49480</c:v>
                </c:pt>
                <c:pt idx="12" formatCode="#,##0">
                  <c:v>49905</c:v>
                </c:pt>
                <c:pt idx="13" formatCode="#,##0">
                  <c:v>50315</c:v>
                </c:pt>
                <c:pt idx="14" formatCode="#,##0">
                  <c:v>50695</c:v>
                </c:pt>
                <c:pt idx="15" formatCode="#,##0">
                  <c:v>51045</c:v>
                </c:pt>
              </c:numCache>
            </c:numRef>
          </c:val>
          <c:extLst>
            <c:ext xmlns:c16="http://schemas.microsoft.com/office/drawing/2014/chart" uri="{C3380CC4-5D6E-409C-BE32-E72D297353CC}">
              <c16:uniqueId val="{00000000-9FA2-4D8C-A32D-342D2BCA860D}"/>
            </c:ext>
          </c:extLst>
        </c:ser>
        <c:ser>
          <c:idx val="3"/>
          <c:order val="4"/>
          <c:tx>
            <c:strRef>
              <c:f>pop_fut!$B$24</c:f>
              <c:strCache>
                <c:ptCount val="1"/>
                <c:pt idx="0">
                  <c:v>Projection range</c:v>
                </c:pt>
              </c:strCache>
            </c:strRef>
          </c:tx>
          <c:spPr>
            <a:solidFill>
              <a:schemeClr val="bg1">
                <a:lumMod val="85000"/>
              </a:schemeClr>
            </a:solidFill>
            <a:ln>
              <a:noFill/>
            </a:ln>
            <a:effectLst/>
          </c:spPr>
          <c:cat>
            <c:numRef>
              <c:f>pop_fut!$H$19:$AB$19</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pop_fut!$H$24:$W$24</c:f>
              <c:numCache>
                <c:formatCode>General</c:formatCode>
                <c:ptCount val="16"/>
                <c:pt idx="5" formatCode="#,##0">
                  <c:v>0</c:v>
                </c:pt>
                <c:pt idx="6" formatCode="#,##0">
                  <c:v>990</c:v>
                </c:pt>
                <c:pt idx="7" formatCode="#,##0">
                  <c:v>1845</c:v>
                </c:pt>
                <c:pt idx="8" formatCode="#,##0">
                  <c:v>2630</c:v>
                </c:pt>
                <c:pt idx="9" formatCode="#,##0">
                  <c:v>3385</c:v>
                </c:pt>
                <c:pt idx="10" formatCode="#,##0">
                  <c:v>4115</c:v>
                </c:pt>
                <c:pt idx="11" formatCode="#,##0">
                  <c:v>4750</c:v>
                </c:pt>
                <c:pt idx="12" formatCode="#,##0">
                  <c:v>5330</c:v>
                </c:pt>
                <c:pt idx="13" formatCode="#,##0">
                  <c:v>5880</c:v>
                </c:pt>
                <c:pt idx="14" formatCode="#,##0">
                  <c:v>6390</c:v>
                </c:pt>
                <c:pt idx="15" formatCode="#,##0">
                  <c:v>6880</c:v>
                </c:pt>
              </c:numCache>
            </c:numRef>
          </c:val>
          <c:extLst>
            <c:ext xmlns:c16="http://schemas.microsoft.com/office/drawing/2014/chart" uri="{C3380CC4-5D6E-409C-BE32-E72D297353CC}">
              <c16:uniqueId val="{00000001-9FA2-4D8C-A32D-342D2BCA860D}"/>
            </c:ext>
          </c:extLst>
        </c:ser>
        <c:dLbls>
          <c:showLegendKey val="0"/>
          <c:showVal val="0"/>
          <c:showCatName val="0"/>
          <c:showSerName val="0"/>
          <c:showPercent val="0"/>
          <c:showBubbleSize val="0"/>
        </c:dLbls>
        <c:axId val="1810162448"/>
        <c:axId val="1810148048"/>
      </c:areaChart>
      <c:lineChart>
        <c:grouping val="standard"/>
        <c:varyColors val="0"/>
        <c:ser>
          <c:idx val="0"/>
          <c:order val="0"/>
          <c:tx>
            <c:strRef>
              <c:f>pop_fut!$B$20</c:f>
              <c:strCache>
                <c:ptCount val="1"/>
                <c:pt idx="0">
                  <c:v>Historical</c:v>
                </c:pt>
              </c:strCache>
            </c:strRef>
          </c:tx>
          <c:spPr>
            <a:ln w="19050" cap="rnd">
              <a:solidFill>
                <a:schemeClr val="accent2"/>
              </a:solidFill>
              <a:round/>
            </a:ln>
            <a:effectLst/>
          </c:spPr>
          <c:marker>
            <c:symbol val="none"/>
          </c:marker>
          <c:dPt>
            <c:idx val="5"/>
            <c:marker>
              <c:symbol val="circle"/>
              <c:size val="6"/>
              <c:spPr>
                <a:solidFill>
                  <a:schemeClr val="accent2"/>
                </a:solidFill>
                <a:ln w="9525">
                  <a:noFill/>
                </a:ln>
                <a:effectLst/>
              </c:spPr>
            </c:marker>
            <c:bubble3D val="0"/>
            <c:extLst>
              <c:ext xmlns:c16="http://schemas.microsoft.com/office/drawing/2014/chart" uri="{C3380CC4-5D6E-409C-BE32-E72D297353CC}">
                <c16:uniqueId val="{00000002-9FA2-4D8C-A32D-342D2BCA860D}"/>
              </c:ext>
            </c:extLst>
          </c:dPt>
          <c:cat>
            <c:numRef>
              <c:f>pop_fut!$H$19:$W$19</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pop_fut!$H$20:$W$20</c:f>
              <c:numCache>
                <c:formatCode>#,##0</c:formatCode>
                <c:ptCount val="16"/>
                <c:pt idx="0">
                  <c:v>40775</c:v>
                </c:pt>
                <c:pt idx="1">
                  <c:v>41035</c:v>
                </c:pt>
                <c:pt idx="2">
                  <c:v>42245</c:v>
                </c:pt>
                <c:pt idx="3">
                  <c:v>44645</c:v>
                </c:pt>
                <c:pt idx="4">
                  <c:v>47305</c:v>
                </c:pt>
                <c:pt idx="5">
                  <c:v>48120</c:v>
                </c:pt>
              </c:numCache>
            </c:numRef>
          </c:val>
          <c:smooth val="0"/>
          <c:extLst>
            <c:ext xmlns:c16="http://schemas.microsoft.com/office/drawing/2014/chart" uri="{C3380CC4-5D6E-409C-BE32-E72D297353CC}">
              <c16:uniqueId val="{00000003-9FA2-4D8C-A32D-342D2BCA860D}"/>
            </c:ext>
          </c:extLst>
        </c:ser>
        <c:ser>
          <c:idx val="4"/>
          <c:order val="1"/>
          <c:tx>
            <c:strRef>
              <c:f>pop_fut!$B$22</c:f>
              <c:strCache>
                <c:ptCount val="1"/>
                <c:pt idx="0">
                  <c:v>Minimum</c:v>
                </c:pt>
              </c:strCache>
            </c:strRef>
          </c:tx>
          <c:spPr>
            <a:ln w="19050" cap="rnd">
              <a:solidFill>
                <a:schemeClr val="accent2"/>
              </a:solidFill>
              <a:prstDash val="sysDash"/>
              <a:round/>
            </a:ln>
            <a:effectLst/>
          </c:spPr>
          <c:marker>
            <c:symbol val="none"/>
          </c:marker>
          <c:dPt>
            <c:idx val="15"/>
            <c:marker>
              <c:symbol val="circle"/>
              <c:size val="6"/>
              <c:spPr>
                <a:solidFill>
                  <a:schemeClr val="accent2"/>
                </a:solidFill>
                <a:ln w="9525">
                  <a:noFill/>
                </a:ln>
                <a:effectLst/>
              </c:spPr>
            </c:marker>
            <c:bubble3D val="0"/>
            <c:extLst>
              <c:ext xmlns:c16="http://schemas.microsoft.com/office/drawing/2014/chart" uri="{C3380CC4-5D6E-409C-BE32-E72D297353CC}">
                <c16:uniqueId val="{00000004-9FA2-4D8C-A32D-342D2BCA860D}"/>
              </c:ext>
            </c:extLst>
          </c:dPt>
          <c:dLbls>
            <c:dLbl>
              <c:idx val="1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A2-4D8C-A32D-342D2BCA860D}"/>
                </c:ext>
              </c:extLst>
            </c:dLbl>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pop_fut!$H$19:$W$19</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pop_fut!$H$22:$W$22</c:f>
              <c:numCache>
                <c:formatCode>General</c:formatCode>
                <c:ptCount val="16"/>
                <c:pt idx="5" formatCode="#,##0">
                  <c:v>48120</c:v>
                </c:pt>
                <c:pt idx="6" formatCode="#,##0">
                  <c:v>48040</c:v>
                </c:pt>
                <c:pt idx="7" formatCode="#,##0">
                  <c:v>48025</c:v>
                </c:pt>
                <c:pt idx="8" formatCode="#,##0">
                  <c:v>48235</c:v>
                </c:pt>
                <c:pt idx="9" formatCode="#,##0">
                  <c:v>48650</c:v>
                </c:pt>
                <c:pt idx="10" formatCode="#,##0">
                  <c:v>49060</c:v>
                </c:pt>
                <c:pt idx="11" formatCode="#,##0">
                  <c:v>49480</c:v>
                </c:pt>
                <c:pt idx="12" formatCode="#,##0">
                  <c:v>49905</c:v>
                </c:pt>
                <c:pt idx="13" formatCode="#,##0">
                  <c:v>50315</c:v>
                </c:pt>
                <c:pt idx="14" formatCode="#,##0">
                  <c:v>50695</c:v>
                </c:pt>
                <c:pt idx="15" formatCode="#,##0">
                  <c:v>51045</c:v>
                </c:pt>
              </c:numCache>
            </c:numRef>
          </c:val>
          <c:smooth val="0"/>
          <c:extLst>
            <c:ext xmlns:c16="http://schemas.microsoft.com/office/drawing/2014/chart" uri="{C3380CC4-5D6E-409C-BE32-E72D297353CC}">
              <c16:uniqueId val="{00000005-9FA2-4D8C-A32D-342D2BCA860D}"/>
            </c:ext>
          </c:extLst>
        </c:ser>
        <c:ser>
          <c:idx val="2"/>
          <c:order val="3"/>
          <c:tx>
            <c:strRef>
              <c:f>pop_fut!$B$23</c:f>
              <c:strCache>
                <c:ptCount val="1"/>
                <c:pt idx="0">
                  <c:v>Maximum</c:v>
                </c:pt>
              </c:strCache>
            </c:strRef>
          </c:tx>
          <c:spPr>
            <a:ln w="19050" cap="rnd">
              <a:solidFill>
                <a:schemeClr val="accent2"/>
              </a:solidFill>
              <a:prstDash val="sysDash"/>
              <a:round/>
            </a:ln>
            <a:effectLst/>
          </c:spPr>
          <c:marker>
            <c:symbol val="none"/>
          </c:marker>
          <c:dPt>
            <c:idx val="15"/>
            <c:marker>
              <c:symbol val="circle"/>
              <c:size val="6"/>
              <c:spPr>
                <a:solidFill>
                  <a:schemeClr val="accent2"/>
                </a:solidFill>
                <a:ln w="9525">
                  <a:noFill/>
                </a:ln>
                <a:effectLst/>
              </c:spPr>
            </c:marker>
            <c:bubble3D val="0"/>
            <c:extLst>
              <c:ext xmlns:c16="http://schemas.microsoft.com/office/drawing/2014/chart" uri="{C3380CC4-5D6E-409C-BE32-E72D297353CC}">
                <c16:uniqueId val="{00000006-9FA2-4D8C-A32D-342D2BCA860D}"/>
              </c:ext>
            </c:extLst>
          </c:dPt>
          <c:dLbls>
            <c:dLbl>
              <c:idx val="5"/>
              <c:layout>
                <c:manualLayout>
                  <c:x val="-4.5075756679476719E-2"/>
                  <c:y val="-6.4814791187375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A2-4D8C-A32D-342D2BCA860D}"/>
                </c:ext>
              </c:extLst>
            </c:dLbl>
            <c:dLbl>
              <c:idx val="1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A2-4D8C-A32D-342D2BCA860D}"/>
                </c:ext>
              </c:extLst>
            </c:dLbl>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pop_fut!$H$19:$W$19</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pop_fut!$H$23:$W$23</c:f>
              <c:numCache>
                <c:formatCode>General</c:formatCode>
                <c:ptCount val="16"/>
                <c:pt idx="5" formatCode="#,##0">
                  <c:v>48120</c:v>
                </c:pt>
                <c:pt idx="6" formatCode="#,##0">
                  <c:v>49030</c:v>
                </c:pt>
                <c:pt idx="7" formatCode="#,##0">
                  <c:v>49870</c:v>
                </c:pt>
                <c:pt idx="8" formatCode="#,##0">
                  <c:v>50865</c:v>
                </c:pt>
                <c:pt idx="9" formatCode="#,##0">
                  <c:v>52035</c:v>
                </c:pt>
                <c:pt idx="10" formatCode="#,##0">
                  <c:v>53175</c:v>
                </c:pt>
                <c:pt idx="11" formatCode="#,##0">
                  <c:v>54230</c:v>
                </c:pt>
                <c:pt idx="12" formatCode="#,##0">
                  <c:v>55235</c:v>
                </c:pt>
                <c:pt idx="13" formatCode="#,##0">
                  <c:v>56195</c:v>
                </c:pt>
                <c:pt idx="14" formatCode="#,##0">
                  <c:v>57085</c:v>
                </c:pt>
                <c:pt idx="15" formatCode="#,##0">
                  <c:v>57925</c:v>
                </c:pt>
              </c:numCache>
            </c:numRef>
          </c:val>
          <c:smooth val="0"/>
          <c:extLst>
            <c:ext xmlns:c16="http://schemas.microsoft.com/office/drawing/2014/chart" uri="{C3380CC4-5D6E-409C-BE32-E72D297353CC}">
              <c16:uniqueId val="{00000008-9FA2-4D8C-A32D-342D2BCA860D}"/>
            </c:ext>
          </c:extLst>
        </c:ser>
        <c:dLbls>
          <c:showLegendKey val="0"/>
          <c:showVal val="0"/>
          <c:showCatName val="0"/>
          <c:showSerName val="0"/>
          <c:showPercent val="0"/>
          <c:showBubbleSize val="0"/>
        </c:dLbls>
        <c:marker val="1"/>
        <c:smooth val="0"/>
        <c:axId val="1810162448"/>
        <c:axId val="1810148048"/>
      </c:lineChart>
      <c:catAx>
        <c:axId val="181016244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10148048"/>
        <c:crosses val="autoZero"/>
        <c:auto val="1"/>
        <c:lblAlgn val="ctr"/>
        <c:lblOffset val="100"/>
        <c:noMultiLvlLbl val="0"/>
      </c:catAx>
      <c:valAx>
        <c:axId val="1810148048"/>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Total population</a:t>
                </a:r>
              </a:p>
            </c:rich>
          </c:tx>
          <c:layout>
            <c:manualLayout>
              <c:xMode val="edge"/>
              <c:yMode val="edge"/>
              <c:x val="6.4393938113538173E-3"/>
              <c:y val="0.26163303381706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10162448"/>
        <c:crosses val="autoZero"/>
        <c:crossBetween val="midCat"/>
      </c:valAx>
      <c:spPr>
        <a:noFill/>
        <a:ln>
          <a:noFill/>
        </a:ln>
        <a:effectLst/>
      </c:spPr>
    </c:plotArea>
    <c:legend>
      <c:legendPos val="b"/>
      <c:legendEntry>
        <c:idx val="0"/>
        <c:delete val="1"/>
      </c:legendEntry>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calc!$B$86</c:f>
              <c:strCache>
                <c:ptCount val="1"/>
                <c:pt idx="0">
                  <c:v>Cumulative construction</c:v>
                </c:pt>
              </c:strCache>
            </c:strRef>
          </c:tx>
          <c:spPr>
            <a:solidFill>
              <a:schemeClr val="accent2"/>
            </a:solidFill>
            <a:ln>
              <a:noFill/>
            </a:ln>
            <a:effectLst/>
          </c:spPr>
          <c:invertIfNegative val="0"/>
          <c:cat>
            <c:numRef>
              <c:f>calc!$H$78:$R$78</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calc!$H$86:$R$86</c:f>
              <c:numCache>
                <c:formatCode>#,##0</c:formatCode>
                <c:ptCount val="11"/>
                <c:pt idx="1">
                  <c:v>415</c:v>
                </c:pt>
                <c:pt idx="2">
                  <c:v>830</c:v>
                </c:pt>
                <c:pt idx="3">
                  <c:v>1245</c:v>
                </c:pt>
                <c:pt idx="4">
                  <c:v>1660</c:v>
                </c:pt>
                <c:pt idx="5">
                  <c:v>2075</c:v>
                </c:pt>
                <c:pt idx="6">
                  <c:v>2490</c:v>
                </c:pt>
                <c:pt idx="7">
                  <c:v>2905</c:v>
                </c:pt>
                <c:pt idx="8">
                  <c:v>3320</c:v>
                </c:pt>
                <c:pt idx="9">
                  <c:v>3735</c:v>
                </c:pt>
                <c:pt idx="10">
                  <c:v>4150</c:v>
                </c:pt>
              </c:numCache>
            </c:numRef>
          </c:val>
          <c:extLst>
            <c:ext xmlns:c16="http://schemas.microsoft.com/office/drawing/2014/chart" uri="{C3380CC4-5D6E-409C-BE32-E72D297353CC}">
              <c16:uniqueId val="{00000000-368C-4116-8B9F-FB708F2B4998}"/>
            </c:ext>
          </c:extLst>
        </c:ser>
        <c:ser>
          <c:idx val="1"/>
          <c:order val="1"/>
          <c:tx>
            <c:strRef>
              <c:f>calc!$B$87</c:f>
              <c:strCache>
                <c:ptCount val="1"/>
                <c:pt idx="0">
                  <c:v>Running shortage (total demand minus cumulative supply)</c:v>
                </c:pt>
              </c:strCache>
            </c:strRef>
          </c:tx>
          <c:spPr>
            <a:solidFill>
              <a:schemeClr val="accent5">
                <a:lumMod val="60000"/>
                <a:lumOff val="40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calc!$H$78:$R$78</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calc!$H$87:$R$87</c:f>
              <c:numCache>
                <c:formatCode>#,##0</c:formatCode>
                <c:ptCount val="11"/>
                <c:pt idx="0">
                  <c:v>1965</c:v>
                </c:pt>
                <c:pt idx="1">
                  <c:v>1850</c:v>
                </c:pt>
                <c:pt idx="2">
                  <c:v>1705</c:v>
                </c:pt>
                <c:pt idx="3">
                  <c:v>1600</c:v>
                </c:pt>
                <c:pt idx="4">
                  <c:v>1550</c:v>
                </c:pt>
                <c:pt idx="5">
                  <c:v>1500</c:v>
                </c:pt>
                <c:pt idx="6">
                  <c:v>1435</c:v>
                </c:pt>
                <c:pt idx="7">
                  <c:v>1405</c:v>
                </c:pt>
                <c:pt idx="8">
                  <c:v>1350</c:v>
                </c:pt>
                <c:pt idx="9">
                  <c:v>1295</c:v>
                </c:pt>
                <c:pt idx="10">
                  <c:v>1225</c:v>
                </c:pt>
              </c:numCache>
            </c:numRef>
          </c:val>
          <c:extLst>
            <c:ext xmlns:c16="http://schemas.microsoft.com/office/drawing/2014/chart" uri="{C3380CC4-5D6E-409C-BE32-E72D297353CC}">
              <c16:uniqueId val="{00000001-368C-4116-8B9F-FB708F2B4998}"/>
            </c:ext>
          </c:extLst>
        </c:ser>
        <c:dLbls>
          <c:showLegendKey val="0"/>
          <c:showVal val="0"/>
          <c:showCatName val="0"/>
          <c:showSerName val="0"/>
          <c:showPercent val="0"/>
          <c:showBubbleSize val="0"/>
        </c:dLbls>
        <c:gapWidth val="25"/>
        <c:overlap val="100"/>
        <c:axId val="1626279279"/>
        <c:axId val="1626280239"/>
      </c:barChart>
      <c:catAx>
        <c:axId val="1626279279"/>
        <c:scaling>
          <c:orientation val="minMax"/>
        </c:scaling>
        <c:delete val="0"/>
        <c:axPos val="b"/>
        <c:numFmt formatCode="General" sourceLinked="1"/>
        <c:majorTickMark val="cross"/>
        <c:minorTickMark val="none"/>
        <c:tickLblPos val="nextTo"/>
        <c:spPr>
          <a:noFill/>
          <a:ln w="9525" cap="flat" cmpd="sng" algn="ctr">
            <a:solidFill>
              <a:schemeClr val="tx2"/>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80239"/>
        <c:crosses val="autoZero"/>
        <c:auto val="1"/>
        <c:lblAlgn val="ctr"/>
        <c:lblOffset val="100"/>
        <c:noMultiLvlLbl val="0"/>
      </c:catAx>
      <c:valAx>
        <c:axId val="1626280239"/>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Total dwellings</a:t>
                </a:r>
              </a:p>
            </c:rich>
          </c:tx>
          <c:layout>
            <c:manualLayout>
              <c:xMode val="edge"/>
              <c:yMode val="edge"/>
              <c:x val="0"/>
              <c:y val="0.243423738699329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0" sourceLinked="1"/>
        <c:majorTickMark val="cross"/>
        <c:minorTickMark val="none"/>
        <c:tickLblPos val="nextTo"/>
        <c:spPr>
          <a:noFill/>
          <a:ln>
            <a:solidFill>
              <a:schemeClr val="tx2"/>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79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14923788126037"/>
          <c:y val="7.6246801673172479E-2"/>
          <c:w val="0.82739089548389089"/>
          <c:h val="0.67196519172495695"/>
        </c:manualLayout>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calc!$Z$286:$Z$287</c:f>
              <c:strCache>
                <c:ptCount val="2"/>
                <c:pt idx="0">
                  <c:v>Low-density</c:v>
                </c:pt>
                <c:pt idx="1">
                  <c:v>Apartment</c:v>
                </c:pt>
              </c:strCache>
            </c:strRef>
          </c:cat>
          <c:val>
            <c:numRef>
              <c:f>calc!$AD$286:$AD$287</c:f>
              <c:numCache>
                <c:formatCode>#,##0</c:formatCode>
                <c:ptCount val="2"/>
                <c:pt idx="0">
                  <c:v>3280</c:v>
                </c:pt>
                <c:pt idx="1">
                  <c:v>2095</c:v>
                </c:pt>
              </c:numCache>
            </c:numRef>
          </c:val>
          <c:extLst>
            <c:ext xmlns:c16="http://schemas.microsoft.com/office/drawing/2014/chart" uri="{C3380CC4-5D6E-409C-BE32-E72D297353CC}">
              <c16:uniqueId val="{00000000-344B-49E4-85A3-D50BCAEA20E8}"/>
            </c:ext>
          </c:extLst>
        </c:ser>
        <c:dLbls>
          <c:dLblPos val="outEnd"/>
          <c:showLegendKey val="0"/>
          <c:showVal val="1"/>
          <c:showCatName val="0"/>
          <c:showSerName val="0"/>
          <c:showPercent val="0"/>
          <c:showBubbleSize val="0"/>
        </c:dLbls>
        <c:gapWidth val="25"/>
        <c:axId val="1626279279"/>
        <c:axId val="1626280239"/>
      </c:barChart>
      <c:catAx>
        <c:axId val="1626279279"/>
        <c:scaling>
          <c:orientation val="minMax"/>
        </c:scaling>
        <c:delete val="0"/>
        <c:axPos val="l"/>
        <c:numFmt formatCode="General" sourceLinked="1"/>
        <c:majorTickMark val="cross"/>
        <c:minorTickMark val="none"/>
        <c:tickLblPos val="nextTo"/>
        <c:spPr>
          <a:noFill/>
          <a:ln w="9525" cap="flat" cmpd="sng" algn="ctr">
            <a:solidFill>
              <a:schemeClr val="tx2"/>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80239"/>
        <c:crosses val="autoZero"/>
        <c:auto val="1"/>
        <c:lblAlgn val="ctr"/>
        <c:lblOffset val="100"/>
        <c:noMultiLvlLbl val="0"/>
      </c:catAx>
      <c:valAx>
        <c:axId val="1626280239"/>
        <c:scaling>
          <c:orientation val="minMax"/>
        </c:scaling>
        <c:delete val="0"/>
        <c:axPos val="b"/>
        <c:majorGridlines>
          <c:spPr>
            <a:ln w="9525" cap="flat" cmpd="sng" algn="ctr">
              <a:solidFill>
                <a:schemeClr val="bg1">
                  <a:lumMod val="95000"/>
                </a:schemeClr>
              </a:solidFill>
              <a:round/>
            </a:ln>
            <a:effectLst/>
          </c:spPr>
        </c:majorGridlines>
        <c:title>
          <c:tx>
            <c:rich>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Total dwellings</a:t>
                </a:r>
              </a:p>
            </c:rich>
          </c:tx>
          <c:layout>
            <c:manualLayout>
              <c:xMode val="edge"/>
              <c:yMode val="edge"/>
              <c:x val="0.47393127455892825"/>
              <c:y val="0.89363543877114393"/>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0" sourceLinked="1"/>
        <c:majorTickMark val="cross"/>
        <c:minorTickMark val="none"/>
        <c:tickLblPos val="nextTo"/>
        <c:spPr>
          <a:noFill/>
          <a:ln>
            <a:solidFill>
              <a:schemeClr val="tx2"/>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792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calc!$D$359</c:f>
              <c:strCache>
                <c:ptCount val="1"/>
                <c:pt idx="0">
                  <c:v>Market units</c:v>
                </c:pt>
              </c:strCache>
            </c:strRef>
          </c:tx>
          <c:spPr>
            <a:solidFill>
              <a:schemeClr val="accent2"/>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calc!$B$360:$B$363</c:f>
              <c:strCache>
                <c:ptCount val="4"/>
                <c:pt idx="0">
                  <c:v>0- / 1-bed</c:v>
                </c:pt>
                <c:pt idx="1">
                  <c:v>2-bed</c:v>
                </c:pt>
                <c:pt idx="2">
                  <c:v>3-bed</c:v>
                </c:pt>
                <c:pt idx="3">
                  <c:v>4+ bed</c:v>
                </c:pt>
              </c:strCache>
            </c:strRef>
          </c:cat>
          <c:val>
            <c:numRef>
              <c:f>calc!$D$360:$D$363</c:f>
              <c:numCache>
                <c:formatCode>#,##0</c:formatCode>
                <c:ptCount val="4"/>
                <c:pt idx="0">
                  <c:v>460</c:v>
                </c:pt>
                <c:pt idx="1">
                  <c:v>910</c:v>
                </c:pt>
                <c:pt idx="2">
                  <c:v>830</c:v>
                </c:pt>
                <c:pt idx="3">
                  <c:v>545</c:v>
                </c:pt>
              </c:numCache>
            </c:numRef>
          </c:val>
          <c:extLst>
            <c:ext xmlns:c16="http://schemas.microsoft.com/office/drawing/2014/chart" uri="{C3380CC4-5D6E-409C-BE32-E72D297353CC}">
              <c16:uniqueId val="{00000000-893D-43EC-96B7-B45DD6AC8C1C}"/>
            </c:ext>
          </c:extLst>
        </c:ser>
        <c:ser>
          <c:idx val="1"/>
          <c:order val="1"/>
          <c:tx>
            <c:strRef>
              <c:f>calc!$E$359</c:f>
              <c:strCache>
                <c:ptCount val="1"/>
                <c:pt idx="0">
                  <c:v>Below-market units</c:v>
                </c:pt>
              </c:strCache>
            </c:strRef>
          </c:tx>
          <c:spPr>
            <a:solidFill>
              <a:srgbClr val="CFD9E3"/>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calc!$B$360:$B$363</c:f>
              <c:strCache>
                <c:ptCount val="4"/>
                <c:pt idx="0">
                  <c:v>0- / 1-bed</c:v>
                </c:pt>
                <c:pt idx="1">
                  <c:v>2-bed</c:v>
                </c:pt>
                <c:pt idx="2">
                  <c:v>3-bed</c:v>
                </c:pt>
                <c:pt idx="3">
                  <c:v>4+ bed</c:v>
                </c:pt>
              </c:strCache>
            </c:strRef>
          </c:cat>
          <c:val>
            <c:numRef>
              <c:f>calc!$E$360:$E$363</c:f>
              <c:numCache>
                <c:formatCode>#,##0</c:formatCode>
                <c:ptCount val="4"/>
                <c:pt idx="0">
                  <c:v>965</c:v>
                </c:pt>
                <c:pt idx="1">
                  <c:v>250</c:v>
                </c:pt>
                <c:pt idx="2">
                  <c:v>185</c:v>
                </c:pt>
                <c:pt idx="3">
                  <c:v>170</c:v>
                </c:pt>
              </c:numCache>
            </c:numRef>
          </c:val>
          <c:extLst>
            <c:ext xmlns:c16="http://schemas.microsoft.com/office/drawing/2014/chart" uri="{C3380CC4-5D6E-409C-BE32-E72D297353CC}">
              <c16:uniqueId val="{00000001-893D-43EC-96B7-B45DD6AC8C1C}"/>
            </c:ext>
          </c:extLst>
        </c:ser>
        <c:ser>
          <c:idx val="2"/>
          <c:order val="2"/>
          <c:tx>
            <c:strRef>
              <c:f>calc!$F$359</c:f>
              <c:strCache>
                <c:ptCount val="1"/>
                <c:pt idx="0">
                  <c:v>Deeply affordable units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calc!$B$360:$B$363</c:f>
              <c:strCache>
                <c:ptCount val="4"/>
                <c:pt idx="0">
                  <c:v>0- / 1-bed</c:v>
                </c:pt>
                <c:pt idx="1">
                  <c:v>2-bed</c:v>
                </c:pt>
                <c:pt idx="2">
                  <c:v>3-bed</c:v>
                </c:pt>
                <c:pt idx="3">
                  <c:v>4+ bed</c:v>
                </c:pt>
              </c:strCache>
            </c:strRef>
          </c:cat>
          <c:val>
            <c:numRef>
              <c:f>calc!$F$360:$F$363</c:f>
              <c:numCache>
                <c:formatCode>#,##0</c:formatCode>
                <c:ptCount val="4"/>
                <c:pt idx="0">
                  <c:v>660</c:v>
                </c:pt>
                <c:pt idx="1">
                  <c:v>170</c:v>
                </c:pt>
                <c:pt idx="2">
                  <c:v>125</c:v>
                </c:pt>
                <c:pt idx="3">
                  <c:v>115</c:v>
                </c:pt>
              </c:numCache>
            </c:numRef>
          </c:val>
          <c:extLst>
            <c:ext xmlns:c16="http://schemas.microsoft.com/office/drawing/2014/chart" uri="{C3380CC4-5D6E-409C-BE32-E72D297353CC}">
              <c16:uniqueId val="{00000002-893D-43EC-96B7-B45DD6AC8C1C}"/>
            </c:ext>
          </c:extLst>
        </c:ser>
        <c:dLbls>
          <c:dLblPos val="ctr"/>
          <c:showLegendKey val="0"/>
          <c:showVal val="1"/>
          <c:showCatName val="0"/>
          <c:showSerName val="0"/>
          <c:showPercent val="0"/>
          <c:showBubbleSize val="0"/>
        </c:dLbls>
        <c:gapWidth val="25"/>
        <c:overlap val="100"/>
        <c:axId val="1626279279"/>
        <c:axId val="1626280239"/>
      </c:barChart>
      <c:catAx>
        <c:axId val="1626279279"/>
        <c:scaling>
          <c:orientation val="minMax"/>
        </c:scaling>
        <c:delete val="0"/>
        <c:axPos val="b"/>
        <c:numFmt formatCode="General" sourceLinked="1"/>
        <c:majorTickMark val="cross"/>
        <c:minorTickMark val="none"/>
        <c:tickLblPos val="nextTo"/>
        <c:spPr>
          <a:noFill/>
          <a:ln w="9525" cap="flat" cmpd="sng" algn="ctr">
            <a:solidFill>
              <a:schemeClr val="tx2"/>
            </a:solidFill>
            <a:round/>
          </a:ln>
          <a:effectLst/>
        </c:spPr>
        <c:txPr>
          <a:bodyPr rot="-60000000" vert="horz"/>
          <a:lstStyle/>
          <a:p>
            <a:pPr>
              <a:defRPr/>
            </a:pPr>
            <a:endParaRPr lang="en-US"/>
          </a:p>
        </c:txPr>
        <c:crossAx val="1626280239"/>
        <c:crosses val="autoZero"/>
        <c:auto val="1"/>
        <c:lblAlgn val="ctr"/>
        <c:lblOffset val="100"/>
        <c:noMultiLvlLbl val="0"/>
      </c:catAx>
      <c:valAx>
        <c:axId val="1626280239"/>
        <c:scaling>
          <c:orientation val="minMax"/>
        </c:scaling>
        <c:delete val="0"/>
        <c:axPos val="l"/>
        <c:majorGridlines>
          <c:spPr>
            <a:ln w="9525" cap="flat" cmpd="sng" algn="ctr">
              <a:solidFill>
                <a:schemeClr val="bg1">
                  <a:lumMod val="95000"/>
                </a:schemeClr>
              </a:solidFill>
              <a:round/>
            </a:ln>
            <a:effectLst/>
          </c:spPr>
        </c:majorGridlines>
        <c:title>
          <c:tx>
            <c:rich>
              <a:bodyPr rot="-5400000" vert="horz"/>
              <a:lstStyle/>
              <a:p>
                <a:pPr>
                  <a:defRPr/>
                </a:pPr>
                <a:r>
                  <a:rPr lang="en-CA"/>
                  <a:t>Total dwellings</a:t>
                </a:r>
              </a:p>
            </c:rich>
          </c:tx>
          <c:layout>
            <c:manualLayout>
              <c:xMode val="edge"/>
              <c:yMode val="edge"/>
              <c:x val="0"/>
              <c:y val="0.24342373869932926"/>
            </c:manualLayout>
          </c:layout>
          <c:overlay val="0"/>
          <c:spPr>
            <a:noFill/>
            <a:ln>
              <a:noFill/>
            </a:ln>
            <a:effectLst/>
          </c:spPr>
        </c:title>
        <c:numFmt formatCode="#,##0" sourceLinked="1"/>
        <c:majorTickMark val="cross"/>
        <c:minorTickMark val="none"/>
        <c:tickLblPos val="nextTo"/>
        <c:spPr>
          <a:noFill/>
          <a:ln>
            <a:solidFill>
              <a:schemeClr val="tx2"/>
            </a:solidFill>
          </a:ln>
          <a:effectLst/>
        </c:spPr>
        <c:txPr>
          <a:bodyPr rot="-60000000" vert="horz"/>
          <a:lstStyle/>
          <a:p>
            <a:pPr>
              <a:defRPr/>
            </a:pPr>
            <a:endParaRPr lang="en-US"/>
          </a:p>
        </c:txPr>
        <c:crossAx val="1626279279"/>
        <c:crosses val="autoZero"/>
        <c:crossBetween val="between"/>
      </c:valAx>
    </c:plotArea>
    <c:legend>
      <c:legendPos val="b"/>
      <c:overlay val="0"/>
      <c:spPr>
        <a:noFill/>
        <a:ln>
          <a:noFill/>
        </a:ln>
        <a:effectLst/>
      </c:spPr>
      <c:txPr>
        <a:bodyPr rot="0" vert="horz"/>
        <a:lstStyle/>
        <a:p>
          <a:pPr>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calc!$B$469</c:f>
              <c:strCache>
                <c:ptCount val="1"/>
                <c:pt idx="0">
                  <c:v>Cumulative construction</c:v>
                </c:pt>
              </c:strCache>
            </c:strRef>
          </c:tx>
          <c:spPr>
            <a:solidFill>
              <a:schemeClr val="accent2"/>
            </a:solidFill>
            <a:ln>
              <a:noFill/>
            </a:ln>
            <a:effectLst/>
          </c:spPr>
          <c:invertIfNegative val="0"/>
          <c:cat>
            <c:numRef>
              <c:f>calc!$H$78:$R$78</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calc!$H$469:$R$469</c:f>
              <c:numCache>
                <c:formatCode>#,##0</c:formatCode>
                <c:ptCount val="11"/>
                <c:pt idx="1">
                  <c:v>415</c:v>
                </c:pt>
                <c:pt idx="2">
                  <c:v>830</c:v>
                </c:pt>
                <c:pt idx="3">
                  <c:v>1245</c:v>
                </c:pt>
                <c:pt idx="4">
                  <c:v>1660</c:v>
                </c:pt>
                <c:pt idx="5">
                  <c:v>2075</c:v>
                </c:pt>
                <c:pt idx="6">
                  <c:v>2490</c:v>
                </c:pt>
                <c:pt idx="7">
                  <c:v>2905</c:v>
                </c:pt>
                <c:pt idx="8">
                  <c:v>3320</c:v>
                </c:pt>
                <c:pt idx="9">
                  <c:v>3735</c:v>
                </c:pt>
                <c:pt idx="10">
                  <c:v>4150</c:v>
                </c:pt>
              </c:numCache>
            </c:numRef>
          </c:val>
          <c:extLst>
            <c:ext xmlns:c16="http://schemas.microsoft.com/office/drawing/2014/chart" uri="{C3380CC4-5D6E-409C-BE32-E72D297353CC}">
              <c16:uniqueId val="{00000000-1086-4705-BF22-7E96E4D6D647}"/>
            </c:ext>
          </c:extLst>
        </c:ser>
        <c:ser>
          <c:idx val="1"/>
          <c:order val="1"/>
          <c:tx>
            <c:strRef>
              <c:f>calc!$B$470</c:f>
              <c:strCache>
                <c:ptCount val="1"/>
                <c:pt idx="0">
                  <c:v>Running shortage (total demand + regional influence - cumulative supply)</c:v>
                </c:pt>
              </c:strCache>
            </c:strRef>
          </c:tx>
          <c:spPr>
            <a:solidFill>
              <a:schemeClr val="accent5">
                <a:lumMod val="60000"/>
                <a:lumOff val="40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calc!$H$78:$R$78</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calc!$H$470:$R$470</c:f>
              <c:numCache>
                <c:formatCode>#,##0</c:formatCode>
                <c:ptCount val="11"/>
                <c:pt idx="0">
                  <c:v>7005</c:v>
                </c:pt>
                <c:pt idx="1">
                  <c:v>6885</c:v>
                </c:pt>
                <c:pt idx="2">
                  <c:v>6735</c:v>
                </c:pt>
                <c:pt idx="3">
                  <c:v>6650</c:v>
                </c:pt>
                <c:pt idx="4">
                  <c:v>6635</c:v>
                </c:pt>
                <c:pt idx="5">
                  <c:v>6630</c:v>
                </c:pt>
                <c:pt idx="6">
                  <c:v>6605</c:v>
                </c:pt>
                <c:pt idx="7">
                  <c:v>6630</c:v>
                </c:pt>
                <c:pt idx="8">
                  <c:v>6620</c:v>
                </c:pt>
                <c:pt idx="9">
                  <c:v>6610</c:v>
                </c:pt>
                <c:pt idx="10">
                  <c:v>6585</c:v>
                </c:pt>
              </c:numCache>
            </c:numRef>
          </c:val>
          <c:extLst>
            <c:ext xmlns:c16="http://schemas.microsoft.com/office/drawing/2014/chart" uri="{C3380CC4-5D6E-409C-BE32-E72D297353CC}">
              <c16:uniqueId val="{00000001-1086-4705-BF22-7E96E4D6D647}"/>
            </c:ext>
          </c:extLst>
        </c:ser>
        <c:dLbls>
          <c:showLegendKey val="0"/>
          <c:showVal val="0"/>
          <c:showCatName val="0"/>
          <c:showSerName val="0"/>
          <c:showPercent val="0"/>
          <c:showBubbleSize val="0"/>
        </c:dLbls>
        <c:gapWidth val="25"/>
        <c:overlap val="100"/>
        <c:axId val="1626279279"/>
        <c:axId val="1626280239"/>
      </c:barChart>
      <c:catAx>
        <c:axId val="1626279279"/>
        <c:scaling>
          <c:orientation val="minMax"/>
        </c:scaling>
        <c:delete val="0"/>
        <c:axPos val="b"/>
        <c:numFmt formatCode="General" sourceLinked="1"/>
        <c:majorTickMark val="cross"/>
        <c:minorTickMark val="none"/>
        <c:tickLblPos val="nextTo"/>
        <c:spPr>
          <a:noFill/>
          <a:ln w="9525" cap="flat" cmpd="sng" algn="ctr">
            <a:solidFill>
              <a:schemeClr val="tx2"/>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80239"/>
        <c:crosses val="autoZero"/>
        <c:auto val="1"/>
        <c:lblAlgn val="ctr"/>
        <c:lblOffset val="100"/>
        <c:noMultiLvlLbl val="0"/>
      </c:catAx>
      <c:valAx>
        <c:axId val="1626280239"/>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Total dwellings</a:t>
                </a:r>
              </a:p>
            </c:rich>
          </c:tx>
          <c:layout>
            <c:manualLayout>
              <c:xMode val="edge"/>
              <c:yMode val="edge"/>
              <c:x val="0"/>
              <c:y val="0.243423738699329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0" sourceLinked="1"/>
        <c:majorTickMark val="cross"/>
        <c:minorTickMark val="none"/>
        <c:tickLblPos val="nextTo"/>
        <c:spPr>
          <a:noFill/>
          <a:ln>
            <a:solidFill>
              <a:schemeClr val="tx2"/>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79279"/>
        <c:crosses val="autoZero"/>
        <c:crossBetween val="between"/>
      </c:valAx>
      <c:spPr>
        <a:noFill/>
        <a:ln>
          <a:noFill/>
        </a:ln>
        <a:effectLst/>
      </c:spPr>
    </c:plotArea>
    <c:legend>
      <c:legendPos val="b"/>
      <c:layout>
        <c:manualLayout>
          <c:xMode val="edge"/>
          <c:yMode val="edge"/>
          <c:x val="9.6494952927295777E-3"/>
          <c:y val="0.89761542546900719"/>
          <c:w val="0.98271853584135693"/>
          <c:h val="7.4397300293168531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HNA Blueprint">
      <a:dk1>
        <a:sysClr val="windowText" lastClr="000000"/>
      </a:dk1>
      <a:lt1>
        <a:sysClr val="window" lastClr="FFFFFF"/>
      </a:lt1>
      <a:dk2>
        <a:srgbClr val="1A2940"/>
      </a:dk2>
      <a:lt2>
        <a:srgbClr val="FAFBFC"/>
      </a:lt2>
      <a:accent1>
        <a:srgbClr val="CFD9E3"/>
      </a:accent1>
      <a:accent2>
        <a:srgbClr val="006B5F"/>
      </a:accent2>
      <a:accent3>
        <a:srgbClr val="42618C"/>
      </a:accent3>
      <a:accent4>
        <a:srgbClr val="080314"/>
      </a:accent4>
      <a:accent5>
        <a:srgbClr val="B374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9dcaec-d521-4233-835c-d416ecc3cae9" xsi:nil="true"/>
    <lcf76f155ced4ddcb4097134ff3c332f xmlns="f4cc818f-b6c4-44f7-856a-ecd2fe4258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B6FEA922ADB44A9E905D9A21A4C423" ma:contentTypeVersion="12" ma:contentTypeDescription="Create a new document." ma:contentTypeScope="" ma:versionID="b62950afcacc40fd57c0344a382c383c">
  <xsd:schema xmlns:xsd="http://www.w3.org/2001/XMLSchema" xmlns:xs="http://www.w3.org/2001/XMLSchema" xmlns:p="http://schemas.microsoft.com/office/2006/metadata/properties" xmlns:ns2="f4cc818f-b6c4-44f7-856a-ecd2fe425841" xmlns:ns3="579dcaec-d521-4233-835c-d416ecc3cae9" targetNamespace="http://schemas.microsoft.com/office/2006/metadata/properties" ma:root="true" ma:fieldsID="dcf7962070f5d61534ba355ca45f865e" ns2:_="" ns3:_="">
    <xsd:import namespace="f4cc818f-b6c4-44f7-856a-ecd2fe425841"/>
    <xsd:import namespace="579dcaec-d521-4233-835c-d416ecc3c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c818f-b6c4-44f7-856a-ecd2fe425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a2f25a-7d09-47b6-9c68-4e82613a00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9dcaec-d521-4233-835c-d416ecc3ca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198b14-221c-485a-9db6-8ebfc7d854cc}" ma:internalName="TaxCatchAll" ma:showField="CatchAllData" ma:web="579dcaec-d521-4233-835c-d416ecc3c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50392-C308-443A-A608-EFA7E040797C}">
  <ds:schemaRefs>
    <ds:schemaRef ds:uri="http://schemas.microsoft.com/office/2006/metadata/properties"/>
    <ds:schemaRef ds:uri="http://schemas.microsoft.com/office/infopath/2007/PartnerControls"/>
    <ds:schemaRef ds:uri="579dcaec-d521-4233-835c-d416ecc3cae9"/>
    <ds:schemaRef ds:uri="f4cc818f-b6c4-44f7-856a-ecd2fe425841"/>
  </ds:schemaRefs>
</ds:datastoreItem>
</file>

<file path=customXml/itemProps2.xml><?xml version="1.0" encoding="utf-8"?>
<ds:datastoreItem xmlns:ds="http://schemas.openxmlformats.org/officeDocument/2006/customXml" ds:itemID="{2DC6FF6D-3D44-4B48-85A9-199BEB02029F}">
  <ds:schemaRefs>
    <ds:schemaRef ds:uri="http://schemas.microsoft.com/sharepoint/v3/contenttype/forms"/>
  </ds:schemaRefs>
</ds:datastoreItem>
</file>

<file path=customXml/itemProps3.xml><?xml version="1.0" encoding="utf-8"?>
<ds:datastoreItem xmlns:ds="http://schemas.openxmlformats.org/officeDocument/2006/customXml" ds:itemID="{1409574F-63CA-4C78-8FFC-ABFAF3220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c818f-b6c4-44f7-856a-ecd2fe425841"/>
    <ds:schemaRef ds:uri="579dcaec-d521-4233-835c-d416ecc3c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C126C-AE34-494D-8450-9E0A7261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17180</TotalTime>
  <Pages>87</Pages>
  <Words>28471</Words>
  <Characters>162289</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Andrew Scanlan Dickie</cp:lastModifiedBy>
  <cp:revision>1924</cp:revision>
  <cp:lastPrinted>2026-08-06T17:45:00Z</cp:lastPrinted>
  <dcterms:created xsi:type="dcterms:W3CDTF">2026-02-23T20:42:00Z</dcterms:created>
  <dcterms:modified xsi:type="dcterms:W3CDTF">2026-08-12T16:10:00Z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0x010100E7B6FEA922ADB44A9E905D9A21A4C423</vt:lpwstr>
  </property>
  <property fmtid="{D5CDD505-2E9C-101B-9397-08002B2CF9AE}" pid="3" name="MediaServiceImageTags">
    <vt:lpwstr/>
  </property>
</Properties>
</file>