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1F96" w14:textId="5395B607" w:rsidR="00595097" w:rsidRPr="00887119" w:rsidRDefault="00D43BB3" w:rsidP="0026791B">
      <w:pPr>
        <w:pStyle w:val="Title"/>
        <w:jc w:val="left"/>
      </w:pPr>
      <w:r w:rsidRPr="00887119">
        <w:rPr>
          <w:b/>
          <w:bCs/>
          <w:noProof/>
          <w:color w:val="1F3864"/>
          <w:sz w:val="52"/>
          <w:szCs w:val="52"/>
        </w:rPr>
        <w:drawing>
          <wp:anchor distT="0" distB="0" distL="114300" distR="114300" simplePos="0" relativeHeight="251658240" behindDoc="1" locked="0" layoutInCell="1" allowOverlap="1" wp14:anchorId="3174FA6B" wp14:editId="4A109927">
            <wp:simplePos x="0" y="0"/>
            <wp:positionH relativeFrom="column">
              <wp:posOffset>-914400</wp:posOffset>
            </wp:positionH>
            <wp:positionV relativeFrom="paragraph">
              <wp:posOffset>-914400</wp:posOffset>
            </wp:positionV>
            <wp:extent cx="7785312" cy="1943100"/>
            <wp:effectExtent l="0" t="0" r="6350" b="0"/>
            <wp:wrapNone/>
            <wp:docPr id="14070830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083074"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5312"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D19F5" w14:textId="77777777" w:rsidR="00595097" w:rsidRPr="00887119" w:rsidRDefault="00595097" w:rsidP="0026791B">
      <w:pPr>
        <w:pStyle w:val="Title"/>
        <w:jc w:val="left"/>
      </w:pPr>
    </w:p>
    <w:p w14:paraId="752BDEFF" w14:textId="77777777" w:rsidR="00595097" w:rsidRPr="00887119" w:rsidRDefault="00595097" w:rsidP="0026791B">
      <w:pPr>
        <w:pStyle w:val="Title"/>
        <w:jc w:val="left"/>
      </w:pPr>
    </w:p>
    <w:p w14:paraId="737A02C9" w14:textId="77777777" w:rsidR="00E44F55" w:rsidRPr="00887119" w:rsidRDefault="00E44F55" w:rsidP="002B6159">
      <w:pPr>
        <w:jc w:val="left"/>
      </w:pPr>
    </w:p>
    <w:tbl>
      <w:tblPr>
        <w:tblStyle w:val="TableGrid"/>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5"/>
      </w:tblGrid>
      <w:tr w:rsidR="00B1244A" w:rsidRPr="00500457" w14:paraId="19D28775" w14:textId="77777777" w:rsidTr="00F94FB9">
        <w:trPr>
          <w:trHeight w:val="386"/>
        </w:trPr>
        <w:tc>
          <w:tcPr>
            <w:tcW w:w="9355" w:type="dxa"/>
            <w:shd w:val="clear" w:color="auto" w:fill="C00000"/>
            <w:vAlign w:val="center"/>
          </w:tcPr>
          <w:p w14:paraId="7A7C9E51" w14:textId="77777777" w:rsidR="00B1244A" w:rsidRPr="00C02E3D" w:rsidRDefault="00B1244A" w:rsidP="00F94FB9">
            <w:pPr>
              <w:spacing w:before="80" w:after="80"/>
              <w:rPr>
                <w:color w:val="FFFFFF" w:themeColor="background1"/>
                <w:sz w:val="20"/>
                <w:szCs w:val="20"/>
              </w:rPr>
            </w:pPr>
            <w:r w:rsidRPr="00C02E3D">
              <w:rPr>
                <w:color w:val="FFFFFF" w:themeColor="background1"/>
                <w:sz w:val="20"/>
                <w:szCs w:val="20"/>
              </w:rPr>
              <w:t>Note for user</w:t>
            </w:r>
          </w:p>
        </w:tc>
      </w:tr>
      <w:tr w:rsidR="00B1244A" w:rsidRPr="00500457" w14:paraId="61E93A32" w14:textId="77777777" w:rsidTr="00F94FB9">
        <w:trPr>
          <w:trHeight w:val="1178"/>
        </w:trPr>
        <w:tc>
          <w:tcPr>
            <w:tcW w:w="9355" w:type="dxa"/>
            <w:shd w:val="clear" w:color="auto" w:fill="FFC9C9"/>
            <w:vAlign w:val="center"/>
          </w:tcPr>
          <w:p w14:paraId="7DF07EC3" w14:textId="77777777" w:rsidR="00B1244A" w:rsidRDefault="00B1244A" w:rsidP="00F94FB9">
            <w:pPr>
              <w:spacing w:before="80" w:after="80"/>
              <w:rPr>
                <w:sz w:val="20"/>
                <w:szCs w:val="20"/>
              </w:rPr>
            </w:pPr>
            <w:r w:rsidRPr="00B95656">
              <w:rPr>
                <w:sz w:val="20"/>
                <w:szCs w:val="20"/>
              </w:rPr>
              <w:t xml:space="preserve">This template illustrates how data findings are presented through tables and charts. To show how each element will look when populated, the tables and charts are filled with sample data. If you are using this document as a starting point for new work, replace this sample data with figures for your own </w:t>
            </w:r>
            <w:r w:rsidR="007B7B57">
              <w:rPr>
                <w:sz w:val="20"/>
                <w:szCs w:val="20"/>
              </w:rPr>
              <w:t>region or province</w:t>
            </w:r>
            <w:r w:rsidRPr="00B95656">
              <w:rPr>
                <w:sz w:val="20"/>
                <w:szCs w:val="20"/>
              </w:rPr>
              <w:t xml:space="preserve">. All table data appears in </w:t>
            </w:r>
            <w:r w:rsidRPr="00B95656">
              <w:rPr>
                <w:b/>
                <w:bCs/>
                <w:color w:val="C00000"/>
                <w:sz w:val="20"/>
                <w:szCs w:val="20"/>
                <w:u w:val="single"/>
              </w:rPr>
              <w:t>red</w:t>
            </w:r>
            <w:r w:rsidRPr="00B95656">
              <w:rPr>
                <w:color w:val="C00000"/>
                <w:sz w:val="20"/>
                <w:szCs w:val="20"/>
              </w:rPr>
              <w:t xml:space="preserve"> </w:t>
            </w:r>
            <w:r w:rsidRPr="00B95656">
              <w:rPr>
                <w:sz w:val="20"/>
                <w:szCs w:val="20"/>
              </w:rPr>
              <w:t>font as a reminder that it needs to be changed.</w:t>
            </w:r>
          </w:p>
          <w:p w14:paraId="300A2B6E" w14:textId="77777777" w:rsidR="00A07CBE" w:rsidRDefault="00A07CBE" w:rsidP="00F94FB9">
            <w:pPr>
              <w:spacing w:before="80" w:after="80"/>
              <w:rPr>
                <w:sz w:val="20"/>
                <w:szCs w:val="20"/>
              </w:rPr>
            </w:pPr>
          </w:p>
          <w:p w14:paraId="3CA35B10" w14:textId="12C76366" w:rsidR="00A07CBE" w:rsidRDefault="00A07CBE" w:rsidP="00F94FB9">
            <w:pPr>
              <w:spacing w:before="80" w:after="80"/>
              <w:rPr>
                <w:sz w:val="20"/>
                <w:szCs w:val="20"/>
              </w:rPr>
            </w:pPr>
            <w:r>
              <w:rPr>
                <w:sz w:val="20"/>
                <w:szCs w:val="20"/>
              </w:rPr>
              <w:t xml:space="preserve">Note </w:t>
            </w:r>
            <w:r w:rsidR="00B92D62">
              <w:rPr>
                <w:sz w:val="20"/>
                <w:szCs w:val="20"/>
              </w:rPr>
              <w:t>also that the corresponding text around the tables and charts speaks to the data within said elements, and thus should also be changed accordingly</w:t>
            </w:r>
          </w:p>
        </w:tc>
      </w:tr>
    </w:tbl>
    <w:p w14:paraId="4100F3F4" w14:textId="77777777" w:rsidR="00D43BB3" w:rsidRDefault="00D43BB3" w:rsidP="002B6159">
      <w:pPr>
        <w:spacing w:after="80"/>
        <w:jc w:val="left"/>
        <w:rPr>
          <w:rFonts w:ascii="Bahnschrift" w:hAnsi="Bahnschrift"/>
          <w:b/>
          <w:bCs/>
          <w:color w:val="1B4F72"/>
          <w:sz w:val="36"/>
          <w:szCs w:val="36"/>
        </w:rPr>
      </w:pPr>
    </w:p>
    <w:p w14:paraId="75F5C012" w14:textId="77777777" w:rsidR="009024F7" w:rsidRPr="00887119" w:rsidRDefault="009024F7" w:rsidP="002B6159">
      <w:pPr>
        <w:spacing w:after="80"/>
        <w:jc w:val="left"/>
        <w:rPr>
          <w:rFonts w:ascii="Bahnschrift" w:hAnsi="Bahnschrift"/>
          <w:b/>
          <w:bCs/>
          <w:color w:val="1B4F72"/>
          <w:sz w:val="36"/>
          <w:szCs w:val="36"/>
        </w:rPr>
      </w:pPr>
    </w:p>
    <w:p w14:paraId="0AE65CC8" w14:textId="77777777" w:rsidR="006043C9" w:rsidRPr="00887119" w:rsidRDefault="006043C9" w:rsidP="006043C9">
      <w:pPr>
        <w:spacing w:after="80"/>
        <w:rPr>
          <w:rFonts w:ascii="Bahnschrift" w:hAnsi="Bahnschrift"/>
          <w:b/>
          <w:bCs/>
          <w:color w:val="1B4F72"/>
          <w:sz w:val="44"/>
          <w:szCs w:val="44"/>
        </w:rPr>
      </w:pPr>
      <w:r w:rsidRPr="00887119">
        <w:rPr>
          <w:rFonts w:ascii="Bahnschrift" w:hAnsi="Bahnschrift"/>
          <w:b/>
          <w:bCs/>
          <w:color w:val="1B4F72"/>
          <w:sz w:val="44"/>
          <w:szCs w:val="44"/>
        </w:rPr>
        <w:t>HOUSING NEEDS ASSESSMENT</w:t>
      </w:r>
    </w:p>
    <w:p w14:paraId="4282246C" w14:textId="77777777" w:rsidR="006043C9" w:rsidRPr="00887119" w:rsidRDefault="006043C9" w:rsidP="006043C9"/>
    <w:p w14:paraId="15BC0CD1" w14:textId="77777777" w:rsidR="006043C9" w:rsidRPr="00887119" w:rsidRDefault="006043C9" w:rsidP="006043C9"/>
    <w:p w14:paraId="6A446FA3" w14:textId="77777777" w:rsidR="006043C9" w:rsidRPr="00887119" w:rsidRDefault="006043C9" w:rsidP="006043C9"/>
    <w:p w14:paraId="13AF3345" w14:textId="77777777" w:rsidR="00D43BB3" w:rsidRPr="00887119" w:rsidRDefault="00D43BB3" w:rsidP="006043C9"/>
    <w:p w14:paraId="13DD9886" w14:textId="77777777" w:rsidR="00F6010D" w:rsidRPr="00887119" w:rsidRDefault="00F6010D" w:rsidP="006043C9"/>
    <w:p w14:paraId="0C9AD57F" w14:textId="77777777" w:rsidR="00D43BB3" w:rsidRPr="00887119" w:rsidRDefault="00D43BB3" w:rsidP="006043C9"/>
    <w:p w14:paraId="6F88030A" w14:textId="77777777" w:rsidR="00D43BB3" w:rsidRPr="00887119" w:rsidRDefault="00D43BB3" w:rsidP="006043C9"/>
    <w:p w14:paraId="77FD9E69" w14:textId="77777777" w:rsidR="00D43BB3" w:rsidRPr="00887119" w:rsidRDefault="00D43BB3" w:rsidP="006043C9"/>
    <w:p w14:paraId="59889175" w14:textId="77777777" w:rsidR="00D43BB3" w:rsidRPr="00887119" w:rsidRDefault="00D43BB3" w:rsidP="006043C9"/>
    <w:p w14:paraId="1EAC0B1F" w14:textId="77777777" w:rsidR="00D43BB3" w:rsidRPr="00887119" w:rsidRDefault="00D43BB3" w:rsidP="006043C9"/>
    <w:p w14:paraId="5E7BA584" w14:textId="77777777" w:rsidR="006043C9" w:rsidRPr="00887119" w:rsidRDefault="006043C9" w:rsidP="006043C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4410"/>
      </w:tblGrid>
      <w:tr w:rsidR="00F6703A" w:rsidRPr="00887119" w14:paraId="59181CE5" w14:textId="77777777" w:rsidTr="00F6703A">
        <w:trPr>
          <w:trHeight w:val="432"/>
        </w:trPr>
        <w:tc>
          <w:tcPr>
            <w:tcW w:w="3420" w:type="dxa"/>
            <w:vAlign w:val="center"/>
          </w:tcPr>
          <w:p w14:paraId="4889A8F9" w14:textId="17251556" w:rsidR="00F6703A" w:rsidRPr="00887119" w:rsidRDefault="00F6703A" w:rsidP="00F6703A">
            <w:pPr>
              <w:rPr>
                <w:rFonts w:ascii="Bahnschrift" w:hAnsi="Bahnschrift"/>
                <w:b/>
                <w:bCs/>
              </w:rPr>
            </w:pPr>
            <w:r w:rsidRPr="00887119">
              <w:rPr>
                <w:rFonts w:ascii="Bahnschrift" w:hAnsi="Bahnschrift"/>
                <w:b/>
                <w:bCs/>
              </w:rPr>
              <w:t>Place name:</w:t>
            </w:r>
          </w:p>
        </w:tc>
        <w:tc>
          <w:tcPr>
            <w:tcW w:w="4410" w:type="dxa"/>
            <w:vAlign w:val="center"/>
          </w:tcPr>
          <w:p w14:paraId="64242123" w14:textId="5D57251D" w:rsidR="00F6703A" w:rsidRPr="00887119" w:rsidRDefault="0092298E" w:rsidP="00F6703A">
            <w:pPr>
              <w:jc w:val="left"/>
              <w:rPr>
                <w:rFonts w:ascii="Bahnschrift" w:hAnsi="Bahnschrift"/>
              </w:rPr>
            </w:pPr>
            <w:r w:rsidRPr="002042B1">
              <w:rPr>
                <w:rFonts w:ascii="Bahnschrift" w:hAnsi="Bahnschrift"/>
                <w:color w:val="C00000"/>
              </w:rPr>
              <w:t>[</w:t>
            </w:r>
            <w:r>
              <w:rPr>
                <w:rFonts w:ascii="Bahnschrift" w:hAnsi="Bahnschrift"/>
                <w:color w:val="C00000"/>
              </w:rPr>
              <w:t xml:space="preserve"> region or province</w:t>
            </w:r>
            <w:r w:rsidRPr="002042B1">
              <w:rPr>
                <w:rFonts w:ascii="Bahnschrift" w:hAnsi="Bahnschrift"/>
                <w:color w:val="C00000"/>
              </w:rPr>
              <w:t xml:space="preserve"> name ]</w:t>
            </w:r>
          </w:p>
        </w:tc>
      </w:tr>
      <w:tr w:rsidR="00F6703A" w:rsidRPr="00887119" w14:paraId="13BD4B3F" w14:textId="77777777" w:rsidTr="00F6703A">
        <w:trPr>
          <w:trHeight w:val="432"/>
        </w:trPr>
        <w:tc>
          <w:tcPr>
            <w:tcW w:w="3420" w:type="dxa"/>
            <w:vAlign w:val="center"/>
          </w:tcPr>
          <w:p w14:paraId="0D196D96" w14:textId="23F687B3" w:rsidR="00F6703A" w:rsidRPr="00887119" w:rsidRDefault="00F6703A" w:rsidP="00F6703A">
            <w:pPr>
              <w:rPr>
                <w:rFonts w:ascii="Bahnschrift" w:hAnsi="Bahnschrift"/>
                <w:b/>
                <w:bCs/>
              </w:rPr>
            </w:pPr>
            <w:r w:rsidRPr="00887119">
              <w:rPr>
                <w:rFonts w:ascii="Bahnschrift" w:hAnsi="Bahnschrift"/>
                <w:b/>
                <w:bCs/>
              </w:rPr>
              <w:t>Geographic level:</w:t>
            </w:r>
          </w:p>
        </w:tc>
        <w:tc>
          <w:tcPr>
            <w:tcW w:w="4410" w:type="dxa"/>
            <w:vAlign w:val="center"/>
          </w:tcPr>
          <w:p w14:paraId="238DD8A7" w14:textId="436FFFE8" w:rsidR="00F6703A" w:rsidRPr="00887119" w:rsidRDefault="0092298E" w:rsidP="00F6703A">
            <w:pPr>
              <w:jc w:val="left"/>
              <w:rPr>
                <w:rFonts w:ascii="Bahnschrift" w:hAnsi="Bahnschrift"/>
              </w:rPr>
            </w:pPr>
            <w:r w:rsidRPr="002042B1">
              <w:rPr>
                <w:rFonts w:ascii="Bahnschrift" w:hAnsi="Bahnschrift"/>
                <w:color w:val="C00000"/>
              </w:rPr>
              <w:t>[</w:t>
            </w:r>
            <w:r>
              <w:rPr>
                <w:rFonts w:ascii="Bahnschrift" w:hAnsi="Bahnschrift"/>
                <w:color w:val="C00000"/>
              </w:rPr>
              <w:t xml:space="preserve"> applicable geographic level</w:t>
            </w:r>
            <w:r w:rsidRPr="002042B1">
              <w:rPr>
                <w:rFonts w:ascii="Bahnschrift" w:hAnsi="Bahnschrift"/>
                <w:color w:val="C00000"/>
              </w:rPr>
              <w:t xml:space="preserve"> ]</w:t>
            </w:r>
          </w:p>
        </w:tc>
      </w:tr>
      <w:tr w:rsidR="00F6703A" w:rsidRPr="00887119" w14:paraId="6968123F" w14:textId="77777777" w:rsidTr="00F6703A">
        <w:trPr>
          <w:trHeight w:val="432"/>
        </w:trPr>
        <w:tc>
          <w:tcPr>
            <w:tcW w:w="3420" w:type="dxa"/>
            <w:vAlign w:val="center"/>
          </w:tcPr>
          <w:p w14:paraId="5FFC7BCA" w14:textId="409CA995" w:rsidR="00F6703A" w:rsidRPr="00887119" w:rsidRDefault="00F6703A" w:rsidP="00F6703A">
            <w:pPr>
              <w:rPr>
                <w:rFonts w:ascii="Bahnschrift" w:hAnsi="Bahnschrift"/>
                <w:b/>
                <w:bCs/>
              </w:rPr>
            </w:pPr>
            <w:r w:rsidRPr="00887119">
              <w:rPr>
                <w:rFonts w:ascii="Bahnschrift" w:hAnsi="Bahnschrift"/>
                <w:b/>
                <w:bCs/>
              </w:rPr>
              <w:t xml:space="preserve">Census geography identifier: </w:t>
            </w:r>
          </w:p>
        </w:tc>
        <w:tc>
          <w:tcPr>
            <w:tcW w:w="4410" w:type="dxa"/>
            <w:vAlign w:val="center"/>
          </w:tcPr>
          <w:p w14:paraId="7425CE4B" w14:textId="7BEB3261" w:rsidR="00F6703A" w:rsidRPr="00887119" w:rsidRDefault="0092298E" w:rsidP="00F6703A">
            <w:pPr>
              <w:jc w:val="left"/>
              <w:rPr>
                <w:rFonts w:ascii="Bahnschrift" w:hAnsi="Bahnschrift"/>
              </w:rPr>
            </w:pPr>
            <w:r w:rsidRPr="002042B1">
              <w:rPr>
                <w:rFonts w:ascii="Bahnschrift" w:hAnsi="Bahnschrift"/>
                <w:color w:val="C00000"/>
              </w:rPr>
              <w:t>[</w:t>
            </w:r>
            <w:r>
              <w:rPr>
                <w:rFonts w:ascii="Bahnschrift" w:hAnsi="Bahnschrift"/>
                <w:color w:val="C00000"/>
              </w:rPr>
              <w:t xml:space="preserve"> applicable geocode</w:t>
            </w:r>
            <w:r w:rsidRPr="002042B1">
              <w:rPr>
                <w:rFonts w:ascii="Bahnschrift" w:hAnsi="Bahnschrift"/>
                <w:color w:val="C00000"/>
              </w:rPr>
              <w:t xml:space="preserve"> ]</w:t>
            </w:r>
          </w:p>
        </w:tc>
      </w:tr>
      <w:tr w:rsidR="00F6703A" w:rsidRPr="00887119" w14:paraId="59B1DB7E" w14:textId="77777777" w:rsidTr="00F6703A">
        <w:trPr>
          <w:trHeight w:val="432"/>
        </w:trPr>
        <w:tc>
          <w:tcPr>
            <w:tcW w:w="3420" w:type="dxa"/>
            <w:vAlign w:val="center"/>
          </w:tcPr>
          <w:p w14:paraId="5890F698" w14:textId="77777777" w:rsidR="00F6703A" w:rsidRPr="00887119" w:rsidRDefault="00F6703A" w:rsidP="00F6703A">
            <w:pPr>
              <w:rPr>
                <w:rFonts w:ascii="Bahnschrift" w:hAnsi="Bahnschrift"/>
                <w:b/>
                <w:bCs/>
              </w:rPr>
            </w:pPr>
          </w:p>
        </w:tc>
        <w:tc>
          <w:tcPr>
            <w:tcW w:w="4410" w:type="dxa"/>
            <w:vAlign w:val="center"/>
          </w:tcPr>
          <w:p w14:paraId="4C50FAC9" w14:textId="77777777" w:rsidR="00F6703A" w:rsidRPr="00887119" w:rsidRDefault="00F6703A" w:rsidP="00F6703A">
            <w:pPr>
              <w:jc w:val="left"/>
              <w:rPr>
                <w:rFonts w:ascii="Bahnschrift" w:hAnsi="Bahnschrift"/>
              </w:rPr>
            </w:pPr>
          </w:p>
        </w:tc>
      </w:tr>
      <w:tr w:rsidR="00F6703A" w:rsidRPr="00887119" w14:paraId="5CA39EE9" w14:textId="77777777" w:rsidTr="00F6703A">
        <w:trPr>
          <w:trHeight w:val="432"/>
        </w:trPr>
        <w:tc>
          <w:tcPr>
            <w:tcW w:w="3420" w:type="dxa"/>
            <w:vAlign w:val="center"/>
          </w:tcPr>
          <w:p w14:paraId="173E4EE3" w14:textId="77777777" w:rsidR="00F6703A" w:rsidRPr="00887119" w:rsidRDefault="00F6703A" w:rsidP="00F6703A">
            <w:pPr>
              <w:rPr>
                <w:rFonts w:ascii="Bahnschrift" w:hAnsi="Bahnschrift"/>
                <w:b/>
                <w:bCs/>
              </w:rPr>
            </w:pPr>
            <w:r w:rsidRPr="00887119">
              <w:rPr>
                <w:rFonts w:ascii="Bahnschrift" w:hAnsi="Bahnschrift"/>
                <w:b/>
                <w:bCs/>
              </w:rPr>
              <w:t>Effective data:</w:t>
            </w:r>
          </w:p>
        </w:tc>
        <w:tc>
          <w:tcPr>
            <w:tcW w:w="4410" w:type="dxa"/>
            <w:vAlign w:val="center"/>
          </w:tcPr>
          <w:p w14:paraId="4C651356" w14:textId="0B3AADF6" w:rsidR="00F6703A" w:rsidRPr="00887119" w:rsidRDefault="00BE32D7" w:rsidP="00F6703A">
            <w:pPr>
              <w:jc w:val="left"/>
              <w:rPr>
                <w:rFonts w:ascii="Bahnschrift" w:hAnsi="Bahnschrift"/>
              </w:rPr>
            </w:pPr>
            <w:r w:rsidRPr="00087930">
              <w:rPr>
                <w:rFonts w:ascii="Bahnschrift" w:hAnsi="Bahnschrift"/>
                <w:color w:val="C00000"/>
              </w:rPr>
              <w:t>[ date when data pulled ]</w:t>
            </w:r>
          </w:p>
        </w:tc>
      </w:tr>
    </w:tbl>
    <w:p w14:paraId="0A966647" w14:textId="77777777" w:rsidR="00E406CF" w:rsidRPr="00887119" w:rsidRDefault="00E406CF" w:rsidP="00E406CF">
      <w:pPr>
        <w:spacing w:after="80"/>
      </w:pPr>
    </w:p>
    <w:p w14:paraId="75DBF323" w14:textId="77777777" w:rsidR="00E4454C" w:rsidRPr="00887119" w:rsidRDefault="00E4454C" w:rsidP="00E4454C">
      <w:pPr>
        <w:spacing w:after="80"/>
        <w:rPr>
          <w:rFonts w:ascii="Bahnschrift" w:hAnsi="Bahnschrift"/>
          <w:b/>
          <w:bCs/>
          <w:sz w:val="24"/>
        </w:rPr>
        <w:sectPr w:rsidR="00E4454C" w:rsidRPr="00887119" w:rsidSect="002B6159">
          <w:footerReference w:type="default" r:id="rId12"/>
          <w:pgSz w:w="12240" w:h="15840"/>
          <w:pgMar w:top="1440" w:right="1440" w:bottom="1440" w:left="1440" w:header="708" w:footer="708" w:gutter="0"/>
          <w:pgNumType w:fmt="lowerRoman"/>
          <w:cols w:space="720"/>
          <w:titlePg/>
          <w:docGrid w:linePitch="360"/>
        </w:sectPr>
      </w:pPr>
    </w:p>
    <w:p w14:paraId="0411C8B0" w14:textId="77777777" w:rsidR="00FB5AA1" w:rsidRPr="00887119" w:rsidRDefault="00FB5AA1" w:rsidP="002B6159">
      <w:pPr>
        <w:spacing w:after="80"/>
        <w:rPr>
          <w:rFonts w:ascii="Bahnschrift" w:hAnsi="Bahnschrift"/>
          <w:b/>
          <w:bCs/>
          <w:sz w:val="24"/>
        </w:rPr>
      </w:pPr>
      <w:r w:rsidRPr="00887119">
        <w:rPr>
          <w:rFonts w:ascii="Bahnschrift" w:hAnsi="Bahnschrift"/>
          <w:b/>
          <w:bCs/>
          <w:sz w:val="24"/>
        </w:rPr>
        <w:lastRenderedPageBreak/>
        <w:t>TABLE OF CONTENTS</w:t>
      </w:r>
    </w:p>
    <w:p w14:paraId="35FBCA49" w14:textId="1CC7D496" w:rsidR="00FB5AA1" w:rsidRPr="003A2BFF" w:rsidRDefault="00FB5AA1" w:rsidP="00E406CF">
      <w:pPr>
        <w:spacing w:after="80"/>
        <w:rPr>
          <w:rFonts w:ascii="Bahnschrift" w:hAnsi="Bahnschrift"/>
        </w:rPr>
      </w:pPr>
    </w:p>
    <w:p w14:paraId="0B029698" w14:textId="7DF39B41" w:rsidR="008D5CBD" w:rsidRPr="008D5CBD" w:rsidRDefault="00FB5AA1">
      <w:pPr>
        <w:pStyle w:val="TOC1"/>
        <w:rPr>
          <w:rFonts w:ascii="Bahnschrift" w:eastAsiaTheme="minorEastAsia" w:hAnsi="Bahnschrift"/>
          <w:noProof/>
          <w:sz w:val="24"/>
          <w:lang w:eastAsia="en-CA"/>
        </w:rPr>
      </w:pPr>
      <w:r w:rsidRPr="003A2BFF">
        <w:rPr>
          <w:rFonts w:ascii="Bahnschrift" w:hAnsi="Bahnschrift"/>
        </w:rPr>
        <w:fldChar w:fldCharType="begin"/>
      </w:r>
      <w:r w:rsidRPr="003A2BFF">
        <w:rPr>
          <w:rFonts w:ascii="Bahnschrift" w:hAnsi="Bahnschrift"/>
        </w:rPr>
        <w:instrText xml:space="preserve"> TOC \o "1-2" \h \z \u </w:instrText>
      </w:r>
      <w:r w:rsidRPr="003A2BFF">
        <w:rPr>
          <w:rFonts w:ascii="Bahnschrift" w:hAnsi="Bahnschrift"/>
        </w:rPr>
        <w:fldChar w:fldCharType="separate"/>
      </w:r>
      <w:hyperlink w:anchor="_Toc237957410" w:history="1">
        <w:r w:rsidR="008D5CBD" w:rsidRPr="008D5CBD">
          <w:rPr>
            <w:rStyle w:val="Hyperlink"/>
            <w:rFonts w:ascii="Bahnschrift" w:hAnsi="Bahnschrift"/>
            <w:noProof/>
          </w:rPr>
          <w:t>1</w:t>
        </w:r>
        <w:r w:rsidR="008D5CBD" w:rsidRPr="008D5CBD">
          <w:rPr>
            <w:rFonts w:ascii="Bahnschrift" w:eastAsiaTheme="minorEastAsia" w:hAnsi="Bahnschrift"/>
            <w:noProof/>
            <w:sz w:val="24"/>
            <w:lang w:eastAsia="en-CA"/>
          </w:rPr>
          <w:tab/>
        </w:r>
        <w:r w:rsidR="008D5CBD" w:rsidRPr="008D5CBD">
          <w:rPr>
            <w:rStyle w:val="Hyperlink"/>
            <w:rFonts w:ascii="Bahnschrift" w:hAnsi="Bahnschrift"/>
            <w:noProof/>
          </w:rPr>
          <w:t>EXECUTIVE SUMMARY</w:t>
        </w:r>
        <w:r w:rsidR="008D5CBD" w:rsidRPr="008D5CBD">
          <w:rPr>
            <w:rFonts w:ascii="Bahnschrift" w:hAnsi="Bahnschrift"/>
            <w:noProof/>
            <w:webHidden/>
          </w:rPr>
          <w:tab/>
        </w:r>
        <w:r w:rsidR="008D5CBD" w:rsidRPr="008D5CBD">
          <w:rPr>
            <w:rFonts w:ascii="Bahnschrift" w:hAnsi="Bahnschrift"/>
            <w:noProof/>
            <w:webHidden/>
          </w:rPr>
          <w:fldChar w:fldCharType="begin"/>
        </w:r>
        <w:r w:rsidR="008D5CBD" w:rsidRPr="008D5CBD">
          <w:rPr>
            <w:rFonts w:ascii="Bahnschrift" w:hAnsi="Bahnschrift"/>
            <w:noProof/>
            <w:webHidden/>
          </w:rPr>
          <w:instrText xml:space="preserve"> PAGEREF _Toc237957410 \h </w:instrText>
        </w:r>
        <w:r w:rsidR="008D5CBD" w:rsidRPr="008D5CBD">
          <w:rPr>
            <w:rFonts w:ascii="Bahnschrift" w:hAnsi="Bahnschrift"/>
            <w:noProof/>
            <w:webHidden/>
          </w:rPr>
        </w:r>
        <w:r w:rsidR="008D5CBD" w:rsidRPr="008D5CBD">
          <w:rPr>
            <w:rFonts w:ascii="Bahnschrift" w:hAnsi="Bahnschrift"/>
            <w:noProof/>
            <w:webHidden/>
          </w:rPr>
          <w:fldChar w:fldCharType="separate"/>
        </w:r>
        <w:r w:rsidR="008D5CBD" w:rsidRPr="008D5CBD">
          <w:rPr>
            <w:rFonts w:ascii="Bahnschrift" w:hAnsi="Bahnschrift"/>
            <w:noProof/>
            <w:webHidden/>
          </w:rPr>
          <w:t>1</w:t>
        </w:r>
        <w:r w:rsidR="008D5CBD" w:rsidRPr="008D5CBD">
          <w:rPr>
            <w:rFonts w:ascii="Bahnschrift" w:hAnsi="Bahnschrift"/>
            <w:noProof/>
            <w:webHidden/>
          </w:rPr>
          <w:fldChar w:fldCharType="end"/>
        </w:r>
      </w:hyperlink>
    </w:p>
    <w:p w14:paraId="7D57EFD9" w14:textId="34058D20" w:rsidR="008D5CBD" w:rsidRPr="008D5CBD" w:rsidRDefault="008D5CBD">
      <w:pPr>
        <w:pStyle w:val="TOC2"/>
        <w:rPr>
          <w:rFonts w:ascii="Bahnschrift" w:eastAsiaTheme="minorEastAsia" w:hAnsi="Bahnschrift"/>
          <w:noProof/>
          <w:sz w:val="24"/>
          <w:lang w:eastAsia="en-CA"/>
        </w:rPr>
      </w:pPr>
      <w:hyperlink w:anchor="_Toc237957411" w:history="1">
        <w:r w:rsidRPr="008D5CBD">
          <w:rPr>
            <w:rStyle w:val="Hyperlink"/>
            <w:rFonts w:ascii="Bahnschrift" w:hAnsi="Bahnschrift"/>
            <w:noProof/>
          </w:rPr>
          <w:t>1.1</w:t>
        </w:r>
        <w:r w:rsidRPr="008D5CBD">
          <w:rPr>
            <w:rFonts w:ascii="Bahnschrift" w:eastAsiaTheme="minorEastAsia" w:hAnsi="Bahnschrift"/>
            <w:noProof/>
            <w:sz w:val="24"/>
            <w:lang w:eastAsia="en-CA"/>
          </w:rPr>
          <w:tab/>
        </w:r>
        <w:r w:rsidRPr="008D5CBD">
          <w:rPr>
            <w:rStyle w:val="Hyperlink"/>
            <w:rFonts w:ascii="Bahnschrift" w:hAnsi="Bahnschrift"/>
            <w:noProof/>
          </w:rPr>
          <w:t>Key Findings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_Toc237957411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w:t>
        </w:r>
        <w:r w:rsidRPr="008D5CBD">
          <w:rPr>
            <w:rFonts w:ascii="Bahnschrift" w:hAnsi="Bahnschrift"/>
            <w:noProof/>
            <w:webHidden/>
          </w:rPr>
          <w:fldChar w:fldCharType="end"/>
        </w:r>
      </w:hyperlink>
    </w:p>
    <w:p w14:paraId="31996599" w14:textId="2FB1987D" w:rsidR="008D5CBD" w:rsidRPr="008D5CBD" w:rsidRDefault="008D5CBD">
      <w:pPr>
        <w:pStyle w:val="TOC2"/>
        <w:rPr>
          <w:rFonts w:ascii="Bahnschrift" w:eastAsiaTheme="minorEastAsia" w:hAnsi="Bahnschrift"/>
          <w:noProof/>
          <w:sz w:val="24"/>
          <w:lang w:eastAsia="en-CA"/>
        </w:rPr>
      </w:pPr>
      <w:hyperlink w:anchor="_Toc237957412" w:history="1">
        <w:r w:rsidRPr="008D5CBD">
          <w:rPr>
            <w:rStyle w:val="Hyperlink"/>
            <w:rFonts w:ascii="Bahnschrift" w:hAnsi="Bahnschrift"/>
            <w:noProof/>
          </w:rPr>
          <w:t>1.2</w:t>
        </w:r>
        <w:r w:rsidRPr="008D5CBD">
          <w:rPr>
            <w:rFonts w:ascii="Bahnschrift" w:eastAsiaTheme="minorEastAsia" w:hAnsi="Bahnschrift"/>
            <w:noProof/>
            <w:sz w:val="24"/>
            <w:lang w:eastAsia="en-CA"/>
          </w:rPr>
          <w:tab/>
        </w:r>
        <w:r w:rsidRPr="008D5CBD">
          <w:rPr>
            <w:rStyle w:val="Hyperlink"/>
            <w:rFonts w:ascii="Bahnschrift" w:hAnsi="Bahnschrift"/>
            <w:noProof/>
          </w:rPr>
          <w:t>Priority Challenges by Geographic Category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_Toc237957412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3</w:t>
        </w:r>
        <w:r w:rsidRPr="008D5CBD">
          <w:rPr>
            <w:rFonts w:ascii="Bahnschrift" w:hAnsi="Bahnschrift"/>
            <w:noProof/>
            <w:webHidden/>
          </w:rPr>
          <w:fldChar w:fldCharType="end"/>
        </w:r>
      </w:hyperlink>
    </w:p>
    <w:p w14:paraId="64DB6B88" w14:textId="18ACF798" w:rsidR="008D5CBD" w:rsidRPr="008D5CBD" w:rsidRDefault="008D5CBD">
      <w:pPr>
        <w:pStyle w:val="TOC2"/>
        <w:rPr>
          <w:rFonts w:ascii="Bahnschrift" w:eastAsiaTheme="minorEastAsia" w:hAnsi="Bahnschrift"/>
          <w:noProof/>
          <w:sz w:val="24"/>
          <w:lang w:eastAsia="en-CA"/>
        </w:rPr>
      </w:pPr>
      <w:hyperlink w:anchor="_Toc237957413" w:history="1">
        <w:r w:rsidRPr="008D5CBD">
          <w:rPr>
            <w:rStyle w:val="Hyperlink"/>
            <w:rFonts w:ascii="Bahnschrift" w:hAnsi="Bahnschrift"/>
            <w:noProof/>
          </w:rPr>
          <w:t>1.3</w:t>
        </w:r>
        <w:r w:rsidRPr="008D5CBD">
          <w:rPr>
            <w:rFonts w:ascii="Bahnschrift" w:eastAsiaTheme="minorEastAsia" w:hAnsi="Bahnschrift"/>
            <w:noProof/>
            <w:sz w:val="24"/>
            <w:lang w:eastAsia="en-CA"/>
          </w:rPr>
          <w:tab/>
        </w:r>
        <w:r w:rsidRPr="008D5CBD">
          <w:rPr>
            <w:rStyle w:val="Hyperlink"/>
            <w:rFonts w:ascii="Bahnschrift" w:hAnsi="Bahnschrift"/>
            <w:noProof/>
          </w:rPr>
          <w:t>Implications for Decision-Makers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_Toc237957413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3</w:t>
        </w:r>
        <w:r w:rsidRPr="008D5CBD">
          <w:rPr>
            <w:rFonts w:ascii="Bahnschrift" w:hAnsi="Bahnschrift"/>
            <w:noProof/>
            <w:webHidden/>
          </w:rPr>
          <w:fldChar w:fldCharType="end"/>
        </w:r>
      </w:hyperlink>
    </w:p>
    <w:p w14:paraId="50B92F26" w14:textId="199439B4" w:rsidR="008D5CBD" w:rsidRPr="008D5CBD" w:rsidRDefault="008D5CBD">
      <w:pPr>
        <w:pStyle w:val="TOC1"/>
        <w:rPr>
          <w:rFonts w:ascii="Bahnschrift" w:eastAsiaTheme="minorEastAsia" w:hAnsi="Bahnschrift"/>
          <w:noProof/>
          <w:sz w:val="24"/>
          <w:lang w:eastAsia="en-CA"/>
        </w:rPr>
      </w:pPr>
      <w:hyperlink w:anchor="_Toc237957414" w:history="1">
        <w:r w:rsidRPr="008D5CBD">
          <w:rPr>
            <w:rStyle w:val="Hyperlink"/>
            <w:rFonts w:ascii="Bahnschrift" w:hAnsi="Bahnschrift"/>
            <w:noProof/>
          </w:rPr>
          <w:t>2</w:t>
        </w:r>
        <w:r w:rsidRPr="008D5CBD">
          <w:rPr>
            <w:rFonts w:ascii="Bahnschrift" w:eastAsiaTheme="minorEastAsia" w:hAnsi="Bahnschrift"/>
            <w:noProof/>
            <w:sz w:val="24"/>
            <w:lang w:eastAsia="en-CA"/>
          </w:rPr>
          <w:tab/>
        </w:r>
        <w:r w:rsidRPr="008D5CBD">
          <w:rPr>
            <w:rStyle w:val="Hyperlink"/>
            <w:rFonts w:ascii="Bahnschrift" w:hAnsi="Bahnschrift"/>
            <w:noProof/>
          </w:rPr>
          <w:t>INTRODUCTION</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_Toc237957414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w:t>
        </w:r>
        <w:r w:rsidRPr="008D5CBD">
          <w:rPr>
            <w:rFonts w:ascii="Bahnschrift" w:hAnsi="Bahnschrift"/>
            <w:noProof/>
            <w:webHidden/>
          </w:rPr>
          <w:fldChar w:fldCharType="end"/>
        </w:r>
      </w:hyperlink>
    </w:p>
    <w:p w14:paraId="6B52B079" w14:textId="6AC58314" w:rsidR="008D5CBD" w:rsidRPr="008D5CBD" w:rsidRDefault="008D5CBD">
      <w:pPr>
        <w:pStyle w:val="TOC2"/>
        <w:rPr>
          <w:rFonts w:ascii="Bahnschrift" w:eastAsiaTheme="minorEastAsia" w:hAnsi="Bahnschrift"/>
          <w:noProof/>
          <w:sz w:val="24"/>
          <w:lang w:eastAsia="en-CA"/>
        </w:rPr>
      </w:pPr>
      <w:hyperlink w:anchor="_Toc237957415" w:history="1">
        <w:r w:rsidRPr="008D5CBD">
          <w:rPr>
            <w:rStyle w:val="Hyperlink"/>
            <w:rFonts w:ascii="Bahnschrift" w:hAnsi="Bahnschrift"/>
            <w:noProof/>
          </w:rPr>
          <w:t>2.1</w:t>
        </w:r>
        <w:r w:rsidRPr="008D5CBD">
          <w:rPr>
            <w:rFonts w:ascii="Bahnschrift" w:eastAsiaTheme="minorEastAsia" w:hAnsi="Bahnschrift"/>
            <w:noProof/>
            <w:sz w:val="24"/>
            <w:lang w:eastAsia="en-CA"/>
          </w:rPr>
          <w:tab/>
        </w:r>
        <w:r w:rsidRPr="008D5CBD">
          <w:rPr>
            <w:rStyle w:val="Hyperlink"/>
            <w:rFonts w:ascii="Bahnschrift" w:hAnsi="Bahnschrift"/>
            <w:noProof/>
          </w:rPr>
          <w:t>Purpose and Objectives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_Toc237957415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w:t>
        </w:r>
        <w:r w:rsidRPr="008D5CBD">
          <w:rPr>
            <w:rFonts w:ascii="Bahnschrift" w:hAnsi="Bahnschrift"/>
            <w:noProof/>
            <w:webHidden/>
          </w:rPr>
          <w:fldChar w:fldCharType="end"/>
        </w:r>
      </w:hyperlink>
    </w:p>
    <w:p w14:paraId="5E4912D5" w14:textId="331D70B8" w:rsidR="008D5CBD" w:rsidRPr="008D5CBD" w:rsidRDefault="008D5CBD">
      <w:pPr>
        <w:pStyle w:val="TOC2"/>
        <w:rPr>
          <w:rFonts w:ascii="Bahnschrift" w:eastAsiaTheme="minorEastAsia" w:hAnsi="Bahnschrift"/>
          <w:noProof/>
          <w:sz w:val="24"/>
          <w:lang w:eastAsia="en-CA"/>
        </w:rPr>
      </w:pPr>
      <w:hyperlink w:anchor="_Toc237957416" w:history="1">
        <w:r w:rsidRPr="008D5CBD">
          <w:rPr>
            <w:rStyle w:val="Hyperlink"/>
            <w:rFonts w:ascii="Bahnschrift" w:hAnsi="Bahnschrift"/>
            <w:noProof/>
          </w:rPr>
          <w:t>2.2</w:t>
        </w:r>
        <w:r w:rsidRPr="008D5CBD">
          <w:rPr>
            <w:rFonts w:ascii="Bahnschrift" w:eastAsiaTheme="minorEastAsia" w:hAnsi="Bahnschrift"/>
            <w:noProof/>
            <w:sz w:val="24"/>
            <w:lang w:eastAsia="en-CA"/>
          </w:rPr>
          <w:tab/>
        </w:r>
        <w:r w:rsidRPr="008D5CBD">
          <w:rPr>
            <w:rStyle w:val="Hyperlink"/>
            <w:rFonts w:ascii="Bahnschrift" w:hAnsi="Bahnschrift"/>
            <w:noProof/>
          </w:rPr>
          <w:t>Geographic Scope</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_Toc237957416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6</w:t>
        </w:r>
        <w:r w:rsidRPr="008D5CBD">
          <w:rPr>
            <w:rFonts w:ascii="Bahnschrift" w:hAnsi="Bahnschrift"/>
            <w:noProof/>
            <w:webHidden/>
          </w:rPr>
          <w:fldChar w:fldCharType="end"/>
        </w:r>
      </w:hyperlink>
    </w:p>
    <w:p w14:paraId="34645F67" w14:textId="6543E769" w:rsidR="008D5CBD" w:rsidRPr="008D5CBD" w:rsidRDefault="008D5CBD">
      <w:pPr>
        <w:pStyle w:val="TOC2"/>
        <w:rPr>
          <w:rFonts w:ascii="Bahnschrift" w:eastAsiaTheme="minorEastAsia" w:hAnsi="Bahnschrift"/>
          <w:noProof/>
          <w:sz w:val="24"/>
          <w:lang w:eastAsia="en-CA"/>
        </w:rPr>
      </w:pPr>
      <w:hyperlink w:anchor="_Toc237957417" w:history="1">
        <w:r w:rsidRPr="008D5CBD">
          <w:rPr>
            <w:rStyle w:val="Hyperlink"/>
            <w:rFonts w:ascii="Bahnschrift" w:hAnsi="Bahnschrift"/>
            <w:noProof/>
          </w:rPr>
          <w:t>2.3</w:t>
        </w:r>
        <w:r w:rsidRPr="008D5CBD">
          <w:rPr>
            <w:rFonts w:ascii="Bahnschrift" w:eastAsiaTheme="minorEastAsia" w:hAnsi="Bahnschrift"/>
            <w:noProof/>
            <w:sz w:val="24"/>
            <w:lang w:eastAsia="en-CA"/>
          </w:rPr>
          <w:tab/>
        </w:r>
        <w:r w:rsidRPr="008D5CBD">
          <w:rPr>
            <w:rStyle w:val="Hyperlink"/>
            <w:rFonts w:ascii="Bahnschrift" w:hAnsi="Bahnschrift"/>
            <w:noProof/>
          </w:rPr>
          <w:t>How to Use This Report</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_Toc237957417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6</w:t>
        </w:r>
        <w:r w:rsidRPr="008D5CBD">
          <w:rPr>
            <w:rFonts w:ascii="Bahnschrift" w:hAnsi="Bahnschrift"/>
            <w:noProof/>
            <w:webHidden/>
          </w:rPr>
          <w:fldChar w:fldCharType="end"/>
        </w:r>
      </w:hyperlink>
    </w:p>
    <w:p w14:paraId="09ACCD16" w14:textId="31F259AC" w:rsidR="008D5CBD" w:rsidRPr="008D5CBD" w:rsidRDefault="008D5CBD">
      <w:pPr>
        <w:pStyle w:val="TOC1"/>
        <w:rPr>
          <w:rFonts w:ascii="Bahnschrift" w:eastAsiaTheme="minorEastAsia" w:hAnsi="Bahnschrift"/>
          <w:noProof/>
          <w:sz w:val="24"/>
          <w:lang w:eastAsia="en-CA"/>
        </w:rPr>
      </w:pPr>
      <w:hyperlink w:anchor="_Toc237957418" w:history="1">
        <w:r w:rsidRPr="008D5CBD">
          <w:rPr>
            <w:rStyle w:val="Hyperlink"/>
            <w:rFonts w:ascii="Bahnschrift" w:hAnsi="Bahnschrift"/>
            <w:noProof/>
          </w:rPr>
          <w:t>3</w:t>
        </w:r>
        <w:r w:rsidRPr="008D5CBD">
          <w:rPr>
            <w:rFonts w:ascii="Bahnschrift" w:eastAsiaTheme="minorEastAsia" w:hAnsi="Bahnschrift"/>
            <w:noProof/>
            <w:sz w:val="24"/>
            <w:lang w:eastAsia="en-CA"/>
          </w:rPr>
          <w:tab/>
        </w:r>
        <w:r w:rsidRPr="008D5CBD">
          <w:rPr>
            <w:rStyle w:val="Hyperlink"/>
            <w:rFonts w:ascii="Bahnschrift" w:hAnsi="Bahnschrift"/>
            <w:noProof/>
          </w:rPr>
          <w:t>AFFORDABLE HOUSING</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_Toc237957418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7</w:t>
        </w:r>
        <w:r w:rsidRPr="008D5CBD">
          <w:rPr>
            <w:rFonts w:ascii="Bahnschrift" w:hAnsi="Bahnschrift"/>
            <w:noProof/>
            <w:webHidden/>
          </w:rPr>
          <w:fldChar w:fldCharType="end"/>
        </w:r>
      </w:hyperlink>
    </w:p>
    <w:p w14:paraId="4544703A" w14:textId="3E7F3B95" w:rsidR="008D5CBD" w:rsidRPr="008D5CBD" w:rsidRDefault="008D5CBD">
      <w:pPr>
        <w:pStyle w:val="TOC2"/>
        <w:rPr>
          <w:rFonts w:ascii="Bahnschrift" w:eastAsiaTheme="minorEastAsia" w:hAnsi="Bahnschrift"/>
          <w:noProof/>
          <w:sz w:val="24"/>
          <w:lang w:eastAsia="en-CA"/>
        </w:rPr>
      </w:pPr>
      <w:hyperlink w:anchor="_Toc237957419" w:history="1">
        <w:r w:rsidRPr="008D5CBD">
          <w:rPr>
            <w:rStyle w:val="Hyperlink"/>
            <w:rFonts w:ascii="Bahnschrift" w:hAnsi="Bahnschrift"/>
            <w:noProof/>
          </w:rPr>
          <w:t>3.1</w:t>
        </w:r>
        <w:r w:rsidRPr="008D5CBD">
          <w:rPr>
            <w:rFonts w:ascii="Bahnschrift" w:eastAsiaTheme="minorEastAsia" w:hAnsi="Bahnschrift"/>
            <w:noProof/>
            <w:sz w:val="24"/>
            <w:lang w:eastAsia="en-CA"/>
          </w:rPr>
          <w:tab/>
        </w:r>
        <w:r w:rsidRPr="008D5CBD">
          <w:rPr>
            <w:rStyle w:val="Hyperlink"/>
            <w:rFonts w:ascii="Bahnschrift" w:hAnsi="Bahnschrift"/>
            <w:noProof/>
          </w:rPr>
          <w:t>Affordable Housing Context</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_Toc237957419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7</w:t>
        </w:r>
        <w:r w:rsidRPr="008D5CBD">
          <w:rPr>
            <w:rFonts w:ascii="Bahnschrift" w:hAnsi="Bahnschrift"/>
            <w:noProof/>
            <w:webHidden/>
          </w:rPr>
          <w:fldChar w:fldCharType="end"/>
        </w:r>
      </w:hyperlink>
    </w:p>
    <w:p w14:paraId="6D92337D" w14:textId="34F36994" w:rsidR="008D5CBD" w:rsidRPr="008D5CBD" w:rsidRDefault="008D5CBD">
      <w:pPr>
        <w:pStyle w:val="TOC2"/>
        <w:rPr>
          <w:rFonts w:ascii="Bahnschrift" w:eastAsiaTheme="minorEastAsia" w:hAnsi="Bahnschrift"/>
          <w:noProof/>
          <w:sz w:val="24"/>
          <w:lang w:eastAsia="en-CA"/>
        </w:rPr>
      </w:pPr>
      <w:hyperlink w:anchor="_Toc237957420" w:history="1">
        <w:r w:rsidRPr="008D5CBD">
          <w:rPr>
            <w:rStyle w:val="Hyperlink"/>
            <w:rFonts w:ascii="Bahnschrift" w:hAnsi="Bahnschrift"/>
            <w:noProof/>
          </w:rPr>
          <w:t>3.2</w:t>
        </w:r>
        <w:r w:rsidRPr="008D5CBD">
          <w:rPr>
            <w:rFonts w:ascii="Bahnschrift" w:eastAsiaTheme="minorEastAsia" w:hAnsi="Bahnschrift"/>
            <w:noProof/>
            <w:sz w:val="24"/>
            <w:lang w:eastAsia="en-CA"/>
          </w:rPr>
          <w:tab/>
        </w:r>
        <w:r w:rsidRPr="008D5CBD">
          <w:rPr>
            <w:rStyle w:val="Hyperlink"/>
            <w:rFonts w:ascii="Bahnschrift" w:hAnsi="Bahnschrift"/>
            <w:noProof/>
          </w:rPr>
          <w:t>Housing Continuum vs. Wheelhouse Model</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_Toc237957420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7</w:t>
        </w:r>
        <w:r w:rsidRPr="008D5CBD">
          <w:rPr>
            <w:rFonts w:ascii="Bahnschrift" w:hAnsi="Bahnschrift"/>
            <w:noProof/>
            <w:webHidden/>
          </w:rPr>
          <w:fldChar w:fldCharType="end"/>
        </w:r>
      </w:hyperlink>
    </w:p>
    <w:p w14:paraId="1CCE3B1F" w14:textId="459EA99B" w:rsidR="008D5CBD" w:rsidRPr="008D5CBD" w:rsidRDefault="008D5CBD">
      <w:pPr>
        <w:pStyle w:val="TOC2"/>
        <w:rPr>
          <w:rFonts w:ascii="Bahnschrift" w:eastAsiaTheme="minorEastAsia" w:hAnsi="Bahnschrift"/>
          <w:noProof/>
          <w:sz w:val="24"/>
          <w:lang w:eastAsia="en-CA"/>
        </w:rPr>
      </w:pPr>
      <w:hyperlink w:anchor="_Toc237957421" w:history="1">
        <w:r w:rsidRPr="008D5CBD">
          <w:rPr>
            <w:rStyle w:val="Hyperlink"/>
            <w:rFonts w:ascii="Bahnschrift" w:hAnsi="Bahnschrift"/>
            <w:noProof/>
          </w:rPr>
          <w:t>3.3</w:t>
        </w:r>
        <w:r w:rsidRPr="008D5CBD">
          <w:rPr>
            <w:rFonts w:ascii="Bahnschrift" w:eastAsiaTheme="minorEastAsia" w:hAnsi="Bahnschrift"/>
            <w:noProof/>
            <w:sz w:val="24"/>
            <w:lang w:eastAsia="en-CA"/>
          </w:rPr>
          <w:tab/>
        </w:r>
        <w:r w:rsidRPr="008D5CBD">
          <w:rPr>
            <w:rStyle w:val="Hyperlink"/>
            <w:rFonts w:ascii="Bahnschrift" w:hAnsi="Bahnschrift"/>
            <w:noProof/>
          </w:rPr>
          <w:t>Economic and Fiscal Impacts of Housing Insecurity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_Toc237957421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11</w:t>
        </w:r>
        <w:r w:rsidRPr="008D5CBD">
          <w:rPr>
            <w:rFonts w:ascii="Bahnschrift" w:hAnsi="Bahnschrift"/>
            <w:noProof/>
            <w:webHidden/>
          </w:rPr>
          <w:fldChar w:fldCharType="end"/>
        </w:r>
      </w:hyperlink>
    </w:p>
    <w:p w14:paraId="2EBEDFB7" w14:textId="350A7DA7" w:rsidR="008D5CBD" w:rsidRPr="008D5CBD" w:rsidRDefault="008D5CBD">
      <w:pPr>
        <w:pStyle w:val="TOC2"/>
        <w:rPr>
          <w:rFonts w:ascii="Bahnschrift" w:eastAsiaTheme="minorEastAsia" w:hAnsi="Bahnschrift"/>
          <w:noProof/>
          <w:sz w:val="24"/>
          <w:lang w:eastAsia="en-CA"/>
        </w:rPr>
      </w:pPr>
      <w:hyperlink w:anchor="_Toc237957422" w:history="1">
        <w:r w:rsidRPr="008D5CBD">
          <w:rPr>
            <w:rStyle w:val="Hyperlink"/>
            <w:rFonts w:ascii="Bahnschrift" w:hAnsi="Bahnschrift"/>
            <w:noProof/>
          </w:rPr>
          <w:t>3.4</w:t>
        </w:r>
        <w:r w:rsidRPr="008D5CBD">
          <w:rPr>
            <w:rFonts w:ascii="Bahnschrift" w:eastAsiaTheme="minorEastAsia" w:hAnsi="Bahnschrift"/>
            <w:noProof/>
            <w:sz w:val="24"/>
            <w:lang w:eastAsia="en-CA"/>
          </w:rPr>
          <w:tab/>
        </w:r>
        <w:r w:rsidRPr="008D5CBD">
          <w:rPr>
            <w:rStyle w:val="Hyperlink"/>
            <w:rFonts w:ascii="Bahnschrift" w:hAnsi="Bahnschrift"/>
            <w:noProof/>
          </w:rPr>
          <w:t>Housing and Socio-economic Inequality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_Toc237957422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12</w:t>
        </w:r>
        <w:r w:rsidRPr="008D5CBD">
          <w:rPr>
            <w:rFonts w:ascii="Bahnschrift" w:hAnsi="Bahnschrift"/>
            <w:noProof/>
            <w:webHidden/>
          </w:rPr>
          <w:fldChar w:fldCharType="end"/>
        </w:r>
      </w:hyperlink>
    </w:p>
    <w:p w14:paraId="6B9945F2" w14:textId="399180F9" w:rsidR="008D5CBD" w:rsidRPr="008D5CBD" w:rsidRDefault="008D5CBD">
      <w:pPr>
        <w:pStyle w:val="TOC1"/>
        <w:rPr>
          <w:rFonts w:ascii="Bahnschrift" w:eastAsiaTheme="minorEastAsia" w:hAnsi="Bahnschrift"/>
          <w:noProof/>
          <w:sz w:val="24"/>
          <w:lang w:eastAsia="en-CA"/>
        </w:rPr>
      </w:pPr>
      <w:hyperlink w:anchor="_Toc237957423" w:history="1">
        <w:r w:rsidRPr="008D5CBD">
          <w:rPr>
            <w:rStyle w:val="Hyperlink"/>
            <w:rFonts w:ascii="Bahnschrift" w:hAnsi="Bahnschrift"/>
            <w:noProof/>
          </w:rPr>
          <w:t>4</w:t>
        </w:r>
        <w:r w:rsidRPr="008D5CBD">
          <w:rPr>
            <w:rFonts w:ascii="Bahnschrift" w:eastAsiaTheme="minorEastAsia" w:hAnsi="Bahnschrift"/>
            <w:noProof/>
            <w:sz w:val="24"/>
            <w:lang w:eastAsia="en-CA"/>
          </w:rPr>
          <w:tab/>
        </w:r>
        <w:r w:rsidRPr="008D5CBD">
          <w:rPr>
            <w:rStyle w:val="Hyperlink"/>
            <w:rFonts w:ascii="Bahnschrift" w:hAnsi="Bahnschrift"/>
            <w:noProof/>
          </w:rPr>
          <w:t>POLICY LANDSCAPE</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_Toc237957423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14</w:t>
        </w:r>
        <w:r w:rsidRPr="008D5CBD">
          <w:rPr>
            <w:rFonts w:ascii="Bahnschrift" w:hAnsi="Bahnschrift"/>
            <w:noProof/>
            <w:webHidden/>
          </w:rPr>
          <w:fldChar w:fldCharType="end"/>
        </w:r>
      </w:hyperlink>
    </w:p>
    <w:p w14:paraId="721D4647" w14:textId="0DD4F114" w:rsidR="008D5CBD" w:rsidRPr="008D5CBD" w:rsidRDefault="008D5CBD">
      <w:pPr>
        <w:pStyle w:val="TOC2"/>
        <w:rPr>
          <w:rFonts w:ascii="Bahnschrift" w:eastAsiaTheme="minorEastAsia" w:hAnsi="Bahnschrift"/>
          <w:noProof/>
          <w:sz w:val="24"/>
          <w:lang w:eastAsia="en-CA"/>
        </w:rPr>
      </w:pPr>
      <w:hyperlink w:anchor="_Toc237957424" w:history="1">
        <w:r w:rsidRPr="008D5CBD">
          <w:rPr>
            <w:rStyle w:val="Hyperlink"/>
            <w:rFonts w:ascii="Bahnschrift" w:hAnsi="Bahnschrift"/>
            <w:noProof/>
          </w:rPr>
          <w:t>4.1</w:t>
        </w:r>
        <w:r w:rsidRPr="008D5CBD">
          <w:rPr>
            <w:rFonts w:ascii="Bahnschrift" w:eastAsiaTheme="minorEastAsia" w:hAnsi="Bahnschrift"/>
            <w:noProof/>
            <w:sz w:val="24"/>
            <w:lang w:eastAsia="en-CA"/>
          </w:rPr>
          <w:tab/>
        </w:r>
        <w:r w:rsidRPr="008D5CBD">
          <w:rPr>
            <w:rStyle w:val="Hyperlink"/>
            <w:rFonts w:ascii="Bahnschrift" w:hAnsi="Bahnschrift"/>
            <w:noProof/>
          </w:rPr>
          <w:t>Provincial Housing Legislation, Strategies, and Policies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_Toc237957424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14</w:t>
        </w:r>
        <w:r w:rsidRPr="008D5CBD">
          <w:rPr>
            <w:rFonts w:ascii="Bahnschrift" w:hAnsi="Bahnschrift"/>
            <w:noProof/>
            <w:webHidden/>
          </w:rPr>
          <w:fldChar w:fldCharType="end"/>
        </w:r>
      </w:hyperlink>
    </w:p>
    <w:p w14:paraId="681E0B40" w14:textId="246FF8D2" w:rsidR="008D5CBD" w:rsidRPr="008D5CBD" w:rsidRDefault="008D5CBD">
      <w:pPr>
        <w:pStyle w:val="TOC2"/>
        <w:rPr>
          <w:rFonts w:ascii="Bahnschrift" w:eastAsiaTheme="minorEastAsia" w:hAnsi="Bahnschrift"/>
          <w:noProof/>
          <w:sz w:val="24"/>
          <w:lang w:eastAsia="en-CA"/>
        </w:rPr>
      </w:pPr>
      <w:hyperlink w:anchor="_Toc237957425" w:history="1">
        <w:r w:rsidRPr="008D5CBD">
          <w:rPr>
            <w:rStyle w:val="Hyperlink"/>
            <w:rFonts w:ascii="Bahnschrift" w:hAnsi="Bahnschrift"/>
            <w:noProof/>
          </w:rPr>
          <w:t>4.2</w:t>
        </w:r>
        <w:r w:rsidRPr="008D5CBD">
          <w:rPr>
            <w:rFonts w:ascii="Bahnschrift" w:eastAsiaTheme="minorEastAsia" w:hAnsi="Bahnschrift"/>
            <w:noProof/>
            <w:sz w:val="24"/>
            <w:lang w:eastAsia="en-CA"/>
          </w:rPr>
          <w:tab/>
        </w:r>
        <w:r w:rsidRPr="008D5CBD">
          <w:rPr>
            <w:rStyle w:val="Hyperlink"/>
            <w:rFonts w:ascii="Bahnschrift" w:hAnsi="Bahnschrift"/>
            <w:noProof/>
          </w:rPr>
          <w:t>Recent and Upcoming Legislative Changes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_Toc237957425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15</w:t>
        </w:r>
        <w:r w:rsidRPr="008D5CBD">
          <w:rPr>
            <w:rFonts w:ascii="Bahnschrift" w:hAnsi="Bahnschrift"/>
            <w:noProof/>
            <w:webHidden/>
          </w:rPr>
          <w:fldChar w:fldCharType="end"/>
        </w:r>
      </w:hyperlink>
    </w:p>
    <w:p w14:paraId="63A28105" w14:textId="57E6F8DF" w:rsidR="008D5CBD" w:rsidRPr="008D5CBD" w:rsidRDefault="008D5CBD">
      <w:pPr>
        <w:pStyle w:val="TOC2"/>
        <w:rPr>
          <w:rFonts w:ascii="Bahnschrift" w:eastAsiaTheme="minorEastAsia" w:hAnsi="Bahnschrift"/>
          <w:noProof/>
          <w:sz w:val="24"/>
          <w:lang w:eastAsia="en-CA"/>
        </w:rPr>
      </w:pPr>
      <w:hyperlink w:anchor="_Toc237957426" w:history="1">
        <w:r w:rsidRPr="008D5CBD">
          <w:rPr>
            <w:rStyle w:val="Hyperlink"/>
            <w:rFonts w:ascii="Bahnschrift" w:hAnsi="Bahnschrift"/>
            <w:noProof/>
          </w:rPr>
          <w:t>4.3</w:t>
        </w:r>
        <w:r w:rsidRPr="008D5CBD">
          <w:rPr>
            <w:rFonts w:ascii="Bahnschrift" w:eastAsiaTheme="minorEastAsia" w:hAnsi="Bahnschrift"/>
            <w:noProof/>
            <w:sz w:val="24"/>
            <w:lang w:eastAsia="en-CA"/>
          </w:rPr>
          <w:tab/>
        </w:r>
        <w:r w:rsidRPr="008D5CBD">
          <w:rPr>
            <w:rStyle w:val="Hyperlink"/>
            <w:rFonts w:ascii="Bahnschrift" w:hAnsi="Bahnschrift"/>
            <w:noProof/>
          </w:rPr>
          <w:t>Housing Funding Programs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_Toc237957426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17</w:t>
        </w:r>
        <w:r w:rsidRPr="008D5CBD">
          <w:rPr>
            <w:rFonts w:ascii="Bahnschrift" w:hAnsi="Bahnschrift"/>
            <w:noProof/>
            <w:webHidden/>
          </w:rPr>
          <w:fldChar w:fldCharType="end"/>
        </w:r>
      </w:hyperlink>
    </w:p>
    <w:p w14:paraId="6C3C96CC" w14:textId="6D92C5B0" w:rsidR="008D5CBD" w:rsidRPr="008D5CBD" w:rsidRDefault="008D5CBD">
      <w:pPr>
        <w:pStyle w:val="TOC2"/>
        <w:rPr>
          <w:rFonts w:ascii="Bahnschrift" w:eastAsiaTheme="minorEastAsia" w:hAnsi="Bahnschrift"/>
          <w:noProof/>
          <w:sz w:val="24"/>
          <w:lang w:eastAsia="en-CA"/>
        </w:rPr>
      </w:pPr>
      <w:hyperlink w:anchor="_Toc237957427" w:history="1">
        <w:r w:rsidRPr="008D5CBD">
          <w:rPr>
            <w:rStyle w:val="Hyperlink"/>
            <w:rFonts w:ascii="Bahnschrift" w:hAnsi="Bahnschrift"/>
            <w:noProof/>
          </w:rPr>
          <w:t>4.4</w:t>
        </w:r>
        <w:r w:rsidRPr="008D5CBD">
          <w:rPr>
            <w:rFonts w:ascii="Bahnschrift" w:eastAsiaTheme="minorEastAsia" w:hAnsi="Bahnschrift"/>
            <w:noProof/>
            <w:sz w:val="24"/>
            <w:lang w:eastAsia="en-CA"/>
          </w:rPr>
          <w:tab/>
        </w:r>
        <w:r w:rsidRPr="008D5CBD">
          <w:rPr>
            <w:rStyle w:val="Hyperlink"/>
            <w:rFonts w:ascii="Bahnschrift" w:hAnsi="Bahnschrift"/>
            <w:noProof/>
          </w:rPr>
          <w:t>Municipal Planning Framework</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_Toc237957427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18</w:t>
        </w:r>
        <w:r w:rsidRPr="008D5CBD">
          <w:rPr>
            <w:rFonts w:ascii="Bahnschrift" w:hAnsi="Bahnschrift"/>
            <w:noProof/>
            <w:webHidden/>
          </w:rPr>
          <w:fldChar w:fldCharType="end"/>
        </w:r>
      </w:hyperlink>
    </w:p>
    <w:p w14:paraId="6B720538" w14:textId="2DFA9316" w:rsidR="008D5CBD" w:rsidRPr="008D5CBD" w:rsidRDefault="008D5CBD">
      <w:pPr>
        <w:pStyle w:val="TOC1"/>
        <w:rPr>
          <w:rFonts w:ascii="Bahnschrift" w:eastAsiaTheme="minorEastAsia" w:hAnsi="Bahnschrift"/>
          <w:noProof/>
          <w:sz w:val="24"/>
          <w:lang w:eastAsia="en-CA"/>
        </w:rPr>
      </w:pPr>
      <w:hyperlink w:anchor="_Toc237957428" w:history="1">
        <w:r w:rsidRPr="008D5CBD">
          <w:rPr>
            <w:rStyle w:val="Hyperlink"/>
            <w:rFonts w:ascii="Bahnschrift" w:hAnsi="Bahnschrift"/>
            <w:noProof/>
          </w:rPr>
          <w:t>5</w:t>
        </w:r>
        <w:r w:rsidRPr="008D5CBD">
          <w:rPr>
            <w:rFonts w:ascii="Bahnschrift" w:eastAsiaTheme="minorEastAsia" w:hAnsi="Bahnschrift"/>
            <w:noProof/>
            <w:sz w:val="24"/>
            <w:lang w:eastAsia="en-CA"/>
          </w:rPr>
          <w:tab/>
        </w:r>
        <w:r w:rsidRPr="008D5CBD">
          <w:rPr>
            <w:rStyle w:val="Hyperlink"/>
            <w:rFonts w:ascii="Bahnschrift" w:hAnsi="Bahnschrift"/>
            <w:noProof/>
          </w:rPr>
          <w:t>ENGAGEMENT SUMMARY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_Toc237957428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20</w:t>
        </w:r>
        <w:r w:rsidRPr="008D5CBD">
          <w:rPr>
            <w:rFonts w:ascii="Bahnschrift" w:hAnsi="Bahnschrift"/>
            <w:noProof/>
            <w:webHidden/>
          </w:rPr>
          <w:fldChar w:fldCharType="end"/>
        </w:r>
      </w:hyperlink>
    </w:p>
    <w:p w14:paraId="103F31F4" w14:textId="19E98345" w:rsidR="008D5CBD" w:rsidRPr="008D5CBD" w:rsidRDefault="008D5CBD">
      <w:pPr>
        <w:pStyle w:val="TOC2"/>
        <w:rPr>
          <w:rFonts w:ascii="Bahnschrift" w:eastAsiaTheme="minorEastAsia" w:hAnsi="Bahnschrift"/>
          <w:noProof/>
          <w:sz w:val="24"/>
          <w:lang w:eastAsia="en-CA"/>
        </w:rPr>
      </w:pPr>
      <w:hyperlink w:anchor="_Toc237957429" w:history="1">
        <w:r w:rsidRPr="008D5CBD">
          <w:rPr>
            <w:rStyle w:val="Hyperlink"/>
            <w:rFonts w:ascii="Bahnschrift" w:hAnsi="Bahnschrift"/>
            <w:noProof/>
          </w:rPr>
          <w:t>1.1</w:t>
        </w:r>
        <w:r w:rsidRPr="008D5CBD">
          <w:rPr>
            <w:rFonts w:ascii="Bahnschrift" w:eastAsiaTheme="minorEastAsia" w:hAnsi="Bahnschrift"/>
            <w:noProof/>
            <w:sz w:val="24"/>
            <w:lang w:eastAsia="en-CA"/>
          </w:rPr>
          <w:tab/>
        </w:r>
        <w:r w:rsidRPr="008D5CBD">
          <w:rPr>
            <w:rStyle w:val="Hyperlink"/>
            <w:rFonts w:ascii="Bahnschrift" w:hAnsi="Bahnschrift"/>
            <w:noProof/>
          </w:rPr>
          <w:t>THEMES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_Toc237957429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20</w:t>
        </w:r>
        <w:r w:rsidRPr="008D5CBD">
          <w:rPr>
            <w:rFonts w:ascii="Bahnschrift" w:hAnsi="Bahnschrift"/>
            <w:noProof/>
            <w:webHidden/>
          </w:rPr>
          <w:fldChar w:fldCharType="end"/>
        </w:r>
      </w:hyperlink>
    </w:p>
    <w:p w14:paraId="636C13D0" w14:textId="5BC5AF3E" w:rsidR="008D5CBD" w:rsidRPr="008D5CBD" w:rsidRDefault="008D5CBD">
      <w:pPr>
        <w:pStyle w:val="TOC2"/>
        <w:rPr>
          <w:rFonts w:ascii="Bahnschrift" w:eastAsiaTheme="minorEastAsia" w:hAnsi="Bahnschrift"/>
          <w:noProof/>
          <w:sz w:val="24"/>
          <w:lang w:eastAsia="en-CA"/>
        </w:rPr>
      </w:pPr>
      <w:hyperlink w:anchor="_Toc237957430" w:history="1">
        <w:r w:rsidRPr="008D5CBD">
          <w:rPr>
            <w:rStyle w:val="Hyperlink"/>
            <w:rFonts w:ascii="Bahnschrift" w:hAnsi="Bahnschrift"/>
            <w:noProof/>
          </w:rPr>
          <w:t>5.1</w:t>
        </w:r>
        <w:r w:rsidRPr="008D5CBD">
          <w:rPr>
            <w:rFonts w:ascii="Bahnschrift" w:eastAsiaTheme="minorEastAsia" w:hAnsi="Bahnschrift"/>
            <w:noProof/>
            <w:sz w:val="24"/>
            <w:lang w:eastAsia="en-CA"/>
          </w:rPr>
          <w:tab/>
        </w:r>
        <w:r w:rsidRPr="008D5CBD">
          <w:rPr>
            <w:rStyle w:val="Hyperlink"/>
            <w:rFonts w:ascii="Bahnschrift" w:hAnsi="Bahnschrift"/>
            <w:noProof/>
          </w:rPr>
          <w:t>VULNERABLE POPULATION SURVEY FINDINGS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_Toc237957430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22</w:t>
        </w:r>
        <w:r w:rsidRPr="008D5CBD">
          <w:rPr>
            <w:rFonts w:ascii="Bahnschrift" w:hAnsi="Bahnschrift"/>
            <w:noProof/>
            <w:webHidden/>
          </w:rPr>
          <w:fldChar w:fldCharType="end"/>
        </w:r>
      </w:hyperlink>
    </w:p>
    <w:p w14:paraId="4440F8EA" w14:textId="4E6F9AC4" w:rsidR="008D5CBD" w:rsidRPr="008D5CBD" w:rsidRDefault="008D5CBD">
      <w:pPr>
        <w:pStyle w:val="TOC1"/>
        <w:rPr>
          <w:rFonts w:ascii="Bahnschrift" w:eastAsiaTheme="minorEastAsia" w:hAnsi="Bahnschrift"/>
          <w:noProof/>
          <w:sz w:val="24"/>
          <w:lang w:eastAsia="en-CA"/>
        </w:rPr>
      </w:pPr>
      <w:hyperlink w:anchor="_Toc237957431" w:history="1">
        <w:r w:rsidRPr="008D5CBD">
          <w:rPr>
            <w:rStyle w:val="Hyperlink"/>
            <w:rFonts w:ascii="Bahnschrift" w:hAnsi="Bahnschrift"/>
            <w:noProof/>
          </w:rPr>
          <w:t>6</w:t>
        </w:r>
        <w:r w:rsidRPr="008D5CBD">
          <w:rPr>
            <w:rFonts w:ascii="Bahnschrift" w:eastAsiaTheme="minorEastAsia" w:hAnsi="Bahnschrift"/>
            <w:noProof/>
            <w:sz w:val="24"/>
            <w:lang w:eastAsia="en-CA"/>
          </w:rPr>
          <w:tab/>
        </w:r>
        <w:r w:rsidRPr="008D5CBD">
          <w:rPr>
            <w:rStyle w:val="Hyperlink"/>
            <w:rFonts w:ascii="Bahnschrift" w:hAnsi="Bahnschrift"/>
            <w:noProof/>
          </w:rPr>
          <w:t>DEMOGRAPHIC PROFILE</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_Toc237957431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25</w:t>
        </w:r>
        <w:r w:rsidRPr="008D5CBD">
          <w:rPr>
            <w:rFonts w:ascii="Bahnschrift" w:hAnsi="Bahnschrift"/>
            <w:noProof/>
            <w:webHidden/>
          </w:rPr>
          <w:fldChar w:fldCharType="end"/>
        </w:r>
      </w:hyperlink>
    </w:p>
    <w:p w14:paraId="0B9A077F" w14:textId="1F860727" w:rsidR="008D5CBD" w:rsidRPr="008D5CBD" w:rsidRDefault="008D5CBD">
      <w:pPr>
        <w:pStyle w:val="TOC2"/>
        <w:rPr>
          <w:rFonts w:ascii="Bahnschrift" w:eastAsiaTheme="minorEastAsia" w:hAnsi="Bahnschrift"/>
          <w:noProof/>
          <w:sz w:val="24"/>
          <w:lang w:eastAsia="en-CA"/>
        </w:rPr>
      </w:pPr>
      <w:hyperlink w:anchor="_Toc237957432" w:history="1">
        <w:r w:rsidRPr="008D5CBD">
          <w:rPr>
            <w:rStyle w:val="Hyperlink"/>
            <w:rFonts w:ascii="Bahnschrift" w:hAnsi="Bahnschrift"/>
            <w:noProof/>
          </w:rPr>
          <w:t>6.1</w:t>
        </w:r>
        <w:r w:rsidRPr="008D5CBD">
          <w:rPr>
            <w:rFonts w:ascii="Bahnschrift" w:eastAsiaTheme="minorEastAsia" w:hAnsi="Bahnschrift"/>
            <w:noProof/>
            <w:sz w:val="24"/>
            <w:lang w:eastAsia="en-CA"/>
          </w:rPr>
          <w:tab/>
        </w:r>
        <w:r w:rsidRPr="008D5CBD">
          <w:rPr>
            <w:rStyle w:val="Hyperlink"/>
            <w:rFonts w:ascii="Bahnschrift" w:hAnsi="Bahnschrift"/>
            <w:noProof/>
          </w:rPr>
          <w:t>POPULATION</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_Toc237957432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25</w:t>
        </w:r>
        <w:r w:rsidRPr="008D5CBD">
          <w:rPr>
            <w:rFonts w:ascii="Bahnschrift" w:hAnsi="Bahnschrift"/>
            <w:noProof/>
            <w:webHidden/>
          </w:rPr>
          <w:fldChar w:fldCharType="end"/>
        </w:r>
      </w:hyperlink>
    </w:p>
    <w:p w14:paraId="2F1E487D" w14:textId="1E7A4326" w:rsidR="008D5CBD" w:rsidRPr="008D5CBD" w:rsidRDefault="008D5CBD">
      <w:pPr>
        <w:pStyle w:val="TOC2"/>
        <w:rPr>
          <w:rFonts w:ascii="Bahnschrift" w:eastAsiaTheme="minorEastAsia" w:hAnsi="Bahnschrift"/>
          <w:noProof/>
          <w:sz w:val="24"/>
          <w:lang w:eastAsia="en-CA"/>
        </w:rPr>
      </w:pPr>
      <w:hyperlink w:anchor="_Toc237957433" w:history="1">
        <w:r w:rsidRPr="008D5CBD">
          <w:rPr>
            <w:rStyle w:val="Hyperlink"/>
            <w:rFonts w:ascii="Bahnschrift" w:hAnsi="Bahnschrift"/>
            <w:noProof/>
          </w:rPr>
          <w:t>6.2</w:t>
        </w:r>
        <w:r w:rsidRPr="008D5CBD">
          <w:rPr>
            <w:rFonts w:ascii="Bahnschrift" w:eastAsiaTheme="minorEastAsia" w:hAnsi="Bahnschrift"/>
            <w:noProof/>
            <w:sz w:val="24"/>
            <w:lang w:eastAsia="en-CA"/>
          </w:rPr>
          <w:tab/>
        </w:r>
        <w:r w:rsidRPr="008D5CBD">
          <w:rPr>
            <w:rStyle w:val="Hyperlink"/>
            <w:rFonts w:ascii="Bahnschrift" w:hAnsi="Bahnschrift"/>
            <w:noProof/>
          </w:rPr>
          <w:t>HOUSEHOLDS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_Toc237957433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29</w:t>
        </w:r>
        <w:r w:rsidRPr="008D5CBD">
          <w:rPr>
            <w:rFonts w:ascii="Bahnschrift" w:hAnsi="Bahnschrift"/>
            <w:noProof/>
            <w:webHidden/>
          </w:rPr>
          <w:fldChar w:fldCharType="end"/>
        </w:r>
      </w:hyperlink>
    </w:p>
    <w:p w14:paraId="37CFA37A" w14:textId="5DC63EF6" w:rsidR="008D5CBD" w:rsidRPr="008D5CBD" w:rsidRDefault="008D5CBD">
      <w:pPr>
        <w:pStyle w:val="TOC1"/>
        <w:rPr>
          <w:rFonts w:ascii="Bahnschrift" w:eastAsiaTheme="minorEastAsia" w:hAnsi="Bahnschrift"/>
          <w:noProof/>
          <w:sz w:val="24"/>
          <w:lang w:eastAsia="en-CA"/>
        </w:rPr>
      </w:pPr>
      <w:hyperlink w:anchor="_Toc237957434" w:history="1">
        <w:r w:rsidRPr="008D5CBD">
          <w:rPr>
            <w:rStyle w:val="Hyperlink"/>
            <w:rFonts w:ascii="Bahnschrift" w:hAnsi="Bahnschrift"/>
            <w:noProof/>
          </w:rPr>
          <w:t>7</w:t>
        </w:r>
        <w:r w:rsidRPr="008D5CBD">
          <w:rPr>
            <w:rFonts w:ascii="Bahnschrift" w:eastAsiaTheme="minorEastAsia" w:hAnsi="Bahnschrift"/>
            <w:noProof/>
            <w:sz w:val="24"/>
            <w:lang w:eastAsia="en-CA"/>
          </w:rPr>
          <w:tab/>
        </w:r>
        <w:r w:rsidRPr="008D5CBD">
          <w:rPr>
            <w:rStyle w:val="Hyperlink"/>
            <w:rFonts w:ascii="Bahnschrift" w:hAnsi="Bahnschrift"/>
            <w:noProof/>
          </w:rPr>
          <w:t>ECONOMIC PROFILE</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_Toc237957434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32</w:t>
        </w:r>
        <w:r w:rsidRPr="008D5CBD">
          <w:rPr>
            <w:rFonts w:ascii="Bahnschrift" w:hAnsi="Bahnschrift"/>
            <w:noProof/>
            <w:webHidden/>
          </w:rPr>
          <w:fldChar w:fldCharType="end"/>
        </w:r>
      </w:hyperlink>
    </w:p>
    <w:p w14:paraId="33BF3E69" w14:textId="1BFA2915" w:rsidR="008D5CBD" w:rsidRPr="008D5CBD" w:rsidRDefault="008D5CBD">
      <w:pPr>
        <w:pStyle w:val="TOC2"/>
        <w:rPr>
          <w:rFonts w:ascii="Bahnschrift" w:eastAsiaTheme="minorEastAsia" w:hAnsi="Bahnschrift"/>
          <w:noProof/>
          <w:sz w:val="24"/>
          <w:lang w:eastAsia="en-CA"/>
        </w:rPr>
      </w:pPr>
      <w:hyperlink w:anchor="_Toc237957435" w:history="1">
        <w:r w:rsidRPr="008D5CBD">
          <w:rPr>
            <w:rStyle w:val="Hyperlink"/>
            <w:rFonts w:ascii="Bahnschrift" w:hAnsi="Bahnschrift"/>
            <w:noProof/>
          </w:rPr>
          <w:t>7.1</w:t>
        </w:r>
        <w:r w:rsidRPr="008D5CBD">
          <w:rPr>
            <w:rFonts w:ascii="Bahnschrift" w:eastAsiaTheme="minorEastAsia" w:hAnsi="Bahnschrift"/>
            <w:noProof/>
            <w:sz w:val="24"/>
            <w:lang w:eastAsia="en-CA"/>
          </w:rPr>
          <w:tab/>
        </w:r>
        <w:r w:rsidRPr="008D5CBD">
          <w:rPr>
            <w:rStyle w:val="Hyperlink"/>
            <w:rFonts w:ascii="Bahnschrift" w:hAnsi="Bahnschrift"/>
            <w:noProof/>
          </w:rPr>
          <w:t>ECONOMY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_Toc237957435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32</w:t>
        </w:r>
        <w:r w:rsidRPr="008D5CBD">
          <w:rPr>
            <w:rFonts w:ascii="Bahnschrift" w:hAnsi="Bahnschrift"/>
            <w:noProof/>
            <w:webHidden/>
          </w:rPr>
          <w:fldChar w:fldCharType="end"/>
        </w:r>
      </w:hyperlink>
    </w:p>
    <w:p w14:paraId="4ACA19BC" w14:textId="0C4FBA1A" w:rsidR="008D5CBD" w:rsidRPr="008D5CBD" w:rsidRDefault="008D5CBD">
      <w:pPr>
        <w:pStyle w:val="TOC2"/>
        <w:rPr>
          <w:rFonts w:ascii="Bahnschrift" w:eastAsiaTheme="minorEastAsia" w:hAnsi="Bahnschrift"/>
          <w:noProof/>
          <w:sz w:val="24"/>
          <w:lang w:eastAsia="en-CA"/>
        </w:rPr>
      </w:pPr>
      <w:hyperlink w:anchor="_Toc237957436" w:history="1">
        <w:r w:rsidRPr="008D5CBD">
          <w:rPr>
            <w:rStyle w:val="Hyperlink"/>
            <w:rFonts w:ascii="Bahnschrift" w:hAnsi="Bahnschrift"/>
            <w:noProof/>
          </w:rPr>
          <w:t>7.2</w:t>
        </w:r>
        <w:r w:rsidRPr="008D5CBD">
          <w:rPr>
            <w:rFonts w:ascii="Bahnschrift" w:eastAsiaTheme="minorEastAsia" w:hAnsi="Bahnschrift"/>
            <w:noProof/>
            <w:sz w:val="24"/>
            <w:lang w:eastAsia="en-CA"/>
          </w:rPr>
          <w:tab/>
        </w:r>
        <w:r w:rsidRPr="008D5CBD">
          <w:rPr>
            <w:rStyle w:val="Hyperlink"/>
            <w:rFonts w:ascii="Bahnschrift" w:hAnsi="Bahnschrift"/>
            <w:noProof/>
          </w:rPr>
          <w:t>INCOME</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_Toc237957436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34</w:t>
        </w:r>
        <w:r w:rsidRPr="008D5CBD">
          <w:rPr>
            <w:rFonts w:ascii="Bahnschrift" w:hAnsi="Bahnschrift"/>
            <w:noProof/>
            <w:webHidden/>
          </w:rPr>
          <w:fldChar w:fldCharType="end"/>
        </w:r>
      </w:hyperlink>
    </w:p>
    <w:p w14:paraId="464A2819" w14:textId="31794B04" w:rsidR="008D5CBD" w:rsidRPr="008D5CBD" w:rsidRDefault="008D5CBD">
      <w:pPr>
        <w:pStyle w:val="TOC1"/>
        <w:rPr>
          <w:rFonts w:ascii="Bahnschrift" w:eastAsiaTheme="minorEastAsia" w:hAnsi="Bahnschrift"/>
          <w:noProof/>
          <w:sz w:val="24"/>
          <w:lang w:eastAsia="en-CA"/>
        </w:rPr>
      </w:pPr>
      <w:hyperlink w:anchor="_Toc237957437" w:history="1">
        <w:r w:rsidRPr="008D5CBD">
          <w:rPr>
            <w:rStyle w:val="Hyperlink"/>
            <w:rFonts w:ascii="Bahnschrift" w:hAnsi="Bahnschrift"/>
            <w:noProof/>
          </w:rPr>
          <w:t>8</w:t>
        </w:r>
        <w:r w:rsidRPr="008D5CBD">
          <w:rPr>
            <w:rFonts w:ascii="Bahnschrift" w:eastAsiaTheme="minorEastAsia" w:hAnsi="Bahnschrift"/>
            <w:noProof/>
            <w:sz w:val="24"/>
            <w:lang w:eastAsia="en-CA"/>
          </w:rPr>
          <w:tab/>
        </w:r>
        <w:r w:rsidRPr="008D5CBD">
          <w:rPr>
            <w:rStyle w:val="Hyperlink"/>
            <w:rFonts w:ascii="Bahnschrift" w:hAnsi="Bahnschrift"/>
            <w:noProof/>
          </w:rPr>
          <w:t>HOUSING PROFILE</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_Toc237957437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40</w:t>
        </w:r>
        <w:r w:rsidRPr="008D5CBD">
          <w:rPr>
            <w:rFonts w:ascii="Bahnschrift" w:hAnsi="Bahnschrift"/>
            <w:noProof/>
            <w:webHidden/>
          </w:rPr>
          <w:fldChar w:fldCharType="end"/>
        </w:r>
      </w:hyperlink>
    </w:p>
    <w:p w14:paraId="25F12904" w14:textId="43636A10" w:rsidR="008D5CBD" w:rsidRPr="008D5CBD" w:rsidRDefault="008D5CBD">
      <w:pPr>
        <w:pStyle w:val="TOC2"/>
        <w:rPr>
          <w:rFonts w:ascii="Bahnschrift" w:eastAsiaTheme="minorEastAsia" w:hAnsi="Bahnschrift"/>
          <w:noProof/>
          <w:sz w:val="24"/>
          <w:lang w:eastAsia="en-CA"/>
        </w:rPr>
      </w:pPr>
      <w:hyperlink w:anchor="_Toc237957438" w:history="1">
        <w:r w:rsidRPr="008D5CBD">
          <w:rPr>
            <w:rStyle w:val="Hyperlink"/>
            <w:rFonts w:ascii="Bahnschrift" w:hAnsi="Bahnschrift"/>
            <w:noProof/>
          </w:rPr>
          <w:t>8.1</w:t>
        </w:r>
        <w:r w:rsidRPr="008D5CBD">
          <w:rPr>
            <w:rFonts w:ascii="Bahnschrift" w:eastAsiaTheme="minorEastAsia" w:hAnsi="Bahnschrift"/>
            <w:noProof/>
            <w:sz w:val="24"/>
            <w:lang w:eastAsia="en-CA"/>
          </w:rPr>
          <w:tab/>
        </w:r>
        <w:r w:rsidRPr="008D5CBD">
          <w:rPr>
            <w:rStyle w:val="Hyperlink"/>
            <w:rFonts w:ascii="Bahnschrift" w:hAnsi="Bahnschrift"/>
            <w:noProof/>
          </w:rPr>
          <w:t>EXISTING INVENTORY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_Toc237957438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40</w:t>
        </w:r>
        <w:r w:rsidRPr="008D5CBD">
          <w:rPr>
            <w:rFonts w:ascii="Bahnschrift" w:hAnsi="Bahnschrift"/>
            <w:noProof/>
            <w:webHidden/>
          </w:rPr>
          <w:fldChar w:fldCharType="end"/>
        </w:r>
      </w:hyperlink>
    </w:p>
    <w:p w14:paraId="2FBF4171" w14:textId="16404204" w:rsidR="008D5CBD" w:rsidRPr="008D5CBD" w:rsidRDefault="008D5CBD">
      <w:pPr>
        <w:pStyle w:val="TOC2"/>
        <w:rPr>
          <w:rFonts w:ascii="Bahnschrift" w:eastAsiaTheme="minorEastAsia" w:hAnsi="Bahnschrift"/>
          <w:noProof/>
          <w:sz w:val="24"/>
          <w:lang w:eastAsia="en-CA"/>
        </w:rPr>
      </w:pPr>
      <w:hyperlink w:anchor="_Toc237957439" w:history="1">
        <w:r w:rsidRPr="008D5CBD">
          <w:rPr>
            <w:rStyle w:val="Hyperlink"/>
            <w:rFonts w:ascii="Bahnschrift" w:hAnsi="Bahnschrift"/>
            <w:noProof/>
          </w:rPr>
          <w:t>8.2</w:t>
        </w:r>
        <w:r w:rsidRPr="008D5CBD">
          <w:rPr>
            <w:rFonts w:ascii="Bahnschrift" w:eastAsiaTheme="minorEastAsia" w:hAnsi="Bahnschrift"/>
            <w:noProof/>
            <w:sz w:val="24"/>
            <w:lang w:eastAsia="en-CA"/>
          </w:rPr>
          <w:tab/>
        </w:r>
        <w:r w:rsidRPr="008D5CBD">
          <w:rPr>
            <w:rStyle w:val="Hyperlink"/>
            <w:rFonts w:ascii="Bahnschrift" w:hAnsi="Bahnschrift"/>
            <w:noProof/>
          </w:rPr>
          <w:t>CONSTRUCTION ACTIVITY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_Toc237957439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41</w:t>
        </w:r>
        <w:r w:rsidRPr="008D5CBD">
          <w:rPr>
            <w:rFonts w:ascii="Bahnschrift" w:hAnsi="Bahnschrift"/>
            <w:noProof/>
            <w:webHidden/>
          </w:rPr>
          <w:fldChar w:fldCharType="end"/>
        </w:r>
      </w:hyperlink>
    </w:p>
    <w:p w14:paraId="573E4E5C" w14:textId="1271C7FE" w:rsidR="008D5CBD" w:rsidRPr="008D5CBD" w:rsidRDefault="008D5CBD">
      <w:pPr>
        <w:pStyle w:val="TOC2"/>
        <w:rPr>
          <w:rFonts w:ascii="Bahnschrift" w:eastAsiaTheme="minorEastAsia" w:hAnsi="Bahnschrift"/>
          <w:noProof/>
          <w:sz w:val="24"/>
          <w:lang w:eastAsia="en-CA"/>
        </w:rPr>
      </w:pPr>
      <w:hyperlink w:anchor="_Toc237957440" w:history="1">
        <w:r w:rsidRPr="008D5CBD">
          <w:rPr>
            <w:rStyle w:val="Hyperlink"/>
            <w:rFonts w:ascii="Bahnschrift" w:hAnsi="Bahnschrift"/>
            <w:noProof/>
          </w:rPr>
          <w:t>8.3</w:t>
        </w:r>
        <w:r w:rsidRPr="008D5CBD">
          <w:rPr>
            <w:rFonts w:ascii="Bahnschrift" w:eastAsiaTheme="minorEastAsia" w:hAnsi="Bahnschrift"/>
            <w:noProof/>
            <w:sz w:val="24"/>
            <w:lang w:eastAsia="en-CA"/>
          </w:rPr>
          <w:tab/>
        </w:r>
        <w:r w:rsidRPr="008D5CBD">
          <w:rPr>
            <w:rStyle w:val="Hyperlink"/>
            <w:rFonts w:ascii="Bahnschrift" w:hAnsi="Bahnschrift"/>
            <w:noProof/>
          </w:rPr>
          <w:t>RENTAL MARKET</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_Toc237957440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42</w:t>
        </w:r>
        <w:r w:rsidRPr="008D5CBD">
          <w:rPr>
            <w:rFonts w:ascii="Bahnschrift" w:hAnsi="Bahnschrift"/>
            <w:noProof/>
            <w:webHidden/>
          </w:rPr>
          <w:fldChar w:fldCharType="end"/>
        </w:r>
      </w:hyperlink>
    </w:p>
    <w:p w14:paraId="0C51161D" w14:textId="7D6A43C7" w:rsidR="008D5CBD" w:rsidRPr="008D5CBD" w:rsidRDefault="008D5CBD">
      <w:pPr>
        <w:pStyle w:val="TOC2"/>
        <w:rPr>
          <w:rFonts w:ascii="Bahnschrift" w:eastAsiaTheme="minorEastAsia" w:hAnsi="Bahnschrift"/>
          <w:noProof/>
          <w:sz w:val="24"/>
          <w:lang w:eastAsia="en-CA"/>
        </w:rPr>
      </w:pPr>
      <w:hyperlink w:anchor="_Toc237957441" w:history="1">
        <w:r w:rsidRPr="008D5CBD">
          <w:rPr>
            <w:rStyle w:val="Hyperlink"/>
            <w:rFonts w:ascii="Bahnschrift" w:hAnsi="Bahnschrift"/>
            <w:noProof/>
          </w:rPr>
          <w:t>8.4</w:t>
        </w:r>
        <w:r w:rsidRPr="008D5CBD">
          <w:rPr>
            <w:rFonts w:ascii="Bahnschrift" w:eastAsiaTheme="minorEastAsia" w:hAnsi="Bahnschrift"/>
            <w:noProof/>
            <w:sz w:val="24"/>
            <w:lang w:eastAsia="en-CA"/>
          </w:rPr>
          <w:tab/>
        </w:r>
        <w:r w:rsidRPr="008D5CBD">
          <w:rPr>
            <w:rStyle w:val="Hyperlink"/>
            <w:rFonts w:ascii="Bahnschrift" w:hAnsi="Bahnschrift"/>
            <w:noProof/>
          </w:rPr>
          <w:t>HOMEOWNERSHIP MARKET</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_Toc237957441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45</w:t>
        </w:r>
        <w:r w:rsidRPr="008D5CBD">
          <w:rPr>
            <w:rFonts w:ascii="Bahnschrift" w:hAnsi="Bahnschrift"/>
            <w:noProof/>
            <w:webHidden/>
          </w:rPr>
          <w:fldChar w:fldCharType="end"/>
        </w:r>
      </w:hyperlink>
    </w:p>
    <w:p w14:paraId="1DC9FF39" w14:textId="3A4A66B7" w:rsidR="008D5CBD" w:rsidRPr="008D5CBD" w:rsidRDefault="008D5CBD">
      <w:pPr>
        <w:pStyle w:val="TOC2"/>
        <w:rPr>
          <w:rFonts w:ascii="Bahnschrift" w:eastAsiaTheme="minorEastAsia" w:hAnsi="Bahnschrift"/>
          <w:noProof/>
          <w:sz w:val="24"/>
          <w:lang w:eastAsia="en-CA"/>
        </w:rPr>
      </w:pPr>
      <w:hyperlink w:anchor="_Toc237957442" w:history="1">
        <w:r w:rsidRPr="008D5CBD">
          <w:rPr>
            <w:rStyle w:val="Hyperlink"/>
            <w:rFonts w:ascii="Bahnschrift" w:hAnsi="Bahnschrift"/>
            <w:noProof/>
          </w:rPr>
          <w:t>8.5</w:t>
        </w:r>
        <w:r w:rsidRPr="008D5CBD">
          <w:rPr>
            <w:rFonts w:ascii="Bahnschrift" w:eastAsiaTheme="minorEastAsia" w:hAnsi="Bahnschrift"/>
            <w:noProof/>
            <w:sz w:val="24"/>
            <w:lang w:eastAsia="en-CA"/>
          </w:rPr>
          <w:tab/>
        </w:r>
        <w:r w:rsidRPr="008D5CBD">
          <w:rPr>
            <w:rStyle w:val="Hyperlink"/>
            <w:rFonts w:ascii="Bahnschrift" w:hAnsi="Bahnschrift"/>
            <w:noProof/>
          </w:rPr>
          <w:t>AFFORDABLE HOUSING</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_Toc237957442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47</w:t>
        </w:r>
        <w:r w:rsidRPr="008D5CBD">
          <w:rPr>
            <w:rFonts w:ascii="Bahnschrift" w:hAnsi="Bahnschrift"/>
            <w:noProof/>
            <w:webHidden/>
          </w:rPr>
          <w:fldChar w:fldCharType="end"/>
        </w:r>
      </w:hyperlink>
    </w:p>
    <w:p w14:paraId="6950F962" w14:textId="40520E64" w:rsidR="008D5CBD" w:rsidRPr="008D5CBD" w:rsidRDefault="008D5CBD">
      <w:pPr>
        <w:pStyle w:val="TOC2"/>
        <w:rPr>
          <w:rFonts w:ascii="Bahnschrift" w:eastAsiaTheme="minorEastAsia" w:hAnsi="Bahnschrift"/>
          <w:noProof/>
          <w:sz w:val="24"/>
          <w:lang w:eastAsia="en-CA"/>
        </w:rPr>
      </w:pPr>
      <w:hyperlink w:anchor="_Toc237957443" w:history="1">
        <w:r w:rsidRPr="008D5CBD">
          <w:rPr>
            <w:rStyle w:val="Hyperlink"/>
            <w:rFonts w:ascii="Bahnschrift" w:hAnsi="Bahnschrift"/>
            <w:noProof/>
          </w:rPr>
          <w:t>8.6</w:t>
        </w:r>
        <w:r w:rsidRPr="008D5CBD">
          <w:rPr>
            <w:rFonts w:ascii="Bahnschrift" w:eastAsiaTheme="minorEastAsia" w:hAnsi="Bahnschrift"/>
            <w:noProof/>
            <w:sz w:val="24"/>
            <w:lang w:eastAsia="en-CA"/>
          </w:rPr>
          <w:tab/>
        </w:r>
        <w:r w:rsidRPr="008D5CBD">
          <w:rPr>
            <w:rStyle w:val="Hyperlink"/>
            <w:rFonts w:ascii="Bahnschrift" w:hAnsi="Bahnschrift"/>
            <w:noProof/>
          </w:rPr>
          <w:t>SUBSIDIZED HOUSING</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_Toc237957443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48</w:t>
        </w:r>
        <w:r w:rsidRPr="008D5CBD">
          <w:rPr>
            <w:rFonts w:ascii="Bahnschrift" w:hAnsi="Bahnschrift"/>
            <w:noProof/>
            <w:webHidden/>
          </w:rPr>
          <w:fldChar w:fldCharType="end"/>
        </w:r>
      </w:hyperlink>
    </w:p>
    <w:p w14:paraId="627C0FF9" w14:textId="1B9D4BF8" w:rsidR="008D5CBD" w:rsidRPr="008D5CBD" w:rsidRDefault="008D5CBD">
      <w:pPr>
        <w:pStyle w:val="TOC2"/>
        <w:rPr>
          <w:rFonts w:ascii="Bahnschrift" w:eastAsiaTheme="minorEastAsia" w:hAnsi="Bahnschrift"/>
          <w:noProof/>
          <w:sz w:val="24"/>
          <w:lang w:eastAsia="en-CA"/>
        </w:rPr>
      </w:pPr>
      <w:hyperlink w:anchor="_Toc237957444" w:history="1">
        <w:r w:rsidRPr="008D5CBD">
          <w:rPr>
            <w:rStyle w:val="Hyperlink"/>
            <w:rFonts w:ascii="Bahnschrift" w:hAnsi="Bahnschrift"/>
            <w:noProof/>
          </w:rPr>
          <w:t>8.7</w:t>
        </w:r>
        <w:r w:rsidRPr="008D5CBD">
          <w:rPr>
            <w:rFonts w:ascii="Bahnschrift" w:eastAsiaTheme="minorEastAsia" w:hAnsi="Bahnschrift"/>
            <w:noProof/>
            <w:sz w:val="24"/>
            <w:lang w:eastAsia="en-CA"/>
          </w:rPr>
          <w:tab/>
        </w:r>
        <w:r w:rsidRPr="008D5CBD">
          <w:rPr>
            <w:rStyle w:val="Hyperlink"/>
            <w:rFonts w:ascii="Bahnschrift" w:hAnsi="Bahnschrift"/>
            <w:noProof/>
          </w:rPr>
          <w:t>NON-MARKET HOUSING</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_Toc237957444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48</w:t>
        </w:r>
        <w:r w:rsidRPr="008D5CBD">
          <w:rPr>
            <w:rFonts w:ascii="Bahnschrift" w:hAnsi="Bahnschrift"/>
            <w:noProof/>
            <w:webHidden/>
          </w:rPr>
          <w:fldChar w:fldCharType="end"/>
        </w:r>
      </w:hyperlink>
    </w:p>
    <w:p w14:paraId="4C7DA876" w14:textId="29E3BC92" w:rsidR="008D5CBD" w:rsidRPr="008D5CBD" w:rsidRDefault="008D5CBD">
      <w:pPr>
        <w:pStyle w:val="TOC1"/>
        <w:rPr>
          <w:rFonts w:ascii="Bahnschrift" w:eastAsiaTheme="minorEastAsia" w:hAnsi="Bahnschrift"/>
          <w:noProof/>
          <w:sz w:val="24"/>
          <w:lang w:eastAsia="en-CA"/>
        </w:rPr>
      </w:pPr>
      <w:hyperlink w:anchor="_Toc237957445" w:history="1">
        <w:r w:rsidRPr="008D5CBD">
          <w:rPr>
            <w:rStyle w:val="Hyperlink"/>
            <w:rFonts w:ascii="Bahnschrift" w:hAnsi="Bahnschrift"/>
            <w:noProof/>
          </w:rPr>
          <w:t>9</w:t>
        </w:r>
        <w:r w:rsidRPr="008D5CBD">
          <w:rPr>
            <w:rFonts w:ascii="Bahnschrift" w:eastAsiaTheme="minorEastAsia" w:hAnsi="Bahnschrift"/>
            <w:noProof/>
            <w:sz w:val="24"/>
            <w:lang w:eastAsia="en-CA"/>
          </w:rPr>
          <w:tab/>
        </w:r>
        <w:r w:rsidRPr="008D5CBD">
          <w:rPr>
            <w:rStyle w:val="Hyperlink"/>
            <w:rFonts w:ascii="Bahnschrift" w:hAnsi="Bahnschrift"/>
            <w:noProof/>
          </w:rPr>
          <w:t>HOUSING NEED</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_Toc237957445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50</w:t>
        </w:r>
        <w:r w:rsidRPr="008D5CBD">
          <w:rPr>
            <w:rFonts w:ascii="Bahnschrift" w:hAnsi="Bahnschrift"/>
            <w:noProof/>
            <w:webHidden/>
          </w:rPr>
          <w:fldChar w:fldCharType="end"/>
        </w:r>
      </w:hyperlink>
    </w:p>
    <w:p w14:paraId="0BB48B04" w14:textId="65E64FB9" w:rsidR="008D5CBD" w:rsidRPr="008D5CBD" w:rsidRDefault="008D5CBD">
      <w:pPr>
        <w:pStyle w:val="TOC2"/>
        <w:rPr>
          <w:rFonts w:ascii="Bahnschrift" w:eastAsiaTheme="minorEastAsia" w:hAnsi="Bahnschrift"/>
          <w:noProof/>
          <w:sz w:val="24"/>
          <w:lang w:eastAsia="en-CA"/>
        </w:rPr>
      </w:pPr>
      <w:hyperlink w:anchor="_Toc237957446" w:history="1">
        <w:r w:rsidRPr="008D5CBD">
          <w:rPr>
            <w:rStyle w:val="Hyperlink"/>
            <w:rFonts w:ascii="Bahnschrift" w:hAnsi="Bahnschrift"/>
            <w:noProof/>
          </w:rPr>
          <w:t>9.1</w:t>
        </w:r>
        <w:r w:rsidRPr="008D5CBD">
          <w:rPr>
            <w:rFonts w:ascii="Bahnschrift" w:eastAsiaTheme="minorEastAsia" w:hAnsi="Bahnschrift"/>
            <w:noProof/>
            <w:sz w:val="24"/>
            <w:lang w:eastAsia="en-CA"/>
          </w:rPr>
          <w:tab/>
        </w:r>
        <w:r w:rsidRPr="008D5CBD">
          <w:rPr>
            <w:rStyle w:val="Hyperlink"/>
            <w:rFonts w:ascii="Bahnschrift" w:hAnsi="Bahnschrift"/>
            <w:noProof/>
          </w:rPr>
          <w:t>INDICATOR SUMMARY</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_Toc237957446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50</w:t>
        </w:r>
        <w:r w:rsidRPr="008D5CBD">
          <w:rPr>
            <w:rFonts w:ascii="Bahnschrift" w:hAnsi="Bahnschrift"/>
            <w:noProof/>
            <w:webHidden/>
          </w:rPr>
          <w:fldChar w:fldCharType="end"/>
        </w:r>
      </w:hyperlink>
    </w:p>
    <w:p w14:paraId="2845CB42" w14:textId="7AD33FDF" w:rsidR="008D5CBD" w:rsidRPr="008D5CBD" w:rsidRDefault="008D5CBD">
      <w:pPr>
        <w:pStyle w:val="TOC2"/>
        <w:rPr>
          <w:rFonts w:ascii="Bahnschrift" w:eastAsiaTheme="minorEastAsia" w:hAnsi="Bahnschrift"/>
          <w:noProof/>
          <w:sz w:val="24"/>
          <w:lang w:eastAsia="en-CA"/>
        </w:rPr>
      </w:pPr>
      <w:hyperlink w:anchor="_Toc237957447" w:history="1">
        <w:r w:rsidRPr="008D5CBD">
          <w:rPr>
            <w:rStyle w:val="Hyperlink"/>
            <w:rFonts w:ascii="Bahnschrift" w:hAnsi="Bahnschrift"/>
            <w:noProof/>
          </w:rPr>
          <w:t>9.2</w:t>
        </w:r>
        <w:r w:rsidRPr="008D5CBD">
          <w:rPr>
            <w:rFonts w:ascii="Bahnschrift" w:eastAsiaTheme="minorEastAsia" w:hAnsi="Bahnschrift"/>
            <w:noProof/>
            <w:sz w:val="24"/>
            <w:lang w:eastAsia="en-CA"/>
          </w:rPr>
          <w:tab/>
        </w:r>
        <w:r w:rsidRPr="008D5CBD">
          <w:rPr>
            <w:rStyle w:val="Hyperlink"/>
            <w:rFonts w:ascii="Bahnschrift" w:hAnsi="Bahnschrift"/>
            <w:noProof/>
          </w:rPr>
          <w:t>INCOME CATEGORIES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_Toc237957447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52</w:t>
        </w:r>
        <w:r w:rsidRPr="008D5CBD">
          <w:rPr>
            <w:rFonts w:ascii="Bahnschrift" w:hAnsi="Bahnschrift"/>
            <w:noProof/>
            <w:webHidden/>
          </w:rPr>
          <w:fldChar w:fldCharType="end"/>
        </w:r>
      </w:hyperlink>
    </w:p>
    <w:p w14:paraId="18935C4D" w14:textId="44926CF8" w:rsidR="008D5CBD" w:rsidRPr="008D5CBD" w:rsidRDefault="008D5CBD">
      <w:pPr>
        <w:pStyle w:val="TOC2"/>
        <w:rPr>
          <w:rFonts w:ascii="Bahnschrift" w:eastAsiaTheme="minorEastAsia" w:hAnsi="Bahnschrift"/>
          <w:noProof/>
          <w:sz w:val="24"/>
          <w:lang w:eastAsia="en-CA"/>
        </w:rPr>
      </w:pPr>
      <w:hyperlink w:anchor="_Toc237957448" w:history="1">
        <w:r w:rsidRPr="008D5CBD">
          <w:rPr>
            <w:rStyle w:val="Hyperlink"/>
            <w:rFonts w:ascii="Bahnschrift" w:hAnsi="Bahnschrift"/>
            <w:noProof/>
          </w:rPr>
          <w:t>9.3</w:t>
        </w:r>
        <w:r w:rsidRPr="008D5CBD">
          <w:rPr>
            <w:rFonts w:ascii="Bahnschrift" w:eastAsiaTheme="minorEastAsia" w:hAnsi="Bahnschrift"/>
            <w:noProof/>
            <w:sz w:val="24"/>
            <w:lang w:eastAsia="en-CA"/>
          </w:rPr>
          <w:tab/>
        </w:r>
        <w:r w:rsidRPr="008D5CBD">
          <w:rPr>
            <w:rStyle w:val="Hyperlink"/>
            <w:rFonts w:ascii="Bahnschrift" w:hAnsi="Bahnschrift"/>
            <w:noProof/>
          </w:rPr>
          <w:t>PRIORITY POPULATIONS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_Toc237957448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52</w:t>
        </w:r>
        <w:r w:rsidRPr="008D5CBD">
          <w:rPr>
            <w:rFonts w:ascii="Bahnschrift" w:hAnsi="Bahnschrift"/>
            <w:noProof/>
            <w:webHidden/>
          </w:rPr>
          <w:fldChar w:fldCharType="end"/>
        </w:r>
      </w:hyperlink>
    </w:p>
    <w:p w14:paraId="6848A7B9" w14:textId="6E919935" w:rsidR="008D5CBD" w:rsidRPr="008D5CBD" w:rsidRDefault="008D5CBD">
      <w:pPr>
        <w:pStyle w:val="TOC2"/>
        <w:rPr>
          <w:rFonts w:ascii="Bahnschrift" w:eastAsiaTheme="minorEastAsia" w:hAnsi="Bahnschrift"/>
          <w:noProof/>
          <w:sz w:val="24"/>
          <w:lang w:eastAsia="en-CA"/>
        </w:rPr>
      </w:pPr>
      <w:hyperlink w:anchor="_Toc237957449" w:history="1">
        <w:r w:rsidRPr="008D5CBD">
          <w:rPr>
            <w:rStyle w:val="Hyperlink"/>
            <w:rFonts w:ascii="Bahnschrift" w:hAnsi="Bahnschrift"/>
            <w:noProof/>
          </w:rPr>
          <w:t>9.4</w:t>
        </w:r>
        <w:r w:rsidRPr="008D5CBD">
          <w:rPr>
            <w:rFonts w:ascii="Bahnschrift" w:eastAsiaTheme="minorEastAsia" w:hAnsi="Bahnschrift"/>
            <w:noProof/>
            <w:sz w:val="24"/>
            <w:lang w:eastAsia="en-CA"/>
          </w:rPr>
          <w:tab/>
        </w:r>
        <w:r w:rsidRPr="008D5CBD">
          <w:rPr>
            <w:rStyle w:val="Hyperlink"/>
            <w:rFonts w:ascii="Bahnschrift" w:hAnsi="Bahnschrift"/>
            <w:noProof/>
          </w:rPr>
          <w:t>HOMELESSNESS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_Toc237957449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55</w:t>
        </w:r>
        <w:r w:rsidRPr="008D5CBD">
          <w:rPr>
            <w:rFonts w:ascii="Bahnschrift" w:hAnsi="Bahnschrift"/>
            <w:noProof/>
            <w:webHidden/>
          </w:rPr>
          <w:fldChar w:fldCharType="end"/>
        </w:r>
      </w:hyperlink>
    </w:p>
    <w:p w14:paraId="4657556C" w14:textId="0186F689" w:rsidR="008D5CBD" w:rsidRPr="008D5CBD" w:rsidRDefault="008D5CBD">
      <w:pPr>
        <w:pStyle w:val="TOC1"/>
        <w:rPr>
          <w:rFonts w:ascii="Bahnschrift" w:eastAsiaTheme="minorEastAsia" w:hAnsi="Bahnschrift"/>
          <w:noProof/>
          <w:sz w:val="24"/>
          <w:lang w:eastAsia="en-CA"/>
        </w:rPr>
      </w:pPr>
      <w:hyperlink w:anchor="_Toc237957450" w:history="1">
        <w:r w:rsidRPr="008D5CBD">
          <w:rPr>
            <w:rStyle w:val="Hyperlink"/>
            <w:rFonts w:ascii="Bahnschrift" w:hAnsi="Bahnschrift"/>
            <w:noProof/>
          </w:rPr>
          <w:t>10</w:t>
        </w:r>
        <w:r w:rsidRPr="008D5CBD">
          <w:rPr>
            <w:rFonts w:ascii="Bahnschrift" w:eastAsiaTheme="minorEastAsia" w:hAnsi="Bahnschrift"/>
            <w:noProof/>
            <w:sz w:val="24"/>
            <w:lang w:eastAsia="en-CA"/>
          </w:rPr>
          <w:tab/>
        </w:r>
        <w:r w:rsidRPr="008D5CBD">
          <w:rPr>
            <w:rStyle w:val="Hyperlink"/>
            <w:rFonts w:ascii="Bahnschrift" w:hAnsi="Bahnschrift"/>
            <w:noProof/>
          </w:rPr>
          <w:t>PROJECTED NEEDS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_Toc237957450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57</w:t>
        </w:r>
        <w:r w:rsidRPr="008D5CBD">
          <w:rPr>
            <w:rFonts w:ascii="Bahnschrift" w:hAnsi="Bahnschrift"/>
            <w:noProof/>
            <w:webHidden/>
          </w:rPr>
          <w:fldChar w:fldCharType="end"/>
        </w:r>
      </w:hyperlink>
    </w:p>
    <w:p w14:paraId="1F74FBAF" w14:textId="44FE7D61" w:rsidR="008D5CBD" w:rsidRPr="008D5CBD" w:rsidRDefault="008D5CBD">
      <w:pPr>
        <w:pStyle w:val="TOC2"/>
        <w:rPr>
          <w:rFonts w:ascii="Bahnschrift" w:eastAsiaTheme="minorEastAsia" w:hAnsi="Bahnschrift"/>
          <w:noProof/>
          <w:sz w:val="24"/>
          <w:lang w:eastAsia="en-CA"/>
        </w:rPr>
      </w:pPr>
      <w:hyperlink w:anchor="_Toc237957451" w:history="1">
        <w:r w:rsidRPr="008D5CBD">
          <w:rPr>
            <w:rStyle w:val="Hyperlink"/>
            <w:rFonts w:ascii="Bahnschrift" w:hAnsi="Bahnschrift"/>
            <w:noProof/>
          </w:rPr>
          <w:t>10.1</w:t>
        </w:r>
        <w:r w:rsidRPr="008D5CBD">
          <w:rPr>
            <w:rFonts w:ascii="Bahnschrift" w:eastAsiaTheme="minorEastAsia" w:hAnsi="Bahnschrift"/>
            <w:noProof/>
            <w:sz w:val="24"/>
            <w:lang w:eastAsia="en-CA"/>
          </w:rPr>
          <w:tab/>
        </w:r>
        <w:r w:rsidRPr="008D5CBD">
          <w:rPr>
            <w:rStyle w:val="Hyperlink"/>
            <w:rFonts w:ascii="Bahnschrift" w:hAnsi="Bahnschrift"/>
            <w:noProof/>
          </w:rPr>
          <w:t>POPULATION PROJECTIONS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_Toc237957451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57</w:t>
        </w:r>
        <w:r w:rsidRPr="008D5CBD">
          <w:rPr>
            <w:rFonts w:ascii="Bahnschrift" w:hAnsi="Bahnschrift"/>
            <w:noProof/>
            <w:webHidden/>
          </w:rPr>
          <w:fldChar w:fldCharType="end"/>
        </w:r>
      </w:hyperlink>
    </w:p>
    <w:p w14:paraId="65E82E2E" w14:textId="568194D1" w:rsidR="008D5CBD" w:rsidRPr="008D5CBD" w:rsidRDefault="008D5CBD">
      <w:pPr>
        <w:pStyle w:val="TOC2"/>
        <w:rPr>
          <w:rFonts w:ascii="Bahnschrift" w:eastAsiaTheme="minorEastAsia" w:hAnsi="Bahnschrift"/>
          <w:noProof/>
          <w:sz w:val="24"/>
          <w:lang w:eastAsia="en-CA"/>
        </w:rPr>
      </w:pPr>
      <w:hyperlink w:anchor="_Toc237957452" w:history="1">
        <w:r w:rsidRPr="008D5CBD">
          <w:rPr>
            <w:rStyle w:val="Hyperlink"/>
            <w:rFonts w:ascii="Bahnschrift" w:hAnsi="Bahnschrift"/>
            <w:noProof/>
          </w:rPr>
          <w:t>10.2</w:t>
        </w:r>
        <w:r w:rsidRPr="008D5CBD">
          <w:rPr>
            <w:rFonts w:ascii="Bahnschrift" w:eastAsiaTheme="minorEastAsia" w:hAnsi="Bahnschrift"/>
            <w:noProof/>
            <w:sz w:val="24"/>
            <w:lang w:eastAsia="en-CA"/>
          </w:rPr>
          <w:tab/>
        </w:r>
        <w:r w:rsidRPr="008D5CBD">
          <w:rPr>
            <w:rStyle w:val="Hyperlink"/>
            <w:rFonts w:ascii="Bahnschrift" w:hAnsi="Bahnschrift"/>
            <w:noProof/>
          </w:rPr>
          <w:t>HOUSING PROJECTIONS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_Toc237957452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59</w:t>
        </w:r>
        <w:r w:rsidRPr="008D5CBD">
          <w:rPr>
            <w:rFonts w:ascii="Bahnschrift" w:hAnsi="Bahnschrift"/>
            <w:noProof/>
            <w:webHidden/>
          </w:rPr>
          <w:fldChar w:fldCharType="end"/>
        </w:r>
      </w:hyperlink>
    </w:p>
    <w:p w14:paraId="1740911A" w14:textId="0BACF777" w:rsidR="008D5CBD" w:rsidRPr="008D5CBD" w:rsidRDefault="008D5CBD">
      <w:pPr>
        <w:pStyle w:val="TOC1"/>
        <w:rPr>
          <w:rFonts w:ascii="Bahnschrift" w:eastAsiaTheme="minorEastAsia" w:hAnsi="Bahnschrift"/>
          <w:noProof/>
          <w:sz w:val="24"/>
          <w:lang w:eastAsia="en-CA"/>
        </w:rPr>
      </w:pPr>
      <w:hyperlink w:anchor="_Toc237957453" w:history="1">
        <w:r w:rsidRPr="008D5CBD">
          <w:rPr>
            <w:rStyle w:val="Hyperlink"/>
            <w:rFonts w:ascii="Bahnschrift" w:hAnsi="Bahnschrift"/>
            <w:noProof/>
          </w:rPr>
          <w:t>11</w:t>
        </w:r>
        <w:r w:rsidRPr="008D5CBD">
          <w:rPr>
            <w:rFonts w:ascii="Bahnschrift" w:eastAsiaTheme="minorEastAsia" w:hAnsi="Bahnschrift"/>
            <w:noProof/>
            <w:sz w:val="24"/>
            <w:lang w:eastAsia="en-CA"/>
          </w:rPr>
          <w:tab/>
        </w:r>
        <w:r w:rsidRPr="008D5CBD">
          <w:rPr>
            <w:rStyle w:val="Hyperlink"/>
            <w:rFonts w:ascii="Bahnschrift" w:hAnsi="Bahnschrift"/>
            <w:noProof/>
          </w:rPr>
          <w:t>GROWTH READINESS</w:t>
        </w:r>
        <w:r w:rsidRPr="008D5CBD">
          <w:rPr>
            <w:rFonts w:ascii="Bahnschrift" w:hAnsi="Bahnschrift"/>
            <w:noProof/>
            <w:webHidden/>
          </w:rPr>
          <w:tab/>
        </w:r>
        <w:r w:rsidRPr="008D5CBD">
          <w:rPr>
            <w:rFonts w:ascii="Bahnschrift" w:hAnsi="Bahnschrift"/>
            <w:noProof/>
            <w:webHidden/>
          </w:rPr>
          <w:fldChar w:fldCharType="begin"/>
        </w:r>
        <w:r w:rsidRPr="008D5CBD">
          <w:rPr>
            <w:rFonts w:ascii="Bahnschrift" w:hAnsi="Bahnschrift"/>
            <w:noProof/>
            <w:webHidden/>
          </w:rPr>
          <w:instrText xml:space="preserve"> PAGEREF _Toc237957453 \h </w:instrText>
        </w:r>
        <w:r w:rsidRPr="008D5CBD">
          <w:rPr>
            <w:rFonts w:ascii="Bahnschrift" w:hAnsi="Bahnschrift"/>
            <w:noProof/>
            <w:webHidden/>
          </w:rPr>
        </w:r>
        <w:r w:rsidRPr="008D5CBD">
          <w:rPr>
            <w:rFonts w:ascii="Bahnschrift" w:hAnsi="Bahnschrift"/>
            <w:noProof/>
            <w:webHidden/>
          </w:rPr>
          <w:fldChar w:fldCharType="separate"/>
        </w:r>
        <w:r w:rsidRPr="008D5CBD">
          <w:rPr>
            <w:rFonts w:ascii="Bahnschrift" w:hAnsi="Bahnschrift"/>
            <w:noProof/>
            <w:webHidden/>
          </w:rPr>
          <w:t>64</w:t>
        </w:r>
        <w:r w:rsidRPr="008D5CBD">
          <w:rPr>
            <w:rFonts w:ascii="Bahnschrift" w:hAnsi="Bahnschrift"/>
            <w:noProof/>
            <w:webHidden/>
          </w:rPr>
          <w:fldChar w:fldCharType="end"/>
        </w:r>
      </w:hyperlink>
    </w:p>
    <w:p w14:paraId="2C741F49" w14:textId="230B45A0" w:rsidR="00FB5AA1" w:rsidRPr="00887119" w:rsidRDefault="00FB5AA1" w:rsidP="00E406CF">
      <w:pPr>
        <w:spacing w:after="80"/>
      </w:pPr>
      <w:r w:rsidRPr="003A2BFF">
        <w:rPr>
          <w:rFonts w:ascii="Bahnschrift" w:hAnsi="Bahnschrift"/>
        </w:rPr>
        <w:fldChar w:fldCharType="end"/>
      </w:r>
    </w:p>
    <w:p w14:paraId="59E947BF" w14:textId="77777777" w:rsidR="00E406CF" w:rsidRPr="00887119" w:rsidRDefault="00E406CF" w:rsidP="00E406CF">
      <w:pPr>
        <w:spacing w:after="80"/>
      </w:pPr>
    </w:p>
    <w:p w14:paraId="14E0CF57" w14:textId="77777777" w:rsidR="00EE6832" w:rsidRPr="00887119" w:rsidRDefault="00EE6832" w:rsidP="00E406CF">
      <w:pPr>
        <w:spacing w:after="80"/>
        <w:sectPr w:rsidR="00EE6832" w:rsidRPr="00887119" w:rsidSect="002B6159">
          <w:pgSz w:w="12240" w:h="15840"/>
          <w:pgMar w:top="1440" w:right="1440" w:bottom="1440" w:left="1440" w:header="708" w:footer="708" w:gutter="0"/>
          <w:pgNumType w:fmt="lowerRoman" w:start="1"/>
          <w:cols w:space="720"/>
          <w:docGrid w:linePitch="360"/>
        </w:sectPr>
      </w:pPr>
    </w:p>
    <w:p w14:paraId="6B4E7B23" w14:textId="111F57EA" w:rsidR="00E406CF" w:rsidRPr="00887119" w:rsidRDefault="00F10F0E" w:rsidP="00842B20">
      <w:pPr>
        <w:pStyle w:val="Heading1"/>
      </w:pPr>
      <w:bookmarkStart w:id="0" w:name="_Toc237957410"/>
      <w:r>
        <w:lastRenderedPageBreak/>
        <w:t>EXECUTIVE SUMMARY</w:t>
      </w:r>
      <w:bookmarkEnd w:id="0"/>
    </w:p>
    <w:p w14:paraId="46B73D6E" w14:textId="77777777" w:rsidR="00E97287" w:rsidRDefault="00E97287" w:rsidP="00E97287"/>
    <w:p w14:paraId="1A0FCAE9" w14:textId="64C87887" w:rsidR="0034212C" w:rsidRDefault="00402288" w:rsidP="0034212C">
      <w:r w:rsidRPr="00402288">
        <w:rPr>
          <w:color w:val="C00000"/>
        </w:rPr>
        <w:t>Prince Edward Island</w:t>
      </w:r>
      <w:r w:rsidR="0034212C">
        <w:t xml:space="preserve"> is a province under meaningful and uneven housing pressure. Its population grew by 13% between 2021 and 2025</w:t>
      </w:r>
      <w:r w:rsidR="00CF3B7E">
        <w:t xml:space="preserve">, </w:t>
      </w:r>
      <w:r w:rsidR="0034212C">
        <w:t>among the fastest rates in Canada</w:t>
      </w:r>
      <w:r w:rsidR="00CF3B7E">
        <w:t>. Growth was</w:t>
      </w:r>
      <w:r w:rsidR="0034212C">
        <w:t xml:space="preserve"> driven primarily by international in-migration concentrated in urban and small urban communities. That growth has outpaced housing supply across </w:t>
      </w:r>
      <w:r w:rsidR="00CF3B7E">
        <w:t xml:space="preserve">most </w:t>
      </w:r>
      <w:r w:rsidR="0034212C">
        <w:t>market segment</w:t>
      </w:r>
      <w:r w:rsidR="00CF3B7E">
        <w:t>s</w:t>
      </w:r>
      <w:r w:rsidR="0034212C">
        <w:t>, producing persistently low vacancy rates, rapidly rising rents and ownership prices, and a widening gap between what households earn and what housing costs. At the same time, rural communities face a distinct set of challenges: an aging population, an older and deteriorating housing stock, limited rental supply, and lower household incomes that</w:t>
      </w:r>
      <w:r w:rsidR="009B1F8C">
        <w:t xml:space="preserve"> decrease abilities</w:t>
      </w:r>
      <w:r w:rsidR="0034212C">
        <w:t xml:space="preserve"> to absorb </w:t>
      </w:r>
      <w:r w:rsidR="009B1F8C">
        <w:t xml:space="preserve">rising </w:t>
      </w:r>
      <w:r w:rsidR="0034212C">
        <w:t>maintenance or rent</w:t>
      </w:r>
      <w:r w:rsidR="009B1F8C">
        <w:t xml:space="preserve"> costs</w:t>
      </w:r>
      <w:r w:rsidR="0034212C">
        <w:t>.</w:t>
      </w:r>
    </w:p>
    <w:p w14:paraId="0F878AEF" w14:textId="77777777" w:rsidR="0080318E" w:rsidRPr="00887119" w:rsidRDefault="0080318E" w:rsidP="0034212C"/>
    <w:p w14:paraId="6AE81D44" w14:textId="1A5A09A4" w:rsidR="0034212C" w:rsidRDefault="0034212C" w:rsidP="0034212C">
      <w:r>
        <w:t xml:space="preserve">This assessment synthesizes evidence across demographics, economics, housing supply, rental and ownership markets, non-market housing, core housing need, and projected demand. Its central finding is that housing need in </w:t>
      </w:r>
      <w:r w:rsidR="00402288" w:rsidRPr="00402288">
        <w:rPr>
          <w:color w:val="C00000"/>
        </w:rPr>
        <w:t>PEI</w:t>
      </w:r>
      <w:r>
        <w:t xml:space="preserve"> is both widespread and geographically differentiated: the drivers, populations affected, and most effective interventions differ substantially between urban centres and rural communities. Responses designed for one context are unlikely to be well-suited to the other.</w:t>
      </w:r>
    </w:p>
    <w:p w14:paraId="6A41F25C" w14:textId="77777777" w:rsidR="00273B93" w:rsidRPr="00887119" w:rsidRDefault="00273B93" w:rsidP="0034212C"/>
    <w:p w14:paraId="65B7A4A0" w14:textId="77777777" w:rsidR="0034212C" w:rsidRDefault="0034212C" w:rsidP="0034212C">
      <w:pPr>
        <w:pStyle w:val="Heading2"/>
      </w:pPr>
      <w:bookmarkStart w:id="1" w:name="_Toc237957411"/>
      <w:r>
        <w:t>Key Findings</w:t>
      </w:r>
      <w:bookmarkEnd w:id="1"/>
    </w:p>
    <w:p w14:paraId="51336FC1" w14:textId="77777777" w:rsidR="0034212C" w:rsidRPr="0007040A" w:rsidRDefault="0034212C" w:rsidP="0007040A">
      <w:pPr>
        <w:rPr>
          <w:b/>
          <w:bCs/>
        </w:rPr>
      </w:pPr>
      <w:r w:rsidRPr="0007040A">
        <w:rPr>
          <w:b/>
          <w:bCs/>
        </w:rPr>
        <w:t>Affordability is the dominant and worsening challenge</w:t>
      </w:r>
    </w:p>
    <w:p w14:paraId="3D5332F4" w14:textId="5AF6C12A" w:rsidR="0034212C" w:rsidRDefault="0034212C" w:rsidP="0034212C">
      <w:r>
        <w:t>Provincially, 15.5% of all households live in unaffordable dwellings (spending more than 30% of income on shelter), rising to 30.2% among renter households. Urban areas are the most affected, with 21.5% of households in unaffordable housing and vacancy rates that have remained low as population growth has outpaced new rental supply. Average primary market rents have increased faster than wages in recent years, compounding the affordability deficit for lower-income renters with each passing year. Average sale prices rose 40% in urban areas between 2020 and 2025, pricing a growing share of moderate-income households out of ownership and sustaining elevated rental demand that the market cannot readily absorb.</w:t>
      </w:r>
    </w:p>
    <w:p w14:paraId="6E7EB51D" w14:textId="77777777" w:rsidR="0007040A" w:rsidRDefault="0007040A" w:rsidP="0034212C"/>
    <w:p w14:paraId="3BD68D70" w14:textId="77777777" w:rsidR="0034212C" w:rsidRPr="0007040A" w:rsidRDefault="0034212C" w:rsidP="0007040A">
      <w:pPr>
        <w:rPr>
          <w:b/>
          <w:bCs/>
        </w:rPr>
      </w:pPr>
      <w:r w:rsidRPr="0007040A">
        <w:rPr>
          <w:b/>
          <w:bCs/>
        </w:rPr>
        <w:t>Core housing need is concentrated among renters, single-person households, and low-income populations</w:t>
      </w:r>
    </w:p>
    <w:p w14:paraId="30FCD083" w14:textId="36253310" w:rsidR="0034212C" w:rsidRDefault="0034212C" w:rsidP="0034212C">
      <w:r>
        <w:t>Provincially, 7.0% of households are in core housing need</w:t>
      </w:r>
      <w:r w:rsidR="0007040A">
        <w:t>,</w:t>
      </w:r>
      <w:r>
        <w:t xml:space="preserve"> but renter households experience core need at nearly four times the rate of owner households (14.1% versus 3.8%). Of the 4,365 households in core need, 86% fall in the very low- or low-income categories, and the majority are single-person households: a group whose median incomes in urban areas ($33,300) and rural remote areas ($28,000) are insufficient to afford average market rents without spending well above the 30% threshold. The 610 moderate-income households in core housing need signal that affordability pressure has extended beyond the lowest income brackets, reaching households that would ordinarily be expected to find adequate housing without public support.</w:t>
      </w:r>
    </w:p>
    <w:p w14:paraId="32232522" w14:textId="77777777" w:rsidR="00D464B1" w:rsidRDefault="00D464B1" w:rsidP="0034212C"/>
    <w:p w14:paraId="6DD80EB9" w14:textId="77777777" w:rsidR="0034212C" w:rsidRPr="00D464B1" w:rsidRDefault="0034212C" w:rsidP="00D464B1">
      <w:pPr>
        <w:rPr>
          <w:b/>
          <w:bCs/>
        </w:rPr>
      </w:pPr>
      <w:r w:rsidRPr="00D464B1">
        <w:rPr>
          <w:b/>
          <w:bCs/>
        </w:rPr>
        <w:t>Rural adequacy need is structurally distinct from urban affordability need</w:t>
      </w:r>
    </w:p>
    <w:p w14:paraId="14B9C6F2" w14:textId="48F5B181" w:rsidR="0034212C" w:rsidRDefault="0034212C" w:rsidP="0034212C">
      <w:r>
        <w:lastRenderedPageBreak/>
        <w:t>While urban need is driven predominantly by affordability, rural need is shaped more by adequacy</w:t>
      </w:r>
      <w:r w:rsidR="00D464B1">
        <w:t xml:space="preserve"> (i.e., </w:t>
      </w:r>
      <w:r>
        <w:t>the condition of the existing housing stock</w:t>
      </w:r>
      <w:r w:rsidR="00D464B1">
        <w:t>)</w:t>
      </w:r>
      <w:r>
        <w:t>. Rural remote areas have the oldest housing profile in the province, with 59% of dwellings built before 1981</w:t>
      </w:r>
      <w:r w:rsidR="00D464B1">
        <w:t xml:space="preserve">. This represents </w:t>
      </w:r>
      <w:r>
        <w:t xml:space="preserve">a stock </w:t>
      </w:r>
      <w:r w:rsidR="00FC21A9">
        <w:t xml:space="preserve">that is </w:t>
      </w:r>
      <w:r>
        <w:t xml:space="preserve">disproportionately likely to require major repair. </w:t>
      </w:r>
      <w:r w:rsidR="002A7E2F">
        <w:t>About 8.0% of rural remote area dwellings are considered</w:t>
      </w:r>
      <w:r w:rsidR="00133374">
        <w:t xml:space="preserve"> in inadequate condition. This is comparable to small urban areas</w:t>
      </w:r>
      <w:r>
        <w:t xml:space="preserve"> (7.5%), but the </w:t>
      </w:r>
      <w:r w:rsidR="00133374">
        <w:t xml:space="preserve">rural </w:t>
      </w:r>
      <w:r>
        <w:t xml:space="preserve">population facing this challenge has fewer resources to address it. With a near-complete absence of purpose-built rental supply or non-market alternatives, lower-income rural homeowners and renters alike have limited </w:t>
      </w:r>
      <w:r w:rsidR="00FB543A">
        <w:t>alternatives</w:t>
      </w:r>
      <w:r>
        <w:t xml:space="preserve"> when housing conditions deteriorate. On-reserve communities face the most severe adequacy challenges in the province, with 30.8% of dwellings </w:t>
      </w:r>
      <w:r w:rsidR="00FB543A">
        <w:t xml:space="preserve">considered </w:t>
      </w:r>
      <w:r>
        <w:t>inadequate and 10.3% unsuitable</w:t>
      </w:r>
      <w:r w:rsidR="00FB543A">
        <w:t xml:space="preserve"> (i.e., overcrowded)</w:t>
      </w:r>
      <w:r>
        <w:t>.</w:t>
      </w:r>
    </w:p>
    <w:p w14:paraId="5C7B193F" w14:textId="77777777" w:rsidR="00963416" w:rsidRDefault="00963416" w:rsidP="0034212C"/>
    <w:p w14:paraId="3611EF95" w14:textId="77777777" w:rsidR="0034212C" w:rsidRPr="00963416" w:rsidRDefault="0034212C" w:rsidP="00963416">
      <w:pPr>
        <w:rPr>
          <w:b/>
          <w:bCs/>
        </w:rPr>
      </w:pPr>
      <w:r w:rsidRPr="00963416">
        <w:rPr>
          <w:b/>
          <w:bCs/>
        </w:rPr>
        <w:t>The housing supply gap is substantial and growing</w:t>
      </w:r>
    </w:p>
    <w:p w14:paraId="6920ED69" w14:textId="3E4AAE15" w:rsidR="0034212C" w:rsidRDefault="0034212C" w:rsidP="0034212C">
      <w:r>
        <w:t xml:space="preserve">The estimated 2025 provincial housing shortage stands at 22,200 units. Net new demand to 2035 adds a further 15,080 units, bringing total anticipated need over the projection horizon to 37,280 units. Rural urban-adjacent (8,835 units) and urban (6,875 units) areas account for the largest existing deficits. Small urban communities, projected to grow the fastest of any geographic category (+15% to 2035), face a supply pipeline that may be </w:t>
      </w:r>
      <w:r w:rsidR="00961525">
        <w:t>insufficient</w:t>
      </w:r>
      <w:r>
        <w:t xml:space="preserve"> to absorb that growth. Provincially, approximately 29% of projected demand </w:t>
      </w:r>
      <w:r w:rsidR="005725CE">
        <w:t>(</w:t>
      </w:r>
      <w:r>
        <w:t>representing roughly 11,000 units</w:t>
      </w:r>
      <w:r w:rsidR="005725CE">
        <w:t>)</w:t>
      </w:r>
      <w:r>
        <w:t xml:space="preserve"> is expected at below-market or deeply affordable price </w:t>
      </w:r>
      <w:r w:rsidR="005725CE">
        <w:t>.</w:t>
      </w:r>
    </w:p>
    <w:p w14:paraId="7464176D" w14:textId="77777777" w:rsidR="005725CE" w:rsidRDefault="005725CE" w:rsidP="0034212C"/>
    <w:p w14:paraId="2F40BD85" w14:textId="77777777" w:rsidR="0034212C" w:rsidRPr="005725CE" w:rsidRDefault="0034212C" w:rsidP="005725CE">
      <w:pPr>
        <w:rPr>
          <w:b/>
          <w:bCs/>
        </w:rPr>
      </w:pPr>
      <w:r w:rsidRPr="005725CE">
        <w:rPr>
          <w:b/>
          <w:bCs/>
        </w:rPr>
        <w:t>Vulnerable populations face compounded barriers</w:t>
      </w:r>
    </w:p>
    <w:p w14:paraId="61B37221" w14:textId="7898DA68" w:rsidR="0034212C" w:rsidRDefault="0034212C" w:rsidP="0034212C">
      <w:r>
        <w:t>Housing need is not evenly distributed across the population. Households in poverty face core housing need rates exceeding 50% across all geographic categories. Refugees (15.2%), non-permanent residents (11.3%), and lone-parent households (11.1%) face elevated need rates. Indigenous households are overrepresented both in core housing need (9.0% provincially) and in homelessness: 12.9% of individuals experiencing homelessness are Indigenous despite representing 2.2% of the provincial population. Stakeholder engagement consistently identified a shortage of supportive and transitional housing as a structural gap, particularly outside of urban centres, where the non-market housing continuum is effectively absent.</w:t>
      </w:r>
    </w:p>
    <w:p w14:paraId="5E9A0378" w14:textId="77777777" w:rsidR="00301FAD" w:rsidRDefault="00301FAD" w:rsidP="0034212C"/>
    <w:p w14:paraId="3C2E3B86" w14:textId="77777777" w:rsidR="0034212C" w:rsidRPr="00301FAD" w:rsidRDefault="0034212C" w:rsidP="00301FAD">
      <w:pPr>
        <w:rPr>
          <w:b/>
          <w:bCs/>
        </w:rPr>
      </w:pPr>
      <w:r w:rsidRPr="00301FAD">
        <w:rPr>
          <w:b/>
          <w:bCs/>
        </w:rPr>
        <w:t>Homelessness is acute, chronic, and geographically concentrated</w:t>
      </w:r>
    </w:p>
    <w:p w14:paraId="54AE4DDC" w14:textId="60B0644D" w:rsidR="0034212C" w:rsidRDefault="0034212C" w:rsidP="0034212C">
      <w:r>
        <w:t xml:space="preserve">As of February 2026, 210 individuals were experiencing homelessness across </w:t>
      </w:r>
      <w:r w:rsidR="00402288" w:rsidRPr="00402288">
        <w:rPr>
          <w:color w:val="C00000"/>
        </w:rPr>
        <w:t>PEI</w:t>
      </w:r>
      <w:r>
        <w:t>, of whom nearly half (49.5%) were experiencing chronic homelessness. The geographic distribution reflects the concentration of shelter infrastructure in Charlottetown: 65.2% of those experiencing homelessness are located in Queens County. However, rural homelessness is likely substantially undercounted due to the absence of shelter capacity outside urban areas, which compels individuals to travel to access services. A coordinated approach has housed 72 individuals cumulatively</w:t>
      </w:r>
      <w:r w:rsidR="009F42FB">
        <w:t xml:space="preserve"> (as of February 2026)</w:t>
      </w:r>
      <w:r>
        <w:t>, demonstrating that exits from homelessness are achievable</w:t>
      </w:r>
      <w:r w:rsidR="009F42FB">
        <w:t xml:space="preserve">. However, </w:t>
      </w:r>
      <w:r>
        <w:t>the high chronic rate suggests that new entries continue to outpace stable housing placements, pointing to a persistent gap in transitional and permanent supportive housing supply.</w:t>
      </w:r>
    </w:p>
    <w:p w14:paraId="3DEDC405" w14:textId="77777777" w:rsidR="0034212C" w:rsidRDefault="0034212C" w:rsidP="0034212C">
      <w:pPr>
        <w:pStyle w:val="Heading2"/>
      </w:pPr>
      <w:bookmarkStart w:id="2" w:name="_Toc237957412"/>
      <w:r>
        <w:lastRenderedPageBreak/>
        <w:t>Priority Challenges by Geographic Category</w:t>
      </w:r>
      <w:bookmarkEnd w:id="2"/>
    </w:p>
    <w:p w14:paraId="6585B826" w14:textId="51BEDBBA" w:rsidR="0034212C" w:rsidRDefault="0034212C" w:rsidP="0034212C">
      <w:r>
        <w:t xml:space="preserve">While the themes above apply broadly across </w:t>
      </w:r>
      <w:r w:rsidR="00402288" w:rsidRPr="00402288">
        <w:rPr>
          <w:color w:val="C00000"/>
        </w:rPr>
        <w:t>PEI</w:t>
      </w:r>
      <w:r>
        <w:t xml:space="preserve">, the nature, scale, and policy implications of housing need differ </w:t>
      </w:r>
      <w:r w:rsidR="005F783B">
        <w:t>considerably</w:t>
      </w:r>
      <w:r>
        <w:t xml:space="preserve"> across geographic contexts. The table below summarizes priority challenges and the most relevant intervention types for each geographic category.</w:t>
      </w:r>
    </w:p>
    <w:p w14:paraId="55F67CD2" w14:textId="77777777" w:rsidR="0034212C" w:rsidRDefault="0034212C" w:rsidP="0034212C"/>
    <w:tbl>
      <w:tblPr>
        <w:tblStyle w:val="TableGrid"/>
        <w:tblW w:w="9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0" w:type="dxa"/>
          <w:left w:w="120" w:type="dxa"/>
          <w:bottom w:w="80" w:type="dxa"/>
          <w:right w:w="120" w:type="dxa"/>
        </w:tblCellMar>
        <w:tblLook w:val="04A0" w:firstRow="1" w:lastRow="0" w:firstColumn="1" w:lastColumn="0" w:noHBand="0" w:noVBand="1"/>
      </w:tblPr>
      <w:tblGrid>
        <w:gridCol w:w="1560"/>
        <w:gridCol w:w="1560"/>
        <w:gridCol w:w="1560"/>
        <w:gridCol w:w="2340"/>
        <w:gridCol w:w="2340"/>
      </w:tblGrid>
      <w:tr w:rsidR="0034212C" w:rsidRPr="009F42FB" w14:paraId="111A5776" w14:textId="77777777" w:rsidTr="009F42FB">
        <w:trPr>
          <w:tblHeader/>
        </w:trPr>
        <w:tc>
          <w:tcPr>
            <w:tcW w:w="1560" w:type="dxa"/>
            <w:shd w:val="clear" w:color="auto" w:fill="42618C" w:themeFill="accent3"/>
            <w:vAlign w:val="center"/>
          </w:tcPr>
          <w:p w14:paraId="6C1F5728" w14:textId="77777777" w:rsidR="0034212C" w:rsidRPr="009F42FB" w:rsidRDefault="0034212C" w:rsidP="009F42FB">
            <w:pPr>
              <w:jc w:val="left"/>
              <w:rPr>
                <w:bCs/>
                <w:color w:val="FFFFFF"/>
                <w:sz w:val="18"/>
              </w:rPr>
            </w:pPr>
            <w:r w:rsidRPr="009F42FB">
              <w:rPr>
                <w:bCs/>
                <w:color w:val="FFFFFF"/>
                <w:sz w:val="18"/>
              </w:rPr>
              <w:t>Geography</w:t>
            </w:r>
          </w:p>
        </w:tc>
        <w:tc>
          <w:tcPr>
            <w:tcW w:w="1560" w:type="dxa"/>
            <w:shd w:val="clear" w:color="auto" w:fill="42618C" w:themeFill="accent3"/>
            <w:vAlign w:val="center"/>
          </w:tcPr>
          <w:p w14:paraId="095F95B1" w14:textId="77777777" w:rsidR="0034212C" w:rsidRPr="009F42FB" w:rsidRDefault="0034212C" w:rsidP="009F42FB">
            <w:pPr>
              <w:jc w:val="left"/>
              <w:rPr>
                <w:bCs/>
                <w:color w:val="FFFFFF"/>
                <w:sz w:val="18"/>
              </w:rPr>
            </w:pPr>
            <w:r w:rsidRPr="009F42FB">
              <w:rPr>
                <w:bCs/>
                <w:color w:val="FFFFFF"/>
                <w:sz w:val="18"/>
              </w:rPr>
              <w:t>Dominant need type</w:t>
            </w:r>
          </w:p>
        </w:tc>
        <w:tc>
          <w:tcPr>
            <w:tcW w:w="1560" w:type="dxa"/>
            <w:shd w:val="clear" w:color="auto" w:fill="42618C" w:themeFill="accent3"/>
            <w:vAlign w:val="center"/>
          </w:tcPr>
          <w:p w14:paraId="32FE5A07" w14:textId="77777777" w:rsidR="0034212C" w:rsidRPr="009F42FB" w:rsidRDefault="0034212C" w:rsidP="009F42FB">
            <w:pPr>
              <w:jc w:val="left"/>
              <w:rPr>
                <w:bCs/>
                <w:color w:val="FFFFFF"/>
                <w:sz w:val="18"/>
              </w:rPr>
            </w:pPr>
            <w:r w:rsidRPr="009F42FB">
              <w:rPr>
                <w:bCs/>
                <w:color w:val="FFFFFF"/>
                <w:sz w:val="18"/>
              </w:rPr>
              <w:t>Core housing need rate</w:t>
            </w:r>
          </w:p>
        </w:tc>
        <w:tc>
          <w:tcPr>
            <w:tcW w:w="2340" w:type="dxa"/>
            <w:shd w:val="clear" w:color="auto" w:fill="42618C" w:themeFill="accent3"/>
            <w:vAlign w:val="center"/>
          </w:tcPr>
          <w:p w14:paraId="62D09742" w14:textId="77777777" w:rsidR="0034212C" w:rsidRPr="009F42FB" w:rsidRDefault="0034212C" w:rsidP="009F42FB">
            <w:pPr>
              <w:jc w:val="left"/>
              <w:rPr>
                <w:bCs/>
                <w:color w:val="FFFFFF"/>
                <w:sz w:val="18"/>
              </w:rPr>
            </w:pPr>
            <w:r w:rsidRPr="009F42FB">
              <w:rPr>
                <w:bCs/>
                <w:color w:val="FFFFFF"/>
                <w:sz w:val="18"/>
              </w:rPr>
              <w:t>Priority populations</w:t>
            </w:r>
          </w:p>
        </w:tc>
        <w:tc>
          <w:tcPr>
            <w:tcW w:w="2340" w:type="dxa"/>
            <w:shd w:val="clear" w:color="auto" w:fill="42618C" w:themeFill="accent3"/>
            <w:vAlign w:val="center"/>
          </w:tcPr>
          <w:p w14:paraId="77479B36" w14:textId="77777777" w:rsidR="0034212C" w:rsidRPr="009F42FB" w:rsidRDefault="0034212C" w:rsidP="009F42FB">
            <w:pPr>
              <w:jc w:val="left"/>
              <w:rPr>
                <w:bCs/>
                <w:color w:val="FFFFFF"/>
                <w:sz w:val="18"/>
              </w:rPr>
            </w:pPr>
            <w:r w:rsidRPr="009F42FB">
              <w:rPr>
                <w:bCs/>
                <w:color w:val="FFFFFF"/>
                <w:sz w:val="18"/>
              </w:rPr>
              <w:t>Priority intervention areas</w:t>
            </w:r>
          </w:p>
        </w:tc>
      </w:tr>
      <w:tr w:rsidR="0034212C" w:rsidRPr="009F42FB" w14:paraId="0F3A58E8" w14:textId="77777777" w:rsidTr="009F42FB">
        <w:tc>
          <w:tcPr>
            <w:tcW w:w="1560" w:type="dxa"/>
            <w:shd w:val="clear" w:color="auto" w:fill="F2F2F2" w:themeFill="background1" w:themeFillShade="F2"/>
            <w:vAlign w:val="center"/>
          </w:tcPr>
          <w:p w14:paraId="3A9A12A0" w14:textId="77777777" w:rsidR="0034212C" w:rsidRPr="009F42FB" w:rsidRDefault="0034212C" w:rsidP="009F42FB">
            <w:pPr>
              <w:jc w:val="left"/>
              <w:rPr>
                <w:bCs/>
                <w:sz w:val="18"/>
              </w:rPr>
            </w:pPr>
            <w:r w:rsidRPr="009F42FB">
              <w:rPr>
                <w:bCs/>
                <w:sz w:val="18"/>
              </w:rPr>
              <w:t>Urban</w:t>
            </w:r>
          </w:p>
        </w:tc>
        <w:tc>
          <w:tcPr>
            <w:tcW w:w="1560" w:type="dxa"/>
            <w:shd w:val="clear" w:color="auto" w:fill="F2F2F2" w:themeFill="background1" w:themeFillShade="F2"/>
            <w:vAlign w:val="center"/>
          </w:tcPr>
          <w:p w14:paraId="43C945EA" w14:textId="77777777" w:rsidR="0034212C" w:rsidRPr="00402288" w:rsidRDefault="0034212C" w:rsidP="009F42FB">
            <w:pPr>
              <w:jc w:val="left"/>
              <w:rPr>
                <w:bCs/>
                <w:color w:val="C00000"/>
                <w:sz w:val="18"/>
              </w:rPr>
            </w:pPr>
            <w:r w:rsidRPr="00402288">
              <w:rPr>
                <w:bCs/>
                <w:color w:val="C00000"/>
                <w:sz w:val="18"/>
              </w:rPr>
              <w:t>Affordability</w:t>
            </w:r>
          </w:p>
        </w:tc>
        <w:tc>
          <w:tcPr>
            <w:tcW w:w="1560" w:type="dxa"/>
            <w:shd w:val="clear" w:color="auto" w:fill="F2F2F2" w:themeFill="background1" w:themeFillShade="F2"/>
            <w:vAlign w:val="center"/>
          </w:tcPr>
          <w:p w14:paraId="1B8BE7EB" w14:textId="77777777" w:rsidR="0034212C" w:rsidRPr="00402288" w:rsidRDefault="0034212C" w:rsidP="009F42FB">
            <w:pPr>
              <w:jc w:val="left"/>
              <w:rPr>
                <w:bCs/>
                <w:color w:val="C00000"/>
                <w:sz w:val="18"/>
              </w:rPr>
            </w:pPr>
            <w:r w:rsidRPr="00402288">
              <w:rPr>
                <w:bCs/>
                <w:color w:val="C00000"/>
                <w:sz w:val="18"/>
              </w:rPr>
              <w:t>7.7%</w:t>
            </w:r>
          </w:p>
        </w:tc>
        <w:tc>
          <w:tcPr>
            <w:tcW w:w="2340" w:type="dxa"/>
            <w:shd w:val="clear" w:color="auto" w:fill="F2F2F2" w:themeFill="background1" w:themeFillShade="F2"/>
            <w:vAlign w:val="center"/>
          </w:tcPr>
          <w:p w14:paraId="614CE7E7" w14:textId="77777777" w:rsidR="0034212C" w:rsidRPr="00402288" w:rsidRDefault="0034212C" w:rsidP="009F42FB">
            <w:pPr>
              <w:jc w:val="left"/>
              <w:rPr>
                <w:bCs/>
                <w:color w:val="C00000"/>
                <w:sz w:val="18"/>
              </w:rPr>
            </w:pPr>
            <w:r w:rsidRPr="00402288">
              <w:rPr>
                <w:bCs/>
                <w:color w:val="C00000"/>
                <w:sz w:val="18"/>
              </w:rPr>
              <w:t>Low-income renters; newcomers and non-permanent residents; refugees; single-person households; lone parents; persons experiencing homelessness</w:t>
            </w:r>
          </w:p>
        </w:tc>
        <w:tc>
          <w:tcPr>
            <w:tcW w:w="2340" w:type="dxa"/>
            <w:shd w:val="clear" w:color="auto" w:fill="F2F2F2" w:themeFill="background1" w:themeFillShade="F2"/>
            <w:vAlign w:val="center"/>
          </w:tcPr>
          <w:p w14:paraId="5E697856" w14:textId="77777777" w:rsidR="0034212C" w:rsidRPr="00402288" w:rsidRDefault="0034212C" w:rsidP="009F42FB">
            <w:pPr>
              <w:jc w:val="left"/>
              <w:rPr>
                <w:bCs/>
                <w:color w:val="C00000"/>
                <w:sz w:val="18"/>
              </w:rPr>
            </w:pPr>
            <w:r w:rsidRPr="00402288">
              <w:rPr>
                <w:bCs/>
                <w:color w:val="C00000"/>
                <w:sz w:val="18"/>
              </w:rPr>
              <w:t>Deeply affordable and below-market rental supply; supportive and transitional housing; settlement supports; studio and 1-bedroom unit supply</w:t>
            </w:r>
          </w:p>
        </w:tc>
      </w:tr>
      <w:tr w:rsidR="0034212C" w:rsidRPr="009F42FB" w14:paraId="02B76EFE" w14:textId="77777777" w:rsidTr="009F42FB">
        <w:tc>
          <w:tcPr>
            <w:tcW w:w="1560" w:type="dxa"/>
            <w:shd w:val="clear" w:color="auto" w:fill="FFFFFF" w:themeFill="background1"/>
            <w:vAlign w:val="center"/>
          </w:tcPr>
          <w:p w14:paraId="4C7171B4" w14:textId="77777777" w:rsidR="0034212C" w:rsidRPr="009F42FB" w:rsidRDefault="0034212C" w:rsidP="009F42FB">
            <w:pPr>
              <w:jc w:val="left"/>
              <w:rPr>
                <w:bCs/>
                <w:sz w:val="18"/>
              </w:rPr>
            </w:pPr>
            <w:r w:rsidRPr="009F42FB">
              <w:rPr>
                <w:bCs/>
                <w:sz w:val="18"/>
              </w:rPr>
              <w:t>Small urban</w:t>
            </w:r>
          </w:p>
        </w:tc>
        <w:tc>
          <w:tcPr>
            <w:tcW w:w="1560" w:type="dxa"/>
            <w:shd w:val="clear" w:color="auto" w:fill="FFFFFF" w:themeFill="background1"/>
            <w:vAlign w:val="center"/>
          </w:tcPr>
          <w:p w14:paraId="3723F3C9" w14:textId="77777777" w:rsidR="0034212C" w:rsidRPr="00402288" w:rsidRDefault="0034212C" w:rsidP="009F42FB">
            <w:pPr>
              <w:jc w:val="left"/>
              <w:rPr>
                <w:bCs/>
                <w:color w:val="C00000"/>
                <w:sz w:val="18"/>
              </w:rPr>
            </w:pPr>
            <w:r w:rsidRPr="00402288">
              <w:rPr>
                <w:bCs/>
                <w:color w:val="C00000"/>
                <w:sz w:val="18"/>
              </w:rPr>
              <w:t>Affordability and adequacy</w:t>
            </w:r>
          </w:p>
        </w:tc>
        <w:tc>
          <w:tcPr>
            <w:tcW w:w="1560" w:type="dxa"/>
            <w:shd w:val="clear" w:color="auto" w:fill="FFFFFF" w:themeFill="background1"/>
            <w:vAlign w:val="center"/>
          </w:tcPr>
          <w:p w14:paraId="794C4759" w14:textId="77777777" w:rsidR="0034212C" w:rsidRPr="00402288" w:rsidRDefault="0034212C" w:rsidP="009F42FB">
            <w:pPr>
              <w:jc w:val="left"/>
              <w:rPr>
                <w:bCs/>
                <w:color w:val="C00000"/>
                <w:sz w:val="18"/>
              </w:rPr>
            </w:pPr>
            <w:r w:rsidRPr="00402288">
              <w:rPr>
                <w:bCs/>
                <w:color w:val="C00000"/>
                <w:sz w:val="18"/>
              </w:rPr>
              <w:t>10.0% (highest of any category)</w:t>
            </w:r>
          </w:p>
        </w:tc>
        <w:tc>
          <w:tcPr>
            <w:tcW w:w="2340" w:type="dxa"/>
            <w:shd w:val="clear" w:color="auto" w:fill="FFFFFF" w:themeFill="background1"/>
            <w:vAlign w:val="center"/>
          </w:tcPr>
          <w:p w14:paraId="7E5A1FA8" w14:textId="77777777" w:rsidR="0034212C" w:rsidRPr="00402288" w:rsidRDefault="0034212C" w:rsidP="009F42FB">
            <w:pPr>
              <w:jc w:val="left"/>
              <w:rPr>
                <w:bCs/>
                <w:color w:val="C00000"/>
                <w:sz w:val="18"/>
              </w:rPr>
            </w:pPr>
            <w:r w:rsidRPr="00402288">
              <w:rPr>
                <w:bCs/>
                <w:color w:val="C00000"/>
                <w:sz w:val="18"/>
              </w:rPr>
              <w:t>Single-person households; seniors; lone parents; low-income renters; households with disabilities</w:t>
            </w:r>
          </w:p>
        </w:tc>
        <w:tc>
          <w:tcPr>
            <w:tcW w:w="2340" w:type="dxa"/>
            <w:shd w:val="clear" w:color="auto" w:fill="FFFFFF" w:themeFill="background1"/>
            <w:vAlign w:val="center"/>
          </w:tcPr>
          <w:p w14:paraId="627D79D3" w14:textId="77777777" w:rsidR="0034212C" w:rsidRPr="00402288" w:rsidRDefault="0034212C" w:rsidP="009F42FB">
            <w:pPr>
              <w:jc w:val="left"/>
              <w:rPr>
                <w:bCs/>
                <w:color w:val="C00000"/>
                <w:sz w:val="18"/>
              </w:rPr>
            </w:pPr>
            <w:r w:rsidRPr="00402288">
              <w:rPr>
                <w:bCs/>
                <w:color w:val="C00000"/>
                <w:sz w:val="18"/>
              </w:rPr>
              <w:t>Rental supply across all unit sizes; affordable supply pipeline expansion to keep pace with projected growth; repair and accessibility supports</w:t>
            </w:r>
          </w:p>
        </w:tc>
      </w:tr>
      <w:tr w:rsidR="0034212C" w:rsidRPr="009F42FB" w14:paraId="554C4AF6" w14:textId="77777777" w:rsidTr="009F42FB">
        <w:tc>
          <w:tcPr>
            <w:tcW w:w="1560" w:type="dxa"/>
            <w:shd w:val="clear" w:color="auto" w:fill="F2F2F2" w:themeFill="background1" w:themeFillShade="F2"/>
            <w:vAlign w:val="center"/>
          </w:tcPr>
          <w:p w14:paraId="5229C9DC" w14:textId="77777777" w:rsidR="0034212C" w:rsidRPr="009F42FB" w:rsidRDefault="0034212C" w:rsidP="009F42FB">
            <w:pPr>
              <w:jc w:val="left"/>
              <w:rPr>
                <w:bCs/>
                <w:sz w:val="18"/>
              </w:rPr>
            </w:pPr>
            <w:r w:rsidRPr="009F42FB">
              <w:rPr>
                <w:bCs/>
                <w:sz w:val="18"/>
              </w:rPr>
              <w:t>Rural (urban adjacent)</w:t>
            </w:r>
          </w:p>
        </w:tc>
        <w:tc>
          <w:tcPr>
            <w:tcW w:w="1560" w:type="dxa"/>
            <w:shd w:val="clear" w:color="auto" w:fill="F2F2F2" w:themeFill="background1" w:themeFillShade="F2"/>
            <w:vAlign w:val="center"/>
          </w:tcPr>
          <w:p w14:paraId="2831D09F" w14:textId="77777777" w:rsidR="0034212C" w:rsidRPr="00402288" w:rsidRDefault="0034212C" w:rsidP="009F42FB">
            <w:pPr>
              <w:jc w:val="left"/>
              <w:rPr>
                <w:bCs/>
                <w:color w:val="C00000"/>
                <w:sz w:val="18"/>
              </w:rPr>
            </w:pPr>
            <w:r w:rsidRPr="00402288">
              <w:rPr>
                <w:bCs/>
                <w:color w:val="C00000"/>
                <w:sz w:val="18"/>
              </w:rPr>
              <w:t>Supply shortage and adequacy</w:t>
            </w:r>
          </w:p>
        </w:tc>
        <w:tc>
          <w:tcPr>
            <w:tcW w:w="1560" w:type="dxa"/>
            <w:shd w:val="clear" w:color="auto" w:fill="F2F2F2" w:themeFill="background1" w:themeFillShade="F2"/>
            <w:vAlign w:val="center"/>
          </w:tcPr>
          <w:p w14:paraId="1A1D2A1F" w14:textId="77777777" w:rsidR="0034212C" w:rsidRPr="00402288" w:rsidRDefault="0034212C" w:rsidP="009F42FB">
            <w:pPr>
              <w:jc w:val="left"/>
              <w:rPr>
                <w:bCs/>
                <w:color w:val="C00000"/>
                <w:sz w:val="18"/>
              </w:rPr>
            </w:pPr>
            <w:r w:rsidRPr="00402288">
              <w:rPr>
                <w:bCs/>
                <w:color w:val="C00000"/>
                <w:sz w:val="18"/>
              </w:rPr>
              <w:t>3.2%</w:t>
            </w:r>
          </w:p>
        </w:tc>
        <w:tc>
          <w:tcPr>
            <w:tcW w:w="2340" w:type="dxa"/>
            <w:shd w:val="clear" w:color="auto" w:fill="F2F2F2" w:themeFill="background1" w:themeFillShade="F2"/>
            <w:vAlign w:val="center"/>
          </w:tcPr>
          <w:p w14:paraId="6BE5B03D" w14:textId="77777777" w:rsidR="0034212C" w:rsidRPr="00402288" w:rsidRDefault="0034212C" w:rsidP="009F42FB">
            <w:pPr>
              <w:jc w:val="left"/>
              <w:rPr>
                <w:bCs/>
                <w:color w:val="C00000"/>
                <w:sz w:val="18"/>
              </w:rPr>
            </w:pPr>
            <w:r w:rsidRPr="00402288">
              <w:rPr>
                <w:bCs/>
                <w:color w:val="C00000"/>
                <w:sz w:val="18"/>
              </w:rPr>
              <w:t>Commuter households; aging homeowners; families seeking affordable ownership; lower-income rural renters</w:t>
            </w:r>
          </w:p>
        </w:tc>
        <w:tc>
          <w:tcPr>
            <w:tcW w:w="2340" w:type="dxa"/>
            <w:shd w:val="clear" w:color="auto" w:fill="F2F2F2" w:themeFill="background1" w:themeFillShade="F2"/>
            <w:vAlign w:val="center"/>
          </w:tcPr>
          <w:p w14:paraId="65A71137" w14:textId="49493D57" w:rsidR="0034212C" w:rsidRPr="00402288" w:rsidRDefault="0034212C" w:rsidP="009F42FB">
            <w:pPr>
              <w:jc w:val="left"/>
              <w:rPr>
                <w:bCs/>
                <w:color w:val="C00000"/>
                <w:sz w:val="18"/>
              </w:rPr>
            </w:pPr>
            <w:r w:rsidRPr="00402288">
              <w:rPr>
                <w:bCs/>
                <w:color w:val="C00000"/>
                <w:sz w:val="18"/>
              </w:rPr>
              <w:t>Ground-oriented family-sized supply; housing repair programs; modest affordable rental development</w:t>
            </w:r>
          </w:p>
        </w:tc>
      </w:tr>
      <w:tr w:rsidR="0034212C" w:rsidRPr="009F42FB" w14:paraId="013C3DA0" w14:textId="77777777" w:rsidTr="009F42FB">
        <w:tc>
          <w:tcPr>
            <w:tcW w:w="1560" w:type="dxa"/>
            <w:shd w:val="clear" w:color="auto" w:fill="FFFFFF" w:themeFill="background1"/>
            <w:vAlign w:val="center"/>
          </w:tcPr>
          <w:p w14:paraId="6AE4B35B" w14:textId="77777777" w:rsidR="0034212C" w:rsidRPr="009F42FB" w:rsidRDefault="0034212C" w:rsidP="009F42FB">
            <w:pPr>
              <w:jc w:val="left"/>
              <w:rPr>
                <w:bCs/>
                <w:sz w:val="18"/>
              </w:rPr>
            </w:pPr>
            <w:r w:rsidRPr="009F42FB">
              <w:rPr>
                <w:bCs/>
                <w:sz w:val="18"/>
              </w:rPr>
              <w:t>Rural (remote)</w:t>
            </w:r>
          </w:p>
        </w:tc>
        <w:tc>
          <w:tcPr>
            <w:tcW w:w="1560" w:type="dxa"/>
            <w:shd w:val="clear" w:color="auto" w:fill="FFFFFF" w:themeFill="background1"/>
            <w:vAlign w:val="center"/>
          </w:tcPr>
          <w:p w14:paraId="62C18ACA" w14:textId="77777777" w:rsidR="0034212C" w:rsidRPr="00402288" w:rsidRDefault="0034212C" w:rsidP="009F42FB">
            <w:pPr>
              <w:jc w:val="left"/>
              <w:rPr>
                <w:bCs/>
                <w:color w:val="C00000"/>
                <w:sz w:val="18"/>
              </w:rPr>
            </w:pPr>
            <w:r w:rsidRPr="00402288">
              <w:rPr>
                <w:bCs/>
                <w:color w:val="C00000"/>
                <w:sz w:val="18"/>
              </w:rPr>
              <w:t>Adequacy and income</w:t>
            </w:r>
          </w:p>
        </w:tc>
        <w:tc>
          <w:tcPr>
            <w:tcW w:w="1560" w:type="dxa"/>
            <w:shd w:val="clear" w:color="auto" w:fill="FFFFFF" w:themeFill="background1"/>
            <w:vAlign w:val="center"/>
          </w:tcPr>
          <w:p w14:paraId="35F65468" w14:textId="77777777" w:rsidR="0034212C" w:rsidRPr="00402288" w:rsidRDefault="0034212C" w:rsidP="009F42FB">
            <w:pPr>
              <w:jc w:val="left"/>
              <w:rPr>
                <w:bCs/>
                <w:color w:val="C00000"/>
                <w:sz w:val="18"/>
              </w:rPr>
            </w:pPr>
            <w:r w:rsidRPr="00402288">
              <w:rPr>
                <w:bCs/>
                <w:color w:val="C00000"/>
                <w:sz w:val="18"/>
              </w:rPr>
              <w:t>5.8%</w:t>
            </w:r>
          </w:p>
        </w:tc>
        <w:tc>
          <w:tcPr>
            <w:tcW w:w="2340" w:type="dxa"/>
            <w:shd w:val="clear" w:color="auto" w:fill="FFFFFF" w:themeFill="background1"/>
            <w:vAlign w:val="center"/>
          </w:tcPr>
          <w:p w14:paraId="4610D845" w14:textId="77777777" w:rsidR="0034212C" w:rsidRPr="00402288" w:rsidRDefault="0034212C" w:rsidP="009F42FB">
            <w:pPr>
              <w:jc w:val="left"/>
              <w:rPr>
                <w:bCs/>
                <w:color w:val="C00000"/>
                <w:sz w:val="18"/>
              </w:rPr>
            </w:pPr>
            <w:r w:rsidRPr="00402288">
              <w:rPr>
                <w:bCs/>
                <w:color w:val="C00000"/>
                <w:sz w:val="18"/>
              </w:rPr>
              <w:t>Low-income homeowners; aging residents; EI-dependent and seasonal workers; movable dwelling residents</w:t>
            </w:r>
          </w:p>
        </w:tc>
        <w:tc>
          <w:tcPr>
            <w:tcW w:w="2340" w:type="dxa"/>
            <w:shd w:val="clear" w:color="auto" w:fill="FFFFFF" w:themeFill="background1"/>
            <w:vAlign w:val="center"/>
          </w:tcPr>
          <w:p w14:paraId="0F45BBA4" w14:textId="77777777" w:rsidR="0034212C" w:rsidRPr="00402288" w:rsidRDefault="0034212C" w:rsidP="009F42FB">
            <w:pPr>
              <w:jc w:val="left"/>
              <w:rPr>
                <w:bCs/>
                <w:color w:val="C00000"/>
                <w:sz w:val="18"/>
              </w:rPr>
            </w:pPr>
            <w:r w:rsidRPr="00402288">
              <w:rPr>
                <w:bCs/>
                <w:color w:val="C00000"/>
                <w:sz w:val="18"/>
              </w:rPr>
              <w:t>Housing repair and renovation supports; age-appropriate and accessible housing options; income supports; preservation of affordable secondary market rental</w:t>
            </w:r>
          </w:p>
        </w:tc>
      </w:tr>
      <w:tr w:rsidR="0034212C" w:rsidRPr="009F42FB" w14:paraId="7EFDBE6F" w14:textId="77777777" w:rsidTr="009F42FB">
        <w:tc>
          <w:tcPr>
            <w:tcW w:w="1560" w:type="dxa"/>
            <w:shd w:val="clear" w:color="auto" w:fill="F2F2F2" w:themeFill="background1" w:themeFillShade="F2"/>
            <w:vAlign w:val="center"/>
          </w:tcPr>
          <w:p w14:paraId="7F14DBB1" w14:textId="77777777" w:rsidR="0034212C" w:rsidRPr="009F42FB" w:rsidRDefault="0034212C" w:rsidP="009F42FB">
            <w:pPr>
              <w:jc w:val="left"/>
              <w:rPr>
                <w:bCs/>
                <w:sz w:val="18"/>
              </w:rPr>
            </w:pPr>
            <w:r w:rsidRPr="009F42FB">
              <w:rPr>
                <w:bCs/>
                <w:sz w:val="18"/>
              </w:rPr>
              <w:t>On-reserve</w:t>
            </w:r>
          </w:p>
        </w:tc>
        <w:tc>
          <w:tcPr>
            <w:tcW w:w="1560" w:type="dxa"/>
            <w:shd w:val="clear" w:color="auto" w:fill="F2F2F2" w:themeFill="background1" w:themeFillShade="F2"/>
            <w:vAlign w:val="center"/>
          </w:tcPr>
          <w:p w14:paraId="5E3D1AD3" w14:textId="77777777" w:rsidR="0034212C" w:rsidRPr="00402288" w:rsidRDefault="0034212C" w:rsidP="009F42FB">
            <w:pPr>
              <w:jc w:val="left"/>
              <w:rPr>
                <w:bCs/>
                <w:color w:val="C00000"/>
                <w:sz w:val="18"/>
              </w:rPr>
            </w:pPr>
            <w:r w:rsidRPr="00402288">
              <w:rPr>
                <w:bCs/>
                <w:color w:val="C00000"/>
                <w:sz w:val="18"/>
              </w:rPr>
              <w:t>Adequacy and suitability</w:t>
            </w:r>
          </w:p>
        </w:tc>
        <w:tc>
          <w:tcPr>
            <w:tcW w:w="1560" w:type="dxa"/>
            <w:shd w:val="clear" w:color="auto" w:fill="F2F2F2" w:themeFill="background1" w:themeFillShade="F2"/>
            <w:vAlign w:val="center"/>
          </w:tcPr>
          <w:p w14:paraId="693AE9E4" w14:textId="77777777" w:rsidR="0034212C" w:rsidRPr="00402288" w:rsidRDefault="0034212C" w:rsidP="009F42FB">
            <w:pPr>
              <w:jc w:val="left"/>
              <w:rPr>
                <w:bCs/>
                <w:color w:val="C00000"/>
                <w:sz w:val="18"/>
              </w:rPr>
            </w:pPr>
            <w:r w:rsidRPr="00402288">
              <w:rPr>
                <w:bCs/>
                <w:color w:val="C00000"/>
                <w:sz w:val="18"/>
              </w:rPr>
              <w:t>Not available</w:t>
            </w:r>
          </w:p>
        </w:tc>
        <w:tc>
          <w:tcPr>
            <w:tcW w:w="2340" w:type="dxa"/>
            <w:shd w:val="clear" w:color="auto" w:fill="F2F2F2" w:themeFill="background1" w:themeFillShade="F2"/>
            <w:vAlign w:val="center"/>
          </w:tcPr>
          <w:p w14:paraId="142BB67C" w14:textId="77777777" w:rsidR="0034212C" w:rsidRPr="00402288" w:rsidRDefault="0034212C" w:rsidP="009F42FB">
            <w:pPr>
              <w:jc w:val="left"/>
              <w:rPr>
                <w:bCs/>
                <w:color w:val="C00000"/>
                <w:sz w:val="18"/>
              </w:rPr>
            </w:pPr>
            <w:r w:rsidRPr="00402288">
              <w:rPr>
                <w:bCs/>
                <w:color w:val="C00000"/>
                <w:sz w:val="18"/>
              </w:rPr>
              <w:t>Indigenous households; large families; younger household maintainers; individuals with complex needs</w:t>
            </w:r>
          </w:p>
        </w:tc>
        <w:tc>
          <w:tcPr>
            <w:tcW w:w="2340" w:type="dxa"/>
            <w:shd w:val="clear" w:color="auto" w:fill="F2F2F2" w:themeFill="background1" w:themeFillShade="F2"/>
            <w:vAlign w:val="center"/>
          </w:tcPr>
          <w:p w14:paraId="6C0460AD" w14:textId="77777777" w:rsidR="0034212C" w:rsidRPr="00402288" w:rsidRDefault="0034212C" w:rsidP="009F42FB">
            <w:pPr>
              <w:jc w:val="left"/>
              <w:rPr>
                <w:bCs/>
                <w:color w:val="C00000"/>
                <w:sz w:val="18"/>
              </w:rPr>
            </w:pPr>
            <w:r w:rsidRPr="00402288">
              <w:rPr>
                <w:bCs/>
                <w:color w:val="C00000"/>
                <w:sz w:val="18"/>
              </w:rPr>
              <w:t>Culturally appropriate repair and new supply investment; community-driven housing planning; access to health, mental health, and social supports</w:t>
            </w:r>
          </w:p>
        </w:tc>
      </w:tr>
    </w:tbl>
    <w:p w14:paraId="677FB69C" w14:textId="2BC597D0" w:rsidR="0034212C" w:rsidRDefault="0034212C" w:rsidP="00F84CC8">
      <w:pPr>
        <w:pStyle w:val="Source"/>
      </w:pPr>
      <w:r>
        <w:t>Note: Core housing need rates are for all households. Renter rates are substantially higher in all categories.</w:t>
      </w:r>
    </w:p>
    <w:p w14:paraId="34C136E3" w14:textId="77777777" w:rsidR="00F84CC8" w:rsidRDefault="00F84CC8" w:rsidP="00F84CC8"/>
    <w:p w14:paraId="298D7C7A" w14:textId="77777777" w:rsidR="0034212C" w:rsidRDefault="0034212C" w:rsidP="0034212C">
      <w:pPr>
        <w:pStyle w:val="Heading2"/>
      </w:pPr>
      <w:bookmarkStart w:id="3" w:name="_Toc237957413"/>
      <w:r>
        <w:t>Implications for Decision-Makers</w:t>
      </w:r>
      <w:bookmarkEnd w:id="3"/>
    </w:p>
    <w:p w14:paraId="33ED2D30" w14:textId="7F42DD2F" w:rsidR="0034212C" w:rsidRDefault="0034212C" w:rsidP="0034212C">
      <w:r>
        <w:t xml:space="preserve">The findings of this assessment point to several cross-cutting implications for housing policy and investment decisions across </w:t>
      </w:r>
      <w:r w:rsidR="00402288" w:rsidRPr="00402288">
        <w:rPr>
          <w:color w:val="C00000"/>
        </w:rPr>
        <w:t>PEI</w:t>
      </w:r>
      <w:r>
        <w:t>.</w:t>
      </w:r>
    </w:p>
    <w:p w14:paraId="678862D7" w14:textId="77777777" w:rsidR="00F84CC8" w:rsidRDefault="00F84CC8" w:rsidP="0034212C"/>
    <w:p w14:paraId="2CEB4E40" w14:textId="3A9FDD35" w:rsidR="0034212C" w:rsidRDefault="0034212C" w:rsidP="0034212C">
      <w:r>
        <w:t xml:space="preserve">Supply alone will not resolve affordability. Approximately 29% of total projected housing demand through 2035 is at below-market or deeply affordable price points. The private market tends to deliver units priced at or above median income thresholds. Without concurrent investment in non-market, subsidized, and deeply affordable housing, market-rate supply additions will not reach </w:t>
      </w:r>
      <w:r>
        <w:lastRenderedPageBreak/>
        <w:t>the households in greatest need</w:t>
      </w:r>
      <w:r w:rsidR="004835F1">
        <w:t>. Market-rate housing may even</w:t>
      </w:r>
      <w:r>
        <w:t xml:space="preserve"> accelerate affordability erosion if they displace existing affordable units through redevelopment or rent escalation effects in the surrounding market.</w:t>
      </w:r>
    </w:p>
    <w:p w14:paraId="496A50B1" w14:textId="77777777" w:rsidR="00F84CC8" w:rsidRDefault="00F84CC8" w:rsidP="0034212C"/>
    <w:p w14:paraId="5A25AF7C" w14:textId="77777777" w:rsidR="0034212C" w:rsidRDefault="0034212C" w:rsidP="0034212C">
      <w:r>
        <w:t>Geographic differentiation must be reflected in program design. The evidence base is consistent across sections: urban areas need deeply affordable rental supply and supports for high-need populations; rural urban-adjacent areas need family-sized ground-oriented supply and repair assistance; rural remote areas need investment in housing condition and age-appropriate options; and on-reserve communities need community-driven, culturally appropriate supply and repair investment grounded in Indigenous self-determination. Uniform provincial approaches are unlikely to be equitably effective across this diversity.</w:t>
      </w:r>
    </w:p>
    <w:p w14:paraId="797D43CF" w14:textId="77777777" w:rsidR="006D1A6E" w:rsidRDefault="006D1A6E" w:rsidP="0034212C"/>
    <w:p w14:paraId="72CA17C3" w14:textId="2735BCD6" w:rsidR="0034212C" w:rsidRDefault="0034212C" w:rsidP="0034212C">
      <w:r>
        <w:t xml:space="preserve">Qualitative and quantitative evidence are mutually reinforcing. The stakeholder engagement findings align closely with the quantitative housing need data. Stakeholders consistently identified shortages of transitional and supportive housing, </w:t>
      </w:r>
      <w:r w:rsidR="006D1A6E">
        <w:t>insufficient</w:t>
      </w:r>
      <w:r>
        <w:t xml:space="preserve"> tenant protections, transportation barriers for rural residents, and compounding vulnerabilities for newcomers and individuals with complex needs</w:t>
      </w:r>
      <w:r w:rsidR="006D1A6E">
        <w:t xml:space="preserve">, </w:t>
      </w:r>
      <w:r>
        <w:t>each of which is corroborated by the demographic, housing need, and non-market inventory data presented throughout this report. Decision-makers can draw on both streams of evidence with confidence that they point in the same direction.</w:t>
      </w:r>
    </w:p>
    <w:p w14:paraId="5B67C26D" w14:textId="77777777" w:rsidR="006D1A6E" w:rsidRDefault="006D1A6E" w:rsidP="0034212C"/>
    <w:p w14:paraId="2502D295" w14:textId="18EF9D02" w:rsidR="0034212C" w:rsidRPr="00887119" w:rsidRDefault="0034212C" w:rsidP="0034212C">
      <w:r>
        <w:t xml:space="preserve">This assessment establishes a baseline, not a ceiling. The data presented here reflects conditions as of 2021 </w:t>
      </w:r>
      <w:r w:rsidR="00C27542">
        <w:t>for the Census</w:t>
      </w:r>
      <w:r>
        <w:t xml:space="preserve"> and 2025–2026 </w:t>
      </w:r>
      <w:r w:rsidR="00C27542">
        <w:t xml:space="preserve">for </w:t>
      </w:r>
      <w:r>
        <w:t xml:space="preserve">administrative and market </w:t>
      </w:r>
      <w:r w:rsidR="00C27542">
        <w:t xml:space="preserve">data </w:t>
      </w:r>
      <w:r>
        <w:t>sources, with projections extending to 2035. The housing pressures documented are likely to evolve, and in some areas worsen, before they improve. Repeating this assessment on a regular cycle</w:t>
      </w:r>
      <w:r w:rsidR="00013A62">
        <w:t>, while</w:t>
      </w:r>
      <w:r>
        <w:t xml:space="preserve"> tracking outcomes against </w:t>
      </w:r>
      <w:r w:rsidR="00013A62">
        <w:t>key indicators,</w:t>
      </w:r>
      <w:r>
        <w:t xml:space="preserve"> </w:t>
      </w:r>
      <w:r w:rsidR="00A254C4">
        <w:t xml:space="preserve">is </w:t>
      </w:r>
      <w:r>
        <w:t xml:space="preserve">essential to </w:t>
      </w:r>
      <w:r w:rsidR="00A254C4">
        <w:t>measure</w:t>
      </w:r>
      <w:r>
        <w:t xml:space="preserve"> whether </w:t>
      </w:r>
      <w:r w:rsidR="00FA5449">
        <w:t xml:space="preserve">potential </w:t>
      </w:r>
      <w:r>
        <w:t xml:space="preserve">policy responses are </w:t>
      </w:r>
      <w:r w:rsidR="002F05E9">
        <w:t>effective</w:t>
      </w:r>
      <w:r>
        <w:t xml:space="preserve"> and identifying where course correction may be needed.</w:t>
      </w:r>
    </w:p>
    <w:p w14:paraId="0A3E8A3E" w14:textId="77777777" w:rsidR="00E97287" w:rsidRPr="00887119" w:rsidRDefault="00E97287">
      <w:pPr>
        <w:spacing w:after="160"/>
        <w:jc w:val="left"/>
        <w:rPr>
          <w:rFonts w:eastAsiaTheme="majorEastAsia" w:cstheme="majorBidi"/>
          <w:b/>
          <w:color w:val="8AA2BA" w:themeColor="accent1" w:themeShade="BF"/>
          <w:sz w:val="56"/>
          <w:szCs w:val="32"/>
        </w:rPr>
      </w:pPr>
      <w:r w:rsidRPr="00887119">
        <w:br w:type="page"/>
      </w:r>
    </w:p>
    <w:p w14:paraId="489D4513" w14:textId="2E4B6E3B" w:rsidR="002231D3" w:rsidRPr="00887119" w:rsidRDefault="002231D3" w:rsidP="00842B20">
      <w:pPr>
        <w:pStyle w:val="Heading1"/>
      </w:pPr>
      <w:bookmarkStart w:id="4" w:name="_Toc229051934"/>
      <w:bookmarkStart w:id="5" w:name="_Toc237957414"/>
      <w:bookmarkStart w:id="6" w:name="_Toc226970605"/>
      <w:r w:rsidRPr="00887119">
        <w:lastRenderedPageBreak/>
        <w:t>INTRODUCTION</w:t>
      </w:r>
      <w:bookmarkEnd w:id="4"/>
      <w:bookmarkEnd w:id="5"/>
    </w:p>
    <w:p w14:paraId="23FBEC11" w14:textId="77777777" w:rsidR="00790E7F" w:rsidRDefault="00790E7F" w:rsidP="00842B20">
      <w:pPr>
        <w:pStyle w:val="Heading2"/>
      </w:pPr>
      <w:bookmarkStart w:id="7" w:name="_Toc237957415"/>
      <w:r>
        <w:t>Purpose and Objectives</w:t>
      </w:r>
      <w:bookmarkEnd w:id="7"/>
    </w:p>
    <w:p w14:paraId="129C0745" w14:textId="0AAD3A51" w:rsidR="00790E7F" w:rsidRDefault="00790E7F" w:rsidP="00790E7F">
      <w:r>
        <w:t xml:space="preserve">This Housing Needs Assessment (HNA) provides a comprehensive, evidence-based profile of housing conditions, affordability, and need across </w:t>
      </w:r>
      <w:r w:rsidR="00402288" w:rsidRPr="00402288">
        <w:rPr>
          <w:color w:val="C00000"/>
        </w:rPr>
        <w:t>Prince Edward Island</w:t>
      </w:r>
      <w:r>
        <w:t>. It is intended to serve as a baseline record of the province's housing system as of May 2026</w:t>
      </w:r>
      <w:r w:rsidR="00990D1F">
        <w:t xml:space="preserve">, </w:t>
      </w:r>
      <w:r>
        <w:t>establishing a documented point-in-time understanding of where housing need exists, what is driving it, and how it is distributed across the province's diverse communities. As conditions change, this baseline will enable future assessments to measure progress, identify emerging pressures, and track whether housing outcomes for Islanders are improving over time.</w:t>
      </w:r>
    </w:p>
    <w:p w14:paraId="47962D4E" w14:textId="77777777" w:rsidR="00990D1F" w:rsidRDefault="00990D1F" w:rsidP="00790E7F"/>
    <w:p w14:paraId="06CF934C" w14:textId="77777777" w:rsidR="00790E7F" w:rsidRDefault="00790E7F" w:rsidP="00790E7F">
      <w:r>
        <w:t>The assessment pursues several related objectives:</w:t>
      </w:r>
    </w:p>
    <w:p w14:paraId="64528B0C" w14:textId="77777777" w:rsidR="00790E7F" w:rsidRDefault="00790E7F" w:rsidP="00790E7F"/>
    <w:p w14:paraId="46E80C88" w14:textId="4B86199D" w:rsidR="00990D1F" w:rsidRPr="00990D1F" w:rsidRDefault="00790E7F" w:rsidP="00FE550C">
      <w:pPr>
        <w:pStyle w:val="ListParagraph"/>
        <w:numPr>
          <w:ilvl w:val="0"/>
          <w:numId w:val="4"/>
        </w:numPr>
        <w:rPr>
          <w:b/>
          <w:bCs/>
        </w:rPr>
      </w:pPr>
      <w:r w:rsidRPr="00990D1F">
        <w:rPr>
          <w:b/>
          <w:bCs/>
        </w:rPr>
        <w:t>Establishing a provincial baseline</w:t>
      </w:r>
    </w:p>
    <w:p w14:paraId="4DAD2D4A" w14:textId="33A7C973" w:rsidR="00790E7F" w:rsidRDefault="00790E7F" w:rsidP="00990D1F">
      <w:pPr>
        <w:pStyle w:val="ListParagraph"/>
      </w:pPr>
      <w:r>
        <w:t>By systematically documenting current housing conditions, supply characteristics, affordability pressures, and core housing need, this report creates a benchmark against which future assessments can be compared. This is particularly important in a province that has experienced rapid and uneven population growth, as the housing implications of that growth are still unfolding.</w:t>
      </w:r>
    </w:p>
    <w:p w14:paraId="7B3E74E9" w14:textId="77777777" w:rsidR="00990D1F" w:rsidRDefault="00990D1F" w:rsidP="00990D1F">
      <w:pPr>
        <w:pStyle w:val="ListParagraph"/>
      </w:pPr>
    </w:p>
    <w:p w14:paraId="0E593B41" w14:textId="79EAC328" w:rsidR="00990D1F" w:rsidRDefault="00790E7F" w:rsidP="00FE550C">
      <w:pPr>
        <w:pStyle w:val="ListParagraph"/>
        <w:numPr>
          <w:ilvl w:val="0"/>
          <w:numId w:val="4"/>
        </w:numPr>
      </w:pPr>
      <w:r w:rsidRPr="00990D1F">
        <w:rPr>
          <w:b/>
          <w:bCs/>
        </w:rPr>
        <w:t>Illustrating geographic variation</w:t>
      </w:r>
    </w:p>
    <w:p w14:paraId="07AF593C" w14:textId="174DD219" w:rsidR="00790E7F" w:rsidRDefault="00402288" w:rsidP="00990D1F">
      <w:pPr>
        <w:pStyle w:val="ListParagraph"/>
      </w:pPr>
      <w:r w:rsidRPr="00402288">
        <w:rPr>
          <w:color w:val="C00000"/>
        </w:rPr>
        <w:t>PEI</w:t>
      </w:r>
      <w:r w:rsidR="00790E7F">
        <w:t>'s housing challenges are not uniform across the province. The nature, scale, and drivers of housing need differ meaningfully between urban centres, small urban communities, rural areas, and remote communities. A central purpose of this assessment is to make those differences visible, so that policy responses can be appropriately targeted rather than applied uniformly across a province with distinct geographic and demographic contexts.</w:t>
      </w:r>
    </w:p>
    <w:p w14:paraId="6F6531FE" w14:textId="77777777" w:rsidR="00990D1F" w:rsidRDefault="00990D1F" w:rsidP="00990D1F">
      <w:pPr>
        <w:pStyle w:val="ListParagraph"/>
      </w:pPr>
    </w:p>
    <w:p w14:paraId="1F93828C" w14:textId="4F6CDAAE" w:rsidR="00990D1F" w:rsidRPr="00990D1F" w:rsidRDefault="00790E7F" w:rsidP="00FE550C">
      <w:pPr>
        <w:pStyle w:val="ListParagraph"/>
        <w:numPr>
          <w:ilvl w:val="0"/>
          <w:numId w:val="4"/>
        </w:numPr>
        <w:rPr>
          <w:b/>
          <w:bCs/>
        </w:rPr>
      </w:pPr>
      <w:r w:rsidRPr="00990D1F">
        <w:rPr>
          <w:b/>
          <w:bCs/>
        </w:rPr>
        <w:t>Providing context for decision-making</w:t>
      </w:r>
    </w:p>
    <w:p w14:paraId="6CFF151B" w14:textId="5C22012A" w:rsidR="00790E7F" w:rsidRDefault="00790E7F" w:rsidP="00990D1F">
      <w:pPr>
        <w:pStyle w:val="ListParagraph"/>
      </w:pPr>
      <w:r>
        <w:t>This report is intended to support informed housing policy and planning decisions at the provincial and municipal level. It draws together data on demographics, income, housing supply, rental market conditions, homeownership affordability, non-market housing, and projected demand into a single, accessible resource for government staff and planners working on housing-related files across the province.</w:t>
      </w:r>
    </w:p>
    <w:p w14:paraId="50FB84C9" w14:textId="77777777" w:rsidR="00990D1F" w:rsidRDefault="00990D1F" w:rsidP="00990D1F">
      <w:pPr>
        <w:pStyle w:val="ListParagraph"/>
      </w:pPr>
    </w:p>
    <w:p w14:paraId="2AFFA2D9" w14:textId="1D93955D" w:rsidR="00990D1F" w:rsidRPr="00990D1F" w:rsidRDefault="00790E7F" w:rsidP="00FE550C">
      <w:pPr>
        <w:pStyle w:val="ListParagraph"/>
        <w:numPr>
          <w:ilvl w:val="0"/>
          <w:numId w:val="4"/>
        </w:numPr>
        <w:rPr>
          <w:b/>
          <w:bCs/>
        </w:rPr>
      </w:pPr>
      <w:r w:rsidRPr="00990D1F">
        <w:rPr>
          <w:b/>
          <w:bCs/>
        </w:rPr>
        <w:t>Demonstrating commitment to evidence-based housing planning</w:t>
      </w:r>
    </w:p>
    <w:p w14:paraId="10D9A380" w14:textId="790409FA" w:rsidR="00790E7F" w:rsidRDefault="00790E7F" w:rsidP="00990D1F">
      <w:pPr>
        <w:pStyle w:val="ListParagraph"/>
      </w:pPr>
      <w:r>
        <w:t>The preparation of a province-wide HNA signals a commitment to understanding and responding to housing need in a structured, transparent, and repeatable way. It reflects recognition that effective housing policy requires a clear-eyed view of current conditions and a disciplined approach to tracking outcomes over time.</w:t>
      </w:r>
    </w:p>
    <w:p w14:paraId="08620E31" w14:textId="77777777" w:rsidR="00790E7F" w:rsidRDefault="00790E7F" w:rsidP="00790E7F"/>
    <w:p w14:paraId="34C7131E" w14:textId="77777777" w:rsidR="00790E7F" w:rsidRDefault="00790E7F" w:rsidP="00842B20">
      <w:pPr>
        <w:pStyle w:val="Heading2"/>
      </w:pPr>
      <w:bookmarkStart w:id="8" w:name="_Toc237957416"/>
      <w:r>
        <w:lastRenderedPageBreak/>
        <w:t>Geographic Scope</w:t>
      </w:r>
      <w:bookmarkEnd w:id="8"/>
    </w:p>
    <w:p w14:paraId="54352AE8" w14:textId="319C5742" w:rsidR="00790E7F" w:rsidRPr="008C0FB0" w:rsidRDefault="00790E7F" w:rsidP="00790E7F">
      <w:r>
        <w:t xml:space="preserve">This assessment covers the full extent of </w:t>
      </w:r>
      <w:r w:rsidR="00402288" w:rsidRPr="00402288">
        <w:rPr>
          <w:color w:val="C00000"/>
        </w:rPr>
        <w:t>Prince Edward Island</w:t>
      </w:r>
      <w:r>
        <w:t xml:space="preserve"> and is structured to reflect the meaningful differences in housing conditions that exist across the province's urban and rural communities. Rather than reporting at the level of individual municipalities or Census subdivisions alone, the assessment organizes data into a set of geographic categories designed to illuminate how housing need, affordability, and supply vary across different community types.</w:t>
      </w:r>
      <w:r w:rsidR="00D7566D">
        <w:t xml:space="preserve"> The geographic categories are </w:t>
      </w:r>
      <w:r w:rsidR="00B2352E">
        <w:t xml:space="preserve">derived from Statistics Canada geographic references. Readers can refer to the </w:t>
      </w:r>
      <w:r w:rsidR="008C0FB0">
        <w:t xml:space="preserve">HNA Blueprint </w:t>
      </w:r>
      <w:r w:rsidR="008C0FB0">
        <w:rPr>
          <w:b/>
          <w:bCs/>
        </w:rPr>
        <w:t>Methodology – Geo Classification</w:t>
      </w:r>
      <w:r w:rsidR="008C0FB0">
        <w:t xml:space="preserve"> document for more detail.</w:t>
      </w:r>
    </w:p>
    <w:p w14:paraId="2469A7EE" w14:textId="77777777" w:rsidR="00990D1F" w:rsidRDefault="00990D1F" w:rsidP="00790E7F"/>
    <w:p w14:paraId="3EC0CED2" w14:textId="4E65348B" w:rsidR="006042FA" w:rsidRDefault="00790E7F" w:rsidP="00790E7F">
      <w:r>
        <w:t xml:space="preserve">These geographic categories are derived from a classification methodology applied consistently across all communities in the assessment. While the methodology is informed by established </w:t>
      </w:r>
      <w:r w:rsidR="006367D2">
        <w:t>geographic classifications and</w:t>
      </w:r>
      <w:r>
        <w:t xml:space="preserve"> has been developed to reflect community characteristics in a systematic way, it is applied broadly across a national context and may not fully capture every local nuance relevant to </w:t>
      </w:r>
      <w:r w:rsidR="00402288" w:rsidRPr="00402288">
        <w:rPr>
          <w:color w:val="C00000"/>
        </w:rPr>
        <w:t>PEI</w:t>
      </w:r>
      <w:r>
        <w:t xml:space="preserve">. Some communities may sit at the boundary between categories, or have characteristics that a province-specific classification might resolve differently. The methodology underlying the classification is documented separately and should be consulted alongside this report for a complete understanding of how geographic categories were assigned. </w:t>
      </w:r>
    </w:p>
    <w:p w14:paraId="5E8D0320" w14:textId="77777777" w:rsidR="006042FA" w:rsidRDefault="006042FA" w:rsidP="00790E7F"/>
    <w:p w14:paraId="16BBEB4A" w14:textId="05CB2D14" w:rsidR="00790E7F" w:rsidRDefault="00790E7F" w:rsidP="00790E7F">
      <w:r>
        <w:t>Data presented throughout this report are derived primarily from Statistics Canada sources, including the 2021 Census of Population and annual estimates, supplemented by provincial administrative data and survey sources where noted.</w:t>
      </w:r>
    </w:p>
    <w:p w14:paraId="5E1F7F32" w14:textId="77777777" w:rsidR="00990D1F" w:rsidRDefault="00990D1F" w:rsidP="00790E7F"/>
    <w:p w14:paraId="423E23AA" w14:textId="77777777" w:rsidR="00790E7F" w:rsidRDefault="00790E7F" w:rsidP="00842B20">
      <w:pPr>
        <w:pStyle w:val="Heading2"/>
      </w:pPr>
      <w:bookmarkStart w:id="9" w:name="_Toc237957417"/>
      <w:r>
        <w:t>How to Use This Report</w:t>
      </w:r>
      <w:bookmarkEnd w:id="9"/>
    </w:p>
    <w:p w14:paraId="64EB09EC" w14:textId="09510468" w:rsidR="00790E7F" w:rsidRDefault="00790E7F" w:rsidP="00790E7F">
      <w:r>
        <w:t xml:space="preserve">This report is intended primarily for provincial and municipal government staff working on housing policy, planning, and program delivery. It may also be of interest to housing providers, community organizations, researchers, and the public seeking to understand </w:t>
      </w:r>
      <w:r w:rsidR="00402288" w:rsidRPr="00402288">
        <w:rPr>
          <w:color w:val="C00000"/>
        </w:rPr>
        <w:t>PEI</w:t>
      </w:r>
      <w:r>
        <w:t>'s housing landscape.</w:t>
      </w:r>
    </w:p>
    <w:p w14:paraId="02BA6038" w14:textId="77777777" w:rsidR="00B31DCA" w:rsidRDefault="00B31DCA" w:rsidP="00790E7F"/>
    <w:p w14:paraId="27E8826B" w14:textId="77777777" w:rsidR="00790E7F" w:rsidRDefault="00790E7F" w:rsidP="00790E7F">
      <w:r>
        <w:t>The report is organized to build progressively from context to analysis. Section 3 establishes the broader policy and conceptual context for housing, including the economic and social dimensions of housing insecurity and the frameworks used to understand the housing system. Section 4 outlines the legislative and policy landscape within which housing development and affordability are governed across the province. Sections 6 through 8 provide the demographic, economic, and housing profile data that form the empirical foundation of the assessment. Section 9 synthesizes that data into a determination of housing need, and Section 10 translates current conditions into forward-looking projections of housing demand over the next decade.</w:t>
      </w:r>
    </w:p>
    <w:p w14:paraId="28C6676B" w14:textId="77777777" w:rsidR="00E92065" w:rsidRDefault="00E92065" w:rsidP="00790E7F"/>
    <w:p w14:paraId="61A8BA35" w14:textId="03096DAB" w:rsidR="00385CCC" w:rsidRPr="00543980" w:rsidRDefault="00790E7F" w:rsidP="00543980">
      <w:pPr>
        <w:rPr>
          <w:rFonts w:eastAsiaTheme="majorEastAsia" w:cstheme="majorBidi"/>
          <w:b/>
          <w:color w:val="8AA2BA" w:themeColor="accent1" w:themeShade="BF"/>
          <w:sz w:val="56"/>
          <w:szCs w:val="32"/>
        </w:rPr>
      </w:pPr>
      <w:r>
        <w:t>Readers focused on specific topics or geographies may navigate directly to the relevant sections. Tables and figures throughout the report are designed to be self-contained where possible, with source notes and contextual commentary provided adjacent to each. The planning horizon for this assessment runs to 2035.</w:t>
      </w:r>
      <w:r w:rsidR="00385CCC" w:rsidRPr="00887119">
        <w:br w:type="page"/>
      </w:r>
    </w:p>
    <w:p w14:paraId="4F823ABF" w14:textId="7BB76B17" w:rsidR="00385CCC" w:rsidRPr="00887119" w:rsidRDefault="002231D3" w:rsidP="00842B20">
      <w:pPr>
        <w:pStyle w:val="Heading1"/>
      </w:pPr>
      <w:bookmarkStart w:id="10" w:name="_Toc229051935"/>
      <w:bookmarkStart w:id="11" w:name="_Toc237957418"/>
      <w:bookmarkEnd w:id="6"/>
      <w:r w:rsidRPr="00887119">
        <w:lastRenderedPageBreak/>
        <w:t>AFFORDABLE HOUSING</w:t>
      </w:r>
      <w:bookmarkEnd w:id="10"/>
      <w:bookmarkEnd w:id="11"/>
    </w:p>
    <w:p w14:paraId="39BA07C6" w14:textId="43D0A863" w:rsidR="00253275" w:rsidRPr="00887119" w:rsidRDefault="00BA450A" w:rsidP="00842B20">
      <w:pPr>
        <w:pStyle w:val="Heading2"/>
      </w:pPr>
      <w:bookmarkStart w:id="12" w:name="_Toc229051936"/>
      <w:bookmarkStart w:id="13" w:name="_Toc237957419"/>
      <w:r w:rsidRPr="00887119">
        <w:t xml:space="preserve">Affordable </w:t>
      </w:r>
      <w:r w:rsidR="00D342A3" w:rsidRPr="00887119">
        <w:t>H</w:t>
      </w:r>
      <w:r w:rsidRPr="00887119">
        <w:t xml:space="preserve">ousing </w:t>
      </w:r>
      <w:r w:rsidR="00D342A3" w:rsidRPr="00887119">
        <w:t>C</w:t>
      </w:r>
      <w:r w:rsidRPr="00887119">
        <w:t>ontext</w:t>
      </w:r>
      <w:bookmarkEnd w:id="12"/>
      <w:bookmarkEnd w:id="13"/>
    </w:p>
    <w:p w14:paraId="182F9290" w14:textId="7CB369E8" w:rsidR="00253275" w:rsidRPr="00887119" w:rsidRDefault="00E92CDF" w:rsidP="00D35DA3">
      <w:r w:rsidRPr="00887119">
        <w:t xml:space="preserve">Housing is a foundational component </w:t>
      </w:r>
      <w:r w:rsidR="001F70C3" w:rsidRPr="00887119">
        <w:t xml:space="preserve">of </w:t>
      </w:r>
      <w:r w:rsidR="00253275" w:rsidRPr="00887119">
        <w:t>healthy</w:t>
      </w:r>
      <w:r w:rsidR="003D39D2" w:rsidRPr="00887119">
        <w:t>, resilient,</w:t>
      </w:r>
      <w:r w:rsidR="00253275" w:rsidRPr="00887119">
        <w:t xml:space="preserve"> and inclusive communit</w:t>
      </w:r>
      <w:r w:rsidR="003D39D2" w:rsidRPr="00887119">
        <w:t>ies</w:t>
      </w:r>
      <w:r w:rsidR="00253275" w:rsidRPr="00887119">
        <w:t xml:space="preserve">.  The </w:t>
      </w:r>
      <w:r w:rsidR="00402288" w:rsidRPr="00402288">
        <w:rPr>
          <w:color w:val="C00000"/>
        </w:rPr>
        <w:t>PEI</w:t>
      </w:r>
      <w:r w:rsidR="00253275" w:rsidRPr="00887119">
        <w:t xml:space="preserve"> </w:t>
      </w:r>
      <w:r w:rsidR="00253275" w:rsidRPr="00887119">
        <w:rPr>
          <w:i/>
          <w:iCs/>
        </w:rPr>
        <w:t>Building Together</w:t>
      </w:r>
      <w:r w:rsidR="00253275" w:rsidRPr="00887119">
        <w:t xml:space="preserve"> Housing Strategy</w:t>
      </w:r>
      <w:r w:rsidR="00734E7B" w:rsidRPr="00887119">
        <w:t xml:space="preserve"> prioritizes accelerating housing supply, improving affordability for low- and </w:t>
      </w:r>
      <w:r w:rsidR="005633C6" w:rsidRPr="00887119">
        <w:t>moderate-income Islanders, and supporting those with the greatest needs</w:t>
      </w:r>
      <w:r w:rsidR="00D90CF6" w:rsidRPr="00887119">
        <w:t>.</w:t>
      </w:r>
      <w:r w:rsidR="005633C6" w:rsidRPr="00887119">
        <w:rPr>
          <w:rStyle w:val="FootnoteReference"/>
          <w:rFonts w:cs="Arial"/>
          <w:szCs w:val="22"/>
        </w:rPr>
        <w:footnoteReference w:id="1"/>
      </w:r>
      <w:r w:rsidR="00253275" w:rsidRPr="00887119">
        <w:t xml:space="preserve"> </w:t>
      </w:r>
    </w:p>
    <w:p w14:paraId="1123AF78" w14:textId="77777777" w:rsidR="00D35DA3" w:rsidRPr="00887119" w:rsidRDefault="00D35DA3" w:rsidP="00D35DA3">
      <w:pPr>
        <w:rPr>
          <w:i/>
          <w:iCs/>
        </w:rPr>
      </w:pPr>
    </w:p>
    <w:p w14:paraId="10E4766E" w14:textId="26A4DECC" w:rsidR="00C40308" w:rsidRPr="00887119" w:rsidRDefault="00FD3174" w:rsidP="00D35DA3">
      <w:r w:rsidRPr="00887119">
        <w:t>Safe, adequate, and affordable housing is widely recognized as essential to both individual and community well-being, and is increas</w:t>
      </w:r>
      <w:r w:rsidR="00B3248A" w:rsidRPr="00887119">
        <w:t xml:space="preserve">ingly understood as a matter of rights as well as outcomes. In Canada, the </w:t>
      </w:r>
      <w:r w:rsidR="00B3248A" w:rsidRPr="00887119">
        <w:rPr>
          <w:i/>
        </w:rPr>
        <w:t>National Housing Strategy Act</w:t>
      </w:r>
      <w:r w:rsidR="00B3248A" w:rsidRPr="00887119">
        <w:t xml:space="preserve"> affirms</w:t>
      </w:r>
      <w:r w:rsidR="00A331BF" w:rsidRPr="00887119">
        <w:t xml:space="preserve"> </w:t>
      </w:r>
      <w:r w:rsidR="00B3248A" w:rsidRPr="00887119">
        <w:t xml:space="preserve">housing </w:t>
      </w:r>
      <w:r w:rsidR="00A331BF" w:rsidRPr="00887119">
        <w:t>as</w:t>
      </w:r>
      <w:r w:rsidR="00B3248A" w:rsidRPr="00887119">
        <w:t xml:space="preserve"> fundamental human right</w:t>
      </w:r>
      <w:r w:rsidR="00D90CF6" w:rsidRPr="00887119">
        <w:t>,</w:t>
      </w:r>
      <w:r w:rsidR="00B3248A" w:rsidRPr="00887119">
        <w:rPr>
          <w:rStyle w:val="FootnoteReference"/>
          <w:rFonts w:cs="Arial"/>
          <w:szCs w:val="22"/>
        </w:rPr>
        <w:footnoteReference w:id="2"/>
      </w:r>
      <w:r w:rsidR="00F14214" w:rsidRPr="00887119">
        <w:t xml:space="preserve"> grounded in international human rights commitments</w:t>
      </w:r>
      <w:r w:rsidR="00D90CF6" w:rsidRPr="00887119">
        <w:t>,</w:t>
      </w:r>
      <w:r w:rsidR="00F14214" w:rsidRPr="00887119">
        <w:rPr>
          <w:rStyle w:val="FootnoteReference"/>
          <w:rFonts w:cs="Arial"/>
          <w:szCs w:val="22"/>
        </w:rPr>
        <w:footnoteReference w:id="3"/>
      </w:r>
      <w:r w:rsidR="00374F84" w:rsidRPr="00887119">
        <w:t xml:space="preserve"> </w:t>
      </w:r>
      <w:r w:rsidR="00D175CB" w:rsidRPr="00887119">
        <w:t xml:space="preserve">and recognizes the role of governments in progressively realizing </w:t>
      </w:r>
      <w:r w:rsidR="00AA6BF7" w:rsidRPr="00887119">
        <w:t xml:space="preserve">this right for all Canadians. </w:t>
      </w:r>
    </w:p>
    <w:p w14:paraId="1DA97A51" w14:textId="77777777" w:rsidR="00D35DA3" w:rsidRPr="00887119" w:rsidRDefault="00D35DA3" w:rsidP="00D35DA3"/>
    <w:p w14:paraId="375F132F" w14:textId="76F1D66D" w:rsidR="0034001D" w:rsidRPr="00887119" w:rsidRDefault="00AA6BF7" w:rsidP="00D35DA3">
      <w:r w:rsidRPr="00887119">
        <w:t>In practice, access to adequate and affordable housing is closely linked to improved health outcomes</w:t>
      </w:r>
      <w:r w:rsidR="005A28C8" w:rsidRPr="00887119">
        <w:t>, economic participation, and social inclusion</w:t>
      </w:r>
      <w:r w:rsidR="00D66EFF" w:rsidRPr="00887119">
        <w:t xml:space="preserve">. Conversely, housing insecurity </w:t>
      </w:r>
      <w:r w:rsidR="00483B8A" w:rsidRPr="00887119">
        <w:t>is associated with increased pressure on healthcare, social services, and emergency systems</w:t>
      </w:r>
      <w:r w:rsidR="0057109D" w:rsidRPr="00887119">
        <w:t>,</w:t>
      </w:r>
      <w:r w:rsidR="00483B8A" w:rsidRPr="00887119">
        <w:rPr>
          <w:rStyle w:val="FootnoteReference"/>
          <w:rFonts w:cs="Arial"/>
          <w:szCs w:val="22"/>
        </w:rPr>
        <w:footnoteReference w:id="4"/>
      </w:r>
      <w:r w:rsidR="00DF3CAB" w:rsidRPr="00887119">
        <w:t xml:space="preserve"> and negatively influences </w:t>
      </w:r>
      <w:r w:rsidR="0034001D" w:rsidRPr="00887119">
        <w:t>individual and community well-being, economic participation</w:t>
      </w:r>
      <w:r w:rsidR="00475E91" w:rsidRPr="00887119">
        <w:t>,</w:t>
      </w:r>
      <w:r w:rsidR="0034001D" w:rsidRPr="00887119">
        <w:t xml:space="preserve"> and stability. </w:t>
      </w:r>
    </w:p>
    <w:p w14:paraId="2AE558FB" w14:textId="77777777" w:rsidR="00D35DA3" w:rsidRPr="00887119" w:rsidRDefault="00D35DA3" w:rsidP="00D35DA3"/>
    <w:p w14:paraId="16BCCA86" w14:textId="5CC88A17" w:rsidR="00253275" w:rsidRPr="00887119" w:rsidRDefault="00ED2248" w:rsidP="00D35DA3">
      <w:r w:rsidRPr="00887119">
        <w:t xml:space="preserve">As such, investments in affordable housing are not only </w:t>
      </w:r>
      <w:r w:rsidR="002344D6" w:rsidRPr="00887119">
        <w:t>critical</w:t>
      </w:r>
      <w:r w:rsidRPr="00887119">
        <w:t xml:space="preserve"> to meeting basic needs, but also contribute to broader socio-economic resilience and more inclusive, healthy communities. </w:t>
      </w:r>
      <w:r w:rsidR="00236E96" w:rsidRPr="00887119">
        <w:t>These impacts also have broader implications for economic performance and public systems.</w:t>
      </w:r>
    </w:p>
    <w:p w14:paraId="1A66EE4A" w14:textId="77777777" w:rsidR="00CF2863" w:rsidRPr="00887119" w:rsidRDefault="00CF2863" w:rsidP="00D35DA3"/>
    <w:p w14:paraId="105D79DF" w14:textId="77777777" w:rsidR="007D62CB" w:rsidRPr="00887119" w:rsidRDefault="007D62CB" w:rsidP="00842B20">
      <w:pPr>
        <w:pStyle w:val="Heading2"/>
      </w:pPr>
      <w:bookmarkStart w:id="14" w:name="_Toc229051939"/>
      <w:bookmarkStart w:id="15" w:name="_Toc237957420"/>
      <w:bookmarkStart w:id="16" w:name="_Toc229051937"/>
      <w:r w:rsidRPr="00887119">
        <w:t>Housing Continuum vs. Wheelhouse Model</w:t>
      </w:r>
      <w:bookmarkEnd w:id="14"/>
      <w:bookmarkEnd w:id="15"/>
    </w:p>
    <w:p w14:paraId="0FC07CBC" w14:textId="5DAEEE09" w:rsidR="00A01A39" w:rsidRPr="00887119" w:rsidRDefault="00A01A39" w:rsidP="00A01A39">
      <w:pPr>
        <w:rPr>
          <w:lang w:eastAsia="en-CA"/>
        </w:rPr>
      </w:pPr>
      <w:r w:rsidRPr="00887119">
        <w:rPr>
          <w:lang w:eastAsia="en-CA"/>
        </w:rPr>
        <w:t>Approaches to housing policy are often shaped by how the housing system itself is conceptualized. Two commonly referenced frameworks are the traditional "Housing Continuum" model</w:t>
      </w:r>
      <w:r w:rsidRPr="00887119">
        <w:rPr>
          <w:rStyle w:val="FootnoteReference"/>
          <w:lang w:eastAsia="en-CA"/>
        </w:rPr>
        <w:footnoteReference w:id="5"/>
      </w:r>
      <w:r w:rsidRPr="00887119">
        <w:rPr>
          <w:lang w:eastAsia="en-CA"/>
        </w:rPr>
        <w:t xml:space="preserve"> and the more recent "Wheelhouse" model.</w:t>
      </w:r>
      <w:bookmarkStart w:id="17" w:name="_Hlk232068585"/>
      <w:r w:rsidRPr="00887119">
        <w:rPr>
          <w:rStyle w:val="FootnoteReference"/>
          <w:lang w:eastAsia="en-CA"/>
        </w:rPr>
        <w:footnoteReference w:id="6"/>
      </w:r>
      <w:bookmarkEnd w:id="17"/>
      <w:r w:rsidRPr="00887119">
        <w:rPr>
          <w:lang w:eastAsia="en-CA"/>
        </w:rPr>
        <w:t xml:space="preserve"> Each offers a different lens for understanding housing needs, system function, and policy priorities.</w:t>
      </w:r>
    </w:p>
    <w:p w14:paraId="7EB07C34" w14:textId="77777777" w:rsidR="00A01A39" w:rsidRPr="00887119" w:rsidRDefault="00A01A39" w:rsidP="00A01A39">
      <w:pPr>
        <w:rPr>
          <w:lang w:eastAsia="en-CA"/>
        </w:rPr>
      </w:pPr>
    </w:p>
    <w:p w14:paraId="38D130E7" w14:textId="7A9B8899" w:rsidR="00A01A39" w:rsidRPr="00887119" w:rsidRDefault="00A01A39" w:rsidP="00A01A39">
      <w:pPr>
        <w:rPr>
          <w:lang w:eastAsia="en-CA"/>
        </w:rPr>
      </w:pPr>
      <w:r w:rsidRPr="00887119">
        <w:rPr>
          <w:lang w:eastAsia="en-CA"/>
        </w:rPr>
        <w:t xml:space="preserve">In recent years, housing systems across Canada have experienced </w:t>
      </w:r>
      <w:r w:rsidR="001B721E" w:rsidRPr="00887119">
        <w:rPr>
          <w:lang w:eastAsia="en-CA"/>
        </w:rPr>
        <w:t>notable</w:t>
      </w:r>
      <w:r w:rsidRPr="00887119">
        <w:rPr>
          <w:lang w:eastAsia="en-CA"/>
        </w:rPr>
        <w:t xml:space="preserve"> shifts, including rising housing costs, increased demand across the housing spectrum, and growing recognition of diverse and complex housing needs. These changes have prompted greater consideration of how well existing frameworks reflect the realities of today's ever-evolving housing system.</w:t>
      </w:r>
    </w:p>
    <w:p w14:paraId="497571F2" w14:textId="77777777" w:rsidR="007D62CB" w:rsidRPr="00887119" w:rsidRDefault="007D62CB" w:rsidP="007D62CB">
      <w:pPr>
        <w:rPr>
          <w:lang w:eastAsia="en-CA"/>
        </w:rPr>
      </w:pPr>
    </w:p>
    <w:p w14:paraId="39A12DFA" w14:textId="77777777" w:rsidR="007D62CB" w:rsidRPr="00887119" w:rsidRDefault="007D62CB" w:rsidP="007D62CB">
      <w:pPr>
        <w:pStyle w:val="Heading3"/>
      </w:pPr>
      <w:r w:rsidRPr="00887119">
        <w:lastRenderedPageBreak/>
        <w:t xml:space="preserve">The Housing Continuum Model  </w:t>
      </w:r>
    </w:p>
    <w:p w14:paraId="42C264B5" w14:textId="4473088F" w:rsidR="007D62CB" w:rsidRPr="00887119" w:rsidRDefault="000568DF" w:rsidP="007D62CB">
      <w:pPr>
        <w:rPr>
          <w:lang w:eastAsia="en-CA"/>
        </w:rPr>
      </w:pPr>
      <w:r w:rsidRPr="00887119">
        <w:rPr>
          <w:lang w:eastAsia="en-CA"/>
        </w:rPr>
        <w:t xml:space="preserve">Widely used in Canadian policy contexts is the Housing Continuum, which presents housing as a linear progression across housing tenure types, ranging from emergency shelter and supportive housing through to rental housing, and ultimately homeownership. </w:t>
      </w:r>
      <w:r w:rsidR="00391DC1" w:rsidRPr="00887119">
        <w:rPr>
          <w:lang w:eastAsia="en-CA"/>
        </w:rPr>
        <w:t>Historically, t</w:t>
      </w:r>
      <w:r w:rsidRPr="00887119">
        <w:rPr>
          <w:lang w:eastAsia="en-CA"/>
        </w:rPr>
        <w:t>his model has provided a clear and accessible framework for understanding the range of housing options available within a system. It has also been foundational to federal housing policy in Canada: the National Housing Strategy explicitly organizes investment across the full spectrum from homelessness supports to homeownership, with programs targeted at different points along that spectrum</w:t>
      </w:r>
      <w:r w:rsidR="001973BB" w:rsidRPr="00887119">
        <w:rPr>
          <w:lang w:eastAsia="en-CA"/>
        </w:rPr>
        <w:t>.</w:t>
      </w:r>
      <w:r w:rsidR="001973BB" w:rsidRPr="00887119">
        <w:rPr>
          <w:rStyle w:val="FootnoteReference"/>
          <w:lang w:eastAsia="en-CA"/>
        </w:rPr>
        <w:footnoteReference w:id="7"/>
      </w:r>
      <w:r w:rsidRPr="00887119">
        <w:rPr>
          <w:lang w:eastAsia="en-CA"/>
        </w:rPr>
        <w:t xml:space="preserve"> Its use in federal program design means that many of the funding programs available to </w:t>
      </w:r>
      <w:r w:rsidR="00402288" w:rsidRPr="00402288">
        <w:rPr>
          <w:color w:val="C00000"/>
          <w:lang w:eastAsia="en-CA"/>
        </w:rPr>
        <w:t>PEI</w:t>
      </w:r>
      <w:r w:rsidRPr="00887119">
        <w:rPr>
          <w:lang w:eastAsia="en-CA"/>
        </w:rPr>
        <w:t xml:space="preserve"> communities are themselves structured around Continuum logic.</w:t>
      </w:r>
    </w:p>
    <w:p w14:paraId="36784485" w14:textId="77777777" w:rsidR="000568DF" w:rsidRPr="00887119" w:rsidRDefault="000568DF" w:rsidP="007D62CB">
      <w:pPr>
        <w:rPr>
          <w:lang w:eastAsia="en-CA"/>
        </w:rPr>
      </w:pPr>
    </w:p>
    <w:p w14:paraId="6A3B9F8C" w14:textId="2C5EB6CE" w:rsidR="00151226" w:rsidRPr="00887119" w:rsidRDefault="00151226" w:rsidP="00151226">
      <w:pPr>
        <w:pStyle w:val="Caption"/>
      </w:pPr>
      <w:r w:rsidRPr="00887119">
        <w:t xml:space="preserve">Figure </w:t>
      </w:r>
      <w:fldSimple w:instr=" STYLEREF 1 \s ">
        <w:r w:rsidR="008D4BDE">
          <w:rPr>
            <w:noProof/>
          </w:rPr>
          <w:t>3</w:t>
        </w:r>
      </w:fldSimple>
      <w:r w:rsidR="00A6003E" w:rsidRPr="00887119">
        <w:t>.</w:t>
      </w:r>
      <w:fldSimple w:instr=" SEQ Figure \* ARABIC \s 1 ">
        <w:r w:rsidR="008D4BDE">
          <w:rPr>
            <w:noProof/>
          </w:rPr>
          <w:t>1</w:t>
        </w:r>
      </w:fldSimple>
      <w:r w:rsidRPr="00887119">
        <w:t>: The Housing Continuum model</w:t>
      </w:r>
    </w:p>
    <w:p w14:paraId="369E5217" w14:textId="77777777" w:rsidR="007D62CB" w:rsidRPr="00887119" w:rsidRDefault="007D62CB" w:rsidP="007D62CB">
      <w:pPr>
        <w:rPr>
          <w:lang w:eastAsia="en-CA"/>
        </w:rPr>
      </w:pPr>
      <w:r w:rsidRPr="00887119">
        <w:rPr>
          <w:rFonts w:cs="Arial"/>
          <w:bCs/>
          <w:noProof/>
          <w:szCs w:val="22"/>
          <w:bdr w:val="none" w:sz="0" w:space="0" w:color="auto" w:frame="1"/>
          <w:lang w:eastAsia="en-CA"/>
        </w:rPr>
        <w:drawing>
          <wp:inline distT="0" distB="0" distL="0" distR="0" wp14:anchorId="3E486AA6" wp14:editId="3BBC7C7B">
            <wp:extent cx="5943600" cy="1297556"/>
            <wp:effectExtent l="0" t="0" r="0" b="0"/>
            <wp:docPr id="1655020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t="7955"/>
                    <a:stretch>
                      <a:fillRect/>
                    </a:stretch>
                  </pic:blipFill>
                  <pic:spPr bwMode="auto">
                    <a:xfrm>
                      <a:off x="0" y="0"/>
                      <a:ext cx="5943600" cy="1297556"/>
                    </a:xfrm>
                    <a:prstGeom prst="rect">
                      <a:avLst/>
                    </a:prstGeom>
                    <a:noFill/>
                    <a:ln>
                      <a:noFill/>
                    </a:ln>
                    <a:extLst>
                      <a:ext uri="{53640926-AAD7-44D8-BBD7-CCE9431645EC}">
                        <a14:shadowObscured xmlns:a14="http://schemas.microsoft.com/office/drawing/2010/main"/>
                      </a:ext>
                    </a:extLst>
                  </pic:spPr>
                </pic:pic>
              </a:graphicData>
            </a:graphic>
          </wp:inline>
        </w:drawing>
      </w:r>
    </w:p>
    <w:p w14:paraId="4C5182A8" w14:textId="7FCCAE1C" w:rsidR="007D62CB" w:rsidRPr="00887119" w:rsidRDefault="00151226" w:rsidP="00151226">
      <w:pPr>
        <w:pStyle w:val="Source"/>
        <w:rPr>
          <w:lang w:eastAsia="en-CA"/>
        </w:rPr>
      </w:pPr>
      <w:r w:rsidRPr="00887119">
        <w:rPr>
          <w:lang w:eastAsia="en-CA"/>
        </w:rPr>
        <w:t>Source: Canada Mortgage &amp; Housing Corporation</w:t>
      </w:r>
    </w:p>
    <w:p w14:paraId="0E66173F" w14:textId="77777777" w:rsidR="00151226" w:rsidRPr="00887119" w:rsidRDefault="00151226" w:rsidP="007D62CB">
      <w:pPr>
        <w:rPr>
          <w:lang w:eastAsia="en-CA"/>
        </w:rPr>
      </w:pPr>
    </w:p>
    <w:p w14:paraId="77B88237" w14:textId="43695EE5" w:rsidR="00D11861" w:rsidRPr="00887119" w:rsidRDefault="007D62CB" w:rsidP="00D11861">
      <w:pPr>
        <w:rPr>
          <w:lang w:eastAsia="en-CA"/>
        </w:rPr>
      </w:pPr>
      <w:r w:rsidRPr="00887119">
        <w:rPr>
          <w:lang w:eastAsia="en-CA"/>
        </w:rPr>
        <w:t>The Continuum is grounded in the assumption that households will, over time, move along this spectrum as their</w:t>
      </w:r>
      <w:r w:rsidR="00CC362A" w:rsidRPr="00887119">
        <w:rPr>
          <w:lang w:eastAsia="en-CA"/>
        </w:rPr>
        <w:t xml:space="preserve"> </w:t>
      </w:r>
      <w:r w:rsidRPr="00887119">
        <w:rPr>
          <w:lang w:eastAsia="en-CA"/>
        </w:rPr>
        <w:t xml:space="preserve">incomes and circumstances evolve. In this framing, homeownership is often positioned as the desired or “ultimate” outcome. </w:t>
      </w:r>
      <w:r w:rsidR="00D11861" w:rsidRPr="00887119">
        <w:rPr>
          <w:lang w:eastAsia="en-CA"/>
        </w:rPr>
        <w:t>This model offers several benefits:</w:t>
      </w:r>
    </w:p>
    <w:p w14:paraId="3C375AD1" w14:textId="77777777" w:rsidR="00D11861" w:rsidRPr="00887119" w:rsidRDefault="00D11861" w:rsidP="00D11861">
      <w:pPr>
        <w:rPr>
          <w:lang w:eastAsia="en-CA"/>
        </w:rPr>
      </w:pPr>
    </w:p>
    <w:p w14:paraId="7C687675" w14:textId="77777777" w:rsidR="00D11861" w:rsidRPr="00887119" w:rsidRDefault="00D11861" w:rsidP="00FE550C">
      <w:pPr>
        <w:numPr>
          <w:ilvl w:val="0"/>
          <w:numId w:val="8"/>
        </w:numPr>
        <w:tabs>
          <w:tab w:val="clear" w:pos="720"/>
        </w:tabs>
        <w:rPr>
          <w:lang w:eastAsia="en-CA"/>
        </w:rPr>
      </w:pPr>
      <w:r w:rsidRPr="00887119">
        <w:rPr>
          <w:lang w:eastAsia="en-CA"/>
        </w:rPr>
        <w:t>Provides a simple and widely understood framework for organizing housing types</w:t>
      </w:r>
    </w:p>
    <w:p w14:paraId="4E9557B8" w14:textId="77777777" w:rsidR="00D11861" w:rsidRPr="00887119" w:rsidRDefault="00D11861" w:rsidP="00FE550C">
      <w:pPr>
        <w:numPr>
          <w:ilvl w:val="0"/>
          <w:numId w:val="8"/>
        </w:numPr>
        <w:tabs>
          <w:tab w:val="clear" w:pos="720"/>
        </w:tabs>
        <w:rPr>
          <w:lang w:eastAsia="en-CA"/>
        </w:rPr>
      </w:pPr>
      <w:r w:rsidRPr="00887119">
        <w:rPr>
          <w:lang w:eastAsia="en-CA"/>
        </w:rPr>
        <w:t>Supports program design that aligns housing options with income levels</w:t>
      </w:r>
    </w:p>
    <w:p w14:paraId="5253195D" w14:textId="77777777" w:rsidR="00D11861" w:rsidRPr="00887119" w:rsidRDefault="00D11861" w:rsidP="00FE550C">
      <w:pPr>
        <w:numPr>
          <w:ilvl w:val="0"/>
          <w:numId w:val="8"/>
        </w:numPr>
        <w:tabs>
          <w:tab w:val="clear" w:pos="720"/>
        </w:tabs>
        <w:rPr>
          <w:lang w:eastAsia="en-CA"/>
        </w:rPr>
      </w:pPr>
      <w:r w:rsidRPr="00887119">
        <w:rPr>
          <w:lang w:eastAsia="en-CA"/>
        </w:rPr>
        <w:t>Reflects common life-course transitions for many households</w:t>
      </w:r>
    </w:p>
    <w:p w14:paraId="5573A35F" w14:textId="77777777" w:rsidR="00D11861" w:rsidRPr="00887119" w:rsidRDefault="00D11861" w:rsidP="00D11861">
      <w:pPr>
        <w:rPr>
          <w:lang w:eastAsia="en-CA"/>
        </w:rPr>
      </w:pPr>
    </w:p>
    <w:p w14:paraId="5900F7B9" w14:textId="77777777" w:rsidR="00D11861" w:rsidRPr="00887119" w:rsidRDefault="00D11861" w:rsidP="00D11861">
      <w:pPr>
        <w:rPr>
          <w:lang w:eastAsia="en-CA"/>
        </w:rPr>
      </w:pPr>
      <w:r w:rsidRPr="00887119">
        <w:rPr>
          <w:lang w:eastAsia="en-CA"/>
        </w:rPr>
        <w:t>However, in practice, the Continuum model also has limitations:</w:t>
      </w:r>
    </w:p>
    <w:p w14:paraId="119EF81A" w14:textId="77777777" w:rsidR="00D11861" w:rsidRPr="00887119" w:rsidRDefault="00D11861" w:rsidP="00D11861">
      <w:pPr>
        <w:rPr>
          <w:lang w:eastAsia="en-CA"/>
        </w:rPr>
      </w:pPr>
    </w:p>
    <w:p w14:paraId="152C667A" w14:textId="77777777" w:rsidR="00D11861" w:rsidRPr="00887119" w:rsidRDefault="00D11861" w:rsidP="00FE550C">
      <w:pPr>
        <w:numPr>
          <w:ilvl w:val="0"/>
          <w:numId w:val="9"/>
        </w:numPr>
        <w:tabs>
          <w:tab w:val="clear" w:pos="720"/>
        </w:tabs>
        <w:rPr>
          <w:lang w:eastAsia="en-CA"/>
        </w:rPr>
      </w:pPr>
      <w:r w:rsidRPr="00887119">
        <w:rPr>
          <w:lang w:eastAsia="en-CA"/>
        </w:rPr>
        <w:t>It assumes linear progression across the Continuum, which may not reflect the social and economic realities of many households</w:t>
      </w:r>
    </w:p>
    <w:p w14:paraId="636409DF" w14:textId="77777777" w:rsidR="00D11861" w:rsidRPr="00887119" w:rsidRDefault="00D11861" w:rsidP="00FE550C">
      <w:pPr>
        <w:numPr>
          <w:ilvl w:val="0"/>
          <w:numId w:val="9"/>
        </w:numPr>
        <w:tabs>
          <w:tab w:val="clear" w:pos="720"/>
        </w:tabs>
        <w:rPr>
          <w:lang w:eastAsia="en-CA"/>
        </w:rPr>
      </w:pPr>
      <w:r w:rsidRPr="00887119">
        <w:rPr>
          <w:lang w:eastAsia="en-CA"/>
        </w:rPr>
        <w:t>It risks implicitly prioritizing certain housing tenures over others</w:t>
      </w:r>
    </w:p>
    <w:p w14:paraId="0FDB88A8" w14:textId="77777777" w:rsidR="00D11861" w:rsidRPr="00887119" w:rsidRDefault="00D11861" w:rsidP="00FE550C">
      <w:pPr>
        <w:numPr>
          <w:ilvl w:val="0"/>
          <w:numId w:val="9"/>
        </w:numPr>
        <w:tabs>
          <w:tab w:val="clear" w:pos="720"/>
        </w:tabs>
        <w:rPr>
          <w:lang w:eastAsia="en-CA"/>
        </w:rPr>
      </w:pPr>
      <w:r w:rsidRPr="00887119">
        <w:rPr>
          <w:lang w:eastAsia="en-CA"/>
        </w:rPr>
        <w:t>It does not fully account for the cyclical or non-linear nature of housing need</w:t>
      </w:r>
    </w:p>
    <w:p w14:paraId="741643EF" w14:textId="77777777" w:rsidR="00D11861" w:rsidRPr="00887119" w:rsidRDefault="00D11861" w:rsidP="00FE550C">
      <w:pPr>
        <w:numPr>
          <w:ilvl w:val="0"/>
          <w:numId w:val="9"/>
        </w:numPr>
        <w:tabs>
          <w:tab w:val="clear" w:pos="720"/>
        </w:tabs>
        <w:rPr>
          <w:lang w:eastAsia="en-CA"/>
        </w:rPr>
      </w:pPr>
      <w:r w:rsidRPr="00887119">
        <w:rPr>
          <w:lang w:eastAsia="en-CA"/>
        </w:rPr>
        <w:t>It may not adequately capture the role of long-term or permanent rental and supportive housing as valid and stable housing outcomes in their own right</w:t>
      </w:r>
    </w:p>
    <w:p w14:paraId="15391CCA" w14:textId="4C26E38F" w:rsidR="00D11861" w:rsidRPr="00887119" w:rsidRDefault="00D11861" w:rsidP="00FE550C">
      <w:pPr>
        <w:numPr>
          <w:ilvl w:val="0"/>
          <w:numId w:val="9"/>
        </w:numPr>
        <w:tabs>
          <w:tab w:val="clear" w:pos="720"/>
        </w:tabs>
        <w:rPr>
          <w:lang w:eastAsia="en-CA"/>
        </w:rPr>
      </w:pPr>
      <w:r w:rsidRPr="00887119">
        <w:rPr>
          <w:lang w:eastAsia="en-CA"/>
        </w:rPr>
        <w:t xml:space="preserve">It does not adequately account for reverse movement along the spectrum </w:t>
      </w:r>
      <w:r w:rsidR="00A11916" w:rsidRPr="00887119">
        <w:rPr>
          <w:lang w:eastAsia="en-CA"/>
        </w:rPr>
        <w:t xml:space="preserve">(e.g., </w:t>
      </w:r>
      <w:r w:rsidRPr="00887119">
        <w:rPr>
          <w:lang w:eastAsia="en-CA"/>
        </w:rPr>
        <w:t>seniors transitioning out of homeownership or households losing owned housing due to financial stress or inadequacy</w:t>
      </w:r>
      <w:r w:rsidR="00B353C7" w:rsidRPr="00887119">
        <w:rPr>
          <w:lang w:eastAsia="en-CA"/>
        </w:rPr>
        <w:t>)</w:t>
      </w:r>
    </w:p>
    <w:p w14:paraId="5131B48E" w14:textId="77777777" w:rsidR="007D62CB" w:rsidRPr="00887119" w:rsidRDefault="007D62CB" w:rsidP="007D62CB">
      <w:pPr>
        <w:rPr>
          <w:lang w:eastAsia="en-CA"/>
        </w:rPr>
      </w:pPr>
    </w:p>
    <w:p w14:paraId="7AE88C04" w14:textId="77777777" w:rsidR="007D62CB" w:rsidRPr="00887119" w:rsidRDefault="007D62CB" w:rsidP="007D62CB">
      <w:pPr>
        <w:rPr>
          <w:lang w:eastAsia="en-CA"/>
        </w:rPr>
      </w:pPr>
      <w:r w:rsidRPr="00887119">
        <w:rPr>
          <w:lang w:eastAsia="en-CA"/>
        </w:rPr>
        <w:lastRenderedPageBreak/>
        <w:t xml:space="preserve">In practice, households may “move” in multiple directions across housing types due to changes in income, health, family structure, and/or broader market and economic conditions. </w:t>
      </w:r>
    </w:p>
    <w:p w14:paraId="64A6F913" w14:textId="77777777" w:rsidR="00C77CAD" w:rsidRPr="00887119" w:rsidRDefault="00C77CAD" w:rsidP="007D62CB">
      <w:pPr>
        <w:rPr>
          <w:lang w:eastAsia="en-CA"/>
        </w:rPr>
      </w:pPr>
    </w:p>
    <w:p w14:paraId="46506CE4" w14:textId="77777777" w:rsidR="007D62CB" w:rsidRPr="00887119" w:rsidRDefault="007D62CB" w:rsidP="007D62CB">
      <w:pPr>
        <w:pStyle w:val="Heading3"/>
      </w:pPr>
      <w:r w:rsidRPr="00887119">
        <w:t xml:space="preserve">The Wheelhouse Model </w:t>
      </w:r>
    </w:p>
    <w:p w14:paraId="57545F0C" w14:textId="31F3388E" w:rsidR="001F352E" w:rsidRPr="00887119" w:rsidRDefault="001F352E" w:rsidP="007D62CB">
      <w:pPr>
        <w:rPr>
          <w:lang w:eastAsia="en-CA"/>
        </w:rPr>
      </w:pPr>
      <w:r w:rsidRPr="00887119">
        <w:rPr>
          <w:lang w:eastAsia="en-CA"/>
        </w:rPr>
        <w:t>The Wheelhouse Model reframes housing as an interconnected system rather than a linear pathway across housing types. Developed by the City of Kelowna in partnership with Urban Matters as part of a Housing Needs Assessment, the Wheelhouse was recognized with the Planning Institute of British Columbia's gold award for excellence in policy planning, and has since been adopted as a framework by housing planners across the country. Often described as an ecosystem approach, it recognizes that households may move between different housing types over time, depending on their unique needs and circumstances, without a prescribed or hierarchical end point such as homeownership.</w:t>
      </w:r>
    </w:p>
    <w:p w14:paraId="05165169" w14:textId="77777777" w:rsidR="00A6003E" w:rsidRPr="00887119" w:rsidRDefault="00A6003E" w:rsidP="007D62CB">
      <w:pPr>
        <w:rPr>
          <w:lang w:eastAsia="en-CA"/>
        </w:rPr>
      </w:pPr>
    </w:p>
    <w:p w14:paraId="16ABD238" w14:textId="5C1E6D5D" w:rsidR="00A6003E" w:rsidRPr="00887119" w:rsidRDefault="00A6003E" w:rsidP="00A6003E">
      <w:pPr>
        <w:pStyle w:val="Caption"/>
        <w:jc w:val="left"/>
      </w:pPr>
      <w:r w:rsidRPr="00887119">
        <w:t xml:space="preserve">Figure </w:t>
      </w:r>
      <w:fldSimple w:instr=" STYLEREF 1 \s ">
        <w:r w:rsidR="008D4BDE">
          <w:rPr>
            <w:noProof/>
          </w:rPr>
          <w:t>3</w:t>
        </w:r>
      </w:fldSimple>
      <w:r w:rsidRPr="00887119">
        <w:t>.</w:t>
      </w:r>
      <w:fldSimple w:instr=" SEQ Figure \* ARABIC \s 1 ">
        <w:r w:rsidR="008D4BDE">
          <w:rPr>
            <w:noProof/>
          </w:rPr>
          <w:t>2</w:t>
        </w:r>
      </w:fldSimple>
      <w:r w:rsidRPr="00887119">
        <w:t>: The Wheelhouse model</w:t>
      </w:r>
    </w:p>
    <w:p w14:paraId="2AE3E362" w14:textId="15974005" w:rsidR="00CB3383" w:rsidRPr="00887119" w:rsidRDefault="00367DF7" w:rsidP="00602A32">
      <w:pPr>
        <w:jc w:val="center"/>
        <w:rPr>
          <w:lang w:eastAsia="en-CA"/>
        </w:rPr>
      </w:pPr>
      <w:r>
        <w:rPr>
          <w:noProof/>
        </w:rPr>
        <mc:AlternateContent>
          <mc:Choice Requires="wpg">
            <w:drawing>
              <wp:inline distT="0" distB="0" distL="0" distR="0" wp14:anchorId="667FAE6B" wp14:editId="3636D0DD">
                <wp:extent cx="4241200" cy="3492963"/>
                <wp:effectExtent l="0" t="0" r="0" b="0"/>
                <wp:docPr id="104" name="Group 103">
                  <a:extLst xmlns:a="http://schemas.openxmlformats.org/drawingml/2006/main">
                    <a:ext uri="{FF2B5EF4-FFF2-40B4-BE49-F238E27FC236}">
                      <a16:creationId xmlns:a16="http://schemas.microsoft.com/office/drawing/2014/main" id="{793F8158-5439-450E-952B-C3CE21BF3ADD}"/>
                    </a:ext>
                  </a:extLst>
                </wp:docPr>
                <wp:cNvGraphicFramePr/>
                <a:graphic xmlns:a="http://schemas.openxmlformats.org/drawingml/2006/main">
                  <a:graphicData uri="http://schemas.microsoft.com/office/word/2010/wordprocessingGroup">
                    <wpg:wgp>
                      <wpg:cNvGrpSpPr/>
                      <wpg:grpSpPr>
                        <a:xfrm>
                          <a:off x="0" y="0"/>
                          <a:ext cx="4241200" cy="3492963"/>
                          <a:chOff x="0" y="0"/>
                          <a:chExt cx="4224982" cy="3437393"/>
                        </a:xfrm>
                      </wpg:grpSpPr>
                      <wpg:grpSp>
                        <wpg:cNvPr id="1235650712" name="Group 1235650712">
                          <a:extLst>
                            <a:ext uri="{FF2B5EF4-FFF2-40B4-BE49-F238E27FC236}">
                              <a16:creationId xmlns:a16="http://schemas.microsoft.com/office/drawing/2014/main" id="{BA504B03-9CC4-409C-B5E1-28DEF4024B8A}"/>
                            </a:ext>
                          </a:extLst>
                        </wpg:cNvPr>
                        <wpg:cNvGrpSpPr/>
                        <wpg:grpSpPr>
                          <a:xfrm>
                            <a:off x="558449" y="0"/>
                            <a:ext cx="3275388" cy="3150151"/>
                            <a:chOff x="558449" y="0"/>
                            <a:chExt cx="3276747" cy="3179539"/>
                          </a:xfrm>
                        </wpg:grpSpPr>
                        <wpg:graphicFrame>
                          <wpg:cNvPr id="383046072" name="Chart 383046072">
                            <a:extLst>
                              <a:ext uri="{FF2B5EF4-FFF2-40B4-BE49-F238E27FC236}">
                                <a16:creationId xmlns:a16="http://schemas.microsoft.com/office/drawing/2014/main" id="{893CE1CA-D768-47DB-BA2B-4217176AE397}"/>
                              </a:ext>
                            </a:extLst>
                          </wpg:cNvPr>
                          <wpg:cNvFrPr/>
                          <wpg:xfrm>
                            <a:off x="790775" y="225152"/>
                            <a:ext cx="2809877" cy="2743200"/>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292711282" name="Chart 292711282">
                            <a:extLst>
                              <a:ext uri="{FF2B5EF4-FFF2-40B4-BE49-F238E27FC236}">
                                <a16:creationId xmlns:a16="http://schemas.microsoft.com/office/drawing/2014/main" id="{EBB61A12-C2F9-4B09-80F3-CBEC89D3DC1B}"/>
                              </a:ext>
                            </a:extLst>
                          </wpg:cNvPr>
                          <wpg:cNvFrPr>
                            <a:graphicFrameLocks/>
                          </wpg:cNvFrPr>
                          <wpg:xfrm>
                            <a:off x="558449" y="0"/>
                            <a:ext cx="3276747" cy="3179539"/>
                          </wpg:xfrm>
                          <a:graphic>
                            <a:graphicData uri="http://schemas.openxmlformats.org/drawingml/2006/chart">
                              <c:chart xmlns:c="http://schemas.openxmlformats.org/drawingml/2006/chart" xmlns:r="http://schemas.openxmlformats.org/officeDocument/2006/relationships" r:id="rId15"/>
                            </a:graphicData>
                          </a:graphic>
                        </wpg:graphicFrame>
                      </wpg:grpSp>
                      <wps:wsp>
                        <wps:cNvPr id="1769551762" name="TextBox 105">
                          <a:extLst>
                            <a:ext uri="{FF2B5EF4-FFF2-40B4-BE49-F238E27FC236}">
                              <a16:creationId xmlns:a16="http://schemas.microsoft.com/office/drawing/2014/main" id="{C5D056C3-B5C3-4EFB-A212-8FDA105BC8E3}"/>
                            </a:ext>
                          </a:extLst>
                        </wps:cNvPr>
                        <wps:cNvSpPr txBox="1"/>
                        <wps:spPr>
                          <a:xfrm>
                            <a:off x="1790682" y="2981218"/>
                            <a:ext cx="1575736" cy="456175"/>
                          </a:xfrm>
                          <a:prstGeom prst="rect">
                            <a:avLst/>
                          </a:prstGeom>
                          <a:noFill/>
                          <a:ln>
                            <a:noFill/>
                          </a:ln>
                        </wps:spPr>
                        <wps:style>
                          <a:lnRef idx="0">
                            <a:scrgbClr r="0" g="0" b="0"/>
                          </a:lnRef>
                          <a:fillRef idx="0">
                            <a:scrgbClr r="0" g="0" b="0"/>
                          </a:fillRef>
                          <a:effectRef idx="0">
                            <a:scrgbClr r="0" g="0" b="0"/>
                          </a:effectRef>
                          <a:fontRef idx="minor">
                            <a:schemeClr val="tx1"/>
                          </a:fontRef>
                        </wps:style>
                        <wps:txbx>
                          <w:txbxContent>
                            <w:p w14:paraId="1090B750" w14:textId="77777777" w:rsidR="00367DF7" w:rsidRDefault="00367DF7" w:rsidP="00367DF7">
                              <w:pPr>
                                <w:jc w:val="right"/>
                                <w:rPr>
                                  <w:rFonts w:cs="Arial"/>
                                  <w:color w:val="05020E" w:themeColor="accent4" w:themeShade="BF"/>
                                  <w:kern w:val="0"/>
                                  <w:sz w:val="24"/>
                                  <w14:ligatures w14:val="none"/>
                                </w:rPr>
                              </w:pPr>
                              <w:r>
                                <w:rPr>
                                  <w:rFonts w:cs="Arial"/>
                                  <w:color w:val="05020E" w:themeColor="accent4" w:themeShade="BF"/>
                                </w:rPr>
                                <w:t xml:space="preserve">Housing </w:t>
                              </w:r>
                            </w:p>
                            <w:p w14:paraId="1AD52672" w14:textId="77777777" w:rsidR="00367DF7" w:rsidRDefault="00367DF7" w:rsidP="00367DF7">
                              <w:pPr>
                                <w:jc w:val="right"/>
                                <w:textAlignment w:val="baseline"/>
                                <w:rPr>
                                  <w:rFonts w:cs="Arial"/>
                                  <w:color w:val="05020E" w:themeColor="accent4" w:themeShade="BF"/>
                                </w:rPr>
                              </w:pPr>
                              <w:r>
                                <w:rPr>
                                  <w:rFonts w:cs="Arial"/>
                                  <w:color w:val="05020E" w:themeColor="accent4" w:themeShade="BF"/>
                                </w:rPr>
                                <w:t>With Supports</w:t>
                              </w:r>
                            </w:p>
                          </w:txbxContent>
                        </wps:txbx>
                        <wps:bodyPr wrap="square" rtlCol="0" anchor="ctr">
                          <a:spAutoFit/>
                        </wps:bodyPr>
                      </wps:wsp>
                      <wps:wsp>
                        <wps:cNvPr id="506675360" name="TextBox 106">
                          <a:extLst>
                            <a:ext uri="{FF2B5EF4-FFF2-40B4-BE49-F238E27FC236}">
                              <a16:creationId xmlns:a16="http://schemas.microsoft.com/office/drawing/2014/main" id="{0879C77C-3F05-4CFB-B875-52A876156D85}"/>
                            </a:ext>
                          </a:extLst>
                        </wps:cNvPr>
                        <wps:cNvSpPr txBox="1"/>
                        <wps:spPr>
                          <a:xfrm>
                            <a:off x="3334953" y="17320"/>
                            <a:ext cx="890029" cy="45617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E30A798" w14:textId="77777777" w:rsidR="00367DF7" w:rsidRDefault="00367DF7" w:rsidP="00367DF7">
                              <w:pPr>
                                <w:jc w:val="right"/>
                                <w:rPr>
                                  <w:rFonts w:cs="Arial"/>
                                  <w:color w:val="B37400" w:themeColor="accent5"/>
                                  <w:kern w:val="0"/>
                                  <w:sz w:val="24"/>
                                  <w14:ligatures w14:val="none"/>
                                </w:rPr>
                              </w:pPr>
                              <w:r>
                                <w:rPr>
                                  <w:rFonts w:cs="Arial"/>
                                  <w:color w:val="B37400" w:themeColor="accent5"/>
                                </w:rPr>
                                <w:t xml:space="preserve">Safety </w:t>
                              </w:r>
                            </w:p>
                            <w:p w14:paraId="2B9A7DA9" w14:textId="77777777" w:rsidR="00367DF7" w:rsidRDefault="00367DF7" w:rsidP="00367DF7">
                              <w:pPr>
                                <w:jc w:val="right"/>
                                <w:textAlignment w:val="baseline"/>
                                <w:rPr>
                                  <w:rFonts w:cs="Arial"/>
                                  <w:color w:val="B37400" w:themeColor="accent5"/>
                                </w:rPr>
                              </w:pPr>
                              <w:r>
                                <w:rPr>
                                  <w:rFonts w:cs="Arial"/>
                                  <w:color w:val="B37400" w:themeColor="accent5"/>
                                </w:rPr>
                                <w:t>Net</w:t>
                              </w:r>
                            </w:p>
                          </w:txbxContent>
                        </wps:txbx>
                        <wps:bodyPr wrap="square" rtlCol="0" anchor="ctr">
                          <a:spAutoFit/>
                        </wps:bodyPr>
                      </wps:wsp>
                      <wps:wsp>
                        <wps:cNvPr id="796988503" name="TextBox 107">
                          <a:extLst>
                            <a:ext uri="{FF2B5EF4-FFF2-40B4-BE49-F238E27FC236}">
                              <a16:creationId xmlns:a16="http://schemas.microsoft.com/office/drawing/2014/main" id="{0A2495A0-D513-4092-A5EE-B662C373967A}"/>
                            </a:ext>
                          </a:extLst>
                        </wps:cNvPr>
                        <wps:cNvSpPr txBox="1"/>
                        <wps:spPr>
                          <a:xfrm>
                            <a:off x="0" y="1295506"/>
                            <a:ext cx="871051" cy="45617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0D39795" w14:textId="77777777" w:rsidR="00367DF7" w:rsidRDefault="00367DF7" w:rsidP="00367DF7">
                              <w:pPr>
                                <w:rPr>
                                  <w:rFonts w:cs="Arial"/>
                                  <w:color w:val="314868" w:themeColor="accent3" w:themeShade="BF"/>
                                  <w:kern w:val="0"/>
                                  <w:sz w:val="24"/>
                                  <w14:ligatures w14:val="none"/>
                                </w:rPr>
                              </w:pPr>
                              <w:r>
                                <w:rPr>
                                  <w:rFonts w:cs="Arial"/>
                                  <w:color w:val="314868" w:themeColor="accent3" w:themeShade="BF"/>
                                </w:rPr>
                                <w:t xml:space="preserve">Market </w:t>
                              </w:r>
                            </w:p>
                            <w:p w14:paraId="306B0B24" w14:textId="77777777" w:rsidR="00367DF7" w:rsidRDefault="00367DF7" w:rsidP="00367DF7">
                              <w:pPr>
                                <w:rPr>
                                  <w:rFonts w:cs="Arial"/>
                                  <w:color w:val="314868" w:themeColor="accent3" w:themeShade="BF"/>
                                </w:rPr>
                              </w:pPr>
                              <w:r>
                                <w:rPr>
                                  <w:rFonts w:cs="Arial"/>
                                  <w:color w:val="314868" w:themeColor="accent3" w:themeShade="BF"/>
                                </w:rPr>
                                <w:t>Housing</w:t>
                              </w:r>
                            </w:p>
                          </w:txbxContent>
                        </wps:txbx>
                        <wps:bodyPr wrap="square" rtlCol="0" anchor="ctr">
                          <a:spAutoFit/>
                        </wps:bodyPr>
                      </wps:wsp>
                      <wps:wsp>
                        <wps:cNvPr id="191199476" name="Freeform: Shape 191199476">
                          <a:extLst>
                            <a:ext uri="{FF2B5EF4-FFF2-40B4-BE49-F238E27FC236}">
                              <a16:creationId xmlns:a16="http://schemas.microsoft.com/office/drawing/2014/main" id="{B093B070-6AF7-4A40-8079-23CD3C341D46}"/>
                            </a:ext>
                          </a:extLst>
                        </wps:cNvPr>
                        <wps:cNvSpPr/>
                        <wps:spPr>
                          <a:xfrm>
                            <a:off x="3168302" y="2298765"/>
                            <a:ext cx="424961" cy="695325"/>
                          </a:xfrm>
                          <a:custGeom>
                            <a:avLst/>
                            <a:gdLst>
                              <a:gd name="connsiteX0" fmla="*/ 285750 w 424961"/>
                              <a:gd name="connsiteY0" fmla="*/ 0 h 695325"/>
                              <a:gd name="connsiteX1" fmla="*/ 419100 w 424961"/>
                              <a:gd name="connsiteY1" fmla="*/ 314325 h 695325"/>
                              <a:gd name="connsiteX2" fmla="*/ 114300 w 424961"/>
                              <a:gd name="connsiteY2" fmla="*/ 571500 h 695325"/>
                              <a:gd name="connsiteX3" fmla="*/ 0 w 424961"/>
                              <a:gd name="connsiteY3" fmla="*/ 695325 h 695325"/>
                            </a:gdLst>
                            <a:ahLst/>
                            <a:cxnLst>
                              <a:cxn ang="0">
                                <a:pos x="connsiteX0" y="connsiteY0"/>
                              </a:cxn>
                              <a:cxn ang="0">
                                <a:pos x="connsiteX1" y="connsiteY1"/>
                              </a:cxn>
                              <a:cxn ang="0">
                                <a:pos x="connsiteX2" y="connsiteY2"/>
                              </a:cxn>
                              <a:cxn ang="0">
                                <a:pos x="connsiteX3" y="connsiteY3"/>
                              </a:cxn>
                            </a:cxnLst>
                            <a:rect l="l" t="t" r="r" b="b"/>
                            <a:pathLst>
                              <a:path w="424961" h="695325">
                                <a:moveTo>
                                  <a:pt x="285750" y="0"/>
                                </a:moveTo>
                                <a:cubicBezTo>
                                  <a:pt x="366712" y="109537"/>
                                  <a:pt x="447675" y="219075"/>
                                  <a:pt x="419100" y="314325"/>
                                </a:cubicBezTo>
                                <a:cubicBezTo>
                                  <a:pt x="390525" y="409575"/>
                                  <a:pt x="184150" y="508000"/>
                                  <a:pt x="114300" y="571500"/>
                                </a:cubicBezTo>
                                <a:cubicBezTo>
                                  <a:pt x="44450" y="635000"/>
                                  <a:pt x="22225" y="665162"/>
                                  <a:pt x="0" y="695325"/>
                                </a:cubicBezTo>
                              </a:path>
                            </a:pathLst>
                          </a:cu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105676194" name="Freeform: Shape 2105676194">
                          <a:extLst>
                            <a:ext uri="{FF2B5EF4-FFF2-40B4-BE49-F238E27FC236}">
                              <a16:creationId xmlns:a16="http://schemas.microsoft.com/office/drawing/2014/main" id="{B771D8F2-9734-46DC-9F9A-4F56E7E974EF}"/>
                            </a:ext>
                          </a:extLst>
                        </wps:cNvPr>
                        <wps:cNvSpPr/>
                        <wps:spPr>
                          <a:xfrm rot="6497142">
                            <a:off x="419716" y="1763746"/>
                            <a:ext cx="424961" cy="695325"/>
                          </a:xfrm>
                          <a:custGeom>
                            <a:avLst/>
                            <a:gdLst>
                              <a:gd name="connsiteX0" fmla="*/ 285750 w 424961"/>
                              <a:gd name="connsiteY0" fmla="*/ 0 h 695325"/>
                              <a:gd name="connsiteX1" fmla="*/ 419100 w 424961"/>
                              <a:gd name="connsiteY1" fmla="*/ 314325 h 695325"/>
                              <a:gd name="connsiteX2" fmla="*/ 114300 w 424961"/>
                              <a:gd name="connsiteY2" fmla="*/ 571500 h 695325"/>
                              <a:gd name="connsiteX3" fmla="*/ 0 w 424961"/>
                              <a:gd name="connsiteY3" fmla="*/ 695325 h 695325"/>
                            </a:gdLst>
                            <a:ahLst/>
                            <a:cxnLst>
                              <a:cxn ang="0">
                                <a:pos x="connsiteX0" y="connsiteY0"/>
                              </a:cxn>
                              <a:cxn ang="0">
                                <a:pos x="connsiteX1" y="connsiteY1"/>
                              </a:cxn>
                              <a:cxn ang="0">
                                <a:pos x="connsiteX2" y="connsiteY2"/>
                              </a:cxn>
                              <a:cxn ang="0">
                                <a:pos x="connsiteX3" y="connsiteY3"/>
                              </a:cxn>
                            </a:cxnLst>
                            <a:rect l="l" t="t" r="r" b="b"/>
                            <a:pathLst>
                              <a:path w="424961" h="695325">
                                <a:moveTo>
                                  <a:pt x="285750" y="0"/>
                                </a:moveTo>
                                <a:cubicBezTo>
                                  <a:pt x="366712" y="109537"/>
                                  <a:pt x="447675" y="219075"/>
                                  <a:pt x="419100" y="314325"/>
                                </a:cubicBezTo>
                                <a:cubicBezTo>
                                  <a:pt x="390525" y="409575"/>
                                  <a:pt x="184150" y="508000"/>
                                  <a:pt x="114300" y="571500"/>
                                </a:cubicBezTo>
                                <a:cubicBezTo>
                                  <a:pt x="44450" y="635000"/>
                                  <a:pt x="22225" y="665162"/>
                                  <a:pt x="0" y="695325"/>
                                </a:cubicBezTo>
                              </a:path>
                            </a:pathLst>
                          </a:cu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507842942" name="Freeform: Shape 507842942">
                          <a:extLst>
                            <a:ext uri="{FF2B5EF4-FFF2-40B4-BE49-F238E27FC236}">
                              <a16:creationId xmlns:a16="http://schemas.microsoft.com/office/drawing/2014/main" id="{70F0B1CA-86D3-4011-BEC4-CBA1DFFD79EF}"/>
                            </a:ext>
                          </a:extLst>
                        </wps:cNvPr>
                        <wps:cNvSpPr/>
                        <wps:spPr>
                          <a:xfrm rot="14535524">
                            <a:off x="3139140" y="-57522"/>
                            <a:ext cx="424961" cy="695325"/>
                          </a:xfrm>
                          <a:custGeom>
                            <a:avLst/>
                            <a:gdLst>
                              <a:gd name="connsiteX0" fmla="*/ 285750 w 424961"/>
                              <a:gd name="connsiteY0" fmla="*/ 0 h 695325"/>
                              <a:gd name="connsiteX1" fmla="*/ 419100 w 424961"/>
                              <a:gd name="connsiteY1" fmla="*/ 314325 h 695325"/>
                              <a:gd name="connsiteX2" fmla="*/ 114300 w 424961"/>
                              <a:gd name="connsiteY2" fmla="*/ 571500 h 695325"/>
                              <a:gd name="connsiteX3" fmla="*/ 0 w 424961"/>
                              <a:gd name="connsiteY3" fmla="*/ 695325 h 695325"/>
                            </a:gdLst>
                            <a:ahLst/>
                            <a:cxnLst>
                              <a:cxn ang="0">
                                <a:pos x="connsiteX0" y="connsiteY0"/>
                              </a:cxn>
                              <a:cxn ang="0">
                                <a:pos x="connsiteX1" y="connsiteY1"/>
                              </a:cxn>
                              <a:cxn ang="0">
                                <a:pos x="connsiteX2" y="connsiteY2"/>
                              </a:cxn>
                              <a:cxn ang="0">
                                <a:pos x="connsiteX3" y="connsiteY3"/>
                              </a:cxn>
                            </a:cxnLst>
                            <a:rect l="l" t="t" r="r" b="b"/>
                            <a:pathLst>
                              <a:path w="424961" h="695325">
                                <a:moveTo>
                                  <a:pt x="285750" y="0"/>
                                </a:moveTo>
                                <a:cubicBezTo>
                                  <a:pt x="366712" y="109537"/>
                                  <a:pt x="447675" y="219075"/>
                                  <a:pt x="419100" y="314325"/>
                                </a:cubicBezTo>
                                <a:cubicBezTo>
                                  <a:pt x="390525" y="409575"/>
                                  <a:pt x="184150" y="508000"/>
                                  <a:pt x="114300" y="571500"/>
                                </a:cubicBezTo>
                                <a:cubicBezTo>
                                  <a:pt x="44450" y="635000"/>
                                  <a:pt x="22225" y="665162"/>
                                  <a:pt x="0" y="695325"/>
                                </a:cubicBezTo>
                              </a:path>
                            </a:pathLst>
                          </a:custGeom>
                          <a:noFill/>
                          <a:ln w="127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inline>
            </w:drawing>
          </mc:Choice>
          <mc:Fallback>
            <w:pict>
              <v:group w14:anchorId="667FAE6B" id="Group 103" o:spid="_x0000_s1026" style="width:333.95pt;height:275.05pt;mso-position-horizontal-relative:char;mso-position-vertical-relative:line" coordsize="42249,34373" o:gfxdata="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">
                <v:group id="Group 1235650712" o:spid="_x0000_s1027" style="position:absolute;left:5584;width:32754;height:31501" coordorigin="5584" coordsize="32767,3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83046072" o:spid="_x0000_s1028" type="#_x0000_t75" style="position:absolute;left:9475;top:3511;width:24969;height:249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">
                    <v:imagedata r:id="rId16" o:title=""/>
                    <o:lock v:ext="edit" aspectratio="f"/>
                  </v:shape>
                  <v:shape id="Chart 292711282" o:spid="_x0000_s1029" type="#_x0000_t75" style="position:absolute;left:7166;top:1150;width:29586;height:294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">
                    <v:imagedata r:id="rId17" o:title=""/>
                    <o:lock v:ext="edit" aspectratio="f"/>
                  </v:shape>
                </v:group>
                <v:shapetype id="_x0000_t202" coordsize="21600,21600" o:spt="202" path="m,l,21600r21600,l21600,xe">
                  <v:stroke joinstyle="miter"/>
                  <v:path gradientshapeok="t" o:connecttype="rect"/>
                </v:shapetype>
                <v:shape id="TextBox 105" o:spid="_x0000_s1030" type="#_x0000_t202" style="position:absolute;left:17906;top:29812;width:15758;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" filled="f" stroked="f">
                  <v:textbox style="mso-fit-shape-to-text:t">
                    <w:txbxContent>
                      <w:p w14:paraId="1090B750" w14:textId="77777777" w:rsidR="00367DF7" w:rsidRDefault="00367DF7" w:rsidP="00367DF7">
                        <w:pPr>
                          <w:jc w:val="right"/>
                          <w:rPr>
                            <w:rFonts w:cs="Arial"/>
                            <w:color w:val="05020E" w:themeColor="accent4" w:themeShade="BF"/>
                            <w:kern w:val="0"/>
                            <w:sz w:val="24"/>
                            <w14:ligatures w14:val="none"/>
                          </w:rPr>
                        </w:pPr>
                        <w:r>
                          <w:rPr>
                            <w:rFonts w:cs="Arial"/>
                            <w:color w:val="05020E" w:themeColor="accent4" w:themeShade="BF"/>
                          </w:rPr>
                          <w:t xml:space="preserve">Housing </w:t>
                        </w:r>
                      </w:p>
                      <w:p w14:paraId="1AD52672" w14:textId="77777777" w:rsidR="00367DF7" w:rsidRDefault="00367DF7" w:rsidP="00367DF7">
                        <w:pPr>
                          <w:jc w:val="right"/>
                          <w:textAlignment w:val="baseline"/>
                          <w:rPr>
                            <w:rFonts w:cs="Arial"/>
                            <w:color w:val="05020E" w:themeColor="accent4" w:themeShade="BF"/>
                          </w:rPr>
                        </w:pPr>
                        <w:r>
                          <w:rPr>
                            <w:rFonts w:cs="Arial"/>
                            <w:color w:val="05020E" w:themeColor="accent4" w:themeShade="BF"/>
                          </w:rPr>
                          <w:t>With Supports</w:t>
                        </w:r>
                      </w:p>
                    </w:txbxContent>
                  </v:textbox>
                </v:shape>
                <v:shape id="TextBox 106" o:spid="_x0000_s1031" type="#_x0000_t202" style="position:absolute;left:33349;top:173;width:8900;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" filled="f" stroked="f">
                  <v:textbox style="mso-fit-shape-to-text:t">
                    <w:txbxContent>
                      <w:p w14:paraId="7E30A798" w14:textId="77777777" w:rsidR="00367DF7" w:rsidRDefault="00367DF7" w:rsidP="00367DF7">
                        <w:pPr>
                          <w:jc w:val="right"/>
                          <w:rPr>
                            <w:rFonts w:cs="Arial"/>
                            <w:color w:val="B37400" w:themeColor="accent5"/>
                            <w:kern w:val="0"/>
                            <w:sz w:val="24"/>
                            <w14:ligatures w14:val="none"/>
                          </w:rPr>
                        </w:pPr>
                        <w:r>
                          <w:rPr>
                            <w:rFonts w:cs="Arial"/>
                            <w:color w:val="B37400" w:themeColor="accent5"/>
                          </w:rPr>
                          <w:t xml:space="preserve">Safety </w:t>
                        </w:r>
                      </w:p>
                      <w:p w14:paraId="2B9A7DA9" w14:textId="77777777" w:rsidR="00367DF7" w:rsidRDefault="00367DF7" w:rsidP="00367DF7">
                        <w:pPr>
                          <w:jc w:val="right"/>
                          <w:textAlignment w:val="baseline"/>
                          <w:rPr>
                            <w:rFonts w:cs="Arial"/>
                            <w:color w:val="B37400" w:themeColor="accent5"/>
                          </w:rPr>
                        </w:pPr>
                        <w:r>
                          <w:rPr>
                            <w:rFonts w:cs="Arial"/>
                            <w:color w:val="B37400" w:themeColor="accent5"/>
                          </w:rPr>
                          <w:t>Net</w:t>
                        </w:r>
                      </w:p>
                    </w:txbxContent>
                  </v:textbox>
                </v:shape>
                <v:shape id="TextBox 107" o:spid="_x0000_s1032" type="#_x0000_t202" style="position:absolute;top:12955;width:8710;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" filled="f" stroked="f">
                  <v:textbox style="mso-fit-shape-to-text:t">
                    <w:txbxContent>
                      <w:p w14:paraId="60D39795" w14:textId="77777777" w:rsidR="00367DF7" w:rsidRDefault="00367DF7" w:rsidP="00367DF7">
                        <w:pPr>
                          <w:rPr>
                            <w:rFonts w:cs="Arial"/>
                            <w:color w:val="314868" w:themeColor="accent3" w:themeShade="BF"/>
                            <w:kern w:val="0"/>
                            <w:sz w:val="24"/>
                            <w14:ligatures w14:val="none"/>
                          </w:rPr>
                        </w:pPr>
                        <w:r>
                          <w:rPr>
                            <w:rFonts w:cs="Arial"/>
                            <w:color w:val="314868" w:themeColor="accent3" w:themeShade="BF"/>
                          </w:rPr>
                          <w:t xml:space="preserve">Market </w:t>
                        </w:r>
                      </w:p>
                      <w:p w14:paraId="306B0B24" w14:textId="77777777" w:rsidR="00367DF7" w:rsidRDefault="00367DF7" w:rsidP="00367DF7">
                        <w:pPr>
                          <w:rPr>
                            <w:rFonts w:cs="Arial"/>
                            <w:color w:val="314868" w:themeColor="accent3" w:themeShade="BF"/>
                          </w:rPr>
                        </w:pPr>
                        <w:r>
                          <w:rPr>
                            <w:rFonts w:cs="Arial"/>
                            <w:color w:val="314868" w:themeColor="accent3" w:themeShade="BF"/>
                          </w:rPr>
                          <w:t>Housing</w:t>
                        </w:r>
                      </w:p>
                    </w:txbxContent>
                  </v:textbox>
                </v:shape>
                <v:shape id="Freeform: Shape 191199476" o:spid="_x0000_s1033" style="position:absolute;left:31683;top:22987;width:4249;height:6953;visibility:visible;mso-wrap-style:square;v-text-anchor:top" coordsize="424961,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" path="m285750,v80962,109537,161925,219075,133350,314325c390525,409575,184150,508000,114300,571500,44450,635000,22225,665162,,695325e" filled="f" strokecolor="#080314 [3207]" strokeweight="1pt">
                  <v:stroke joinstyle="miter"/>
                  <v:path arrowok="t" o:connecttype="custom" o:connectlocs="285750,0;419100,314325;114300,571500;0,695325" o:connectangles="0,0,0,0"/>
                </v:shape>
                <v:shape id="Freeform: Shape 2105676194" o:spid="_x0000_s1034" style="position:absolute;left:4197;top:17637;width:4249;height:6953;rotation:7096612fd;visibility:visible;mso-wrap-style:square;v-text-anchor:top" coordsize="424961,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" path="m285750,v80962,109537,161925,219075,133350,314325c390525,409575,184150,508000,114300,571500,44450,635000,22225,665162,,695325e" filled="f" strokecolor="#42618c [3206]" strokeweight="1pt">
                  <v:stroke joinstyle="miter"/>
                  <v:path arrowok="t" o:connecttype="custom" o:connectlocs="285750,0;419100,314325;114300,571500;0,695325" o:connectangles="0,0,0,0"/>
                </v:shape>
                <v:shape id="Freeform: Shape 507842942" o:spid="_x0000_s1035" style="position:absolute;left:31391;top:-576;width:4250;height:6953;rotation:-7716292fd;visibility:visible;mso-wrap-style:square;v-text-anchor:top" coordsize="424961,6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" path="m285750,v80962,109537,161925,219075,133350,314325c390525,409575,184150,508000,114300,571500,44450,635000,22225,665162,,695325e" filled="f" strokecolor="#b37400 [3208]" strokeweight="1pt">
                  <v:stroke joinstyle="miter"/>
                  <v:path arrowok="t" o:connecttype="custom" o:connectlocs="285750,0;419100,314325;114300,571500;0,695325" o:connectangles="0,0,0,0"/>
                </v:shape>
                <w10:anchorlock/>
              </v:group>
            </w:pict>
          </mc:Fallback>
        </mc:AlternateContent>
      </w:r>
    </w:p>
    <w:p w14:paraId="58B4E4D6" w14:textId="5A3AD8D0" w:rsidR="00A6003E" w:rsidRPr="00887119" w:rsidRDefault="00A6003E" w:rsidP="00A6003E">
      <w:pPr>
        <w:pStyle w:val="Source"/>
        <w:rPr>
          <w:lang w:eastAsia="en-CA"/>
        </w:rPr>
      </w:pPr>
      <w:r w:rsidRPr="00887119">
        <w:rPr>
          <w:lang w:eastAsia="en-CA"/>
        </w:rPr>
        <w:t>Source: City of Kelowna / Urban Matters</w:t>
      </w:r>
    </w:p>
    <w:p w14:paraId="2D32A629" w14:textId="77777777" w:rsidR="00CB3383" w:rsidRPr="00887119" w:rsidRDefault="00CB3383" w:rsidP="007D62CB">
      <w:pPr>
        <w:rPr>
          <w:lang w:eastAsia="en-CA"/>
        </w:rPr>
      </w:pPr>
    </w:p>
    <w:p w14:paraId="7BC304C1" w14:textId="5D8ADEF6" w:rsidR="00CB3383" w:rsidRPr="00887119" w:rsidRDefault="00CB3383" w:rsidP="007D62CB">
      <w:pPr>
        <w:rPr>
          <w:lang w:eastAsia="en-CA"/>
        </w:rPr>
      </w:pPr>
      <w:r w:rsidRPr="00887119">
        <w:rPr>
          <w:lang w:eastAsia="en-CA"/>
        </w:rPr>
        <w:t>Whereas models of the housing system are typically linear, the Wheelhouse is circular and recognizes that people may move across categories throughout their lives and that homeownership is not the end goal for all residents. In this model, housing options are understood as interrelated components of a broader housing system, with an emphasis on:</w:t>
      </w:r>
    </w:p>
    <w:p w14:paraId="5595E7ED" w14:textId="77777777" w:rsidR="00CB3383" w:rsidRPr="00887119" w:rsidRDefault="00CB3383" w:rsidP="007D62CB">
      <w:pPr>
        <w:rPr>
          <w:lang w:eastAsia="en-CA"/>
        </w:rPr>
      </w:pPr>
    </w:p>
    <w:p w14:paraId="766573F7" w14:textId="77777777" w:rsidR="00676F1D" w:rsidRPr="00887119" w:rsidRDefault="00676F1D" w:rsidP="00FE550C">
      <w:pPr>
        <w:numPr>
          <w:ilvl w:val="0"/>
          <w:numId w:val="10"/>
        </w:numPr>
        <w:rPr>
          <w:lang w:eastAsia="en-CA"/>
        </w:rPr>
      </w:pPr>
      <w:r w:rsidRPr="00887119">
        <w:rPr>
          <w:lang w:eastAsia="en-CA"/>
        </w:rPr>
        <w:t>Stability and suitability of housing relative to need</w:t>
      </w:r>
    </w:p>
    <w:p w14:paraId="2D1ECFF4" w14:textId="77777777" w:rsidR="00676F1D" w:rsidRPr="00887119" w:rsidRDefault="00676F1D" w:rsidP="00FE550C">
      <w:pPr>
        <w:numPr>
          <w:ilvl w:val="0"/>
          <w:numId w:val="10"/>
        </w:numPr>
        <w:rPr>
          <w:lang w:eastAsia="en-CA"/>
        </w:rPr>
      </w:pPr>
      <w:r w:rsidRPr="00887119">
        <w:rPr>
          <w:lang w:eastAsia="en-CA"/>
        </w:rPr>
        <w:t>Availability and appropriateness of supports and services across housing types</w:t>
      </w:r>
    </w:p>
    <w:p w14:paraId="121C9BFC" w14:textId="77777777" w:rsidR="00676F1D" w:rsidRPr="00887119" w:rsidRDefault="00676F1D" w:rsidP="00FE550C">
      <w:pPr>
        <w:numPr>
          <w:ilvl w:val="0"/>
          <w:numId w:val="10"/>
        </w:numPr>
        <w:rPr>
          <w:lang w:eastAsia="en-CA"/>
        </w:rPr>
      </w:pPr>
      <w:r w:rsidRPr="00887119">
        <w:rPr>
          <w:lang w:eastAsia="en-CA"/>
        </w:rPr>
        <w:lastRenderedPageBreak/>
        <w:t>The role of safety nets (such as emergency shelters) in preventing and minimizing the duration of homelessness</w:t>
      </w:r>
    </w:p>
    <w:p w14:paraId="6E98CBF0" w14:textId="77777777" w:rsidR="00676F1D" w:rsidRPr="00887119" w:rsidRDefault="00676F1D" w:rsidP="00FE550C">
      <w:pPr>
        <w:numPr>
          <w:ilvl w:val="0"/>
          <w:numId w:val="10"/>
        </w:numPr>
        <w:rPr>
          <w:lang w:eastAsia="en-CA"/>
        </w:rPr>
      </w:pPr>
      <w:r w:rsidRPr="00887119">
        <w:rPr>
          <w:lang w:eastAsia="en-CA"/>
        </w:rPr>
        <w:t>The importance of maintaining access to a range of housing options that are responsive to changes in individual and household circumstances</w:t>
      </w:r>
    </w:p>
    <w:p w14:paraId="76D4BBA2" w14:textId="51E8304C" w:rsidR="00676F1D" w:rsidRPr="00887119" w:rsidRDefault="00676F1D" w:rsidP="00FE550C">
      <w:pPr>
        <w:numPr>
          <w:ilvl w:val="0"/>
          <w:numId w:val="10"/>
        </w:numPr>
        <w:rPr>
          <w:lang w:eastAsia="en-CA"/>
        </w:rPr>
      </w:pPr>
      <w:r w:rsidRPr="00887119">
        <w:rPr>
          <w:lang w:eastAsia="en-CA"/>
        </w:rPr>
        <w:t xml:space="preserve">The interdependence of housing types, such that changes in one segment </w:t>
      </w:r>
      <w:r w:rsidR="00A05F50" w:rsidRPr="00887119">
        <w:rPr>
          <w:lang w:eastAsia="en-CA"/>
        </w:rPr>
        <w:t xml:space="preserve">(e.g., </w:t>
      </w:r>
      <w:r w:rsidRPr="00887119">
        <w:rPr>
          <w:lang w:eastAsia="en-CA"/>
        </w:rPr>
        <w:t>the loss of affordable rental supply or the growth of short-term rentals</w:t>
      </w:r>
      <w:r w:rsidR="00A05F50" w:rsidRPr="00887119">
        <w:rPr>
          <w:lang w:eastAsia="en-CA"/>
        </w:rPr>
        <w:t>)</w:t>
      </w:r>
      <w:r w:rsidRPr="00887119">
        <w:rPr>
          <w:lang w:eastAsia="en-CA"/>
        </w:rPr>
        <w:t xml:space="preserve"> have ripple effects across the broader housing system</w:t>
      </w:r>
    </w:p>
    <w:p w14:paraId="77ACA6E1" w14:textId="77777777" w:rsidR="00A05F50" w:rsidRPr="00887119" w:rsidRDefault="00A05F50" w:rsidP="00A05F50">
      <w:pPr>
        <w:rPr>
          <w:lang w:eastAsia="en-CA"/>
        </w:rPr>
      </w:pPr>
    </w:p>
    <w:p w14:paraId="5A2F2305" w14:textId="77777777" w:rsidR="00676F1D" w:rsidRPr="00887119" w:rsidRDefault="00676F1D" w:rsidP="00676F1D">
      <w:pPr>
        <w:rPr>
          <w:lang w:eastAsia="en-CA"/>
        </w:rPr>
      </w:pPr>
      <w:r w:rsidRPr="00887119">
        <w:rPr>
          <w:lang w:eastAsia="en-CA"/>
        </w:rPr>
        <w:t>This model reflects several key realities observed across housing systems:</w:t>
      </w:r>
    </w:p>
    <w:p w14:paraId="16D4A529" w14:textId="77777777" w:rsidR="00A05F50" w:rsidRPr="00887119" w:rsidRDefault="00A05F50" w:rsidP="00676F1D">
      <w:pPr>
        <w:rPr>
          <w:lang w:eastAsia="en-CA"/>
        </w:rPr>
      </w:pPr>
    </w:p>
    <w:p w14:paraId="5D5F69AE" w14:textId="77777777" w:rsidR="00676F1D" w:rsidRPr="00887119" w:rsidRDefault="00676F1D" w:rsidP="00FE550C">
      <w:pPr>
        <w:numPr>
          <w:ilvl w:val="0"/>
          <w:numId w:val="11"/>
        </w:numPr>
        <w:rPr>
          <w:lang w:eastAsia="en-CA"/>
        </w:rPr>
      </w:pPr>
      <w:r w:rsidRPr="00887119">
        <w:rPr>
          <w:lang w:eastAsia="en-CA"/>
        </w:rPr>
        <w:t>Housing needs can be dynamic and may change over time</w:t>
      </w:r>
    </w:p>
    <w:p w14:paraId="30662382" w14:textId="77777777" w:rsidR="00676F1D" w:rsidRPr="00887119" w:rsidRDefault="00676F1D" w:rsidP="00FE550C">
      <w:pPr>
        <w:numPr>
          <w:ilvl w:val="0"/>
          <w:numId w:val="11"/>
        </w:numPr>
        <w:rPr>
          <w:lang w:eastAsia="en-CA"/>
        </w:rPr>
      </w:pPr>
      <w:r w:rsidRPr="00887119">
        <w:rPr>
          <w:lang w:eastAsia="en-CA"/>
        </w:rPr>
        <w:t>Not all households will seek or be able to achieve homeownership</w:t>
      </w:r>
    </w:p>
    <w:p w14:paraId="596D1043" w14:textId="77777777" w:rsidR="00676F1D" w:rsidRPr="00887119" w:rsidRDefault="00676F1D" w:rsidP="00FE550C">
      <w:pPr>
        <w:numPr>
          <w:ilvl w:val="0"/>
          <w:numId w:val="11"/>
        </w:numPr>
        <w:rPr>
          <w:lang w:eastAsia="en-CA"/>
        </w:rPr>
      </w:pPr>
      <w:r w:rsidRPr="00887119">
        <w:rPr>
          <w:lang w:eastAsia="en-CA"/>
        </w:rPr>
        <w:t>Some individuals require ongoing or long-term housing supports</w:t>
      </w:r>
    </w:p>
    <w:p w14:paraId="4815B29B" w14:textId="77777777" w:rsidR="00676F1D" w:rsidRPr="00887119" w:rsidRDefault="00676F1D" w:rsidP="00FE550C">
      <w:pPr>
        <w:numPr>
          <w:ilvl w:val="0"/>
          <w:numId w:val="11"/>
        </w:numPr>
        <w:rPr>
          <w:lang w:eastAsia="en-CA"/>
        </w:rPr>
      </w:pPr>
      <w:r w:rsidRPr="00887119">
        <w:rPr>
          <w:lang w:eastAsia="en-CA"/>
        </w:rPr>
        <w:t>Transitions between housing types may be cyclical rather than linear</w:t>
      </w:r>
    </w:p>
    <w:p w14:paraId="384DACF1" w14:textId="77777777" w:rsidR="007D62CB" w:rsidRPr="00887119" w:rsidRDefault="007D62CB" w:rsidP="007D62CB">
      <w:pPr>
        <w:rPr>
          <w:lang w:eastAsia="en-CA"/>
        </w:rPr>
      </w:pPr>
    </w:p>
    <w:p w14:paraId="153A1575" w14:textId="7C6392E8" w:rsidR="00EA5DD0" w:rsidRPr="00887119" w:rsidRDefault="001D6643" w:rsidP="007D62CB">
      <w:pPr>
        <w:rPr>
          <w:lang w:eastAsia="en-CA"/>
        </w:rPr>
      </w:pPr>
      <w:r w:rsidRPr="00887119">
        <w:rPr>
          <w:lang w:eastAsia="en-CA"/>
        </w:rPr>
        <w:t>Within this framework, movement between housing types is not viewed as progressive or regressive, but rather as a response to changing socioeconomic and individual circumstances. For example, a household moving from market rental housing to supportive housing is not necessarily experiencing a "system failure," but rather interacting with different parts of the housing system as needs evolve and change.</w:t>
      </w:r>
    </w:p>
    <w:p w14:paraId="1C15298E" w14:textId="77777777" w:rsidR="001D6643" w:rsidRPr="00887119" w:rsidRDefault="001D6643" w:rsidP="007D62CB">
      <w:pPr>
        <w:rPr>
          <w:lang w:eastAsia="en-CA"/>
        </w:rPr>
      </w:pPr>
    </w:p>
    <w:p w14:paraId="228A495D" w14:textId="77777777" w:rsidR="007D62CB" w:rsidRPr="00887119" w:rsidRDefault="007D62CB" w:rsidP="007D62CB">
      <w:pPr>
        <w:pStyle w:val="Heading3"/>
      </w:pPr>
      <w:r w:rsidRPr="00887119">
        <w:t>Implications for this Assessment</w:t>
      </w:r>
    </w:p>
    <w:p w14:paraId="5CC6260E" w14:textId="42127FCD" w:rsidR="000B292C" w:rsidRPr="00887119" w:rsidRDefault="000B292C" w:rsidP="000B292C">
      <w:r w:rsidRPr="00887119">
        <w:t>Both models offer complementary perspectives on the housing system. While the Continuum provides a clear, structured framework that emphasizes progression across housing types, the Wheelhouse reflects a more dynamic and interconnected system, where housing options respond to changing needs. In practice, households may move between housing types over time due to shifts in income, health, personal circumstance, and broader market and economic trends, and such movement is not necessarily indicative of progression or regression. Together, these models highlight the importance of balancing structure with flexibility and responsiveness</w:t>
      </w:r>
      <w:r w:rsidR="005570DF" w:rsidRPr="00887119">
        <w:t xml:space="preserve">, </w:t>
      </w:r>
      <w:r w:rsidRPr="00887119">
        <w:t>ensuring the housing system provides a range of accessible and affordable options and supports that respond to diverse and evolving housing needs.</w:t>
      </w:r>
    </w:p>
    <w:p w14:paraId="1AE4136B" w14:textId="77777777" w:rsidR="000B292C" w:rsidRPr="00887119" w:rsidRDefault="000B292C" w:rsidP="000B292C">
      <w:pPr>
        <w:rPr>
          <w:rFonts w:ascii="Times New Roman" w:hAnsi="Times New Roman"/>
          <w:sz w:val="24"/>
        </w:rPr>
      </w:pPr>
    </w:p>
    <w:p w14:paraId="38AEE0C5" w14:textId="300ECDCE" w:rsidR="000B292C" w:rsidRPr="00887119" w:rsidRDefault="000B292C" w:rsidP="000B292C">
      <w:r w:rsidRPr="00887119">
        <w:t xml:space="preserve">In the </w:t>
      </w:r>
      <w:r w:rsidR="00402288" w:rsidRPr="00402288">
        <w:rPr>
          <w:color w:val="C00000"/>
        </w:rPr>
        <w:t>PEI</w:t>
      </w:r>
      <w:r w:rsidRPr="00887119">
        <w:t xml:space="preserve"> context, the Wheelhouse model is particularly resonant. The province's diverse geographic and demographic profile </w:t>
      </w:r>
      <w:r w:rsidR="005570DF" w:rsidRPr="00887119">
        <w:t>(</w:t>
      </w:r>
      <w:r w:rsidRPr="00887119">
        <w:t>from urban rental markets to aging rural homeowners</w:t>
      </w:r>
      <w:r w:rsidR="005570DF" w:rsidRPr="00887119">
        <w:t>)</w:t>
      </w:r>
      <w:r w:rsidRPr="00887119">
        <w:t xml:space="preserve"> reflects a system in which housing need is rarely static or linear. The data presented in this assessment consistently shows households moving between housing circumstances in response to income change, aging, family composition, and market pressures, rather than following a simple progression toward homeownership. The near-absence of transitional and supportive housing outside of urban areas, the prevalence of EI-dependent households in rural remote communities, and the growing share of aging homeowners in communities with limited alternative housing options all reflect the non-linear dynamics the Wheelhouse model is designed to capture. </w:t>
      </w:r>
    </w:p>
    <w:p w14:paraId="1E73F452" w14:textId="77777777" w:rsidR="00283E31" w:rsidRPr="00887119" w:rsidRDefault="00283E31" w:rsidP="000B292C"/>
    <w:p w14:paraId="2DF8AEA4" w14:textId="622E94E8" w:rsidR="00BA450A" w:rsidRPr="00887119" w:rsidRDefault="007D62CB" w:rsidP="00842B20">
      <w:pPr>
        <w:pStyle w:val="Heading2"/>
      </w:pPr>
      <w:bookmarkStart w:id="18" w:name="_Toc237957421"/>
      <w:r w:rsidRPr="00887119">
        <w:lastRenderedPageBreak/>
        <w:t>E</w:t>
      </w:r>
      <w:r w:rsidR="0087528E" w:rsidRPr="00887119">
        <w:t>conomic and Fiscal Impact</w:t>
      </w:r>
      <w:r w:rsidR="00F35D3F" w:rsidRPr="00887119">
        <w:t>s</w:t>
      </w:r>
      <w:r w:rsidR="0087528E" w:rsidRPr="00887119">
        <w:t xml:space="preserve"> of Housing Insecurity</w:t>
      </w:r>
      <w:bookmarkEnd w:id="16"/>
      <w:bookmarkEnd w:id="18"/>
      <w:r w:rsidR="0087528E" w:rsidRPr="00887119">
        <w:t xml:space="preserve"> </w:t>
      </w:r>
    </w:p>
    <w:p w14:paraId="13CE2974" w14:textId="68D93912" w:rsidR="00E9191D" w:rsidRPr="00887119" w:rsidRDefault="006255A0" w:rsidP="00E9191D">
      <w:pPr>
        <w:rPr>
          <w:lang w:eastAsia="en-CA"/>
        </w:rPr>
      </w:pPr>
      <w:r w:rsidRPr="00887119">
        <w:rPr>
          <w:lang w:eastAsia="en-CA"/>
        </w:rPr>
        <w:t xml:space="preserve">Housing affordability challenges have </w:t>
      </w:r>
      <w:r w:rsidR="00D71292" w:rsidRPr="00887119">
        <w:rPr>
          <w:lang w:eastAsia="en-CA"/>
        </w:rPr>
        <w:t>notable</w:t>
      </w:r>
      <w:r w:rsidRPr="00887119">
        <w:rPr>
          <w:lang w:eastAsia="en-CA"/>
        </w:rPr>
        <w:t xml:space="preserve"> </w:t>
      </w:r>
      <w:r w:rsidR="005E0FFC" w:rsidRPr="00887119">
        <w:rPr>
          <w:lang w:eastAsia="en-CA"/>
        </w:rPr>
        <w:t>implications</w:t>
      </w:r>
      <w:r w:rsidR="003146C0" w:rsidRPr="00887119">
        <w:rPr>
          <w:lang w:eastAsia="en-CA"/>
        </w:rPr>
        <w:t xml:space="preserve"> for economic performance and public systems</w:t>
      </w:r>
      <w:r w:rsidR="005137E0" w:rsidRPr="00887119">
        <w:rPr>
          <w:lang w:eastAsia="en-CA"/>
        </w:rPr>
        <w:t>. Where households are unable to access adequate, suitable, and/or affordable housing</w:t>
      </w:r>
      <w:r w:rsidR="0040521C" w:rsidRPr="00887119">
        <w:rPr>
          <w:lang w:eastAsia="en-CA"/>
        </w:rPr>
        <w:t xml:space="preserve">, impacts extend beyond individual well-being and further affect </w:t>
      </w:r>
      <w:r w:rsidR="0045477E" w:rsidRPr="00887119">
        <w:rPr>
          <w:lang w:eastAsia="en-CA"/>
        </w:rPr>
        <w:t xml:space="preserve">public systems more broadly, such as impacts on labour markets, </w:t>
      </w:r>
      <w:r w:rsidR="00564E5A" w:rsidRPr="00887119">
        <w:rPr>
          <w:lang w:eastAsia="en-CA"/>
        </w:rPr>
        <w:t xml:space="preserve">service systems and supports, and overall economic efficiency. These pressures are often borne </w:t>
      </w:r>
      <w:r w:rsidR="00402E03" w:rsidRPr="00887119">
        <w:rPr>
          <w:lang w:eastAsia="en-CA"/>
        </w:rPr>
        <w:t>by all orders of government through increased demand for public services, often reducing fiscal capacity.</w:t>
      </w:r>
    </w:p>
    <w:p w14:paraId="7FD2E500" w14:textId="77777777" w:rsidR="009330A0" w:rsidRPr="00887119" w:rsidRDefault="009330A0" w:rsidP="00E9191D">
      <w:pPr>
        <w:rPr>
          <w:lang w:eastAsia="en-CA"/>
        </w:rPr>
      </w:pPr>
    </w:p>
    <w:p w14:paraId="5564C2E4" w14:textId="08A86873" w:rsidR="002022FE" w:rsidRPr="00887119" w:rsidRDefault="00B75E13" w:rsidP="00E9191D">
      <w:pPr>
        <w:rPr>
          <w:lang w:eastAsia="en-CA"/>
        </w:rPr>
      </w:pPr>
      <w:r w:rsidRPr="00887119">
        <w:rPr>
          <w:lang w:eastAsia="en-CA"/>
        </w:rPr>
        <w:t>At a systems level, housing insecurity is often associated with increased reliance on rea</w:t>
      </w:r>
      <w:r w:rsidR="00364A81" w:rsidRPr="00887119">
        <w:rPr>
          <w:lang w:eastAsia="en-CA"/>
        </w:rPr>
        <w:t>c</w:t>
      </w:r>
      <w:r w:rsidRPr="00887119">
        <w:rPr>
          <w:lang w:eastAsia="en-CA"/>
        </w:rPr>
        <w:t>tive, costly interventions</w:t>
      </w:r>
      <w:r w:rsidR="009E6E03" w:rsidRPr="00887119">
        <w:rPr>
          <w:lang w:eastAsia="en-CA"/>
        </w:rPr>
        <w:t xml:space="preserve">, rather than preventative </w:t>
      </w:r>
      <w:r w:rsidR="00E2485E" w:rsidRPr="00887119">
        <w:rPr>
          <w:lang w:eastAsia="en-CA"/>
        </w:rPr>
        <w:t xml:space="preserve">responses. This can </w:t>
      </w:r>
      <w:r w:rsidR="008B7F6B" w:rsidRPr="00887119">
        <w:rPr>
          <w:lang w:eastAsia="en-CA"/>
        </w:rPr>
        <w:t>often result in higher long-term costs and reduced effectiveness of public investment across sectors</w:t>
      </w:r>
      <w:r w:rsidR="002022FE" w:rsidRPr="00887119">
        <w:rPr>
          <w:lang w:eastAsia="en-CA"/>
        </w:rPr>
        <w:t xml:space="preserve">. </w:t>
      </w:r>
    </w:p>
    <w:p w14:paraId="5DDA2D8C" w14:textId="3D3FD896" w:rsidR="00B75E13" w:rsidRPr="00887119" w:rsidRDefault="00E2485E" w:rsidP="00E9191D">
      <w:pPr>
        <w:rPr>
          <w:lang w:eastAsia="en-CA"/>
        </w:rPr>
      </w:pPr>
      <w:r w:rsidRPr="00887119">
        <w:rPr>
          <w:lang w:eastAsia="en-CA"/>
        </w:rPr>
        <w:t xml:space="preserve"> </w:t>
      </w:r>
    </w:p>
    <w:p w14:paraId="31878B97" w14:textId="78DEBB8E" w:rsidR="00E9191D" w:rsidRPr="00887119" w:rsidRDefault="00E9191D" w:rsidP="00E9191D">
      <w:pPr>
        <w:rPr>
          <w:lang w:eastAsia="en-CA"/>
        </w:rPr>
      </w:pPr>
      <w:r w:rsidRPr="00887119">
        <w:rPr>
          <w:lang w:eastAsia="en-CA"/>
        </w:rPr>
        <w:t>Key economic and fiscal impacts include:</w:t>
      </w:r>
    </w:p>
    <w:p w14:paraId="584BE1B5" w14:textId="77777777" w:rsidR="00364A81" w:rsidRPr="00887119" w:rsidRDefault="00364A81" w:rsidP="00E9191D">
      <w:pPr>
        <w:rPr>
          <w:lang w:eastAsia="en-CA"/>
        </w:rPr>
      </w:pPr>
    </w:p>
    <w:p w14:paraId="7A3DBC48" w14:textId="56D1181A" w:rsidR="00E9191D" w:rsidRPr="00887119" w:rsidRDefault="00E9191D" w:rsidP="00FE550C">
      <w:pPr>
        <w:pStyle w:val="ListParagraph"/>
        <w:numPr>
          <w:ilvl w:val="0"/>
          <w:numId w:val="6"/>
        </w:numPr>
        <w:ind w:left="720"/>
        <w:rPr>
          <w:lang w:eastAsia="en-CA"/>
        </w:rPr>
      </w:pPr>
      <w:r w:rsidRPr="00887119">
        <w:rPr>
          <w:lang w:eastAsia="en-CA"/>
        </w:rPr>
        <w:t>Increased public spending on healthcare, emergency shelter</w:t>
      </w:r>
      <w:r w:rsidR="000D127E" w:rsidRPr="00887119">
        <w:rPr>
          <w:lang w:eastAsia="en-CA"/>
        </w:rPr>
        <w:t xml:space="preserve">, and social services </w:t>
      </w:r>
    </w:p>
    <w:p w14:paraId="5D81FC28" w14:textId="2ABCD023" w:rsidR="000D127E" w:rsidRPr="00887119" w:rsidRDefault="000D127E" w:rsidP="00FE550C">
      <w:pPr>
        <w:pStyle w:val="ListParagraph"/>
        <w:numPr>
          <w:ilvl w:val="0"/>
          <w:numId w:val="6"/>
        </w:numPr>
        <w:ind w:left="720"/>
        <w:rPr>
          <w:lang w:eastAsia="en-CA"/>
        </w:rPr>
      </w:pPr>
      <w:r w:rsidRPr="00887119">
        <w:rPr>
          <w:lang w:eastAsia="en-CA"/>
        </w:rPr>
        <w:t xml:space="preserve">Greater reliance on crisis-based interventions, which are typically more costly, long-term, </w:t>
      </w:r>
      <w:r w:rsidR="00AA7D87" w:rsidRPr="00887119">
        <w:rPr>
          <w:lang w:eastAsia="en-CA"/>
        </w:rPr>
        <w:t>than preventative approaches</w:t>
      </w:r>
    </w:p>
    <w:p w14:paraId="4475DCDC" w14:textId="4B1E8673" w:rsidR="00AA7D87" w:rsidRPr="00887119" w:rsidRDefault="00AA7D87" w:rsidP="00FE550C">
      <w:pPr>
        <w:pStyle w:val="ListParagraph"/>
        <w:numPr>
          <w:ilvl w:val="0"/>
          <w:numId w:val="6"/>
        </w:numPr>
        <w:ind w:left="720"/>
        <w:rPr>
          <w:lang w:eastAsia="en-CA"/>
        </w:rPr>
      </w:pPr>
      <w:r w:rsidRPr="00887119">
        <w:rPr>
          <w:lang w:eastAsia="en-CA"/>
        </w:rPr>
        <w:t xml:space="preserve">Reduced labour force participation </w:t>
      </w:r>
    </w:p>
    <w:p w14:paraId="6DD314C4" w14:textId="39BFF2A3" w:rsidR="00C30302" w:rsidRPr="00887119" w:rsidRDefault="00C30302" w:rsidP="00FE550C">
      <w:pPr>
        <w:pStyle w:val="ListParagraph"/>
        <w:numPr>
          <w:ilvl w:val="0"/>
          <w:numId w:val="6"/>
        </w:numPr>
        <w:ind w:left="720"/>
        <w:rPr>
          <w:lang w:eastAsia="en-CA"/>
        </w:rPr>
      </w:pPr>
      <w:r w:rsidRPr="00887119">
        <w:rPr>
          <w:lang w:eastAsia="en-CA"/>
        </w:rPr>
        <w:t xml:space="preserve">Reduced and constrained </w:t>
      </w:r>
      <w:r w:rsidR="00CE2259" w:rsidRPr="00887119">
        <w:rPr>
          <w:lang w:eastAsia="en-CA"/>
        </w:rPr>
        <w:t xml:space="preserve">local </w:t>
      </w:r>
      <w:r w:rsidRPr="00887119">
        <w:rPr>
          <w:lang w:eastAsia="en-CA"/>
        </w:rPr>
        <w:t xml:space="preserve">economic growth </w:t>
      </w:r>
    </w:p>
    <w:p w14:paraId="44AE6982" w14:textId="1AEA008B" w:rsidR="009330A0" w:rsidRPr="00887119" w:rsidRDefault="00677729" w:rsidP="00FE550C">
      <w:pPr>
        <w:pStyle w:val="ListParagraph"/>
        <w:numPr>
          <w:ilvl w:val="0"/>
          <w:numId w:val="6"/>
        </w:numPr>
        <w:ind w:left="720"/>
        <w:rPr>
          <w:lang w:eastAsia="en-CA"/>
        </w:rPr>
      </w:pPr>
      <w:r w:rsidRPr="00887119">
        <w:rPr>
          <w:lang w:eastAsia="en-CA"/>
        </w:rPr>
        <w:t>Inefficiencies in public spending, as housing instability drives demand across multiple systems (health, education, justice) simultaneously.</w:t>
      </w:r>
    </w:p>
    <w:p w14:paraId="57F2A149" w14:textId="77777777" w:rsidR="00677729" w:rsidRPr="00887119" w:rsidRDefault="00677729" w:rsidP="009330A0">
      <w:pPr>
        <w:rPr>
          <w:lang w:eastAsia="en-CA"/>
        </w:rPr>
      </w:pPr>
    </w:p>
    <w:p w14:paraId="6E6F8E86" w14:textId="6D6982C0" w:rsidR="00247DD6" w:rsidRPr="00887119" w:rsidRDefault="00247DD6" w:rsidP="009330A0">
      <w:pPr>
        <w:rPr>
          <w:lang w:eastAsia="en-CA"/>
        </w:rPr>
      </w:pPr>
      <w:r w:rsidRPr="00887119">
        <w:rPr>
          <w:lang w:eastAsia="en-CA"/>
        </w:rPr>
        <w:t xml:space="preserve">Housing is a key driver of economic activity at both the provincial and national level, though its contribution looks different depending on how it is measured. In </w:t>
      </w:r>
      <w:r w:rsidR="00402288" w:rsidRPr="00402288">
        <w:rPr>
          <w:color w:val="C00000"/>
          <w:lang w:eastAsia="en-CA"/>
        </w:rPr>
        <w:t>PEI</w:t>
      </w:r>
      <w:r w:rsidRPr="00887119">
        <w:rPr>
          <w:lang w:eastAsia="en-CA"/>
        </w:rPr>
        <w:t>, residential building construction accounted for approximately 3.5% of provincial GDP in 2025,</w:t>
      </w:r>
      <w:r w:rsidR="00366C59" w:rsidRPr="00887119">
        <w:rPr>
          <w:rStyle w:val="FootnoteReference"/>
          <w:lang w:eastAsia="en-CA"/>
        </w:rPr>
        <w:footnoteReference w:id="8"/>
      </w:r>
      <w:r w:rsidRPr="00887119">
        <w:rPr>
          <w:lang w:eastAsia="en-CA"/>
        </w:rPr>
        <w:t xml:space="preserve"> a figure that (taken in isolation) understates the full economic footprint of the housing sector. When the broader housing ecosystem is considered (encompassing real estate transaction services, property management, renovation activity, and building supply), the sector's reach extends considerably further across </w:t>
      </w:r>
      <w:r w:rsidR="00402288" w:rsidRPr="00402288">
        <w:rPr>
          <w:color w:val="C00000"/>
          <w:lang w:eastAsia="en-CA"/>
        </w:rPr>
        <w:t>PEI</w:t>
      </w:r>
      <w:r w:rsidRPr="00887119">
        <w:rPr>
          <w:lang w:eastAsia="en-CA"/>
        </w:rPr>
        <w:t xml:space="preserve">'s economy. Nationally, real estate, rental, and leasing together represent the single largest industry in Canada by GDP share at approximately 13% of total output, a figure that reflects not just new construction but the ongoing economic activity generated by the existing housing stock. </w:t>
      </w:r>
    </w:p>
    <w:p w14:paraId="60052F8A" w14:textId="77777777" w:rsidR="00247DD6" w:rsidRPr="00887119" w:rsidRDefault="00247DD6" w:rsidP="009330A0">
      <w:pPr>
        <w:rPr>
          <w:lang w:eastAsia="en-CA"/>
        </w:rPr>
      </w:pPr>
    </w:p>
    <w:p w14:paraId="02013955" w14:textId="73C3EF8B" w:rsidR="004B48F9" w:rsidRPr="00887119" w:rsidRDefault="00247DD6" w:rsidP="009330A0">
      <w:pPr>
        <w:rPr>
          <w:lang w:eastAsia="en-CA"/>
        </w:rPr>
      </w:pPr>
      <w:r w:rsidRPr="00887119">
        <w:rPr>
          <w:lang w:eastAsia="en-CA"/>
        </w:rPr>
        <w:t xml:space="preserve">Nationally, over </w:t>
      </w:r>
      <w:r w:rsidR="005E75CD" w:rsidRPr="00887119">
        <w:rPr>
          <w:lang w:eastAsia="en-CA"/>
        </w:rPr>
        <w:t>1.2 million</w:t>
      </w:r>
      <w:r w:rsidRPr="00887119">
        <w:rPr>
          <w:lang w:eastAsia="en-CA"/>
        </w:rPr>
        <w:t xml:space="preserve"> jobs were supported by new home construction</w:t>
      </w:r>
      <w:r w:rsidR="00484C3E" w:rsidRPr="00887119">
        <w:rPr>
          <w:lang w:eastAsia="en-CA"/>
        </w:rPr>
        <w:t xml:space="preserve"> (about 43% of jobs)</w:t>
      </w:r>
      <w:r w:rsidRPr="00887119">
        <w:rPr>
          <w:lang w:eastAsia="en-CA"/>
        </w:rPr>
        <w:t xml:space="preserve">, renovation services, and repairs in </w:t>
      </w:r>
      <w:r w:rsidR="00484C3E" w:rsidRPr="00887119">
        <w:rPr>
          <w:lang w:eastAsia="en-CA"/>
        </w:rPr>
        <w:t>2025</w:t>
      </w:r>
      <w:r w:rsidRPr="00887119">
        <w:rPr>
          <w:lang w:eastAsia="en-CA"/>
        </w:rPr>
        <w:t xml:space="preserve">, reflecting the sector's role as one of the country's most </w:t>
      </w:r>
      <w:r w:rsidR="00484C3E" w:rsidRPr="00887119">
        <w:rPr>
          <w:lang w:eastAsia="en-CA"/>
        </w:rPr>
        <w:t>notable</w:t>
      </w:r>
      <w:r w:rsidRPr="00887119">
        <w:rPr>
          <w:lang w:eastAsia="en-CA"/>
        </w:rPr>
        <w:t xml:space="preserve"> private sector employers.</w:t>
      </w:r>
      <w:r w:rsidR="00484C3E" w:rsidRPr="00887119">
        <w:rPr>
          <w:rStyle w:val="FootnoteReference"/>
          <w:lang w:eastAsia="en-CA"/>
        </w:rPr>
        <w:footnoteReference w:id="9"/>
      </w:r>
      <w:r w:rsidRPr="00887119">
        <w:rPr>
          <w:lang w:eastAsia="en-CA"/>
        </w:rPr>
        <w:t xml:space="preserve"> </w:t>
      </w:r>
      <w:r w:rsidR="008C430E" w:rsidRPr="00887119">
        <w:rPr>
          <w:lang w:eastAsia="en-CA"/>
        </w:rPr>
        <w:t xml:space="preserve">In </w:t>
      </w:r>
      <w:r w:rsidR="00402288" w:rsidRPr="00402288">
        <w:rPr>
          <w:color w:val="C00000"/>
          <w:lang w:eastAsia="en-CA"/>
        </w:rPr>
        <w:t>PEI</w:t>
      </w:r>
      <w:r w:rsidR="009F2AF1" w:rsidRPr="00887119">
        <w:rPr>
          <w:lang w:eastAsia="en-CA"/>
        </w:rPr>
        <w:t>, about 8,297 people were employed in residential construction in 2025, representing about $496 million in wages.</w:t>
      </w:r>
      <w:r w:rsidR="00414087" w:rsidRPr="00887119">
        <w:rPr>
          <w:lang w:eastAsia="en-CA"/>
        </w:rPr>
        <w:t xml:space="preserve"> </w:t>
      </w:r>
    </w:p>
    <w:p w14:paraId="3D336C84" w14:textId="77777777" w:rsidR="004B48F9" w:rsidRPr="00887119" w:rsidRDefault="004B48F9" w:rsidP="009330A0">
      <w:pPr>
        <w:rPr>
          <w:lang w:eastAsia="en-CA"/>
        </w:rPr>
      </w:pPr>
    </w:p>
    <w:p w14:paraId="6782F3CC" w14:textId="040133F8" w:rsidR="002B339B" w:rsidRPr="00887119" w:rsidRDefault="00414087" w:rsidP="009330A0">
      <w:pPr>
        <w:rPr>
          <w:lang w:eastAsia="en-CA"/>
        </w:rPr>
      </w:pPr>
      <w:r w:rsidRPr="00887119">
        <w:rPr>
          <w:lang w:eastAsia="en-CA"/>
        </w:rPr>
        <w:t xml:space="preserve">Where housing supply keeps pace with demand, </w:t>
      </w:r>
      <w:r w:rsidR="004B48F9" w:rsidRPr="00887119">
        <w:rPr>
          <w:lang w:eastAsia="en-CA"/>
        </w:rPr>
        <w:t xml:space="preserve">and thus there is an adequate and affordable housing supply, </w:t>
      </w:r>
      <w:r w:rsidRPr="00887119">
        <w:rPr>
          <w:lang w:eastAsia="en-CA"/>
        </w:rPr>
        <w:t>the economic benefits are</w:t>
      </w:r>
      <w:r w:rsidR="004B48F9" w:rsidRPr="00887119">
        <w:rPr>
          <w:lang w:eastAsia="en-CA"/>
        </w:rPr>
        <w:t xml:space="preserve"> substantial</w:t>
      </w:r>
      <w:r w:rsidR="004A3B17" w:rsidRPr="00887119">
        <w:rPr>
          <w:lang w:eastAsia="en-CA"/>
        </w:rPr>
        <w:t>:</w:t>
      </w:r>
    </w:p>
    <w:p w14:paraId="3112EC45" w14:textId="77777777" w:rsidR="002B339B" w:rsidRPr="00887119" w:rsidRDefault="002B339B" w:rsidP="009330A0">
      <w:pPr>
        <w:rPr>
          <w:lang w:eastAsia="en-CA"/>
        </w:rPr>
      </w:pPr>
    </w:p>
    <w:p w14:paraId="3ED83013" w14:textId="4ED3DB2C" w:rsidR="002B339B" w:rsidRPr="00887119" w:rsidRDefault="002B339B" w:rsidP="00FE550C">
      <w:pPr>
        <w:pStyle w:val="ListParagraph"/>
        <w:numPr>
          <w:ilvl w:val="0"/>
          <w:numId w:val="7"/>
        </w:numPr>
        <w:ind w:left="720"/>
        <w:rPr>
          <w:lang w:eastAsia="en-CA"/>
        </w:rPr>
      </w:pPr>
      <w:r w:rsidRPr="00887119">
        <w:rPr>
          <w:lang w:eastAsia="en-CA"/>
        </w:rPr>
        <w:lastRenderedPageBreak/>
        <w:t xml:space="preserve">Improved workforce </w:t>
      </w:r>
      <w:r w:rsidR="00EE10FB" w:rsidRPr="00887119">
        <w:rPr>
          <w:lang w:eastAsia="en-CA"/>
        </w:rPr>
        <w:t>attraction</w:t>
      </w:r>
      <w:r w:rsidRPr="00887119">
        <w:rPr>
          <w:lang w:eastAsia="en-CA"/>
        </w:rPr>
        <w:t xml:space="preserve">, retention, and participation </w:t>
      </w:r>
    </w:p>
    <w:p w14:paraId="06B90FF0" w14:textId="77777777" w:rsidR="002B339B" w:rsidRPr="00887119" w:rsidRDefault="002B339B" w:rsidP="00FE550C">
      <w:pPr>
        <w:pStyle w:val="ListParagraph"/>
        <w:numPr>
          <w:ilvl w:val="0"/>
          <w:numId w:val="7"/>
        </w:numPr>
        <w:ind w:left="720"/>
        <w:rPr>
          <w:lang w:eastAsia="en-CA"/>
        </w:rPr>
      </w:pPr>
      <w:r w:rsidRPr="00887119">
        <w:rPr>
          <w:lang w:eastAsia="en-CA"/>
        </w:rPr>
        <w:t xml:space="preserve">Increased household financial stability and spending </w:t>
      </w:r>
    </w:p>
    <w:p w14:paraId="04A52529" w14:textId="77777777" w:rsidR="002B339B" w:rsidRPr="00887119" w:rsidRDefault="002B339B" w:rsidP="00FE550C">
      <w:pPr>
        <w:pStyle w:val="ListParagraph"/>
        <w:numPr>
          <w:ilvl w:val="0"/>
          <w:numId w:val="7"/>
        </w:numPr>
        <w:ind w:left="720"/>
        <w:rPr>
          <w:lang w:eastAsia="en-CA"/>
        </w:rPr>
      </w:pPr>
      <w:r w:rsidRPr="00887119">
        <w:rPr>
          <w:lang w:eastAsia="en-CA"/>
        </w:rPr>
        <w:t xml:space="preserve">Enhanced local economic activity and job creation </w:t>
      </w:r>
    </w:p>
    <w:p w14:paraId="70912EE4" w14:textId="77777777" w:rsidR="006868DE" w:rsidRPr="00887119" w:rsidRDefault="006868DE" w:rsidP="00FE550C">
      <w:pPr>
        <w:pStyle w:val="ListParagraph"/>
        <w:numPr>
          <w:ilvl w:val="0"/>
          <w:numId w:val="7"/>
        </w:numPr>
        <w:ind w:left="720"/>
        <w:rPr>
          <w:lang w:eastAsia="en-CA"/>
        </w:rPr>
      </w:pPr>
      <w:r w:rsidRPr="00887119">
        <w:rPr>
          <w:lang w:eastAsia="en-CA"/>
        </w:rPr>
        <w:t>Stronger alignment between housing supply and local labour market needs</w:t>
      </w:r>
    </w:p>
    <w:p w14:paraId="69B6B66A" w14:textId="2C666DDB" w:rsidR="002B339B" w:rsidRPr="00887119" w:rsidRDefault="002B339B" w:rsidP="00FE550C">
      <w:pPr>
        <w:pStyle w:val="ListParagraph"/>
        <w:numPr>
          <w:ilvl w:val="0"/>
          <w:numId w:val="7"/>
        </w:numPr>
        <w:ind w:left="720"/>
        <w:rPr>
          <w:lang w:eastAsia="en-CA"/>
        </w:rPr>
      </w:pPr>
      <w:r w:rsidRPr="00887119">
        <w:rPr>
          <w:lang w:eastAsia="en-CA"/>
        </w:rPr>
        <w:t xml:space="preserve">Reduced long-term public system costs through more preventative approaches </w:t>
      </w:r>
    </w:p>
    <w:p w14:paraId="36BB5512" w14:textId="77777777" w:rsidR="008A4EE9" w:rsidRPr="00887119" w:rsidRDefault="008A4EE9" w:rsidP="008A4EE9">
      <w:pPr>
        <w:rPr>
          <w:lang w:eastAsia="en-CA"/>
        </w:rPr>
      </w:pPr>
    </w:p>
    <w:p w14:paraId="7767B39F" w14:textId="152860B8" w:rsidR="00385CCC" w:rsidRPr="00887119" w:rsidRDefault="00A52719" w:rsidP="00842B20">
      <w:pPr>
        <w:pStyle w:val="Heading2"/>
      </w:pPr>
      <w:bookmarkStart w:id="19" w:name="_Toc229051938"/>
      <w:bookmarkStart w:id="20" w:name="_Toc237957422"/>
      <w:r w:rsidRPr="00887119">
        <w:t>Housing and Socio-economic Inequality</w:t>
      </w:r>
      <w:bookmarkEnd w:id="19"/>
      <w:bookmarkEnd w:id="20"/>
      <w:r w:rsidRPr="00887119">
        <w:t xml:space="preserve"> </w:t>
      </w:r>
    </w:p>
    <w:p w14:paraId="70876EB7" w14:textId="59B44BEE" w:rsidR="0058676F" w:rsidRPr="00887119" w:rsidRDefault="0058676F" w:rsidP="0058676F">
      <w:r w:rsidRPr="00887119">
        <w:t>Challenges with housing affordability and access to housing are disproportionately experienced across populations, contributing to and reinforcing broader patterns of socio-economic inequality. Households with lower or fixed incomes, as well as those facing systemic barriers, are more likely to experience housing insecurity</w:t>
      </w:r>
      <w:r w:rsidR="00081AE2" w:rsidRPr="00887119">
        <w:t xml:space="preserve">. </w:t>
      </w:r>
    </w:p>
    <w:p w14:paraId="08E96440" w14:textId="77777777" w:rsidR="0058676F" w:rsidRPr="00887119" w:rsidRDefault="0058676F" w:rsidP="0058676F">
      <w:pPr>
        <w:rPr>
          <w:rFonts w:ascii="Times New Roman" w:hAnsi="Times New Roman"/>
          <w:sz w:val="24"/>
        </w:rPr>
      </w:pPr>
    </w:p>
    <w:p w14:paraId="16AF4C48" w14:textId="5DBF787E" w:rsidR="0058676F" w:rsidRPr="00887119" w:rsidRDefault="00056B78" w:rsidP="0058676F">
      <w:r w:rsidRPr="00887119">
        <w:t xml:space="preserve">The consequences of insecurity extend well beyond shelter costs, compounding disadvantage across health, education, employment, and intergenerational opportunities. </w:t>
      </w:r>
      <w:r w:rsidR="005E08F0" w:rsidRPr="00887119">
        <w:rPr>
          <w:rStyle w:val="Figure-textChar"/>
        </w:rPr>
        <w:fldChar w:fldCharType="begin"/>
      </w:r>
      <w:r w:rsidR="005E08F0" w:rsidRPr="00887119">
        <w:rPr>
          <w:rStyle w:val="Figure-textChar"/>
        </w:rPr>
        <w:instrText xml:space="preserve"> REF _Ref229128345 \h  \* MERGEFORMAT </w:instrText>
      </w:r>
      <w:r w:rsidR="005E08F0" w:rsidRPr="00887119">
        <w:rPr>
          <w:rStyle w:val="Figure-textChar"/>
        </w:rPr>
      </w:r>
      <w:r w:rsidR="005E08F0" w:rsidRPr="00887119">
        <w:rPr>
          <w:rStyle w:val="Figure-textChar"/>
        </w:rPr>
        <w:fldChar w:fldCharType="separate"/>
      </w:r>
      <w:r w:rsidR="008D4BDE" w:rsidRPr="008D4BDE">
        <w:rPr>
          <w:rStyle w:val="Figure-textChar"/>
        </w:rPr>
        <w:t>Table 3.1</w:t>
      </w:r>
      <w:r w:rsidR="005E08F0" w:rsidRPr="00887119">
        <w:rPr>
          <w:rStyle w:val="Figure-textChar"/>
        </w:rPr>
        <w:fldChar w:fldCharType="end"/>
      </w:r>
      <w:r w:rsidR="005E08F0" w:rsidRPr="00887119">
        <w:t xml:space="preserve"> provides additional detail.</w:t>
      </w:r>
    </w:p>
    <w:p w14:paraId="0347B925" w14:textId="77777777" w:rsidR="00830174" w:rsidRPr="00887119" w:rsidRDefault="00830174" w:rsidP="008E0AAC">
      <w:pPr>
        <w:spacing w:line="259" w:lineRule="auto"/>
        <w:rPr>
          <w:lang w:eastAsia="en-CA"/>
        </w:rPr>
      </w:pPr>
    </w:p>
    <w:p w14:paraId="516CF2FF" w14:textId="676657BB" w:rsidR="00165731" w:rsidRPr="00887119" w:rsidRDefault="00165731" w:rsidP="00165731">
      <w:pPr>
        <w:pStyle w:val="Caption"/>
      </w:pPr>
      <w:bookmarkStart w:id="21" w:name="_Ref229128345"/>
      <w:r w:rsidRPr="00887119">
        <w:t xml:space="preserve">Table </w:t>
      </w:r>
      <w:fldSimple w:instr=" STYLEREF 1 \s ">
        <w:r w:rsidR="008D4BDE">
          <w:rPr>
            <w:noProof/>
          </w:rPr>
          <w:t>3</w:t>
        </w:r>
      </w:fldSimple>
      <w:r w:rsidR="00EE1FE9">
        <w:t>.</w:t>
      </w:r>
      <w:fldSimple w:instr=" SEQ Table \* ARABIC \s 1 ">
        <w:r w:rsidR="008D4BDE">
          <w:rPr>
            <w:noProof/>
          </w:rPr>
          <w:t>1</w:t>
        </w:r>
      </w:fldSimple>
      <w:bookmarkEnd w:id="21"/>
      <w:r w:rsidRPr="00887119">
        <w:t>: Impacts of housing insecurity</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15"/>
        <w:gridCol w:w="7735"/>
      </w:tblGrid>
      <w:tr w:rsidR="00F36EF9" w:rsidRPr="00887119" w14:paraId="44C6DD61" w14:textId="77777777" w:rsidTr="00680203">
        <w:trPr>
          <w:trHeight w:val="432"/>
          <w:tblHeader/>
        </w:trPr>
        <w:tc>
          <w:tcPr>
            <w:tcW w:w="1615" w:type="dxa"/>
            <w:tcBorders>
              <w:top w:val="single" w:sz="4" w:space="0" w:color="auto"/>
              <w:left w:val="single" w:sz="4" w:space="0" w:color="auto"/>
              <w:bottom w:val="single" w:sz="4" w:space="0" w:color="auto"/>
              <w:right w:val="single" w:sz="4" w:space="0" w:color="BFBFBF" w:themeColor="background1" w:themeShade="BF"/>
            </w:tcBorders>
            <w:shd w:val="clear" w:color="auto" w:fill="42618C" w:themeFill="accent3"/>
            <w:vAlign w:val="center"/>
          </w:tcPr>
          <w:p w14:paraId="6B2E651D" w14:textId="7DD15730" w:rsidR="00F36EF9" w:rsidRPr="00887119" w:rsidRDefault="00F36EF9" w:rsidP="00CE4666">
            <w:pPr>
              <w:spacing w:line="259" w:lineRule="auto"/>
              <w:jc w:val="left"/>
              <w:rPr>
                <w:color w:val="FFFFFF" w:themeColor="background1"/>
                <w:sz w:val="18"/>
                <w:szCs w:val="18"/>
              </w:rPr>
            </w:pPr>
            <w:r w:rsidRPr="00887119">
              <w:rPr>
                <w:color w:val="FFFFFF" w:themeColor="background1"/>
                <w:sz w:val="18"/>
                <w:szCs w:val="18"/>
              </w:rPr>
              <w:t>Impact</w:t>
            </w:r>
          </w:p>
        </w:tc>
        <w:tc>
          <w:tcPr>
            <w:tcW w:w="7735" w:type="dxa"/>
            <w:tcBorders>
              <w:top w:val="single" w:sz="4" w:space="0" w:color="auto"/>
              <w:left w:val="single" w:sz="4" w:space="0" w:color="BFBFBF" w:themeColor="background1" w:themeShade="BF"/>
              <w:bottom w:val="single" w:sz="4" w:space="0" w:color="auto"/>
              <w:right w:val="single" w:sz="4" w:space="0" w:color="auto"/>
            </w:tcBorders>
            <w:shd w:val="clear" w:color="auto" w:fill="42618C" w:themeFill="accent3"/>
            <w:vAlign w:val="center"/>
          </w:tcPr>
          <w:p w14:paraId="6DE9FE1F" w14:textId="42029D5E" w:rsidR="00F36EF9" w:rsidRPr="00887119" w:rsidRDefault="00F36EF9" w:rsidP="00CE4666">
            <w:pPr>
              <w:spacing w:line="259" w:lineRule="auto"/>
              <w:jc w:val="left"/>
              <w:rPr>
                <w:color w:val="FFFFFF" w:themeColor="background1"/>
                <w:sz w:val="18"/>
                <w:szCs w:val="18"/>
              </w:rPr>
            </w:pPr>
            <w:r w:rsidRPr="00887119">
              <w:rPr>
                <w:color w:val="FFFFFF" w:themeColor="background1"/>
                <w:sz w:val="18"/>
                <w:szCs w:val="18"/>
              </w:rPr>
              <w:t>Description</w:t>
            </w:r>
          </w:p>
        </w:tc>
      </w:tr>
      <w:tr w:rsidR="00F36EF9" w:rsidRPr="00887119" w14:paraId="3F5550B2" w14:textId="77777777" w:rsidTr="00C657BE">
        <w:trPr>
          <w:trHeight w:val="845"/>
        </w:trPr>
        <w:tc>
          <w:tcPr>
            <w:tcW w:w="1615" w:type="dxa"/>
            <w:tcBorders>
              <w:top w:val="single" w:sz="4" w:space="0" w:color="auto"/>
              <w:left w:val="single" w:sz="4" w:space="0" w:color="auto"/>
            </w:tcBorders>
            <w:shd w:val="clear" w:color="auto" w:fill="F2F2F2" w:themeFill="background1" w:themeFillShade="F2"/>
            <w:vAlign w:val="center"/>
          </w:tcPr>
          <w:p w14:paraId="1C279E4B" w14:textId="5F43B5CB" w:rsidR="00F36EF9" w:rsidRPr="00887119" w:rsidRDefault="00F36EF9" w:rsidP="00CE4666">
            <w:pPr>
              <w:spacing w:line="259" w:lineRule="auto"/>
              <w:jc w:val="left"/>
              <w:rPr>
                <w:sz w:val="18"/>
                <w:szCs w:val="18"/>
              </w:rPr>
            </w:pPr>
            <w:r w:rsidRPr="00887119">
              <w:rPr>
                <w:sz w:val="18"/>
                <w:szCs w:val="18"/>
              </w:rPr>
              <w:t>Low-income renter households</w:t>
            </w:r>
          </w:p>
        </w:tc>
        <w:tc>
          <w:tcPr>
            <w:tcW w:w="7735" w:type="dxa"/>
            <w:tcBorders>
              <w:top w:val="single" w:sz="4" w:space="0" w:color="auto"/>
              <w:right w:val="single" w:sz="4" w:space="0" w:color="auto"/>
            </w:tcBorders>
            <w:shd w:val="clear" w:color="auto" w:fill="F2F2F2" w:themeFill="background1" w:themeFillShade="F2"/>
            <w:vAlign w:val="center"/>
          </w:tcPr>
          <w:p w14:paraId="36F064BC" w14:textId="72F54F47" w:rsidR="00F36EF9" w:rsidRPr="00887119" w:rsidRDefault="00CE4666" w:rsidP="00CE4666">
            <w:pPr>
              <w:spacing w:line="259" w:lineRule="auto"/>
              <w:jc w:val="left"/>
              <w:rPr>
                <w:sz w:val="18"/>
                <w:szCs w:val="18"/>
              </w:rPr>
            </w:pPr>
            <w:r w:rsidRPr="00887119">
              <w:rPr>
                <w:sz w:val="18"/>
                <w:szCs w:val="18"/>
              </w:rPr>
              <w:t>Disproportionate housing need among low-income renter households, who face the combined pressure of limited rental supply, rising rents, and incomes insufficient to compete in the private market without assistance</w:t>
            </w:r>
            <w:r w:rsidR="00751BB3" w:rsidRPr="00887119">
              <w:rPr>
                <w:sz w:val="18"/>
                <w:szCs w:val="18"/>
              </w:rPr>
              <w:t>.</w:t>
            </w:r>
          </w:p>
        </w:tc>
      </w:tr>
      <w:tr w:rsidR="00CE4666" w:rsidRPr="00887119" w14:paraId="43DBD5EF" w14:textId="77777777" w:rsidTr="00C657BE">
        <w:trPr>
          <w:trHeight w:val="818"/>
        </w:trPr>
        <w:tc>
          <w:tcPr>
            <w:tcW w:w="1615" w:type="dxa"/>
            <w:tcBorders>
              <w:left w:val="single" w:sz="4" w:space="0" w:color="auto"/>
            </w:tcBorders>
            <w:vAlign w:val="center"/>
          </w:tcPr>
          <w:p w14:paraId="42B45300" w14:textId="6A99BE87" w:rsidR="00CE4666" w:rsidRPr="00887119" w:rsidRDefault="00CE4666" w:rsidP="00CE4666">
            <w:pPr>
              <w:spacing w:line="259" w:lineRule="auto"/>
              <w:jc w:val="left"/>
              <w:rPr>
                <w:sz w:val="18"/>
                <w:szCs w:val="18"/>
              </w:rPr>
            </w:pPr>
            <w:r w:rsidRPr="00887119">
              <w:rPr>
                <w:sz w:val="18"/>
                <w:szCs w:val="18"/>
              </w:rPr>
              <w:t>Vulnerable household types</w:t>
            </w:r>
          </w:p>
        </w:tc>
        <w:tc>
          <w:tcPr>
            <w:tcW w:w="7735" w:type="dxa"/>
            <w:tcBorders>
              <w:right w:val="single" w:sz="4" w:space="0" w:color="auto"/>
            </w:tcBorders>
            <w:vAlign w:val="center"/>
          </w:tcPr>
          <w:p w14:paraId="1AE0F9CC" w14:textId="5F27D9F1" w:rsidR="00CE4666" w:rsidRPr="00887119" w:rsidRDefault="00751BB3" w:rsidP="00CE4666">
            <w:pPr>
              <w:spacing w:line="259" w:lineRule="auto"/>
              <w:jc w:val="left"/>
              <w:rPr>
                <w:sz w:val="18"/>
                <w:szCs w:val="18"/>
              </w:rPr>
            </w:pPr>
            <w:r w:rsidRPr="00887119">
              <w:rPr>
                <w:sz w:val="18"/>
                <w:szCs w:val="18"/>
              </w:rPr>
              <w:t>Increased vulnerability among lone-parent households, seniors, and persons with disabilities, whose fixed or constrained incomes leave little capacity to absorb rent increases or maintain aging housing stock.</w:t>
            </w:r>
          </w:p>
        </w:tc>
      </w:tr>
      <w:tr w:rsidR="00751BB3" w:rsidRPr="00887119" w14:paraId="3A983A3B" w14:textId="77777777" w:rsidTr="00C657BE">
        <w:trPr>
          <w:trHeight w:val="1250"/>
        </w:trPr>
        <w:tc>
          <w:tcPr>
            <w:tcW w:w="1615" w:type="dxa"/>
            <w:tcBorders>
              <w:left w:val="single" w:sz="4" w:space="0" w:color="auto"/>
            </w:tcBorders>
            <w:shd w:val="clear" w:color="auto" w:fill="F2F2F2" w:themeFill="background1" w:themeFillShade="F2"/>
            <w:vAlign w:val="center"/>
          </w:tcPr>
          <w:p w14:paraId="1EFCD4E9" w14:textId="729C6266" w:rsidR="00751BB3" w:rsidRPr="00887119" w:rsidRDefault="00751BB3" w:rsidP="00CE4666">
            <w:pPr>
              <w:spacing w:line="259" w:lineRule="auto"/>
              <w:jc w:val="left"/>
              <w:rPr>
                <w:sz w:val="18"/>
                <w:szCs w:val="18"/>
              </w:rPr>
            </w:pPr>
            <w:r w:rsidRPr="00887119">
              <w:rPr>
                <w:sz w:val="18"/>
                <w:szCs w:val="18"/>
              </w:rPr>
              <w:t>Health outcomes</w:t>
            </w:r>
          </w:p>
        </w:tc>
        <w:tc>
          <w:tcPr>
            <w:tcW w:w="7735" w:type="dxa"/>
            <w:tcBorders>
              <w:right w:val="single" w:sz="4" w:space="0" w:color="auto"/>
            </w:tcBorders>
            <w:shd w:val="clear" w:color="auto" w:fill="F2F2F2" w:themeFill="background1" w:themeFillShade="F2"/>
            <w:vAlign w:val="center"/>
          </w:tcPr>
          <w:p w14:paraId="6480C1D0" w14:textId="04A201FC" w:rsidR="00751BB3" w:rsidRPr="00887119" w:rsidRDefault="00751BB3" w:rsidP="00CE4666">
            <w:pPr>
              <w:spacing w:line="259" w:lineRule="auto"/>
              <w:jc w:val="left"/>
              <w:rPr>
                <w:sz w:val="18"/>
                <w:szCs w:val="18"/>
              </w:rPr>
            </w:pPr>
            <w:r w:rsidRPr="00887119">
              <w:rPr>
                <w:sz w:val="18"/>
                <w:szCs w:val="18"/>
              </w:rPr>
              <w:t>Elevated rates of mental health challenges and chronic health conditions among households experiencing housing instability, reflecting housing's well-established role as a foundational social determinant of health. Research consistently shows that individuals living in unaffordable housing are more likely to suffer from depressive symptoms and poor mental health overall</w:t>
            </w:r>
            <w:r w:rsidR="006C21B0" w:rsidRPr="00887119">
              <w:rPr>
                <w:sz w:val="18"/>
                <w:szCs w:val="18"/>
              </w:rPr>
              <w:t>.</w:t>
            </w:r>
            <w:r w:rsidR="006C21B0" w:rsidRPr="00887119">
              <w:rPr>
                <w:rStyle w:val="FootnoteReference"/>
                <w:sz w:val="18"/>
                <w:szCs w:val="18"/>
              </w:rPr>
              <w:footnoteReference w:id="10"/>
            </w:r>
          </w:p>
        </w:tc>
      </w:tr>
      <w:tr w:rsidR="0002313B" w:rsidRPr="00887119" w14:paraId="01EC4087" w14:textId="77777777" w:rsidTr="00C657BE">
        <w:trPr>
          <w:trHeight w:val="890"/>
        </w:trPr>
        <w:tc>
          <w:tcPr>
            <w:tcW w:w="1615" w:type="dxa"/>
            <w:tcBorders>
              <w:left w:val="single" w:sz="4" w:space="0" w:color="auto"/>
            </w:tcBorders>
            <w:vAlign w:val="center"/>
          </w:tcPr>
          <w:p w14:paraId="54827FD2" w14:textId="55483B2D" w:rsidR="0002313B" w:rsidRPr="00887119" w:rsidRDefault="0002313B" w:rsidP="00CE4666">
            <w:pPr>
              <w:spacing w:line="259" w:lineRule="auto"/>
              <w:jc w:val="left"/>
              <w:rPr>
                <w:sz w:val="18"/>
                <w:szCs w:val="18"/>
              </w:rPr>
            </w:pPr>
            <w:r w:rsidRPr="00887119">
              <w:rPr>
                <w:sz w:val="18"/>
                <w:szCs w:val="18"/>
              </w:rPr>
              <w:t>Education and employment</w:t>
            </w:r>
          </w:p>
        </w:tc>
        <w:tc>
          <w:tcPr>
            <w:tcW w:w="7735" w:type="dxa"/>
            <w:tcBorders>
              <w:right w:val="single" w:sz="4" w:space="0" w:color="auto"/>
            </w:tcBorders>
            <w:vAlign w:val="center"/>
          </w:tcPr>
          <w:p w14:paraId="2D6E7787" w14:textId="39F088CA" w:rsidR="0002313B" w:rsidRPr="00887119" w:rsidRDefault="0002313B" w:rsidP="00CE4666">
            <w:pPr>
              <w:spacing w:line="259" w:lineRule="auto"/>
              <w:jc w:val="left"/>
              <w:rPr>
                <w:sz w:val="18"/>
                <w:szCs w:val="18"/>
              </w:rPr>
            </w:pPr>
            <w:r w:rsidRPr="00887119">
              <w:rPr>
                <w:sz w:val="18"/>
                <w:szCs w:val="18"/>
              </w:rPr>
              <w:t>Cascading effects of housing instability on education, employment, and long-term income outcomes, as households managing housing precarity face reduced capacity to participate fully in the labour market or invest in education and skills development</w:t>
            </w:r>
            <w:r w:rsidR="00E2152B" w:rsidRPr="00887119">
              <w:rPr>
                <w:sz w:val="18"/>
                <w:szCs w:val="18"/>
              </w:rPr>
              <w:t>.</w:t>
            </w:r>
          </w:p>
        </w:tc>
      </w:tr>
      <w:tr w:rsidR="0002313B" w:rsidRPr="00887119" w14:paraId="0E305556" w14:textId="77777777" w:rsidTr="00C657BE">
        <w:trPr>
          <w:trHeight w:val="1790"/>
        </w:trPr>
        <w:tc>
          <w:tcPr>
            <w:tcW w:w="1615" w:type="dxa"/>
            <w:tcBorders>
              <w:left w:val="single" w:sz="4" w:space="0" w:color="auto"/>
            </w:tcBorders>
            <w:shd w:val="clear" w:color="auto" w:fill="F2F2F2" w:themeFill="background1" w:themeFillShade="F2"/>
            <w:vAlign w:val="center"/>
          </w:tcPr>
          <w:p w14:paraId="757297BC" w14:textId="293E274D" w:rsidR="0002313B" w:rsidRPr="00887119" w:rsidRDefault="0002313B" w:rsidP="00CE4666">
            <w:pPr>
              <w:spacing w:line="259" w:lineRule="auto"/>
              <w:jc w:val="left"/>
              <w:rPr>
                <w:sz w:val="18"/>
                <w:szCs w:val="18"/>
              </w:rPr>
            </w:pPr>
            <w:r w:rsidRPr="00887119">
              <w:rPr>
                <w:sz w:val="18"/>
                <w:szCs w:val="18"/>
              </w:rPr>
              <w:t>Intergenerational wealth</w:t>
            </w:r>
          </w:p>
        </w:tc>
        <w:tc>
          <w:tcPr>
            <w:tcW w:w="7735" w:type="dxa"/>
            <w:tcBorders>
              <w:right w:val="single" w:sz="4" w:space="0" w:color="auto"/>
            </w:tcBorders>
            <w:shd w:val="clear" w:color="auto" w:fill="F2F2F2" w:themeFill="background1" w:themeFillShade="F2"/>
            <w:vAlign w:val="center"/>
          </w:tcPr>
          <w:p w14:paraId="483401A8" w14:textId="663D2FEC" w:rsidR="0002313B" w:rsidRPr="00887119" w:rsidRDefault="00117B17" w:rsidP="00CE4666">
            <w:pPr>
              <w:spacing w:line="259" w:lineRule="auto"/>
              <w:jc w:val="left"/>
              <w:rPr>
                <w:sz w:val="18"/>
                <w:szCs w:val="18"/>
              </w:rPr>
            </w:pPr>
            <w:r w:rsidRPr="00887119">
              <w:rPr>
                <w:sz w:val="18"/>
                <w:szCs w:val="18"/>
              </w:rPr>
              <w:t>Widening intergenerational wealth gaps between households with access to home equity and those without. By 2023, 30% of homeowning families had received an inheritance compared with 19.5% of renting families, and the median share of young homeowners whose down payment included a gift or inheritance rose by 5.5 percentage points between 2019 and 2023.</w:t>
            </w:r>
            <w:r w:rsidR="00E2152B" w:rsidRPr="00887119">
              <w:rPr>
                <w:rStyle w:val="FootnoteReference"/>
                <w:sz w:val="18"/>
                <w:szCs w:val="18"/>
              </w:rPr>
              <w:footnoteReference w:id="11"/>
            </w:r>
            <w:r w:rsidRPr="00887119">
              <w:rPr>
                <w:sz w:val="18"/>
                <w:szCs w:val="18"/>
              </w:rPr>
              <w:t xml:space="preserve"> For households without family wealth to draw upon, homeownership (and the wealth accumulation it enables</w:t>
            </w:r>
            <w:r w:rsidR="0048028A" w:rsidRPr="00887119">
              <w:rPr>
                <w:sz w:val="18"/>
                <w:szCs w:val="18"/>
              </w:rPr>
              <w:t>)</w:t>
            </w:r>
            <w:r w:rsidRPr="00887119">
              <w:rPr>
                <w:sz w:val="18"/>
                <w:szCs w:val="18"/>
              </w:rPr>
              <w:t xml:space="preserve"> is becoming structurally inaccessible, deepening long-term inequality across income groups</w:t>
            </w:r>
            <w:r w:rsidR="00427593" w:rsidRPr="00887119">
              <w:rPr>
                <w:sz w:val="18"/>
                <w:szCs w:val="18"/>
              </w:rPr>
              <w:t>.</w:t>
            </w:r>
          </w:p>
        </w:tc>
      </w:tr>
      <w:tr w:rsidR="00427593" w:rsidRPr="00887119" w14:paraId="0FF13190" w14:textId="77777777" w:rsidTr="00C657BE">
        <w:trPr>
          <w:trHeight w:val="1700"/>
        </w:trPr>
        <w:tc>
          <w:tcPr>
            <w:tcW w:w="1615" w:type="dxa"/>
            <w:tcBorders>
              <w:left w:val="single" w:sz="4" w:space="0" w:color="auto"/>
            </w:tcBorders>
            <w:vAlign w:val="center"/>
          </w:tcPr>
          <w:p w14:paraId="2C034D7C" w14:textId="7E929F4E" w:rsidR="00427593" w:rsidRPr="00887119" w:rsidRDefault="00427593" w:rsidP="00CE4666">
            <w:pPr>
              <w:spacing w:line="259" w:lineRule="auto"/>
              <w:jc w:val="left"/>
              <w:rPr>
                <w:sz w:val="18"/>
                <w:szCs w:val="18"/>
              </w:rPr>
            </w:pPr>
            <w:r w:rsidRPr="00887119">
              <w:rPr>
                <w:sz w:val="18"/>
                <w:szCs w:val="18"/>
              </w:rPr>
              <w:lastRenderedPageBreak/>
              <w:t>Indigenous households</w:t>
            </w:r>
          </w:p>
        </w:tc>
        <w:tc>
          <w:tcPr>
            <w:tcW w:w="7735" w:type="dxa"/>
            <w:tcBorders>
              <w:right w:val="single" w:sz="4" w:space="0" w:color="auto"/>
            </w:tcBorders>
            <w:vAlign w:val="center"/>
          </w:tcPr>
          <w:p w14:paraId="15C05E5F" w14:textId="5A4A2327" w:rsidR="00427593" w:rsidRPr="00887119" w:rsidRDefault="0088050F" w:rsidP="00CE4666">
            <w:pPr>
              <w:spacing w:line="259" w:lineRule="auto"/>
              <w:jc w:val="left"/>
              <w:rPr>
                <w:sz w:val="18"/>
                <w:szCs w:val="18"/>
              </w:rPr>
            </w:pPr>
            <w:r w:rsidRPr="00887119">
              <w:rPr>
                <w:sz w:val="18"/>
                <w:szCs w:val="18"/>
              </w:rPr>
              <w:t>Disproportionate housing inadequacy and overcrowding among Indigenous households, reflecting both systemic underfunding of Indigenous housing programs and the ongoing legacy of colonization on housing conditions and land access. Nationally, core housing need among Indigenous households is substantially higher than among non-Indigenous households, with overcrowding and dwellings in need of major repair being considerabl</w:t>
            </w:r>
            <w:r w:rsidR="001D7F01" w:rsidRPr="00887119">
              <w:rPr>
                <w:sz w:val="18"/>
                <w:szCs w:val="18"/>
              </w:rPr>
              <w:t>y</w:t>
            </w:r>
            <w:r w:rsidRPr="00887119">
              <w:rPr>
                <w:sz w:val="18"/>
                <w:szCs w:val="18"/>
              </w:rPr>
              <w:t xml:space="preserve"> more prevalent. In </w:t>
            </w:r>
            <w:r w:rsidR="00402288" w:rsidRPr="00402288">
              <w:rPr>
                <w:color w:val="C00000"/>
                <w:sz w:val="18"/>
                <w:szCs w:val="18"/>
              </w:rPr>
              <w:t>PEI</w:t>
            </w:r>
            <w:r w:rsidRPr="00887119">
              <w:rPr>
                <w:sz w:val="18"/>
                <w:szCs w:val="18"/>
              </w:rPr>
              <w:t xml:space="preserve">, on-reserve communities show inadequacy rates of about 30% and unsuitability rates of 10%, </w:t>
            </w:r>
            <w:r w:rsidR="003B6D17" w:rsidRPr="00887119">
              <w:rPr>
                <w:sz w:val="18"/>
                <w:szCs w:val="18"/>
              </w:rPr>
              <w:t xml:space="preserve">well </w:t>
            </w:r>
            <w:r w:rsidRPr="00887119">
              <w:rPr>
                <w:sz w:val="18"/>
                <w:szCs w:val="18"/>
              </w:rPr>
              <w:t>exceeding provincial averages</w:t>
            </w:r>
            <w:r w:rsidR="003B6D17" w:rsidRPr="00887119">
              <w:rPr>
                <w:sz w:val="18"/>
                <w:szCs w:val="18"/>
              </w:rPr>
              <w:t>.</w:t>
            </w:r>
          </w:p>
        </w:tc>
      </w:tr>
      <w:tr w:rsidR="0088050F" w:rsidRPr="00887119" w14:paraId="2DA64357" w14:textId="77777777" w:rsidTr="00C657BE">
        <w:trPr>
          <w:trHeight w:val="890"/>
        </w:trPr>
        <w:tc>
          <w:tcPr>
            <w:tcW w:w="1615" w:type="dxa"/>
            <w:tcBorders>
              <w:left w:val="single" w:sz="4" w:space="0" w:color="auto"/>
              <w:bottom w:val="single" w:sz="4" w:space="0" w:color="auto"/>
            </w:tcBorders>
            <w:shd w:val="clear" w:color="auto" w:fill="F2F2F2" w:themeFill="background1" w:themeFillShade="F2"/>
            <w:vAlign w:val="center"/>
          </w:tcPr>
          <w:p w14:paraId="6CB2E6D6" w14:textId="65FD630B" w:rsidR="0088050F" w:rsidRPr="00887119" w:rsidRDefault="0088050F" w:rsidP="00CE4666">
            <w:pPr>
              <w:spacing w:line="259" w:lineRule="auto"/>
              <w:jc w:val="left"/>
              <w:rPr>
                <w:sz w:val="18"/>
                <w:szCs w:val="18"/>
              </w:rPr>
            </w:pPr>
            <w:r w:rsidRPr="00887119">
              <w:rPr>
                <w:sz w:val="18"/>
                <w:szCs w:val="18"/>
              </w:rPr>
              <w:t>Geographic and social inequity</w:t>
            </w:r>
          </w:p>
        </w:tc>
        <w:tc>
          <w:tcPr>
            <w:tcW w:w="7735" w:type="dxa"/>
            <w:tcBorders>
              <w:bottom w:val="single" w:sz="4" w:space="0" w:color="auto"/>
              <w:right w:val="single" w:sz="4" w:space="0" w:color="auto"/>
            </w:tcBorders>
            <w:shd w:val="clear" w:color="auto" w:fill="F2F2F2" w:themeFill="background1" w:themeFillShade="F2"/>
            <w:vAlign w:val="center"/>
          </w:tcPr>
          <w:p w14:paraId="264E8738" w14:textId="7E3F59D2" w:rsidR="0088050F" w:rsidRPr="00887119" w:rsidRDefault="0088050F" w:rsidP="00CE4666">
            <w:pPr>
              <w:spacing w:line="259" w:lineRule="auto"/>
              <w:jc w:val="left"/>
              <w:rPr>
                <w:sz w:val="18"/>
                <w:szCs w:val="18"/>
              </w:rPr>
            </w:pPr>
            <w:r w:rsidRPr="00887119">
              <w:rPr>
                <w:sz w:val="18"/>
                <w:szCs w:val="18"/>
              </w:rPr>
              <w:t>Reinforcement of geographic and social inequities, including unequal access to housing options across urban and rural communities, where the nature and drivers of housing need differ substantially but the consequences for affected households are similarly severe</w:t>
            </w:r>
          </w:p>
        </w:tc>
      </w:tr>
    </w:tbl>
    <w:p w14:paraId="6190927E" w14:textId="77777777" w:rsidR="00BB7104" w:rsidRPr="00887119" w:rsidRDefault="00BB7104" w:rsidP="008E0AAC">
      <w:pPr>
        <w:spacing w:line="259" w:lineRule="auto"/>
        <w:rPr>
          <w:lang w:eastAsia="en-CA"/>
        </w:rPr>
      </w:pPr>
    </w:p>
    <w:p w14:paraId="35CF9A31" w14:textId="7794BDC3" w:rsidR="00830174" w:rsidRPr="00887119" w:rsidRDefault="00830174" w:rsidP="008E0AAC">
      <w:pPr>
        <w:spacing w:line="259" w:lineRule="auto"/>
        <w:rPr>
          <w:lang w:eastAsia="en-CA"/>
        </w:rPr>
      </w:pPr>
      <w:r w:rsidRPr="00887119">
        <w:rPr>
          <w:lang w:eastAsia="en-CA"/>
        </w:rPr>
        <w:t xml:space="preserve">In </w:t>
      </w:r>
      <w:r w:rsidR="00402288" w:rsidRPr="00402288">
        <w:rPr>
          <w:color w:val="C00000"/>
          <w:lang w:eastAsia="en-CA"/>
        </w:rPr>
        <w:t>PEI</w:t>
      </w:r>
      <w:r w:rsidRPr="00887119">
        <w:rPr>
          <w:lang w:eastAsia="en-CA"/>
        </w:rPr>
        <w:t>, these dynamics are further shaped by the province's urban-rural geography. Affordability-driven precarity is concentrated in urban and small urban areas, where rents are highest, vacancy is tightest, and the populations most vulnerable to housing insecurity (e.g., low-income renters, recent immigrants, lone-parent households, and single-person households) are most concentrated. In rural and remote communities, adequacy and maintenance-related need are comparatively more prominent, reflecting an older housing stock and lower-income homeowners who may lack the financial capacity to sustain necessary repairs. These geographic differences are not incidental; they have direct implications for the type of interventions most likely to be effective across different parts of the province, and they are reflected throughout the data presented in this assessment.</w:t>
      </w:r>
    </w:p>
    <w:p w14:paraId="67506A2D" w14:textId="77777777" w:rsidR="008E0AAC" w:rsidRPr="00887119" w:rsidRDefault="008E0AAC" w:rsidP="00265965">
      <w:pPr>
        <w:spacing w:line="259" w:lineRule="auto"/>
        <w:rPr>
          <w:rFonts w:cs="Arial"/>
          <w:strike/>
          <w:szCs w:val="22"/>
        </w:rPr>
      </w:pPr>
    </w:p>
    <w:p w14:paraId="04B4D783" w14:textId="77777777" w:rsidR="003650D2" w:rsidRPr="00887119" w:rsidRDefault="003650D2">
      <w:pPr>
        <w:spacing w:after="160"/>
        <w:jc w:val="left"/>
        <w:rPr>
          <w:rFonts w:ascii="Bahnschrift" w:eastAsiaTheme="majorEastAsia" w:hAnsi="Bahnschrift" w:cstheme="majorBidi"/>
          <w:b/>
          <w:color w:val="8AA2BA" w:themeColor="accent1" w:themeShade="BF"/>
          <w:sz w:val="56"/>
          <w:szCs w:val="32"/>
        </w:rPr>
      </w:pPr>
      <w:bookmarkStart w:id="22" w:name="_Toc226970606"/>
      <w:bookmarkStart w:id="23" w:name="_Toc229051940"/>
      <w:r w:rsidRPr="00887119">
        <w:br w:type="page"/>
      </w:r>
    </w:p>
    <w:p w14:paraId="01A03E40" w14:textId="432BDC72" w:rsidR="00E44F55" w:rsidRPr="00887119" w:rsidRDefault="006207C2" w:rsidP="00842B20">
      <w:pPr>
        <w:pStyle w:val="Heading1"/>
      </w:pPr>
      <w:bookmarkStart w:id="24" w:name="_Toc237957423"/>
      <w:r w:rsidRPr="00887119">
        <w:lastRenderedPageBreak/>
        <w:t>POLICY LANDSCAPE</w:t>
      </w:r>
      <w:bookmarkEnd w:id="22"/>
      <w:bookmarkEnd w:id="23"/>
      <w:bookmarkEnd w:id="24"/>
    </w:p>
    <w:p w14:paraId="2A6BACC4" w14:textId="77777777" w:rsidR="009A6BBE" w:rsidRPr="00887119" w:rsidRDefault="009A6BBE" w:rsidP="00EA0B7D"/>
    <w:p w14:paraId="349EA12A" w14:textId="30ABB1C8" w:rsidR="009A6BBE" w:rsidRPr="00887119" w:rsidRDefault="00402288" w:rsidP="00EA0B7D">
      <w:r w:rsidRPr="00402288">
        <w:rPr>
          <w:color w:val="C00000"/>
        </w:rPr>
        <w:t>PEI</w:t>
      </w:r>
      <w:r w:rsidR="008F3C7D" w:rsidRPr="00887119">
        <w:t xml:space="preserve">’s housing system is shaped by a multi-level policy and governance framework that spans federal, provincial, and municipal roles. This section provides an overview of the key legislation, strategies, policies, funding programs, and planning frameworks that influence and inform housing supply, affordability, and development across the province. Particular attention is given to the unique role of the province in land use planning — especially in rural and unincorporated areas across </w:t>
      </w:r>
      <w:r w:rsidRPr="00402288">
        <w:rPr>
          <w:color w:val="C00000"/>
        </w:rPr>
        <w:t>PEI</w:t>
      </w:r>
      <w:r w:rsidR="008F3C7D" w:rsidRPr="00887119">
        <w:t>. Together, this policy overview provides important context for understanding both opportunities and limitations that influence housing outcomes across the province.</w:t>
      </w:r>
    </w:p>
    <w:p w14:paraId="515B0AE5" w14:textId="77777777" w:rsidR="008F3C7D" w:rsidRPr="00887119" w:rsidRDefault="008F3C7D" w:rsidP="00EA0B7D"/>
    <w:p w14:paraId="75439C12" w14:textId="23D5C731" w:rsidR="00D97ECB" w:rsidRPr="00887119" w:rsidRDefault="00FB4A0D" w:rsidP="00842B20">
      <w:pPr>
        <w:pStyle w:val="Heading2"/>
      </w:pPr>
      <w:bookmarkStart w:id="25" w:name="_Toc229051941"/>
      <w:bookmarkStart w:id="26" w:name="_Toc237957424"/>
      <w:r w:rsidRPr="00887119">
        <w:t xml:space="preserve">Provincial </w:t>
      </w:r>
      <w:r w:rsidR="000C50A1" w:rsidRPr="00887119">
        <w:t>H</w:t>
      </w:r>
      <w:r w:rsidRPr="00887119">
        <w:t xml:space="preserve">ousing </w:t>
      </w:r>
      <w:r w:rsidR="000C50A1" w:rsidRPr="00887119">
        <w:t>L</w:t>
      </w:r>
      <w:r w:rsidRPr="00887119">
        <w:t xml:space="preserve">egislation, </w:t>
      </w:r>
      <w:r w:rsidR="000C50A1" w:rsidRPr="00887119">
        <w:t>S</w:t>
      </w:r>
      <w:r w:rsidRPr="00887119">
        <w:t>trategies,</w:t>
      </w:r>
      <w:r w:rsidR="00A8386D" w:rsidRPr="00887119">
        <w:t xml:space="preserve"> </w:t>
      </w:r>
      <w:r w:rsidR="000C50A1" w:rsidRPr="00887119">
        <w:t>and P</w:t>
      </w:r>
      <w:r w:rsidR="00A8386D" w:rsidRPr="00887119">
        <w:t>olicies</w:t>
      </w:r>
      <w:bookmarkEnd w:id="25"/>
      <w:bookmarkEnd w:id="26"/>
      <w:r w:rsidRPr="00887119">
        <w:t xml:space="preserve"> </w:t>
      </w:r>
    </w:p>
    <w:p w14:paraId="6B37451C" w14:textId="5AEDCCF9" w:rsidR="005A54BD" w:rsidRPr="00887119" w:rsidRDefault="00402288" w:rsidP="00CF632F">
      <w:r w:rsidRPr="00402288">
        <w:rPr>
          <w:color w:val="C00000"/>
        </w:rPr>
        <w:t>PEI</w:t>
      </w:r>
      <w:r w:rsidR="005A54BD" w:rsidRPr="00887119">
        <w:t xml:space="preserve">’s housing system is shaped by a layered legislative and policy framework spanning land use regulation, poverty reduction, tenancy, and housing strategy. The instruments summarized in </w:t>
      </w:r>
      <w:r w:rsidR="00B276AE">
        <w:fldChar w:fldCharType="begin"/>
      </w:r>
      <w:r w:rsidR="00B276AE">
        <w:instrText xml:space="preserve"> REF _Ref232156156 \h </w:instrText>
      </w:r>
      <w:r w:rsidR="00B276AE">
        <w:fldChar w:fldCharType="separate"/>
      </w:r>
      <w:r w:rsidR="00B276AE" w:rsidRPr="00887119">
        <w:t xml:space="preserve">Table </w:t>
      </w:r>
      <w:r w:rsidR="00B276AE">
        <w:rPr>
          <w:noProof/>
        </w:rPr>
        <w:t>4</w:t>
      </w:r>
      <w:r w:rsidR="00B276AE">
        <w:t>.</w:t>
      </w:r>
      <w:r w:rsidR="00B276AE">
        <w:rPr>
          <w:noProof/>
        </w:rPr>
        <w:t>1</w:t>
      </w:r>
      <w:r w:rsidR="00B276AE">
        <w:fldChar w:fldCharType="end"/>
      </w:r>
      <w:r w:rsidR="005A54BD" w:rsidRPr="00887119">
        <w:t xml:space="preserve"> collectively establish the regulatory environment and strategic direction within which housing development, affordability, and need are addressed across the province.</w:t>
      </w:r>
    </w:p>
    <w:p w14:paraId="64D683F4" w14:textId="77777777" w:rsidR="00CF632F" w:rsidRPr="00887119" w:rsidRDefault="00CF632F" w:rsidP="00CF632F"/>
    <w:p w14:paraId="4A5918A7" w14:textId="4EA0428B" w:rsidR="00CF632F" w:rsidRPr="00887119" w:rsidRDefault="00CF632F" w:rsidP="00CF632F">
      <w:pPr>
        <w:pStyle w:val="Caption"/>
      </w:pPr>
      <w:bookmarkStart w:id="27" w:name="_Ref232156156"/>
      <w:r w:rsidRPr="00887119">
        <w:t xml:space="preserve">Table </w:t>
      </w:r>
      <w:fldSimple w:instr=" STYLEREF 1 \s ">
        <w:r w:rsidR="008D4BDE">
          <w:rPr>
            <w:noProof/>
          </w:rPr>
          <w:t>4</w:t>
        </w:r>
      </w:fldSimple>
      <w:r w:rsidR="00EE1FE9">
        <w:t>.</w:t>
      </w:r>
      <w:fldSimple w:instr=" SEQ Table \* ARABIC \s 1 ">
        <w:r w:rsidR="008D4BDE">
          <w:rPr>
            <w:noProof/>
          </w:rPr>
          <w:t>1</w:t>
        </w:r>
      </w:fldSimple>
      <w:bookmarkEnd w:id="27"/>
      <w:r w:rsidRPr="00887119">
        <w:t xml:space="preserve">: Key provincial and federal legislation, strategies, and policies relevant to housing in </w:t>
      </w:r>
      <w:r w:rsidR="00402288" w:rsidRPr="00402288">
        <w:rPr>
          <w:color w:val="C00000"/>
        </w:rPr>
        <w:t>PEI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1260"/>
        <w:gridCol w:w="6215"/>
      </w:tblGrid>
      <w:tr w:rsidR="005A54BD" w:rsidRPr="00887119" w14:paraId="5D5995D5" w14:textId="77777777" w:rsidTr="00EC17F7">
        <w:trPr>
          <w:tblHeader/>
        </w:trPr>
        <w:tc>
          <w:tcPr>
            <w:tcW w:w="1885" w:type="dxa"/>
            <w:tcBorders>
              <w:top w:val="single" w:sz="4" w:space="0" w:color="auto"/>
              <w:left w:val="single" w:sz="4" w:space="0" w:color="auto"/>
              <w:bottom w:val="single" w:sz="4" w:space="0" w:color="auto"/>
              <w:right w:val="single" w:sz="4" w:space="0" w:color="CCCCCC"/>
            </w:tcBorders>
            <w:shd w:val="clear" w:color="auto" w:fill="42618C" w:themeFill="accent3"/>
            <w:tcMar>
              <w:top w:w="80" w:type="dxa"/>
              <w:left w:w="120" w:type="dxa"/>
              <w:bottom w:w="80" w:type="dxa"/>
              <w:right w:w="120" w:type="dxa"/>
            </w:tcMar>
            <w:vAlign w:val="center"/>
          </w:tcPr>
          <w:p w14:paraId="73959D35" w14:textId="77777777" w:rsidR="005A54BD" w:rsidRPr="00887119" w:rsidRDefault="005A54BD" w:rsidP="00EC17F7">
            <w:pPr>
              <w:jc w:val="left"/>
              <w:rPr>
                <w:color w:val="FFFFFF" w:themeColor="background1"/>
                <w:sz w:val="18"/>
                <w:szCs w:val="18"/>
              </w:rPr>
            </w:pPr>
            <w:r w:rsidRPr="00887119">
              <w:rPr>
                <w:rFonts w:eastAsia="Arial" w:cs="Arial"/>
                <w:color w:val="FFFFFF" w:themeColor="background1"/>
                <w:sz w:val="18"/>
                <w:szCs w:val="18"/>
              </w:rPr>
              <w:t>Instrument</w:t>
            </w:r>
          </w:p>
        </w:tc>
        <w:tc>
          <w:tcPr>
            <w:tcW w:w="1260" w:type="dxa"/>
            <w:tcBorders>
              <w:top w:val="single" w:sz="4" w:space="0" w:color="auto"/>
              <w:left w:val="single" w:sz="4" w:space="0" w:color="CCCCCC"/>
              <w:bottom w:val="single" w:sz="4" w:space="0" w:color="auto"/>
              <w:right w:val="single" w:sz="4" w:space="0" w:color="CCCCCC"/>
            </w:tcBorders>
            <w:shd w:val="clear" w:color="auto" w:fill="42618C" w:themeFill="accent3"/>
            <w:tcMar>
              <w:top w:w="80" w:type="dxa"/>
              <w:left w:w="120" w:type="dxa"/>
              <w:bottom w:w="80" w:type="dxa"/>
              <w:right w:w="120" w:type="dxa"/>
            </w:tcMar>
            <w:vAlign w:val="center"/>
          </w:tcPr>
          <w:p w14:paraId="4DBCF1FD" w14:textId="77777777" w:rsidR="005A54BD" w:rsidRPr="00887119" w:rsidRDefault="005A54BD" w:rsidP="00EC17F7">
            <w:pPr>
              <w:jc w:val="left"/>
              <w:rPr>
                <w:color w:val="FFFFFF" w:themeColor="background1"/>
                <w:sz w:val="18"/>
                <w:szCs w:val="18"/>
              </w:rPr>
            </w:pPr>
            <w:r w:rsidRPr="00887119">
              <w:rPr>
                <w:rFonts w:eastAsia="Arial" w:cs="Arial"/>
                <w:color w:val="FFFFFF" w:themeColor="background1"/>
                <w:sz w:val="18"/>
                <w:szCs w:val="18"/>
              </w:rPr>
              <w:t>Type</w:t>
            </w:r>
          </w:p>
        </w:tc>
        <w:tc>
          <w:tcPr>
            <w:tcW w:w="6215" w:type="dxa"/>
            <w:tcBorders>
              <w:top w:val="single" w:sz="4" w:space="0" w:color="auto"/>
              <w:left w:val="single" w:sz="4" w:space="0" w:color="CCCCCC"/>
              <w:bottom w:val="single" w:sz="4" w:space="0" w:color="auto"/>
              <w:right w:val="single" w:sz="4" w:space="0" w:color="auto"/>
            </w:tcBorders>
            <w:shd w:val="clear" w:color="auto" w:fill="42618C" w:themeFill="accent3"/>
            <w:tcMar>
              <w:top w:w="80" w:type="dxa"/>
              <w:left w:w="120" w:type="dxa"/>
              <w:bottom w:w="80" w:type="dxa"/>
              <w:right w:w="120" w:type="dxa"/>
            </w:tcMar>
            <w:vAlign w:val="center"/>
          </w:tcPr>
          <w:p w14:paraId="649C5AF0" w14:textId="22BCF52C" w:rsidR="005A54BD" w:rsidRPr="00887119" w:rsidRDefault="005A54BD" w:rsidP="00EC17F7">
            <w:pPr>
              <w:jc w:val="left"/>
              <w:rPr>
                <w:color w:val="FFFFFF" w:themeColor="background1"/>
                <w:sz w:val="18"/>
                <w:szCs w:val="18"/>
              </w:rPr>
            </w:pPr>
            <w:r w:rsidRPr="00887119">
              <w:rPr>
                <w:rFonts w:eastAsia="Arial" w:cs="Arial"/>
                <w:color w:val="FFFFFF" w:themeColor="background1"/>
                <w:sz w:val="18"/>
                <w:szCs w:val="18"/>
              </w:rPr>
              <w:t>Relevance</w:t>
            </w:r>
          </w:p>
        </w:tc>
      </w:tr>
      <w:tr w:rsidR="005A54BD" w:rsidRPr="00887119" w14:paraId="66334207" w14:textId="77777777" w:rsidTr="005A54BD">
        <w:tc>
          <w:tcPr>
            <w:tcW w:w="1885" w:type="dxa"/>
            <w:tcBorders>
              <w:top w:val="single" w:sz="4" w:space="0" w:color="auto"/>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50D5F4C1" w14:textId="77777777" w:rsidR="005A54BD" w:rsidRPr="000D5FC6" w:rsidRDefault="005A54BD" w:rsidP="005A54BD">
            <w:pPr>
              <w:jc w:val="left"/>
              <w:rPr>
                <w:color w:val="C00000"/>
                <w:sz w:val="18"/>
                <w:szCs w:val="18"/>
              </w:rPr>
            </w:pPr>
            <w:r w:rsidRPr="000D5FC6">
              <w:rPr>
                <w:rFonts w:eastAsia="Arial" w:cs="Arial"/>
                <w:i/>
                <w:iCs/>
                <w:color w:val="C00000"/>
                <w:sz w:val="18"/>
                <w:szCs w:val="18"/>
              </w:rPr>
              <w:t xml:space="preserve">Planning Act </w:t>
            </w:r>
            <w:r w:rsidRPr="000D5FC6">
              <w:rPr>
                <w:rFonts w:eastAsia="Arial" w:cs="Arial"/>
                <w:color w:val="C00000"/>
                <w:sz w:val="18"/>
                <w:szCs w:val="18"/>
              </w:rPr>
              <w:t>(R.S.P.E.I. 1988, Cap. P-8)</w:t>
            </w:r>
          </w:p>
        </w:tc>
        <w:tc>
          <w:tcPr>
            <w:tcW w:w="1260" w:type="dxa"/>
            <w:tcBorders>
              <w:top w:val="single" w:sz="4" w:space="0" w:color="auto"/>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3B1B6AED"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legislation</w:t>
            </w:r>
          </w:p>
        </w:tc>
        <w:tc>
          <w:tcPr>
            <w:tcW w:w="6215" w:type="dxa"/>
            <w:tcBorders>
              <w:top w:val="single" w:sz="4" w:space="0" w:color="auto"/>
              <w:left w:val="single" w:sz="4" w:space="0" w:color="CCCCCC"/>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25E1E5A2" w14:textId="23909626" w:rsidR="005A54BD" w:rsidRPr="000D5FC6" w:rsidRDefault="00402288" w:rsidP="005A54BD">
            <w:pPr>
              <w:jc w:val="left"/>
              <w:rPr>
                <w:color w:val="C00000"/>
                <w:sz w:val="18"/>
                <w:szCs w:val="18"/>
              </w:rPr>
            </w:pPr>
            <w:r w:rsidRPr="000D5FC6">
              <w:rPr>
                <w:rFonts w:eastAsia="Arial" w:cs="Arial"/>
                <w:color w:val="C00000"/>
                <w:sz w:val="18"/>
                <w:szCs w:val="18"/>
              </w:rPr>
              <w:t>PEI</w:t>
            </w:r>
            <w:r w:rsidR="005A54BD" w:rsidRPr="000D5FC6">
              <w:rPr>
                <w:rFonts w:eastAsia="Arial" w:cs="Arial"/>
                <w:color w:val="C00000"/>
                <w:sz w:val="18"/>
                <w:szCs w:val="18"/>
              </w:rPr>
              <w:t>’s primary land use planning legislation. Establishes authority and processes governing how land is used and developed, enables municipalities to adopt Official Plans and land use by-laws, and grants the province planning jurisdiction over unincorporated areas and municipalities without local plans. Foundational to where and how residential development can occur across the province.</w:t>
            </w:r>
          </w:p>
        </w:tc>
      </w:tr>
      <w:tr w:rsidR="005A54BD" w:rsidRPr="00887119" w14:paraId="73686314" w14:textId="77777777" w:rsidTr="005A54BD">
        <w:tc>
          <w:tcPr>
            <w:tcW w:w="1885" w:type="dxa"/>
            <w:tcBorders>
              <w:top w:val="single" w:sz="4" w:space="0" w:color="CCCCCC"/>
              <w:left w:val="single" w:sz="4" w:space="0" w:color="auto"/>
              <w:bottom w:val="single" w:sz="4" w:space="0" w:color="CCCCCC"/>
              <w:right w:val="single" w:sz="4" w:space="0" w:color="CCCCCC"/>
            </w:tcBorders>
            <w:tcMar>
              <w:top w:w="80" w:type="dxa"/>
              <w:left w:w="120" w:type="dxa"/>
              <w:bottom w:w="80" w:type="dxa"/>
              <w:right w:w="120" w:type="dxa"/>
            </w:tcMar>
            <w:vAlign w:val="center"/>
          </w:tcPr>
          <w:p w14:paraId="57790000" w14:textId="77777777" w:rsidR="005A54BD" w:rsidRPr="000D5FC6" w:rsidRDefault="005A54BD" w:rsidP="005A54BD">
            <w:pPr>
              <w:jc w:val="left"/>
              <w:rPr>
                <w:color w:val="C00000"/>
                <w:sz w:val="18"/>
                <w:szCs w:val="18"/>
              </w:rPr>
            </w:pPr>
            <w:r w:rsidRPr="000D5FC6">
              <w:rPr>
                <w:rFonts w:eastAsia="Arial" w:cs="Arial"/>
                <w:i/>
                <w:iCs/>
                <w:color w:val="C00000"/>
                <w:sz w:val="18"/>
                <w:szCs w:val="18"/>
              </w:rPr>
              <w:t xml:space="preserve">Subdivision and Development Regulations </w:t>
            </w:r>
            <w:r w:rsidRPr="000D5FC6">
              <w:rPr>
                <w:rFonts w:eastAsia="Arial" w:cs="Arial"/>
                <w:color w:val="C00000"/>
                <w:sz w:val="18"/>
                <w:szCs w:val="18"/>
              </w:rPr>
              <w:t>(EC693/00)</w:t>
            </w:r>
          </w:p>
        </w:tc>
        <w:tc>
          <w:tcPr>
            <w:tcW w:w="12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5801EAB2"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regulation</w:t>
            </w:r>
          </w:p>
        </w:tc>
        <w:tc>
          <w:tcPr>
            <w:tcW w:w="6215" w:type="dxa"/>
            <w:tcBorders>
              <w:top w:val="single" w:sz="4" w:space="0" w:color="CCCCCC"/>
              <w:left w:val="single" w:sz="4" w:space="0" w:color="CCCCCC"/>
              <w:bottom w:val="single" w:sz="4" w:space="0" w:color="CCCCCC"/>
              <w:right w:val="single" w:sz="4" w:space="0" w:color="auto"/>
            </w:tcBorders>
            <w:tcMar>
              <w:top w:w="80" w:type="dxa"/>
              <w:left w:w="120" w:type="dxa"/>
              <w:bottom w:w="80" w:type="dxa"/>
              <w:right w:w="120" w:type="dxa"/>
            </w:tcMar>
            <w:vAlign w:val="center"/>
          </w:tcPr>
          <w:p w14:paraId="5C95A1AD" w14:textId="77777777" w:rsidR="005A54BD" w:rsidRPr="000D5FC6" w:rsidRDefault="005A54BD" w:rsidP="005A54BD">
            <w:pPr>
              <w:jc w:val="left"/>
              <w:rPr>
                <w:color w:val="C00000"/>
                <w:sz w:val="18"/>
                <w:szCs w:val="18"/>
              </w:rPr>
            </w:pPr>
            <w:r w:rsidRPr="000D5FC6">
              <w:rPr>
                <w:rFonts w:eastAsia="Arial" w:cs="Arial"/>
                <w:color w:val="C00000"/>
                <w:sz w:val="18"/>
                <w:szCs w:val="18"/>
              </w:rPr>
              <w:t>The primary regulatory instrument under the Planning Act, governing lot creation, servicing requirements, and development standards. Directly influences the cost, feasibility, and density of residential subdivision; subject to recent amendment to support increased supply.</w:t>
            </w:r>
          </w:p>
        </w:tc>
      </w:tr>
      <w:tr w:rsidR="005A54BD" w:rsidRPr="00887119" w14:paraId="61364AE2" w14:textId="77777777" w:rsidTr="005A54BD">
        <w:tc>
          <w:tcPr>
            <w:tcW w:w="188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06ADF26D" w14:textId="03136580" w:rsidR="005A54BD" w:rsidRPr="000D5FC6" w:rsidRDefault="005A54BD" w:rsidP="005A54BD">
            <w:pPr>
              <w:jc w:val="left"/>
              <w:rPr>
                <w:color w:val="C00000"/>
                <w:sz w:val="18"/>
                <w:szCs w:val="18"/>
              </w:rPr>
            </w:pPr>
            <w:r w:rsidRPr="000D5FC6">
              <w:rPr>
                <w:rFonts w:eastAsia="Arial" w:cs="Arial"/>
                <w:i/>
                <w:iCs/>
                <w:color w:val="C00000"/>
                <w:sz w:val="18"/>
                <w:szCs w:val="18"/>
              </w:rPr>
              <w:t xml:space="preserve">Building Together: </w:t>
            </w:r>
            <w:r w:rsidR="00402288" w:rsidRPr="000D5FC6">
              <w:rPr>
                <w:rFonts w:eastAsia="Arial" w:cs="Arial"/>
                <w:i/>
                <w:iCs/>
                <w:color w:val="C00000"/>
                <w:sz w:val="18"/>
                <w:szCs w:val="18"/>
              </w:rPr>
              <w:t>Prince Edward Island</w:t>
            </w:r>
            <w:r w:rsidRPr="000D5FC6">
              <w:rPr>
                <w:rFonts w:eastAsia="Arial" w:cs="Arial"/>
                <w:i/>
                <w:iCs/>
                <w:color w:val="C00000"/>
                <w:sz w:val="18"/>
                <w:szCs w:val="18"/>
              </w:rPr>
              <w:t xml:space="preserve"> Housing Strategy (2024–2029)</w:t>
            </w:r>
            <w:r w:rsidRPr="000D5FC6">
              <w:rPr>
                <w:rStyle w:val="FootnoteReference"/>
                <w:color w:val="C00000"/>
                <w:sz w:val="18"/>
                <w:szCs w:val="18"/>
              </w:rPr>
              <w:footnoteReference w:id="12"/>
            </w:r>
          </w:p>
        </w:tc>
        <w:tc>
          <w:tcPr>
            <w:tcW w:w="126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5A39F253"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strategy</w:t>
            </w:r>
          </w:p>
        </w:tc>
        <w:tc>
          <w:tcPr>
            <w:tcW w:w="6215" w:type="dxa"/>
            <w:tcBorders>
              <w:top w:val="single" w:sz="4" w:space="0" w:color="CCCCCC"/>
              <w:left w:val="single" w:sz="4" w:space="0" w:color="CCCCCC"/>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7C1232DD" w14:textId="77777777" w:rsidR="005A54BD" w:rsidRPr="000D5FC6" w:rsidRDefault="005A54BD" w:rsidP="005A54BD">
            <w:pPr>
              <w:jc w:val="left"/>
              <w:rPr>
                <w:color w:val="C00000"/>
                <w:sz w:val="18"/>
                <w:szCs w:val="18"/>
              </w:rPr>
            </w:pPr>
            <w:r w:rsidRPr="000D5FC6">
              <w:rPr>
                <w:rFonts w:eastAsia="Arial" w:cs="Arial"/>
                <w:color w:val="C00000"/>
                <w:sz w:val="18"/>
                <w:szCs w:val="18"/>
              </w:rPr>
              <w:t>The province’s overarching housing policy framework, organized around three pillars: acceleration of supply, affordability for low- and moderate-income Islanders, and vulnerability supports for those most in need. Guides provincial investment in social housing, affordable housing development, and homelessness supports, and aligns provincial and federal commitments under the NHS bilateral agreement.</w:t>
            </w:r>
          </w:p>
        </w:tc>
      </w:tr>
      <w:tr w:rsidR="005A54BD" w:rsidRPr="00887119" w14:paraId="325CC380" w14:textId="77777777" w:rsidTr="005A54BD">
        <w:tc>
          <w:tcPr>
            <w:tcW w:w="1885" w:type="dxa"/>
            <w:tcBorders>
              <w:top w:val="single" w:sz="4" w:space="0" w:color="CCCCCC"/>
              <w:left w:val="single" w:sz="4" w:space="0" w:color="auto"/>
              <w:bottom w:val="single" w:sz="4" w:space="0" w:color="CCCCCC"/>
              <w:right w:val="single" w:sz="4" w:space="0" w:color="CCCCCC"/>
            </w:tcBorders>
            <w:tcMar>
              <w:top w:w="80" w:type="dxa"/>
              <w:left w:w="120" w:type="dxa"/>
              <w:bottom w:w="80" w:type="dxa"/>
              <w:right w:w="120" w:type="dxa"/>
            </w:tcMar>
            <w:vAlign w:val="center"/>
          </w:tcPr>
          <w:p w14:paraId="7AE3B104" w14:textId="77777777" w:rsidR="005A54BD" w:rsidRPr="000D5FC6" w:rsidRDefault="005A54BD" w:rsidP="005A54BD">
            <w:pPr>
              <w:jc w:val="left"/>
              <w:rPr>
                <w:color w:val="C00000"/>
                <w:sz w:val="18"/>
                <w:szCs w:val="18"/>
              </w:rPr>
            </w:pPr>
            <w:r w:rsidRPr="000D5FC6">
              <w:rPr>
                <w:rFonts w:eastAsia="Arial" w:cs="Arial"/>
                <w:i/>
                <w:iCs/>
                <w:color w:val="C00000"/>
                <w:sz w:val="18"/>
                <w:szCs w:val="18"/>
              </w:rPr>
              <w:t xml:space="preserve">National Housing Strategy Act </w:t>
            </w:r>
            <w:r w:rsidRPr="000D5FC6">
              <w:rPr>
                <w:rFonts w:eastAsia="Arial" w:cs="Arial"/>
                <w:color w:val="C00000"/>
                <w:sz w:val="18"/>
                <w:szCs w:val="18"/>
              </w:rPr>
              <w:t>(S.C. 2019, c. 29)</w:t>
            </w:r>
            <w:r w:rsidRPr="000D5FC6">
              <w:rPr>
                <w:rStyle w:val="FootnoteReference"/>
                <w:color w:val="C00000"/>
                <w:sz w:val="18"/>
                <w:szCs w:val="18"/>
              </w:rPr>
              <w:footnoteReference w:id="13"/>
            </w:r>
          </w:p>
        </w:tc>
        <w:tc>
          <w:tcPr>
            <w:tcW w:w="12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0C0ADC65" w14:textId="77777777" w:rsidR="005A54BD" w:rsidRPr="000D5FC6" w:rsidRDefault="005A54BD" w:rsidP="005A54BD">
            <w:pPr>
              <w:jc w:val="left"/>
              <w:rPr>
                <w:color w:val="C00000"/>
                <w:sz w:val="18"/>
                <w:szCs w:val="18"/>
              </w:rPr>
            </w:pPr>
            <w:r w:rsidRPr="000D5FC6">
              <w:rPr>
                <w:rFonts w:eastAsia="Arial" w:cs="Arial"/>
                <w:color w:val="C00000"/>
                <w:sz w:val="18"/>
                <w:szCs w:val="18"/>
              </w:rPr>
              <w:t>Federal legislation</w:t>
            </w:r>
          </w:p>
        </w:tc>
        <w:tc>
          <w:tcPr>
            <w:tcW w:w="6215" w:type="dxa"/>
            <w:tcBorders>
              <w:top w:val="single" w:sz="4" w:space="0" w:color="CCCCCC"/>
              <w:left w:val="single" w:sz="4" w:space="0" w:color="CCCCCC"/>
              <w:bottom w:val="single" w:sz="4" w:space="0" w:color="CCCCCC"/>
              <w:right w:val="single" w:sz="4" w:space="0" w:color="auto"/>
            </w:tcBorders>
            <w:tcMar>
              <w:top w:w="80" w:type="dxa"/>
              <w:left w:w="120" w:type="dxa"/>
              <w:bottom w:w="80" w:type="dxa"/>
              <w:right w:w="120" w:type="dxa"/>
            </w:tcMar>
            <w:vAlign w:val="center"/>
          </w:tcPr>
          <w:p w14:paraId="17B5BE93" w14:textId="5E39892B" w:rsidR="005A54BD" w:rsidRPr="000D5FC6" w:rsidRDefault="005A54BD" w:rsidP="005A54BD">
            <w:pPr>
              <w:jc w:val="left"/>
              <w:rPr>
                <w:color w:val="C00000"/>
                <w:sz w:val="18"/>
                <w:szCs w:val="18"/>
              </w:rPr>
            </w:pPr>
            <w:r w:rsidRPr="000D5FC6">
              <w:rPr>
                <w:rFonts w:eastAsia="Arial" w:cs="Arial"/>
                <w:color w:val="C00000"/>
                <w:sz w:val="18"/>
                <w:szCs w:val="18"/>
              </w:rPr>
              <w:t xml:space="preserve">Affirms housing as a fundamental human right in Canada and establishes the legislative basis for the federal National Housing Strategy. Governs the bilateral agreement between Canada and </w:t>
            </w:r>
            <w:r w:rsidR="00402288" w:rsidRPr="000D5FC6">
              <w:rPr>
                <w:rFonts w:eastAsia="Arial" w:cs="Arial"/>
                <w:color w:val="C00000"/>
                <w:sz w:val="18"/>
                <w:szCs w:val="18"/>
              </w:rPr>
              <w:t>PEI</w:t>
            </w:r>
            <w:r w:rsidRPr="000D5FC6">
              <w:rPr>
                <w:rFonts w:eastAsia="Arial" w:cs="Arial"/>
                <w:color w:val="C00000"/>
                <w:sz w:val="18"/>
                <w:szCs w:val="18"/>
              </w:rPr>
              <w:t xml:space="preserve"> through which federal housing investments </w:t>
            </w:r>
            <w:r w:rsidR="00A36848" w:rsidRPr="000D5FC6">
              <w:rPr>
                <w:rFonts w:eastAsia="Arial" w:cs="Arial"/>
                <w:color w:val="C00000"/>
                <w:sz w:val="18"/>
                <w:szCs w:val="18"/>
              </w:rPr>
              <w:t>(</w:t>
            </w:r>
            <w:r w:rsidRPr="000D5FC6">
              <w:rPr>
                <w:rFonts w:eastAsia="Arial" w:cs="Arial"/>
                <w:color w:val="C00000"/>
                <w:sz w:val="18"/>
                <w:szCs w:val="18"/>
              </w:rPr>
              <w:t>including the Canada-</w:t>
            </w:r>
            <w:r w:rsidR="00402288" w:rsidRPr="000D5FC6">
              <w:rPr>
                <w:rFonts w:eastAsia="Arial" w:cs="Arial"/>
                <w:color w:val="C00000"/>
                <w:sz w:val="18"/>
                <w:szCs w:val="18"/>
              </w:rPr>
              <w:t>PEI</w:t>
            </w:r>
            <w:r w:rsidRPr="000D5FC6">
              <w:rPr>
                <w:rFonts w:eastAsia="Arial" w:cs="Arial"/>
                <w:color w:val="C00000"/>
                <w:sz w:val="18"/>
                <w:szCs w:val="18"/>
              </w:rPr>
              <w:t xml:space="preserve"> Housing Benefit, Affordable Housing Fund, and Canada Housing Infrastructure Fund</w:t>
            </w:r>
            <w:r w:rsidR="00A36848" w:rsidRPr="000D5FC6">
              <w:rPr>
                <w:rFonts w:eastAsia="Arial" w:cs="Arial"/>
                <w:color w:val="C00000"/>
                <w:sz w:val="18"/>
                <w:szCs w:val="18"/>
              </w:rPr>
              <w:t>)</w:t>
            </w:r>
            <w:r w:rsidRPr="000D5FC6">
              <w:rPr>
                <w:rFonts w:eastAsia="Arial" w:cs="Arial"/>
                <w:color w:val="C00000"/>
                <w:sz w:val="18"/>
                <w:szCs w:val="18"/>
              </w:rPr>
              <w:t xml:space="preserve"> flow to the province.</w:t>
            </w:r>
          </w:p>
        </w:tc>
      </w:tr>
      <w:tr w:rsidR="005A54BD" w:rsidRPr="00887119" w14:paraId="1C45BF4E" w14:textId="77777777" w:rsidTr="005A54BD">
        <w:tc>
          <w:tcPr>
            <w:tcW w:w="188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2BC4E4E3" w14:textId="77777777" w:rsidR="005A54BD" w:rsidRPr="000D5FC6" w:rsidRDefault="005A54BD" w:rsidP="005A54BD">
            <w:pPr>
              <w:jc w:val="left"/>
              <w:rPr>
                <w:color w:val="C00000"/>
                <w:sz w:val="18"/>
                <w:szCs w:val="18"/>
              </w:rPr>
            </w:pPr>
            <w:r w:rsidRPr="000D5FC6">
              <w:rPr>
                <w:rFonts w:eastAsia="Arial" w:cs="Arial"/>
                <w:i/>
                <w:iCs/>
                <w:color w:val="C00000"/>
                <w:sz w:val="18"/>
                <w:szCs w:val="18"/>
              </w:rPr>
              <w:lastRenderedPageBreak/>
              <w:t xml:space="preserve">Poverty Elimination Strategy Act </w:t>
            </w:r>
            <w:r w:rsidRPr="000D5FC6">
              <w:rPr>
                <w:rFonts w:eastAsia="Arial" w:cs="Arial"/>
                <w:color w:val="C00000"/>
                <w:sz w:val="18"/>
                <w:szCs w:val="18"/>
              </w:rPr>
              <w:t>(S.P.E.I. 2021, c. 19)</w:t>
            </w:r>
            <w:r w:rsidRPr="000D5FC6">
              <w:rPr>
                <w:rStyle w:val="FootnoteReference"/>
                <w:color w:val="C00000"/>
                <w:sz w:val="18"/>
                <w:szCs w:val="18"/>
              </w:rPr>
              <w:footnoteReference w:id="14"/>
            </w:r>
          </w:p>
        </w:tc>
        <w:tc>
          <w:tcPr>
            <w:tcW w:w="126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3B8D94B5"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legislation</w:t>
            </w:r>
          </w:p>
        </w:tc>
        <w:tc>
          <w:tcPr>
            <w:tcW w:w="6215" w:type="dxa"/>
            <w:tcBorders>
              <w:top w:val="single" w:sz="4" w:space="0" w:color="CCCCCC"/>
              <w:left w:val="single" w:sz="4" w:space="0" w:color="CCCCCC"/>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418EBF17" w14:textId="0235B930" w:rsidR="005A54BD" w:rsidRPr="000D5FC6" w:rsidRDefault="00CA7CFB" w:rsidP="005A54BD">
            <w:pPr>
              <w:jc w:val="left"/>
              <w:rPr>
                <w:color w:val="C00000"/>
                <w:sz w:val="18"/>
                <w:szCs w:val="18"/>
              </w:rPr>
            </w:pPr>
            <w:r w:rsidRPr="000D5FC6">
              <w:rPr>
                <w:rFonts w:eastAsia="Arial" w:cs="Arial"/>
                <w:color w:val="C00000"/>
                <w:sz w:val="18"/>
                <w:szCs w:val="18"/>
              </w:rPr>
              <w:t>Establishes</w:t>
            </w:r>
            <w:r w:rsidR="005A54BD" w:rsidRPr="000D5FC6">
              <w:rPr>
                <w:rFonts w:eastAsia="Arial" w:cs="Arial"/>
                <w:color w:val="C00000"/>
                <w:sz w:val="18"/>
                <w:szCs w:val="18"/>
              </w:rPr>
              <w:t xml:space="preserve"> binding targets for the elimination of poverty, food insecurity, and chronic homelessness. Requires annual government reporting on progress and situates housing affordability explicitly within a broader anti-poverty framework. Directly implicates housing policy by recognizing housing insecurity as a driver of poverty outcomes.</w:t>
            </w:r>
          </w:p>
        </w:tc>
      </w:tr>
      <w:tr w:rsidR="005A54BD" w:rsidRPr="00887119" w14:paraId="7F0A54D9" w14:textId="77777777" w:rsidTr="005A54BD">
        <w:tc>
          <w:tcPr>
            <w:tcW w:w="1885" w:type="dxa"/>
            <w:tcBorders>
              <w:top w:val="single" w:sz="4" w:space="0" w:color="CCCCCC"/>
              <w:left w:val="single" w:sz="4" w:space="0" w:color="auto"/>
              <w:bottom w:val="single" w:sz="4" w:space="0" w:color="CCCCCC"/>
              <w:right w:val="single" w:sz="4" w:space="0" w:color="CCCCCC"/>
            </w:tcBorders>
            <w:tcMar>
              <w:top w:w="80" w:type="dxa"/>
              <w:left w:w="120" w:type="dxa"/>
              <w:bottom w:w="80" w:type="dxa"/>
              <w:right w:w="120" w:type="dxa"/>
            </w:tcMar>
            <w:vAlign w:val="center"/>
          </w:tcPr>
          <w:p w14:paraId="3AC8E708" w14:textId="77777777" w:rsidR="005A54BD" w:rsidRPr="000D5FC6" w:rsidRDefault="005A54BD" w:rsidP="005A54BD">
            <w:pPr>
              <w:jc w:val="left"/>
              <w:rPr>
                <w:color w:val="C00000"/>
                <w:sz w:val="18"/>
                <w:szCs w:val="18"/>
              </w:rPr>
            </w:pPr>
            <w:r w:rsidRPr="000D5FC6">
              <w:rPr>
                <w:rFonts w:eastAsia="Arial" w:cs="Arial"/>
                <w:i/>
                <w:iCs/>
                <w:color w:val="C00000"/>
                <w:sz w:val="18"/>
                <w:szCs w:val="18"/>
              </w:rPr>
              <w:t>Poverty Reduction Action Plan (2023)</w:t>
            </w:r>
          </w:p>
        </w:tc>
        <w:tc>
          <w:tcPr>
            <w:tcW w:w="12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4853F3A0"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policy</w:t>
            </w:r>
          </w:p>
        </w:tc>
        <w:tc>
          <w:tcPr>
            <w:tcW w:w="6215" w:type="dxa"/>
            <w:tcBorders>
              <w:top w:val="single" w:sz="4" w:space="0" w:color="CCCCCC"/>
              <w:left w:val="single" w:sz="4" w:space="0" w:color="CCCCCC"/>
              <w:bottom w:val="single" w:sz="4" w:space="0" w:color="CCCCCC"/>
              <w:right w:val="single" w:sz="4" w:space="0" w:color="auto"/>
            </w:tcBorders>
            <w:tcMar>
              <w:top w:w="80" w:type="dxa"/>
              <w:left w:w="120" w:type="dxa"/>
              <w:bottom w:w="80" w:type="dxa"/>
              <w:right w:w="120" w:type="dxa"/>
            </w:tcMar>
            <w:vAlign w:val="center"/>
          </w:tcPr>
          <w:p w14:paraId="57B6132C" w14:textId="77777777" w:rsidR="005A54BD" w:rsidRPr="000D5FC6" w:rsidRDefault="005A54BD" w:rsidP="005A54BD">
            <w:pPr>
              <w:jc w:val="left"/>
              <w:rPr>
                <w:color w:val="C00000"/>
                <w:sz w:val="18"/>
                <w:szCs w:val="18"/>
              </w:rPr>
            </w:pPr>
            <w:r w:rsidRPr="000D5FC6">
              <w:rPr>
                <w:rFonts w:eastAsia="Arial" w:cs="Arial"/>
                <w:color w:val="C00000"/>
                <w:sz w:val="18"/>
                <w:szCs w:val="18"/>
              </w:rPr>
              <w:t xml:space="preserve">Operationalizes the targets established under the </w:t>
            </w:r>
            <w:r w:rsidRPr="000D5FC6">
              <w:rPr>
                <w:rFonts w:eastAsia="Arial" w:cs="Arial"/>
                <w:i/>
                <w:iCs/>
                <w:color w:val="C00000"/>
                <w:sz w:val="18"/>
                <w:szCs w:val="18"/>
              </w:rPr>
              <w:t>Poverty Elimination Strategy Act</w:t>
            </w:r>
            <w:r w:rsidRPr="000D5FC6">
              <w:rPr>
                <w:rFonts w:eastAsia="Arial" w:cs="Arial"/>
                <w:color w:val="C00000"/>
                <w:sz w:val="18"/>
                <w:szCs w:val="18"/>
              </w:rPr>
              <w:t>, identifying housing-related investments and programming as key interventions. A policy signal about government priorities with respect to low-income households and housing affordability.</w:t>
            </w:r>
          </w:p>
        </w:tc>
      </w:tr>
      <w:tr w:rsidR="005A54BD" w:rsidRPr="00887119" w14:paraId="5C5D8B4B" w14:textId="77777777" w:rsidTr="005A54BD">
        <w:tc>
          <w:tcPr>
            <w:tcW w:w="188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4A660F2E" w14:textId="26D48733" w:rsidR="005A54BD" w:rsidRPr="000D5FC6" w:rsidRDefault="005A54BD" w:rsidP="005A54BD">
            <w:pPr>
              <w:jc w:val="left"/>
              <w:rPr>
                <w:color w:val="C00000"/>
                <w:sz w:val="18"/>
                <w:szCs w:val="18"/>
              </w:rPr>
            </w:pPr>
            <w:r w:rsidRPr="000D5FC6">
              <w:rPr>
                <w:rFonts w:eastAsia="Arial" w:cs="Arial"/>
                <w:i/>
                <w:iCs/>
                <w:color w:val="C00000"/>
                <w:sz w:val="18"/>
                <w:szCs w:val="18"/>
              </w:rPr>
              <w:t xml:space="preserve">Residential Tenancy Act </w:t>
            </w:r>
            <w:r w:rsidRPr="000D5FC6">
              <w:rPr>
                <w:rFonts w:eastAsia="Arial" w:cs="Arial"/>
                <w:color w:val="C00000"/>
                <w:sz w:val="18"/>
                <w:szCs w:val="18"/>
              </w:rPr>
              <w:t>(R.S.P.E.I. 1988, Cap. R-13.1)</w:t>
            </w:r>
          </w:p>
        </w:tc>
        <w:tc>
          <w:tcPr>
            <w:tcW w:w="126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48612569"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legislation</w:t>
            </w:r>
          </w:p>
        </w:tc>
        <w:tc>
          <w:tcPr>
            <w:tcW w:w="6215" w:type="dxa"/>
            <w:tcBorders>
              <w:top w:val="single" w:sz="4" w:space="0" w:color="CCCCCC"/>
              <w:left w:val="single" w:sz="4" w:space="0" w:color="CCCCCC"/>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51E514D8" w14:textId="7A1B95F8" w:rsidR="005A54BD" w:rsidRPr="000D5FC6" w:rsidRDefault="005A54BD" w:rsidP="005A54BD">
            <w:pPr>
              <w:jc w:val="left"/>
              <w:rPr>
                <w:color w:val="C00000"/>
                <w:sz w:val="18"/>
                <w:szCs w:val="18"/>
              </w:rPr>
            </w:pPr>
            <w:r w:rsidRPr="000D5FC6">
              <w:rPr>
                <w:rFonts w:eastAsia="Arial" w:cs="Arial"/>
                <w:color w:val="C00000"/>
                <w:sz w:val="18"/>
                <w:szCs w:val="18"/>
              </w:rPr>
              <w:t xml:space="preserve">Governs the landlord–tenant relationship in </w:t>
            </w:r>
            <w:r w:rsidR="00402288" w:rsidRPr="000D5FC6">
              <w:rPr>
                <w:rFonts w:eastAsia="Arial" w:cs="Arial"/>
                <w:color w:val="C00000"/>
                <w:sz w:val="18"/>
                <w:szCs w:val="18"/>
              </w:rPr>
              <w:t>PEI</w:t>
            </w:r>
            <w:r w:rsidRPr="000D5FC6">
              <w:rPr>
                <w:rFonts w:eastAsia="Arial" w:cs="Arial"/>
                <w:color w:val="C00000"/>
                <w:sz w:val="18"/>
                <w:szCs w:val="18"/>
              </w:rPr>
              <w:t xml:space="preserve">, including rent increase caps, lease terms, and eviction processes. Directly regulates conditions under which renter households </w:t>
            </w:r>
            <w:r w:rsidR="00990FE5" w:rsidRPr="000D5FC6">
              <w:rPr>
                <w:rFonts w:eastAsia="Arial" w:cs="Arial"/>
                <w:color w:val="C00000"/>
                <w:sz w:val="18"/>
                <w:szCs w:val="18"/>
              </w:rPr>
              <w:t>(</w:t>
            </w:r>
            <w:r w:rsidRPr="000D5FC6">
              <w:rPr>
                <w:rFonts w:eastAsia="Arial" w:cs="Arial"/>
                <w:color w:val="C00000"/>
                <w:sz w:val="18"/>
                <w:szCs w:val="18"/>
              </w:rPr>
              <w:t>who represent a disproportionate share of households in core housing need</w:t>
            </w:r>
            <w:r w:rsidR="00990FE5" w:rsidRPr="000D5FC6">
              <w:rPr>
                <w:rFonts w:eastAsia="Arial" w:cs="Arial"/>
                <w:color w:val="C00000"/>
                <w:sz w:val="18"/>
                <w:szCs w:val="18"/>
              </w:rPr>
              <w:t>)</w:t>
            </w:r>
            <w:r w:rsidRPr="000D5FC6">
              <w:rPr>
                <w:rFonts w:eastAsia="Arial" w:cs="Arial"/>
                <w:color w:val="C00000"/>
                <w:sz w:val="18"/>
                <w:szCs w:val="18"/>
              </w:rPr>
              <w:t xml:space="preserve"> access and retain housing. Allowable rent increases are set annually</w:t>
            </w:r>
            <w:r w:rsidR="00FD3ECD" w:rsidRPr="000D5FC6">
              <w:rPr>
                <w:rFonts w:eastAsia="Arial" w:cs="Arial"/>
                <w:color w:val="C00000"/>
                <w:sz w:val="18"/>
                <w:szCs w:val="18"/>
              </w:rPr>
              <w:t>.</w:t>
            </w:r>
          </w:p>
        </w:tc>
      </w:tr>
      <w:tr w:rsidR="005A54BD" w:rsidRPr="00887119" w14:paraId="6CB2D5FE" w14:textId="77777777" w:rsidTr="005A54BD">
        <w:tc>
          <w:tcPr>
            <w:tcW w:w="1885" w:type="dxa"/>
            <w:tcBorders>
              <w:top w:val="single" w:sz="4" w:space="0" w:color="CCCCCC"/>
              <w:left w:val="single" w:sz="4" w:space="0" w:color="auto"/>
              <w:bottom w:val="single" w:sz="4" w:space="0" w:color="CCCCCC"/>
              <w:right w:val="single" w:sz="4" w:space="0" w:color="CCCCCC"/>
            </w:tcBorders>
            <w:tcMar>
              <w:top w:w="80" w:type="dxa"/>
              <w:left w:w="120" w:type="dxa"/>
              <w:bottom w:w="80" w:type="dxa"/>
              <w:right w:w="120" w:type="dxa"/>
            </w:tcMar>
            <w:vAlign w:val="center"/>
          </w:tcPr>
          <w:p w14:paraId="0BB59A82" w14:textId="77777777" w:rsidR="005A54BD" w:rsidRPr="000D5FC6" w:rsidRDefault="005A54BD" w:rsidP="005A54BD">
            <w:pPr>
              <w:jc w:val="left"/>
              <w:rPr>
                <w:color w:val="C00000"/>
                <w:sz w:val="18"/>
                <w:szCs w:val="18"/>
              </w:rPr>
            </w:pPr>
            <w:r w:rsidRPr="000D5FC6">
              <w:rPr>
                <w:rFonts w:eastAsia="Arial" w:cs="Arial"/>
                <w:i/>
                <w:iCs/>
                <w:color w:val="C00000"/>
                <w:sz w:val="18"/>
                <w:szCs w:val="18"/>
              </w:rPr>
              <w:t xml:space="preserve">Lands Protection Act </w:t>
            </w:r>
            <w:r w:rsidRPr="000D5FC6">
              <w:rPr>
                <w:rFonts w:eastAsia="Arial" w:cs="Arial"/>
                <w:color w:val="C00000"/>
                <w:sz w:val="18"/>
                <w:szCs w:val="18"/>
              </w:rPr>
              <w:t>(R.S.P.E.I. 1988, Cap. L-5)</w:t>
            </w:r>
            <w:r w:rsidRPr="000D5FC6">
              <w:rPr>
                <w:rStyle w:val="FootnoteReference"/>
                <w:color w:val="C00000"/>
                <w:sz w:val="18"/>
                <w:szCs w:val="18"/>
              </w:rPr>
              <w:footnoteReference w:id="15"/>
            </w:r>
          </w:p>
        </w:tc>
        <w:tc>
          <w:tcPr>
            <w:tcW w:w="12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14:paraId="50F53408"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legislation</w:t>
            </w:r>
          </w:p>
        </w:tc>
        <w:tc>
          <w:tcPr>
            <w:tcW w:w="6215" w:type="dxa"/>
            <w:tcBorders>
              <w:top w:val="single" w:sz="4" w:space="0" w:color="CCCCCC"/>
              <w:left w:val="single" w:sz="4" w:space="0" w:color="CCCCCC"/>
              <w:bottom w:val="single" w:sz="4" w:space="0" w:color="CCCCCC"/>
              <w:right w:val="single" w:sz="4" w:space="0" w:color="auto"/>
            </w:tcBorders>
            <w:tcMar>
              <w:top w:w="80" w:type="dxa"/>
              <w:left w:w="120" w:type="dxa"/>
              <w:bottom w:w="80" w:type="dxa"/>
              <w:right w:w="120" w:type="dxa"/>
            </w:tcMar>
            <w:vAlign w:val="center"/>
          </w:tcPr>
          <w:p w14:paraId="69DA09B2" w14:textId="53569576" w:rsidR="005A54BD" w:rsidRPr="000D5FC6" w:rsidRDefault="005A54BD" w:rsidP="005A54BD">
            <w:pPr>
              <w:jc w:val="left"/>
              <w:rPr>
                <w:color w:val="C00000"/>
                <w:sz w:val="18"/>
                <w:szCs w:val="18"/>
              </w:rPr>
            </w:pPr>
            <w:r w:rsidRPr="000D5FC6">
              <w:rPr>
                <w:rFonts w:eastAsia="Arial" w:cs="Arial"/>
                <w:color w:val="C00000"/>
                <w:sz w:val="18"/>
                <w:szCs w:val="18"/>
              </w:rPr>
              <w:t xml:space="preserve">Regulates land acquisition in </w:t>
            </w:r>
            <w:r w:rsidR="00402288" w:rsidRPr="000D5FC6">
              <w:rPr>
                <w:rFonts w:eastAsia="Arial" w:cs="Arial"/>
                <w:color w:val="C00000"/>
                <w:sz w:val="18"/>
                <w:szCs w:val="18"/>
              </w:rPr>
              <w:t>PEI</w:t>
            </w:r>
            <w:r w:rsidRPr="000D5FC6">
              <w:rPr>
                <w:rFonts w:eastAsia="Arial" w:cs="Arial"/>
                <w:color w:val="C00000"/>
                <w:sz w:val="18"/>
                <w:szCs w:val="18"/>
              </w:rPr>
              <w:t>, including restrictions on non-resident and corporate ownership. Relevant to housing in the context of land availability, land costs, and governance of non-resident land speculation. Amendments were planned for the spring 2025 sitting of the Legislative Assembly to enhance oversight of non-resident land holdings.</w:t>
            </w:r>
          </w:p>
        </w:tc>
      </w:tr>
      <w:tr w:rsidR="005A54BD" w:rsidRPr="00887119" w14:paraId="134FF575" w14:textId="77777777" w:rsidTr="005A54BD">
        <w:tc>
          <w:tcPr>
            <w:tcW w:w="1885" w:type="dxa"/>
            <w:tcBorders>
              <w:top w:val="single" w:sz="4" w:space="0" w:color="CCCCCC"/>
              <w:left w:val="single" w:sz="4" w:space="0" w:color="auto"/>
              <w:bottom w:val="single" w:sz="4" w:space="0" w:color="auto"/>
              <w:right w:val="single" w:sz="4" w:space="0" w:color="CCCCCC"/>
            </w:tcBorders>
            <w:shd w:val="clear" w:color="auto" w:fill="F2F2F2" w:themeFill="background1" w:themeFillShade="F2"/>
            <w:tcMar>
              <w:top w:w="80" w:type="dxa"/>
              <w:left w:w="120" w:type="dxa"/>
              <w:bottom w:w="80" w:type="dxa"/>
              <w:right w:w="120" w:type="dxa"/>
            </w:tcMar>
            <w:vAlign w:val="center"/>
          </w:tcPr>
          <w:p w14:paraId="23C8536E" w14:textId="77777777" w:rsidR="005A54BD" w:rsidRPr="000D5FC6" w:rsidRDefault="005A54BD" w:rsidP="005A54BD">
            <w:pPr>
              <w:jc w:val="left"/>
              <w:rPr>
                <w:color w:val="C00000"/>
                <w:sz w:val="18"/>
                <w:szCs w:val="18"/>
              </w:rPr>
            </w:pPr>
            <w:r w:rsidRPr="000D5FC6">
              <w:rPr>
                <w:rFonts w:eastAsia="Arial" w:cs="Arial"/>
                <w:i/>
                <w:iCs/>
                <w:color w:val="C00000"/>
                <w:sz w:val="18"/>
                <w:szCs w:val="18"/>
              </w:rPr>
              <w:t xml:space="preserve">Municipal Government Act </w:t>
            </w:r>
            <w:r w:rsidRPr="000D5FC6">
              <w:rPr>
                <w:rFonts w:eastAsia="Arial" w:cs="Arial"/>
                <w:color w:val="C00000"/>
                <w:sz w:val="18"/>
                <w:szCs w:val="18"/>
              </w:rPr>
              <w:t>(R.S.P.E.I. 1988, Cap. M-12.1)</w:t>
            </w:r>
            <w:r w:rsidRPr="000D5FC6">
              <w:rPr>
                <w:rStyle w:val="FootnoteReference"/>
                <w:color w:val="C00000"/>
                <w:sz w:val="18"/>
                <w:szCs w:val="18"/>
              </w:rPr>
              <w:footnoteReference w:id="16"/>
            </w:r>
          </w:p>
        </w:tc>
        <w:tc>
          <w:tcPr>
            <w:tcW w:w="1260" w:type="dxa"/>
            <w:tcBorders>
              <w:top w:val="single" w:sz="4" w:space="0" w:color="CCCCCC"/>
              <w:left w:val="single" w:sz="4" w:space="0" w:color="CCCCCC"/>
              <w:bottom w:val="single" w:sz="4" w:space="0" w:color="auto"/>
              <w:right w:val="single" w:sz="4" w:space="0" w:color="CCCCCC"/>
            </w:tcBorders>
            <w:shd w:val="clear" w:color="auto" w:fill="F2F2F2" w:themeFill="background1" w:themeFillShade="F2"/>
            <w:tcMar>
              <w:top w:w="80" w:type="dxa"/>
              <w:left w:w="120" w:type="dxa"/>
              <w:bottom w:w="80" w:type="dxa"/>
              <w:right w:w="120" w:type="dxa"/>
            </w:tcMar>
            <w:vAlign w:val="center"/>
          </w:tcPr>
          <w:p w14:paraId="57357B00" w14:textId="77777777" w:rsidR="005A54BD" w:rsidRPr="000D5FC6" w:rsidRDefault="005A54BD" w:rsidP="005A54BD">
            <w:pPr>
              <w:jc w:val="left"/>
              <w:rPr>
                <w:color w:val="C00000"/>
                <w:sz w:val="18"/>
                <w:szCs w:val="18"/>
              </w:rPr>
            </w:pPr>
            <w:r w:rsidRPr="000D5FC6">
              <w:rPr>
                <w:rFonts w:eastAsia="Arial" w:cs="Arial"/>
                <w:color w:val="C00000"/>
                <w:sz w:val="18"/>
                <w:szCs w:val="18"/>
              </w:rPr>
              <w:t>Provincial legislation</w:t>
            </w:r>
          </w:p>
        </w:tc>
        <w:tc>
          <w:tcPr>
            <w:tcW w:w="6215" w:type="dxa"/>
            <w:tcBorders>
              <w:top w:val="single" w:sz="4" w:space="0" w:color="CCCCCC"/>
              <w:left w:val="single" w:sz="4" w:space="0" w:color="CCCCCC"/>
              <w:bottom w:val="single" w:sz="4" w:space="0" w:color="auto"/>
              <w:right w:val="single" w:sz="4" w:space="0" w:color="auto"/>
            </w:tcBorders>
            <w:shd w:val="clear" w:color="auto" w:fill="F2F2F2" w:themeFill="background1" w:themeFillShade="F2"/>
            <w:tcMar>
              <w:top w:w="80" w:type="dxa"/>
              <w:left w:w="120" w:type="dxa"/>
              <w:bottom w:w="80" w:type="dxa"/>
              <w:right w:w="120" w:type="dxa"/>
            </w:tcMar>
            <w:vAlign w:val="center"/>
          </w:tcPr>
          <w:p w14:paraId="39BC9940" w14:textId="77777777" w:rsidR="005A54BD" w:rsidRPr="000D5FC6" w:rsidRDefault="005A54BD" w:rsidP="005A54BD">
            <w:pPr>
              <w:jc w:val="left"/>
              <w:rPr>
                <w:color w:val="C00000"/>
                <w:sz w:val="18"/>
                <w:szCs w:val="18"/>
              </w:rPr>
            </w:pPr>
            <w:r w:rsidRPr="000D5FC6">
              <w:rPr>
                <w:rFonts w:eastAsia="Arial" w:cs="Arial"/>
                <w:color w:val="C00000"/>
                <w:sz w:val="18"/>
                <w:szCs w:val="18"/>
              </w:rPr>
              <w:t>Provides the legislative framework for municipal governance, including structure, service delivery, and financial authority. Relevant to housing because it shapes the capacity and responsibilities of municipal governments to engage in land use planning, infrastructure delivery, and affordable housing initiatives. Under review as of early 2025, with public consultations examining local service delivery, planning responsibilities, and governance structures.</w:t>
            </w:r>
          </w:p>
        </w:tc>
      </w:tr>
    </w:tbl>
    <w:p w14:paraId="77C9A6F4" w14:textId="77777777" w:rsidR="005A54BD" w:rsidRPr="00887119" w:rsidRDefault="005A54BD" w:rsidP="00D97ECB">
      <w:pPr>
        <w:rPr>
          <w:lang w:eastAsia="en-CA"/>
        </w:rPr>
      </w:pPr>
    </w:p>
    <w:p w14:paraId="69632F51" w14:textId="561FDCA2" w:rsidR="009837DC" w:rsidRPr="00887119" w:rsidRDefault="00D97ECB" w:rsidP="001649F5">
      <w:pPr>
        <w:rPr>
          <w:lang w:eastAsia="en-CA"/>
        </w:rPr>
      </w:pPr>
      <w:r w:rsidRPr="00887119">
        <w:rPr>
          <w:lang w:eastAsia="en-CA"/>
        </w:rPr>
        <w:t>Together, these legislative and policy tools establish both the regulatory environment and strategic direction for housing development, while also shaping how affordability and housing need are addressed across the province.</w:t>
      </w:r>
    </w:p>
    <w:p w14:paraId="6003CBB5" w14:textId="77777777" w:rsidR="001649F5" w:rsidRPr="00887119" w:rsidRDefault="001649F5" w:rsidP="00D97ECB">
      <w:pPr>
        <w:rPr>
          <w:lang w:eastAsia="en-CA"/>
        </w:rPr>
      </w:pPr>
    </w:p>
    <w:p w14:paraId="2138EF9E" w14:textId="1DBB7BEA" w:rsidR="00FB4A0D" w:rsidRPr="00887119" w:rsidRDefault="00FB4A0D" w:rsidP="00842B20">
      <w:pPr>
        <w:pStyle w:val="Heading2"/>
      </w:pPr>
      <w:bookmarkStart w:id="28" w:name="_Toc229051942"/>
      <w:bookmarkStart w:id="29" w:name="_Toc237957425"/>
      <w:r w:rsidRPr="00887119">
        <w:t xml:space="preserve">Recent </w:t>
      </w:r>
      <w:r w:rsidR="00C76A0E" w:rsidRPr="00887119">
        <w:t>and</w:t>
      </w:r>
      <w:r w:rsidRPr="00887119">
        <w:t xml:space="preserve"> </w:t>
      </w:r>
      <w:r w:rsidR="003A58D5" w:rsidRPr="00887119">
        <w:t>U</w:t>
      </w:r>
      <w:r w:rsidRPr="00887119">
        <w:t xml:space="preserve">pcoming </w:t>
      </w:r>
      <w:r w:rsidR="003A58D5" w:rsidRPr="00887119">
        <w:t>L</w:t>
      </w:r>
      <w:r w:rsidRPr="00887119">
        <w:t xml:space="preserve">egislative </w:t>
      </w:r>
      <w:r w:rsidR="003A58D5" w:rsidRPr="00887119">
        <w:t>C</w:t>
      </w:r>
      <w:r w:rsidRPr="00887119">
        <w:t>hanges</w:t>
      </w:r>
      <w:bookmarkEnd w:id="28"/>
      <w:bookmarkEnd w:id="29"/>
      <w:r w:rsidRPr="00887119">
        <w:t xml:space="preserve"> </w:t>
      </w:r>
    </w:p>
    <w:p w14:paraId="1D738E72" w14:textId="07454A12" w:rsidR="00C76A0E" w:rsidRPr="00887119" w:rsidRDefault="00402288" w:rsidP="00421088">
      <w:r w:rsidRPr="00402288">
        <w:rPr>
          <w:color w:val="C00000"/>
        </w:rPr>
        <w:t>PEI</w:t>
      </w:r>
      <w:r w:rsidR="00C76A0E" w:rsidRPr="00887119">
        <w:t xml:space="preserve">’s planning and housing legislative framework has seen a series of amendments in recent years, reflecting the province’s response to growing housing demand and supply constraints. </w:t>
      </w:r>
      <w:r w:rsidR="00B276AE">
        <w:fldChar w:fldCharType="begin"/>
      </w:r>
      <w:r w:rsidR="00B276AE">
        <w:instrText xml:space="preserve"> REF _Ref232156166 \h </w:instrText>
      </w:r>
      <w:r w:rsidR="00B276AE">
        <w:fldChar w:fldCharType="separate"/>
      </w:r>
      <w:r w:rsidR="00B276AE" w:rsidRPr="00887119">
        <w:t xml:space="preserve">Table </w:t>
      </w:r>
      <w:r w:rsidR="00B276AE">
        <w:rPr>
          <w:noProof/>
        </w:rPr>
        <w:t>4</w:t>
      </w:r>
      <w:r w:rsidR="00B276AE">
        <w:t>.</w:t>
      </w:r>
      <w:r w:rsidR="00B276AE">
        <w:rPr>
          <w:noProof/>
        </w:rPr>
        <w:t>2</w:t>
      </w:r>
      <w:r w:rsidR="00B276AE">
        <w:fldChar w:fldCharType="end"/>
      </w:r>
      <w:r w:rsidR="00C76A0E" w:rsidRPr="00887119">
        <w:t xml:space="preserve"> summarizes the key changes relevant to this assessment, with additional context below.</w:t>
      </w:r>
    </w:p>
    <w:p w14:paraId="6897AA77" w14:textId="77777777" w:rsidR="00C76A0E" w:rsidRPr="00887119" w:rsidRDefault="00C76A0E" w:rsidP="00C76A0E">
      <w:pPr>
        <w:rPr>
          <w:lang w:eastAsia="en-CA"/>
        </w:rPr>
      </w:pPr>
    </w:p>
    <w:p w14:paraId="159D58E6" w14:textId="44C0C438" w:rsidR="00421088" w:rsidRPr="00887119" w:rsidRDefault="00421088" w:rsidP="00421088">
      <w:pPr>
        <w:pStyle w:val="Caption"/>
      </w:pPr>
      <w:bookmarkStart w:id="30" w:name="_Ref232156166"/>
      <w:r w:rsidRPr="00887119">
        <w:lastRenderedPageBreak/>
        <w:t xml:space="preserve">Table </w:t>
      </w:r>
      <w:fldSimple w:instr=" STYLEREF 1 \s ">
        <w:r w:rsidR="008D4BDE">
          <w:rPr>
            <w:noProof/>
          </w:rPr>
          <w:t>4</w:t>
        </w:r>
      </w:fldSimple>
      <w:r w:rsidR="00EE1FE9">
        <w:t>.</w:t>
      </w:r>
      <w:fldSimple w:instr=" SEQ Table \* ARABIC \s 1 ">
        <w:r w:rsidR="008D4BDE">
          <w:rPr>
            <w:noProof/>
          </w:rPr>
          <w:t>2</w:t>
        </w:r>
      </w:fldSimple>
      <w:bookmarkEnd w:id="30"/>
      <w:r w:rsidRPr="00887119">
        <w:t xml:space="preserve">: Recent and upcoming legislative changes relevant to housing in </w:t>
      </w:r>
      <w:r w:rsidR="00402288" w:rsidRPr="00402288">
        <w:rPr>
          <w:color w:val="C00000"/>
        </w:rPr>
        <w:t>PEI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1525"/>
        <w:gridCol w:w="1530"/>
        <w:gridCol w:w="1530"/>
        <w:gridCol w:w="4770"/>
      </w:tblGrid>
      <w:tr w:rsidR="00421088" w:rsidRPr="00887119" w14:paraId="722CE3FC" w14:textId="77777777" w:rsidTr="00EC17F7">
        <w:trPr>
          <w:tblHeader/>
        </w:trPr>
        <w:tc>
          <w:tcPr>
            <w:tcW w:w="1525" w:type="dxa"/>
            <w:tcBorders>
              <w:top w:val="single" w:sz="4" w:space="0" w:color="auto"/>
              <w:left w:val="single" w:sz="4" w:space="0" w:color="auto"/>
              <w:bottom w:val="single" w:sz="4" w:space="0" w:color="auto"/>
              <w:right w:val="single" w:sz="4" w:space="0" w:color="auto"/>
            </w:tcBorders>
            <w:shd w:val="clear" w:color="auto" w:fill="42618C" w:themeFill="accent3"/>
            <w:tcMar>
              <w:top w:w="80" w:type="dxa"/>
              <w:left w:w="120" w:type="dxa"/>
              <w:bottom w:w="80" w:type="dxa"/>
              <w:right w:w="120" w:type="dxa"/>
            </w:tcMar>
            <w:vAlign w:val="center"/>
          </w:tcPr>
          <w:p w14:paraId="74202AA9" w14:textId="77777777" w:rsidR="00C76A0E" w:rsidRPr="00887119" w:rsidRDefault="00C76A0E" w:rsidP="00421088">
            <w:pPr>
              <w:jc w:val="left"/>
              <w:rPr>
                <w:color w:val="FFFFFF" w:themeColor="background1"/>
                <w:sz w:val="18"/>
                <w:szCs w:val="18"/>
              </w:rPr>
            </w:pPr>
            <w:r w:rsidRPr="00887119">
              <w:rPr>
                <w:rFonts w:eastAsia="Arial" w:cs="Arial"/>
                <w:color w:val="FFFFFF" w:themeColor="background1"/>
                <w:sz w:val="18"/>
                <w:szCs w:val="18"/>
              </w:rPr>
              <w:t>Change</w:t>
            </w:r>
          </w:p>
        </w:tc>
        <w:tc>
          <w:tcPr>
            <w:tcW w:w="1530" w:type="dxa"/>
            <w:tcBorders>
              <w:top w:val="single" w:sz="4" w:space="0" w:color="auto"/>
              <w:left w:val="single" w:sz="4" w:space="0" w:color="auto"/>
              <w:bottom w:val="single" w:sz="4" w:space="0" w:color="auto"/>
              <w:right w:val="single" w:sz="4" w:space="0" w:color="CCCCCC"/>
            </w:tcBorders>
            <w:shd w:val="clear" w:color="auto" w:fill="42618C" w:themeFill="accent3"/>
            <w:tcMar>
              <w:top w:w="80" w:type="dxa"/>
              <w:left w:w="120" w:type="dxa"/>
              <w:bottom w:w="80" w:type="dxa"/>
              <w:right w:w="120" w:type="dxa"/>
            </w:tcMar>
            <w:vAlign w:val="center"/>
          </w:tcPr>
          <w:p w14:paraId="11118DA8" w14:textId="77777777" w:rsidR="00C76A0E" w:rsidRPr="00887119" w:rsidRDefault="00C76A0E" w:rsidP="00421088">
            <w:pPr>
              <w:jc w:val="left"/>
              <w:rPr>
                <w:color w:val="FFFFFF" w:themeColor="background1"/>
                <w:sz w:val="18"/>
                <w:szCs w:val="18"/>
              </w:rPr>
            </w:pPr>
            <w:r w:rsidRPr="00887119">
              <w:rPr>
                <w:rFonts w:eastAsia="Arial" w:cs="Arial"/>
                <w:color w:val="FFFFFF" w:themeColor="background1"/>
                <w:sz w:val="18"/>
                <w:szCs w:val="18"/>
              </w:rPr>
              <w:t>Instrument</w:t>
            </w:r>
          </w:p>
        </w:tc>
        <w:tc>
          <w:tcPr>
            <w:tcW w:w="1530" w:type="dxa"/>
            <w:tcBorders>
              <w:top w:val="single" w:sz="4" w:space="0" w:color="auto"/>
              <w:left w:val="single" w:sz="4" w:space="0" w:color="CCCCCC"/>
              <w:bottom w:val="single" w:sz="4" w:space="0" w:color="auto"/>
              <w:right w:val="single" w:sz="4" w:space="0" w:color="auto"/>
            </w:tcBorders>
            <w:shd w:val="clear" w:color="auto" w:fill="42618C" w:themeFill="accent3"/>
            <w:tcMar>
              <w:top w:w="80" w:type="dxa"/>
              <w:left w:w="120" w:type="dxa"/>
              <w:bottom w:w="80" w:type="dxa"/>
              <w:right w:w="120" w:type="dxa"/>
            </w:tcMar>
            <w:vAlign w:val="center"/>
          </w:tcPr>
          <w:p w14:paraId="69742E09" w14:textId="77777777" w:rsidR="00C76A0E" w:rsidRPr="00887119" w:rsidRDefault="00C76A0E" w:rsidP="00421088">
            <w:pPr>
              <w:jc w:val="left"/>
              <w:rPr>
                <w:color w:val="FFFFFF" w:themeColor="background1"/>
                <w:sz w:val="18"/>
                <w:szCs w:val="18"/>
              </w:rPr>
            </w:pPr>
            <w:r w:rsidRPr="00887119">
              <w:rPr>
                <w:rFonts w:eastAsia="Arial" w:cs="Arial"/>
                <w:color w:val="FFFFFF" w:themeColor="background1"/>
                <w:sz w:val="18"/>
                <w:szCs w:val="18"/>
              </w:rPr>
              <w:t>Status</w:t>
            </w:r>
          </w:p>
        </w:tc>
        <w:tc>
          <w:tcPr>
            <w:tcW w:w="4770" w:type="dxa"/>
            <w:tcBorders>
              <w:top w:val="single" w:sz="4" w:space="0" w:color="auto"/>
              <w:left w:val="single" w:sz="4" w:space="0" w:color="auto"/>
              <w:bottom w:val="single" w:sz="4" w:space="0" w:color="auto"/>
              <w:right w:val="single" w:sz="4" w:space="0" w:color="auto"/>
            </w:tcBorders>
            <w:shd w:val="clear" w:color="auto" w:fill="42618C" w:themeFill="accent3"/>
            <w:tcMar>
              <w:top w:w="80" w:type="dxa"/>
              <w:left w:w="120" w:type="dxa"/>
              <w:bottom w:w="80" w:type="dxa"/>
              <w:right w:w="120" w:type="dxa"/>
            </w:tcMar>
            <w:vAlign w:val="center"/>
          </w:tcPr>
          <w:p w14:paraId="2916FE77" w14:textId="77777777" w:rsidR="00C76A0E" w:rsidRPr="00887119" w:rsidRDefault="00C76A0E" w:rsidP="00421088">
            <w:pPr>
              <w:jc w:val="left"/>
              <w:rPr>
                <w:color w:val="FFFFFF" w:themeColor="background1"/>
                <w:sz w:val="18"/>
                <w:szCs w:val="18"/>
              </w:rPr>
            </w:pPr>
            <w:r w:rsidRPr="00887119">
              <w:rPr>
                <w:rFonts w:eastAsia="Arial" w:cs="Arial"/>
                <w:color w:val="FFFFFF" w:themeColor="background1"/>
                <w:sz w:val="18"/>
                <w:szCs w:val="18"/>
              </w:rPr>
              <w:t>Summary</w:t>
            </w:r>
          </w:p>
        </w:tc>
      </w:tr>
      <w:tr w:rsidR="00421088" w:rsidRPr="00887119" w14:paraId="44B51868" w14:textId="77777777" w:rsidTr="000F7855">
        <w:tc>
          <w:tcPr>
            <w:tcW w:w="1525" w:type="dxa"/>
            <w:tcBorders>
              <w:top w:val="single" w:sz="4" w:space="0" w:color="auto"/>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3F3322B3" w14:textId="77777777" w:rsidR="00C76A0E" w:rsidRPr="000D5FC6" w:rsidRDefault="00C76A0E" w:rsidP="00421088">
            <w:pPr>
              <w:jc w:val="left"/>
              <w:rPr>
                <w:color w:val="C00000"/>
                <w:sz w:val="18"/>
                <w:szCs w:val="18"/>
              </w:rPr>
            </w:pPr>
            <w:r w:rsidRPr="000D5FC6">
              <w:rPr>
                <w:rFonts w:eastAsia="Arial" w:cs="Arial"/>
                <w:color w:val="C00000"/>
                <w:sz w:val="18"/>
                <w:szCs w:val="18"/>
              </w:rPr>
              <w:t>Appeals and development barrier reforms</w:t>
            </w:r>
          </w:p>
        </w:tc>
        <w:tc>
          <w:tcPr>
            <w:tcW w:w="1530" w:type="dxa"/>
            <w:tcBorders>
              <w:top w:val="single" w:sz="4" w:space="0" w:color="auto"/>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27C6F316" w14:textId="77777777" w:rsidR="00C76A0E" w:rsidRPr="000D5FC6" w:rsidRDefault="00C76A0E" w:rsidP="00421088">
            <w:pPr>
              <w:jc w:val="left"/>
              <w:rPr>
                <w:color w:val="C00000"/>
                <w:sz w:val="18"/>
                <w:szCs w:val="18"/>
              </w:rPr>
            </w:pPr>
            <w:r w:rsidRPr="000D5FC6">
              <w:rPr>
                <w:rFonts w:eastAsia="Arial" w:cs="Arial"/>
                <w:i/>
                <w:iCs/>
                <w:color w:val="C00000"/>
                <w:sz w:val="18"/>
                <w:szCs w:val="18"/>
              </w:rPr>
              <w:t>Planning Act</w:t>
            </w:r>
          </w:p>
        </w:tc>
        <w:tc>
          <w:tcPr>
            <w:tcW w:w="1530" w:type="dxa"/>
            <w:tcBorders>
              <w:top w:val="single" w:sz="4" w:space="0" w:color="auto"/>
              <w:left w:val="single" w:sz="4" w:space="0" w:color="CCCCCC"/>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16686677" w14:textId="77777777" w:rsidR="00C76A0E" w:rsidRPr="000D5FC6" w:rsidRDefault="00C76A0E" w:rsidP="00421088">
            <w:pPr>
              <w:jc w:val="left"/>
              <w:rPr>
                <w:color w:val="C00000"/>
                <w:sz w:val="18"/>
                <w:szCs w:val="18"/>
              </w:rPr>
            </w:pPr>
            <w:r w:rsidRPr="000D5FC6">
              <w:rPr>
                <w:rFonts w:eastAsia="Arial" w:cs="Arial"/>
                <w:color w:val="C00000"/>
                <w:sz w:val="18"/>
                <w:szCs w:val="18"/>
              </w:rPr>
              <w:t>In force (2023)</w:t>
            </w:r>
          </w:p>
        </w:tc>
        <w:tc>
          <w:tcPr>
            <w:tcW w:w="4770" w:type="dxa"/>
            <w:tcBorders>
              <w:top w:val="single" w:sz="4" w:space="0" w:color="auto"/>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3E2FA40B" w14:textId="77777777" w:rsidR="00C76A0E" w:rsidRPr="000D5FC6" w:rsidRDefault="00C76A0E" w:rsidP="00421088">
            <w:pPr>
              <w:jc w:val="left"/>
              <w:rPr>
                <w:color w:val="C00000"/>
                <w:sz w:val="18"/>
                <w:szCs w:val="18"/>
              </w:rPr>
            </w:pPr>
            <w:r w:rsidRPr="000D5FC6">
              <w:rPr>
                <w:rFonts w:eastAsia="Arial" w:cs="Arial"/>
                <w:color w:val="C00000"/>
                <w:sz w:val="18"/>
                <w:szCs w:val="18"/>
              </w:rPr>
              <w:t>Narrowed right of appeal to “aggrieved persons” only; made IRAC appeal procedures subject to the regulations of the Act. Intended to reduce procedural delays in housing approvals.</w:t>
            </w:r>
            <w:r w:rsidRPr="000D5FC6">
              <w:rPr>
                <w:rStyle w:val="FootnoteReference"/>
                <w:color w:val="C00000"/>
                <w:sz w:val="18"/>
                <w:szCs w:val="18"/>
              </w:rPr>
              <w:footnoteReference w:id="17"/>
            </w:r>
          </w:p>
        </w:tc>
      </w:tr>
      <w:tr w:rsidR="00421088" w:rsidRPr="00887119" w14:paraId="61EF3F32" w14:textId="77777777" w:rsidTr="000F7855">
        <w:tc>
          <w:tcPr>
            <w:tcW w:w="1525"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72762286" w14:textId="77777777" w:rsidR="00C76A0E" w:rsidRPr="000D5FC6" w:rsidRDefault="00C76A0E" w:rsidP="00421088">
            <w:pPr>
              <w:jc w:val="left"/>
              <w:rPr>
                <w:color w:val="C00000"/>
                <w:sz w:val="18"/>
                <w:szCs w:val="18"/>
              </w:rPr>
            </w:pPr>
            <w:r w:rsidRPr="000D5FC6">
              <w:rPr>
                <w:rFonts w:eastAsia="Arial" w:cs="Arial"/>
                <w:color w:val="C00000"/>
                <w:sz w:val="18"/>
                <w:szCs w:val="18"/>
              </w:rPr>
              <w:t>Open space and rural density amendments</w:t>
            </w:r>
          </w:p>
        </w:tc>
        <w:tc>
          <w:tcPr>
            <w:tcW w:w="1530"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3917593A" w14:textId="77777777" w:rsidR="00C76A0E" w:rsidRPr="000D5FC6" w:rsidRDefault="00C76A0E" w:rsidP="00421088">
            <w:pPr>
              <w:jc w:val="left"/>
              <w:rPr>
                <w:color w:val="C00000"/>
                <w:sz w:val="18"/>
                <w:szCs w:val="18"/>
              </w:rPr>
            </w:pPr>
            <w:r w:rsidRPr="000D5FC6">
              <w:rPr>
                <w:rFonts w:eastAsia="Arial" w:cs="Arial"/>
                <w:i/>
                <w:iCs/>
                <w:color w:val="C00000"/>
                <w:sz w:val="18"/>
                <w:szCs w:val="18"/>
              </w:rPr>
              <w:t>Planning Act</w:t>
            </w:r>
            <w:r w:rsidRPr="000D5FC6">
              <w:rPr>
                <w:rFonts w:eastAsia="Arial" w:cs="Arial"/>
                <w:color w:val="C00000"/>
                <w:sz w:val="18"/>
                <w:szCs w:val="18"/>
              </w:rPr>
              <w:t xml:space="preserve"> / </w:t>
            </w:r>
            <w:r w:rsidRPr="000D5FC6">
              <w:rPr>
                <w:rFonts w:eastAsia="Arial" w:cs="Arial"/>
                <w:i/>
                <w:iCs/>
                <w:color w:val="C00000"/>
                <w:sz w:val="18"/>
                <w:szCs w:val="18"/>
              </w:rPr>
              <w:t>Subdivision and Development Regulations</w:t>
            </w:r>
          </w:p>
        </w:tc>
        <w:tc>
          <w:tcPr>
            <w:tcW w:w="1530" w:type="dxa"/>
            <w:tcBorders>
              <w:top w:val="single" w:sz="4" w:space="0" w:color="CCCCCC"/>
              <w:left w:val="single" w:sz="4" w:space="0" w:color="CCCCCC"/>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4FC6EB4C" w14:textId="77777777" w:rsidR="00C76A0E" w:rsidRPr="000D5FC6" w:rsidRDefault="00C76A0E" w:rsidP="00421088">
            <w:pPr>
              <w:jc w:val="left"/>
              <w:rPr>
                <w:color w:val="C00000"/>
                <w:sz w:val="18"/>
                <w:szCs w:val="18"/>
              </w:rPr>
            </w:pPr>
            <w:r w:rsidRPr="000D5FC6">
              <w:rPr>
                <w:rFonts w:eastAsia="Arial" w:cs="Arial"/>
                <w:color w:val="C00000"/>
                <w:sz w:val="18"/>
                <w:szCs w:val="18"/>
              </w:rPr>
              <w:t>In force (August 1, 2024)</w:t>
            </w:r>
          </w:p>
        </w:tc>
        <w:tc>
          <w:tcPr>
            <w:tcW w:w="4770"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1D3DABA9" w14:textId="2A08E883" w:rsidR="00C76A0E" w:rsidRPr="000D5FC6" w:rsidRDefault="00C76A0E" w:rsidP="00421088">
            <w:pPr>
              <w:jc w:val="left"/>
              <w:rPr>
                <w:color w:val="C00000"/>
                <w:sz w:val="18"/>
                <w:szCs w:val="18"/>
              </w:rPr>
            </w:pPr>
            <w:r w:rsidRPr="000D5FC6">
              <w:rPr>
                <w:rFonts w:eastAsia="Arial" w:cs="Arial"/>
                <w:color w:val="C00000"/>
                <w:sz w:val="18"/>
                <w:szCs w:val="18"/>
              </w:rPr>
              <w:t>Raised the threshold for mandatory 10% open space dedication in rural subdivisions from 5 lots to 20 lots. Reduces construction cost and improves lot yield in smaller rural subdivisions.</w:t>
            </w:r>
            <w:r w:rsidRPr="000D5FC6">
              <w:rPr>
                <w:rStyle w:val="FootnoteReference"/>
                <w:color w:val="C00000"/>
                <w:sz w:val="18"/>
                <w:szCs w:val="18"/>
              </w:rPr>
              <w:footnoteReference w:id="18"/>
            </w:r>
          </w:p>
        </w:tc>
      </w:tr>
      <w:tr w:rsidR="00421088" w:rsidRPr="00887119" w14:paraId="1B2DDE93" w14:textId="77777777" w:rsidTr="000F7855">
        <w:tc>
          <w:tcPr>
            <w:tcW w:w="1525"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325841F9" w14:textId="77777777" w:rsidR="00C76A0E" w:rsidRPr="000D5FC6" w:rsidRDefault="00C76A0E" w:rsidP="00421088">
            <w:pPr>
              <w:jc w:val="left"/>
              <w:rPr>
                <w:color w:val="C00000"/>
                <w:sz w:val="18"/>
                <w:szCs w:val="18"/>
              </w:rPr>
            </w:pPr>
            <w:r w:rsidRPr="000D5FC6">
              <w:rPr>
                <w:rFonts w:eastAsia="Arial" w:cs="Arial"/>
                <w:color w:val="C00000"/>
                <w:sz w:val="18"/>
                <w:szCs w:val="18"/>
              </w:rPr>
              <w:t>Rent controls, evictions, and dispute resolution</w:t>
            </w:r>
          </w:p>
        </w:tc>
        <w:tc>
          <w:tcPr>
            <w:tcW w:w="1530"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7EE7BB01" w14:textId="77777777" w:rsidR="00C76A0E" w:rsidRPr="000D5FC6" w:rsidRDefault="00C76A0E" w:rsidP="00421088">
            <w:pPr>
              <w:jc w:val="left"/>
              <w:rPr>
                <w:color w:val="C00000"/>
                <w:sz w:val="18"/>
                <w:szCs w:val="18"/>
              </w:rPr>
            </w:pPr>
            <w:r w:rsidRPr="000D5FC6">
              <w:rPr>
                <w:rFonts w:eastAsia="Arial" w:cs="Arial"/>
                <w:i/>
                <w:iCs/>
                <w:color w:val="C00000"/>
                <w:sz w:val="18"/>
                <w:szCs w:val="18"/>
              </w:rPr>
              <w:t>Residential Tenancy Act</w:t>
            </w:r>
          </w:p>
        </w:tc>
        <w:tc>
          <w:tcPr>
            <w:tcW w:w="1530" w:type="dxa"/>
            <w:tcBorders>
              <w:top w:val="single" w:sz="4" w:space="0" w:color="CCCCCC"/>
              <w:left w:val="single" w:sz="4" w:space="0" w:color="CCCCCC"/>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1AFE157E" w14:textId="77777777" w:rsidR="00C76A0E" w:rsidRPr="000D5FC6" w:rsidRDefault="00C76A0E" w:rsidP="00421088">
            <w:pPr>
              <w:jc w:val="left"/>
              <w:rPr>
                <w:color w:val="C00000"/>
                <w:sz w:val="18"/>
                <w:szCs w:val="18"/>
              </w:rPr>
            </w:pPr>
            <w:r w:rsidRPr="000D5FC6">
              <w:rPr>
                <w:rFonts w:eastAsia="Arial" w:cs="Arial"/>
                <w:color w:val="C00000"/>
                <w:sz w:val="18"/>
                <w:szCs w:val="18"/>
              </w:rPr>
              <w:t>Proposed</w:t>
            </w:r>
          </w:p>
        </w:tc>
        <w:tc>
          <w:tcPr>
            <w:tcW w:w="4770"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208B4DA1" w14:textId="09D8D6D0" w:rsidR="00C76A0E" w:rsidRPr="000D5FC6" w:rsidRDefault="00C76A0E" w:rsidP="00421088">
            <w:pPr>
              <w:jc w:val="left"/>
              <w:rPr>
                <w:color w:val="C00000"/>
                <w:sz w:val="18"/>
                <w:szCs w:val="18"/>
              </w:rPr>
            </w:pPr>
            <w:r w:rsidRPr="000D5FC6">
              <w:rPr>
                <w:rFonts w:eastAsia="Arial" w:cs="Arial"/>
                <w:color w:val="C00000"/>
                <w:sz w:val="18"/>
                <w:szCs w:val="18"/>
              </w:rPr>
              <w:t>Amendments to rent control structures, eviction processes, and dispute resolution mechanisms released for public consultation in 2024</w:t>
            </w:r>
            <w:r w:rsidR="00D02602" w:rsidRPr="000D5FC6">
              <w:rPr>
                <w:rFonts w:eastAsia="Arial" w:cs="Arial"/>
                <w:color w:val="C00000"/>
                <w:sz w:val="18"/>
                <w:szCs w:val="18"/>
              </w:rPr>
              <w:t>-</w:t>
            </w:r>
            <w:r w:rsidRPr="000D5FC6">
              <w:rPr>
                <w:rFonts w:eastAsia="Arial" w:cs="Arial"/>
                <w:color w:val="C00000"/>
                <w:sz w:val="18"/>
                <w:szCs w:val="18"/>
              </w:rPr>
              <w:t xml:space="preserve">2025. Legislation expected to follow. </w:t>
            </w:r>
          </w:p>
        </w:tc>
      </w:tr>
      <w:tr w:rsidR="00421088" w:rsidRPr="00887119" w14:paraId="260C648F" w14:textId="77777777" w:rsidTr="000F7855">
        <w:tc>
          <w:tcPr>
            <w:tcW w:w="1525"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49C07303" w14:textId="77777777" w:rsidR="00C76A0E" w:rsidRPr="000D5FC6" w:rsidRDefault="00C76A0E" w:rsidP="00421088">
            <w:pPr>
              <w:jc w:val="left"/>
              <w:rPr>
                <w:color w:val="C00000"/>
                <w:sz w:val="18"/>
                <w:szCs w:val="18"/>
              </w:rPr>
            </w:pPr>
            <w:r w:rsidRPr="000D5FC6">
              <w:rPr>
                <w:rFonts w:eastAsia="Arial" w:cs="Arial"/>
                <w:color w:val="C00000"/>
                <w:sz w:val="18"/>
                <w:szCs w:val="18"/>
              </w:rPr>
              <w:t>Non-resident land ownership oversight</w:t>
            </w:r>
          </w:p>
        </w:tc>
        <w:tc>
          <w:tcPr>
            <w:tcW w:w="1530"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77090A1C" w14:textId="77777777" w:rsidR="00C76A0E" w:rsidRPr="000D5FC6" w:rsidRDefault="00C76A0E" w:rsidP="00421088">
            <w:pPr>
              <w:jc w:val="left"/>
              <w:rPr>
                <w:color w:val="C00000"/>
                <w:sz w:val="18"/>
                <w:szCs w:val="18"/>
              </w:rPr>
            </w:pPr>
            <w:r w:rsidRPr="000D5FC6">
              <w:rPr>
                <w:rFonts w:eastAsia="Arial" w:cs="Arial"/>
                <w:i/>
                <w:iCs/>
                <w:color w:val="C00000"/>
                <w:sz w:val="18"/>
                <w:szCs w:val="18"/>
              </w:rPr>
              <w:t>Lands Protection Act</w:t>
            </w:r>
          </w:p>
        </w:tc>
        <w:tc>
          <w:tcPr>
            <w:tcW w:w="1530" w:type="dxa"/>
            <w:tcBorders>
              <w:top w:val="single" w:sz="4" w:space="0" w:color="CCCCCC"/>
              <w:left w:val="single" w:sz="4" w:space="0" w:color="CCCCCC"/>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30D5D413" w14:textId="77777777" w:rsidR="00C76A0E" w:rsidRPr="000D5FC6" w:rsidRDefault="00C76A0E" w:rsidP="00421088">
            <w:pPr>
              <w:jc w:val="left"/>
              <w:rPr>
                <w:color w:val="C00000"/>
                <w:sz w:val="18"/>
                <w:szCs w:val="18"/>
              </w:rPr>
            </w:pPr>
            <w:r w:rsidRPr="000D5FC6">
              <w:rPr>
                <w:rFonts w:eastAsia="Arial" w:cs="Arial"/>
                <w:color w:val="C00000"/>
                <w:sz w:val="18"/>
                <w:szCs w:val="18"/>
              </w:rPr>
              <w:t>Proposed (Spring 2025)</w:t>
            </w:r>
          </w:p>
        </w:tc>
        <w:tc>
          <w:tcPr>
            <w:tcW w:w="4770"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1635B924" w14:textId="77777777" w:rsidR="00C76A0E" w:rsidRPr="000D5FC6" w:rsidRDefault="00C76A0E" w:rsidP="00421088">
            <w:pPr>
              <w:jc w:val="left"/>
              <w:rPr>
                <w:color w:val="C00000"/>
                <w:sz w:val="18"/>
                <w:szCs w:val="18"/>
              </w:rPr>
            </w:pPr>
            <w:r w:rsidRPr="000D5FC6">
              <w:rPr>
                <w:rFonts w:eastAsia="Arial" w:cs="Arial"/>
                <w:color w:val="C00000"/>
                <w:sz w:val="18"/>
                <w:szCs w:val="18"/>
              </w:rPr>
              <w:t>Planned amendments to enhance oversight of land holdings by non-residents. Implications for land availability and housing development costs.</w:t>
            </w:r>
            <w:r w:rsidRPr="000D5FC6">
              <w:rPr>
                <w:rStyle w:val="FootnoteReference"/>
                <w:color w:val="C00000"/>
                <w:sz w:val="18"/>
                <w:szCs w:val="18"/>
              </w:rPr>
              <w:footnoteReference w:id="19"/>
            </w:r>
          </w:p>
        </w:tc>
      </w:tr>
      <w:tr w:rsidR="00421088" w:rsidRPr="00887119" w14:paraId="36DA45BE" w14:textId="77777777" w:rsidTr="000F7855">
        <w:tc>
          <w:tcPr>
            <w:tcW w:w="1525"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447A8A8E" w14:textId="77777777" w:rsidR="00C76A0E" w:rsidRPr="000D5FC6" w:rsidRDefault="00C76A0E" w:rsidP="00421088">
            <w:pPr>
              <w:jc w:val="left"/>
              <w:rPr>
                <w:color w:val="C00000"/>
                <w:sz w:val="18"/>
                <w:szCs w:val="18"/>
              </w:rPr>
            </w:pPr>
            <w:r w:rsidRPr="000D5FC6">
              <w:rPr>
                <w:rFonts w:eastAsia="Arial" w:cs="Arial"/>
                <w:color w:val="C00000"/>
                <w:sz w:val="18"/>
                <w:szCs w:val="18"/>
              </w:rPr>
              <w:t>Municipal governance and planning review</w:t>
            </w:r>
          </w:p>
        </w:tc>
        <w:tc>
          <w:tcPr>
            <w:tcW w:w="1530"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2C2243CD" w14:textId="77777777" w:rsidR="00C76A0E" w:rsidRPr="000D5FC6" w:rsidRDefault="00C76A0E" w:rsidP="00421088">
            <w:pPr>
              <w:jc w:val="left"/>
              <w:rPr>
                <w:color w:val="C00000"/>
                <w:sz w:val="18"/>
                <w:szCs w:val="18"/>
              </w:rPr>
            </w:pPr>
            <w:r w:rsidRPr="000D5FC6">
              <w:rPr>
                <w:rFonts w:eastAsia="Arial" w:cs="Arial"/>
                <w:i/>
                <w:iCs/>
                <w:color w:val="C00000"/>
                <w:sz w:val="18"/>
                <w:szCs w:val="18"/>
              </w:rPr>
              <w:t>Municipal Government Act</w:t>
            </w:r>
          </w:p>
        </w:tc>
        <w:tc>
          <w:tcPr>
            <w:tcW w:w="1530" w:type="dxa"/>
            <w:tcBorders>
              <w:top w:val="single" w:sz="4" w:space="0" w:color="CCCCCC"/>
              <w:left w:val="single" w:sz="4" w:space="0" w:color="CCCCCC"/>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398FDDA0" w14:textId="77777777" w:rsidR="00C76A0E" w:rsidRPr="000D5FC6" w:rsidRDefault="00C76A0E" w:rsidP="00421088">
            <w:pPr>
              <w:jc w:val="left"/>
              <w:rPr>
                <w:color w:val="C00000"/>
                <w:sz w:val="18"/>
                <w:szCs w:val="18"/>
              </w:rPr>
            </w:pPr>
            <w:r w:rsidRPr="000D5FC6">
              <w:rPr>
                <w:rFonts w:eastAsia="Arial" w:cs="Arial"/>
                <w:color w:val="C00000"/>
                <w:sz w:val="18"/>
                <w:szCs w:val="18"/>
              </w:rPr>
              <w:t>Under review (2025–ongoing)</w:t>
            </w:r>
          </w:p>
        </w:tc>
        <w:tc>
          <w:tcPr>
            <w:tcW w:w="4770"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5F3607E8" w14:textId="67C2BD6D" w:rsidR="00C76A0E" w:rsidRPr="000D5FC6" w:rsidRDefault="00C76A0E" w:rsidP="00421088">
            <w:pPr>
              <w:jc w:val="left"/>
              <w:rPr>
                <w:color w:val="C00000"/>
                <w:sz w:val="18"/>
                <w:szCs w:val="18"/>
              </w:rPr>
            </w:pPr>
            <w:r w:rsidRPr="000D5FC6">
              <w:rPr>
                <w:rFonts w:eastAsia="Arial" w:cs="Arial"/>
                <w:color w:val="C00000"/>
                <w:sz w:val="18"/>
                <w:szCs w:val="18"/>
              </w:rPr>
              <w:t>Province-wide review with consultations on local service delivery, land use planning responsibilities, and governance structures. Outcomes may affect municipal planning capacity and housing delivery.</w:t>
            </w:r>
          </w:p>
        </w:tc>
      </w:tr>
      <w:tr w:rsidR="00421088" w:rsidRPr="00887119" w14:paraId="24770ADB" w14:textId="77777777" w:rsidTr="000F7855">
        <w:tc>
          <w:tcPr>
            <w:tcW w:w="1525" w:type="dxa"/>
            <w:tcBorders>
              <w:top w:val="single" w:sz="4" w:space="0" w:color="CCCCCC"/>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vAlign w:val="center"/>
          </w:tcPr>
          <w:p w14:paraId="6EB26A87" w14:textId="77777777" w:rsidR="00C76A0E" w:rsidRPr="000D5FC6" w:rsidRDefault="00C76A0E" w:rsidP="00421088">
            <w:pPr>
              <w:jc w:val="left"/>
              <w:rPr>
                <w:color w:val="C00000"/>
                <w:sz w:val="18"/>
                <w:szCs w:val="18"/>
              </w:rPr>
            </w:pPr>
            <w:r w:rsidRPr="000D5FC6">
              <w:rPr>
                <w:rFonts w:eastAsia="Arial" w:cs="Arial"/>
                <w:color w:val="C00000"/>
                <w:sz w:val="18"/>
                <w:szCs w:val="18"/>
              </w:rPr>
              <w:t>Province-wide land use plan</w:t>
            </w:r>
          </w:p>
        </w:tc>
        <w:tc>
          <w:tcPr>
            <w:tcW w:w="1530" w:type="dxa"/>
            <w:tcBorders>
              <w:top w:val="single" w:sz="4" w:space="0" w:color="CCCCCC"/>
              <w:left w:val="single" w:sz="4" w:space="0" w:color="auto"/>
              <w:bottom w:val="single" w:sz="4" w:space="0" w:color="auto"/>
              <w:right w:val="single" w:sz="4" w:space="0" w:color="CCCCCC"/>
            </w:tcBorders>
            <w:shd w:val="clear" w:color="auto" w:fill="FFFFFF" w:themeFill="background1"/>
            <w:tcMar>
              <w:top w:w="80" w:type="dxa"/>
              <w:left w:w="120" w:type="dxa"/>
              <w:bottom w:w="80" w:type="dxa"/>
              <w:right w:w="120" w:type="dxa"/>
            </w:tcMar>
            <w:vAlign w:val="center"/>
          </w:tcPr>
          <w:p w14:paraId="4DADBB72" w14:textId="77777777" w:rsidR="00C76A0E" w:rsidRPr="000D5FC6" w:rsidRDefault="00C76A0E" w:rsidP="00421088">
            <w:pPr>
              <w:jc w:val="left"/>
              <w:rPr>
                <w:color w:val="C00000"/>
                <w:sz w:val="18"/>
                <w:szCs w:val="18"/>
              </w:rPr>
            </w:pPr>
            <w:r w:rsidRPr="000D5FC6">
              <w:rPr>
                <w:rFonts w:eastAsia="Arial" w:cs="Arial"/>
                <w:color w:val="C00000"/>
                <w:sz w:val="18"/>
                <w:szCs w:val="18"/>
              </w:rPr>
              <w:t>New instrument under the Planning Act</w:t>
            </w:r>
          </w:p>
        </w:tc>
        <w:tc>
          <w:tcPr>
            <w:tcW w:w="1530" w:type="dxa"/>
            <w:tcBorders>
              <w:top w:val="single" w:sz="4" w:space="0" w:color="CCCCCC"/>
              <w:left w:val="single" w:sz="4" w:space="0" w:color="CCCCCC"/>
              <w:bottom w:val="single" w:sz="4" w:space="0" w:color="auto"/>
              <w:right w:val="single" w:sz="4" w:space="0" w:color="auto"/>
            </w:tcBorders>
            <w:shd w:val="clear" w:color="auto" w:fill="FFFFFF" w:themeFill="background1"/>
            <w:tcMar>
              <w:top w:w="80" w:type="dxa"/>
              <w:left w:w="120" w:type="dxa"/>
              <w:bottom w:w="80" w:type="dxa"/>
              <w:right w:w="120" w:type="dxa"/>
            </w:tcMar>
            <w:vAlign w:val="center"/>
          </w:tcPr>
          <w:p w14:paraId="1CFCEEBD" w14:textId="77777777" w:rsidR="00C76A0E" w:rsidRPr="000D5FC6" w:rsidRDefault="00C76A0E" w:rsidP="00421088">
            <w:pPr>
              <w:jc w:val="left"/>
              <w:rPr>
                <w:color w:val="C00000"/>
                <w:sz w:val="18"/>
                <w:szCs w:val="18"/>
              </w:rPr>
            </w:pPr>
            <w:r w:rsidRPr="000D5FC6">
              <w:rPr>
                <w:rFonts w:eastAsia="Arial" w:cs="Arial"/>
                <w:color w:val="C00000"/>
                <w:sz w:val="18"/>
                <w:szCs w:val="18"/>
              </w:rPr>
              <w:t>In development (target: end of 2026)</w:t>
            </w:r>
          </w:p>
        </w:tc>
        <w:tc>
          <w:tcPr>
            <w:tcW w:w="4770" w:type="dxa"/>
            <w:tcBorders>
              <w:top w:val="single" w:sz="4" w:space="0" w:color="CCCCCC"/>
              <w:left w:val="single" w:sz="4" w:space="0" w:color="auto"/>
              <w:bottom w:val="single" w:sz="4" w:space="0" w:color="auto"/>
              <w:right w:val="single" w:sz="4" w:space="0" w:color="auto"/>
            </w:tcBorders>
            <w:shd w:val="clear" w:color="auto" w:fill="FFFFFF" w:themeFill="background1"/>
            <w:tcMar>
              <w:top w:w="80" w:type="dxa"/>
              <w:left w:w="120" w:type="dxa"/>
              <w:bottom w:w="80" w:type="dxa"/>
              <w:right w:w="120" w:type="dxa"/>
            </w:tcMar>
            <w:vAlign w:val="center"/>
          </w:tcPr>
          <w:p w14:paraId="2E5F98D6" w14:textId="2B93A27B" w:rsidR="00C76A0E" w:rsidRPr="000D5FC6" w:rsidRDefault="00C76A0E" w:rsidP="00421088">
            <w:pPr>
              <w:jc w:val="left"/>
              <w:rPr>
                <w:color w:val="C00000"/>
                <w:sz w:val="18"/>
                <w:szCs w:val="18"/>
              </w:rPr>
            </w:pPr>
            <w:r w:rsidRPr="000D5FC6">
              <w:rPr>
                <w:rFonts w:eastAsia="Arial" w:cs="Arial"/>
                <w:color w:val="C00000"/>
                <w:sz w:val="18"/>
                <w:szCs w:val="18"/>
              </w:rPr>
              <w:t>A comprehensive pro</w:t>
            </w:r>
            <w:r w:rsidR="00657FF5" w:rsidRPr="000D5FC6">
              <w:rPr>
                <w:rFonts w:eastAsia="Arial" w:cs="Arial"/>
                <w:color w:val="C00000"/>
                <w:sz w:val="18"/>
                <w:szCs w:val="18"/>
              </w:rPr>
              <w:t>v</w:t>
            </w:r>
            <w:r w:rsidRPr="000D5FC6">
              <w:rPr>
                <w:rFonts w:eastAsia="Arial" w:cs="Arial"/>
                <w:color w:val="C00000"/>
                <w:sz w:val="18"/>
                <w:szCs w:val="18"/>
              </w:rPr>
              <w:t xml:space="preserve">ince-wide land use framework. The </w:t>
            </w:r>
            <w:r w:rsidRPr="000D5FC6">
              <w:rPr>
                <w:rFonts w:eastAsia="Arial" w:cs="Arial"/>
                <w:i/>
                <w:iCs/>
                <w:color w:val="C00000"/>
                <w:sz w:val="18"/>
                <w:szCs w:val="18"/>
              </w:rPr>
              <w:t>State of the Island</w:t>
            </w:r>
            <w:r w:rsidRPr="000D5FC6">
              <w:rPr>
                <w:rFonts w:eastAsia="Arial" w:cs="Arial"/>
                <w:color w:val="C00000"/>
                <w:sz w:val="18"/>
                <w:szCs w:val="18"/>
              </w:rPr>
              <w:t xml:space="preserve"> report (early 2025) marks the first formal step. Would govern land use across all of </w:t>
            </w:r>
            <w:r w:rsidR="00402288" w:rsidRPr="000D5FC6">
              <w:rPr>
                <w:rFonts w:eastAsia="Arial" w:cs="Arial"/>
                <w:color w:val="C00000"/>
                <w:sz w:val="18"/>
                <w:szCs w:val="18"/>
              </w:rPr>
              <w:t>PEI</w:t>
            </w:r>
            <w:r w:rsidRPr="000D5FC6">
              <w:rPr>
                <w:rFonts w:eastAsia="Arial" w:cs="Arial"/>
                <w:color w:val="C00000"/>
                <w:sz w:val="18"/>
                <w:szCs w:val="18"/>
              </w:rPr>
              <w:t>, including areas currently without a local plan. Discussed further in Section 4.4.</w:t>
            </w:r>
            <w:r w:rsidR="00C5605B" w:rsidRPr="000D5FC6">
              <w:rPr>
                <w:rFonts w:eastAsia="Arial" w:cs="Arial"/>
                <w:color w:val="C00000"/>
                <w:sz w:val="18"/>
                <w:szCs w:val="18"/>
              </w:rPr>
              <w:t xml:space="preserve"> </w:t>
            </w:r>
            <w:r w:rsidRPr="000D5FC6">
              <w:rPr>
                <w:rStyle w:val="FootnoteReference"/>
                <w:color w:val="C00000"/>
                <w:sz w:val="18"/>
                <w:szCs w:val="18"/>
              </w:rPr>
              <w:footnoteReference w:id="20"/>
            </w:r>
          </w:p>
        </w:tc>
      </w:tr>
    </w:tbl>
    <w:p w14:paraId="0CCE4876" w14:textId="77777777" w:rsidR="00D34FCD" w:rsidRPr="00887119" w:rsidRDefault="00D34FCD" w:rsidP="00C0343E">
      <w:pPr>
        <w:rPr>
          <w:lang w:eastAsia="en-CA"/>
        </w:rPr>
      </w:pPr>
    </w:p>
    <w:p w14:paraId="3C564EA3" w14:textId="1875CABD" w:rsidR="00C0343E" w:rsidRPr="000D5FC6" w:rsidRDefault="00C0343E" w:rsidP="00C0343E">
      <w:pPr>
        <w:rPr>
          <w:color w:val="C00000"/>
        </w:rPr>
      </w:pPr>
      <w:r w:rsidRPr="000D5FC6">
        <w:rPr>
          <w:rFonts w:eastAsia="Arial" w:cs="Arial"/>
          <w:b/>
          <w:bCs/>
          <w:color w:val="C00000"/>
          <w:szCs w:val="22"/>
        </w:rPr>
        <w:t>2023 Planning Act Amendments: Appeals and Development Barriers</w:t>
      </w:r>
    </w:p>
    <w:p w14:paraId="56138AB2" w14:textId="36FD7C73" w:rsidR="00C0343E" w:rsidRPr="000D5FC6" w:rsidRDefault="00C0343E" w:rsidP="00C0343E">
      <w:pPr>
        <w:rPr>
          <w:rFonts w:eastAsia="Arial" w:cs="Arial"/>
          <w:color w:val="C00000"/>
          <w:szCs w:val="22"/>
        </w:rPr>
      </w:pPr>
      <w:r w:rsidRPr="000D5FC6">
        <w:rPr>
          <w:rFonts w:eastAsia="Arial" w:cs="Arial"/>
          <w:color w:val="C00000"/>
          <w:szCs w:val="22"/>
        </w:rPr>
        <w:t xml:space="preserve">In November 2023, the provincial government published proposed amendments to the </w:t>
      </w:r>
      <w:r w:rsidRPr="000D5FC6">
        <w:rPr>
          <w:rFonts w:eastAsia="Arial" w:cs="Arial"/>
          <w:i/>
          <w:iCs/>
          <w:color w:val="C00000"/>
          <w:szCs w:val="22"/>
        </w:rPr>
        <w:t>Planning Act</w:t>
      </w:r>
      <w:r w:rsidRPr="000D5FC6">
        <w:rPr>
          <w:rFonts w:eastAsia="Arial" w:cs="Arial"/>
          <w:color w:val="C00000"/>
          <w:szCs w:val="22"/>
        </w:rPr>
        <w:t xml:space="preserve"> aimed at clarifying the appeal process and reducing barriers to development. The amendments restricted the right of appeal to “aggrieved persons</w:t>
      </w:r>
      <w:r w:rsidR="00ED4C9B" w:rsidRPr="000D5FC6">
        <w:rPr>
          <w:rFonts w:eastAsia="Arial" w:cs="Arial"/>
          <w:color w:val="C00000"/>
          <w:szCs w:val="22"/>
        </w:rPr>
        <w:t>,</w:t>
      </w:r>
      <w:r w:rsidRPr="000D5FC6">
        <w:rPr>
          <w:rFonts w:eastAsia="Arial" w:cs="Arial"/>
          <w:color w:val="C00000"/>
          <w:szCs w:val="22"/>
        </w:rPr>
        <w:t xml:space="preserve">” narrowing who may challenge planning decisions before IRAC. </w:t>
      </w:r>
      <w:r w:rsidR="00EE5EA0" w:rsidRPr="000D5FC6">
        <w:rPr>
          <w:rFonts w:eastAsia="Arial" w:cs="Arial"/>
          <w:color w:val="C00000"/>
          <w:szCs w:val="22"/>
        </w:rPr>
        <w:t>The amendment also standardized IRAC's appeal procedures, placing them under the regulations of the Act rather than leaving them to the Commission's own discretion.</w:t>
      </w:r>
      <w:r w:rsidRPr="000D5FC6">
        <w:rPr>
          <w:rFonts w:eastAsia="Arial" w:cs="Arial"/>
          <w:color w:val="C00000"/>
          <w:szCs w:val="22"/>
        </w:rPr>
        <w:t xml:space="preserve"> These changes were intended to reduce procedural delays in housing approvals and limit development stalls arising from third-party appeals.</w:t>
      </w:r>
    </w:p>
    <w:p w14:paraId="3FB31DB7" w14:textId="77777777" w:rsidR="00C0343E" w:rsidRPr="000D5FC6" w:rsidRDefault="00C0343E" w:rsidP="00C0343E">
      <w:pPr>
        <w:rPr>
          <w:color w:val="C00000"/>
        </w:rPr>
      </w:pPr>
    </w:p>
    <w:p w14:paraId="023FE916" w14:textId="77777777" w:rsidR="00F417FB" w:rsidRPr="000D5FC6" w:rsidRDefault="00F417FB" w:rsidP="00C0343E">
      <w:pPr>
        <w:rPr>
          <w:color w:val="C00000"/>
        </w:rPr>
      </w:pPr>
    </w:p>
    <w:p w14:paraId="19F88166" w14:textId="77777777" w:rsidR="00F417FB" w:rsidRPr="000D5FC6" w:rsidRDefault="00F417FB" w:rsidP="00C0343E">
      <w:pPr>
        <w:rPr>
          <w:color w:val="C00000"/>
        </w:rPr>
      </w:pPr>
    </w:p>
    <w:p w14:paraId="46BCB371" w14:textId="06792F93" w:rsidR="00C0343E" w:rsidRPr="000D5FC6" w:rsidRDefault="00C0343E" w:rsidP="00C0343E">
      <w:pPr>
        <w:rPr>
          <w:color w:val="C00000"/>
        </w:rPr>
      </w:pPr>
      <w:r w:rsidRPr="000D5FC6">
        <w:rPr>
          <w:rFonts w:eastAsia="Arial" w:cs="Arial"/>
          <w:b/>
          <w:bCs/>
          <w:color w:val="C00000"/>
          <w:szCs w:val="22"/>
        </w:rPr>
        <w:lastRenderedPageBreak/>
        <w:t>August 2024 Planning Act Amendments: Open Space and Density</w:t>
      </w:r>
    </w:p>
    <w:p w14:paraId="503CDBA7" w14:textId="1AC52161" w:rsidR="00C0343E" w:rsidRPr="000D5FC6" w:rsidRDefault="00C0343E" w:rsidP="00C0343E">
      <w:pPr>
        <w:rPr>
          <w:rFonts w:eastAsia="Arial" w:cs="Arial"/>
          <w:color w:val="C00000"/>
          <w:szCs w:val="22"/>
        </w:rPr>
      </w:pPr>
      <w:r w:rsidRPr="000D5FC6">
        <w:rPr>
          <w:rFonts w:eastAsia="Arial" w:cs="Arial"/>
          <w:color w:val="C00000"/>
          <w:szCs w:val="22"/>
        </w:rPr>
        <w:t xml:space="preserve">Amendments to the </w:t>
      </w:r>
      <w:r w:rsidRPr="000D5FC6">
        <w:rPr>
          <w:rFonts w:eastAsia="Arial" w:cs="Arial"/>
          <w:i/>
          <w:iCs/>
          <w:color w:val="C00000"/>
          <w:szCs w:val="22"/>
        </w:rPr>
        <w:t>Planning Act</w:t>
      </w:r>
      <w:r w:rsidRPr="000D5FC6">
        <w:rPr>
          <w:rFonts w:eastAsia="Arial" w:cs="Arial"/>
          <w:color w:val="C00000"/>
          <w:szCs w:val="22"/>
        </w:rPr>
        <w:t xml:space="preserve"> that came into effect August 1, 2024 modified open space requirements in new subdivisions. Previously, any new subdivision with more than five lots was required to dedicate 10% of land as open green space. Under the amended regulations, that threshold was raised to 20 lots, and the requirement now applies only to rural subdivisions. The change was intended to reduce construction costs and encourage residential development in rural areas, where development represents a meaningful share of provincial housing construction.</w:t>
      </w:r>
    </w:p>
    <w:p w14:paraId="5EDD4CB7" w14:textId="77777777" w:rsidR="00C0343E" w:rsidRPr="000D5FC6" w:rsidRDefault="00C0343E" w:rsidP="00C0343E">
      <w:pPr>
        <w:rPr>
          <w:color w:val="C00000"/>
        </w:rPr>
      </w:pPr>
    </w:p>
    <w:p w14:paraId="49C37B32" w14:textId="77777777" w:rsidR="00C0343E" w:rsidRPr="000D5FC6" w:rsidRDefault="00C0343E" w:rsidP="00C0343E">
      <w:pPr>
        <w:rPr>
          <w:color w:val="C00000"/>
        </w:rPr>
      </w:pPr>
      <w:r w:rsidRPr="000D5FC6">
        <w:rPr>
          <w:rFonts w:eastAsia="Arial" w:cs="Arial"/>
          <w:b/>
          <w:bCs/>
          <w:color w:val="C00000"/>
          <w:szCs w:val="22"/>
        </w:rPr>
        <w:t>Proposed Residential Tenancy Act Amendments</w:t>
      </w:r>
    </w:p>
    <w:p w14:paraId="0CAE1FA8" w14:textId="1EAADEE9" w:rsidR="00C0343E" w:rsidRPr="00887119" w:rsidRDefault="00C0343E" w:rsidP="00C0343E">
      <w:pPr>
        <w:rPr>
          <w:lang w:eastAsia="en-CA"/>
        </w:rPr>
      </w:pPr>
      <w:r w:rsidRPr="000D5FC6">
        <w:rPr>
          <w:rFonts w:eastAsia="Arial" w:cs="Arial"/>
          <w:color w:val="C00000"/>
          <w:szCs w:val="22"/>
        </w:rPr>
        <w:t xml:space="preserve">In August 2024, the province released a consultation paper outlining proposed amendments to the </w:t>
      </w:r>
      <w:r w:rsidRPr="000D5FC6">
        <w:rPr>
          <w:rFonts w:eastAsia="Arial" w:cs="Arial"/>
          <w:i/>
          <w:iCs/>
          <w:color w:val="C00000"/>
          <w:szCs w:val="22"/>
        </w:rPr>
        <w:t>Residential Tenancy Act</w:t>
      </w:r>
      <w:r w:rsidRPr="000D5FC6">
        <w:rPr>
          <w:rFonts w:eastAsia="Arial" w:cs="Arial"/>
          <w:color w:val="C00000"/>
          <w:szCs w:val="22"/>
        </w:rPr>
        <w:t xml:space="preserve"> covering changes to rent controls, eviction processes, and dispute resolution mechanisms. Public consultations were held in Summerside and Charlottetown in September 2025. Changes to rent control structures and eviction thresholds have direct implications for housing stability and affordability for renter households</w:t>
      </w:r>
      <w:r w:rsidR="0050020B" w:rsidRPr="000D5FC6">
        <w:rPr>
          <w:rFonts w:eastAsia="Arial" w:cs="Arial"/>
          <w:color w:val="C00000"/>
          <w:szCs w:val="22"/>
        </w:rPr>
        <w:t xml:space="preserve"> across the province; </w:t>
      </w:r>
      <w:r w:rsidRPr="000D5FC6">
        <w:rPr>
          <w:rFonts w:eastAsia="Arial" w:cs="Arial"/>
          <w:color w:val="C00000"/>
          <w:szCs w:val="22"/>
        </w:rPr>
        <w:t>particularly</w:t>
      </w:r>
      <w:r w:rsidR="00EC40F2" w:rsidRPr="000D5FC6">
        <w:rPr>
          <w:rFonts w:eastAsia="Arial" w:cs="Arial"/>
          <w:color w:val="C00000"/>
          <w:szCs w:val="22"/>
        </w:rPr>
        <w:t>,</w:t>
      </w:r>
      <w:r w:rsidRPr="000D5FC6">
        <w:rPr>
          <w:rFonts w:eastAsia="Arial" w:cs="Arial"/>
          <w:color w:val="C00000"/>
          <w:szCs w:val="22"/>
        </w:rPr>
        <w:t xml:space="preserve"> lower-income renters.</w:t>
      </w:r>
    </w:p>
    <w:p w14:paraId="3B8ACF14" w14:textId="77777777" w:rsidR="00C0343E" w:rsidRPr="00887119" w:rsidRDefault="00C0343E" w:rsidP="004D228D">
      <w:pPr>
        <w:rPr>
          <w:lang w:eastAsia="en-CA"/>
        </w:rPr>
      </w:pPr>
    </w:p>
    <w:p w14:paraId="452933F1" w14:textId="6AEE1E9F" w:rsidR="006E034D" w:rsidRPr="00887119" w:rsidRDefault="00E936C3" w:rsidP="00842B20">
      <w:pPr>
        <w:pStyle w:val="Heading2"/>
      </w:pPr>
      <w:bookmarkStart w:id="31" w:name="_Toc229051943"/>
      <w:bookmarkStart w:id="32" w:name="_Toc237957426"/>
      <w:r w:rsidRPr="00887119">
        <w:t>Housing Funding Programs</w:t>
      </w:r>
      <w:bookmarkEnd w:id="31"/>
      <w:bookmarkEnd w:id="32"/>
      <w:r w:rsidRPr="00887119">
        <w:t xml:space="preserve"> </w:t>
      </w:r>
    </w:p>
    <w:p w14:paraId="1533CB38" w14:textId="2D4DA4E1" w:rsidR="00EE226B" w:rsidRPr="00887119" w:rsidRDefault="00EE226B" w:rsidP="00D81DDD">
      <w:r w:rsidRPr="00887119">
        <w:t xml:space="preserve">Housing supply and affordability in </w:t>
      </w:r>
      <w:r w:rsidR="00402288" w:rsidRPr="00402288">
        <w:rPr>
          <w:color w:val="C00000"/>
        </w:rPr>
        <w:t>PEI</w:t>
      </w:r>
      <w:r w:rsidRPr="00887119">
        <w:t xml:space="preserve"> are supported through a range of funding programs, often delivered through provincial-federal partnerships. Programs such as the Affordable Housing Development Program (AHDP) provide financial incentives, including forgivable loans, to support the development of new affordable housing units.</w:t>
      </w:r>
    </w:p>
    <w:p w14:paraId="00ECDE3A" w14:textId="77777777" w:rsidR="00975FD3" w:rsidRPr="00887119" w:rsidRDefault="00975FD3" w:rsidP="002B6159"/>
    <w:p w14:paraId="50EEBD0E" w14:textId="6C84ABD6" w:rsidR="00F0575A" w:rsidRPr="00887119" w:rsidRDefault="00F0575A" w:rsidP="00F0575A">
      <w:pPr>
        <w:pStyle w:val="Caption"/>
      </w:pPr>
      <w:r w:rsidRPr="00887119">
        <w:t xml:space="preserve">Table </w:t>
      </w:r>
      <w:fldSimple w:instr=" STYLEREF 1 \s ">
        <w:r w:rsidR="008D4BDE">
          <w:rPr>
            <w:noProof/>
          </w:rPr>
          <w:t>4</w:t>
        </w:r>
      </w:fldSimple>
      <w:r>
        <w:t>.</w:t>
      </w:r>
      <w:fldSimple w:instr=" SEQ Table \* ARABIC \s 1 ">
        <w:r w:rsidR="008D4BDE">
          <w:rPr>
            <w:noProof/>
          </w:rPr>
          <w:t>3</w:t>
        </w:r>
      </w:fldSimple>
      <w:r w:rsidRPr="00887119">
        <w:t xml:space="preserve">: </w:t>
      </w:r>
      <w:r>
        <w:t>Key housing funding programs relevant to</w:t>
      </w:r>
      <w:r w:rsidRPr="00887119">
        <w:t xml:space="preserve"> </w:t>
      </w:r>
      <w:r w:rsidR="00402288" w:rsidRPr="00402288">
        <w:rPr>
          <w:color w:val="C00000"/>
        </w:rPr>
        <w:t>PEI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71"/>
        <w:gridCol w:w="1975"/>
        <w:gridCol w:w="5009"/>
      </w:tblGrid>
      <w:tr w:rsidR="008544F1" w:rsidRPr="00887119" w14:paraId="2295708B" w14:textId="77777777" w:rsidTr="0080192A">
        <w:trPr>
          <w:tblHeader/>
        </w:trPr>
        <w:tc>
          <w:tcPr>
            <w:tcW w:w="2371" w:type="dxa"/>
            <w:tcBorders>
              <w:top w:val="single" w:sz="4" w:space="0" w:color="auto"/>
              <w:left w:val="single" w:sz="4" w:space="0" w:color="auto"/>
              <w:bottom w:val="single" w:sz="4" w:space="0" w:color="auto"/>
              <w:right w:val="single" w:sz="4" w:space="0" w:color="auto"/>
            </w:tcBorders>
            <w:shd w:val="clear" w:color="auto" w:fill="42618C" w:themeFill="accent3"/>
            <w:tcMar>
              <w:top w:w="80" w:type="dxa"/>
              <w:left w:w="120" w:type="dxa"/>
              <w:bottom w:w="80" w:type="dxa"/>
              <w:right w:w="120" w:type="dxa"/>
            </w:tcMar>
            <w:vAlign w:val="center"/>
          </w:tcPr>
          <w:p w14:paraId="2F2828E1" w14:textId="77777777" w:rsidR="008544F1" w:rsidRPr="00887119" w:rsidRDefault="008544F1" w:rsidP="00ED53E5">
            <w:pPr>
              <w:jc w:val="left"/>
              <w:rPr>
                <w:rFonts w:cs="Arial"/>
                <w:sz w:val="18"/>
                <w:szCs w:val="18"/>
              </w:rPr>
            </w:pPr>
            <w:r w:rsidRPr="00887119">
              <w:rPr>
                <w:rFonts w:eastAsia="Arial" w:cs="Arial"/>
                <w:color w:val="FFFFFF"/>
                <w:sz w:val="18"/>
                <w:szCs w:val="18"/>
              </w:rPr>
              <w:t>Program</w:t>
            </w:r>
          </w:p>
        </w:tc>
        <w:tc>
          <w:tcPr>
            <w:tcW w:w="1975" w:type="dxa"/>
            <w:tcBorders>
              <w:top w:val="single" w:sz="4" w:space="0" w:color="auto"/>
              <w:left w:val="single" w:sz="4" w:space="0" w:color="auto"/>
              <w:bottom w:val="single" w:sz="4" w:space="0" w:color="auto"/>
              <w:right w:val="single" w:sz="4" w:space="0" w:color="CCCCCC"/>
            </w:tcBorders>
            <w:shd w:val="clear" w:color="auto" w:fill="42618C" w:themeFill="accent3"/>
            <w:tcMar>
              <w:top w:w="80" w:type="dxa"/>
              <w:left w:w="120" w:type="dxa"/>
              <w:bottom w:w="80" w:type="dxa"/>
              <w:right w:w="120" w:type="dxa"/>
            </w:tcMar>
            <w:vAlign w:val="center"/>
          </w:tcPr>
          <w:p w14:paraId="32B51588" w14:textId="77777777" w:rsidR="008544F1" w:rsidRPr="00887119" w:rsidRDefault="008544F1" w:rsidP="00ED53E5">
            <w:pPr>
              <w:jc w:val="left"/>
              <w:rPr>
                <w:rFonts w:cs="Arial"/>
                <w:sz w:val="18"/>
                <w:szCs w:val="18"/>
              </w:rPr>
            </w:pPr>
            <w:r w:rsidRPr="00887119">
              <w:rPr>
                <w:rFonts w:eastAsia="Arial" w:cs="Arial"/>
                <w:color w:val="FFFFFF"/>
                <w:sz w:val="18"/>
                <w:szCs w:val="18"/>
              </w:rPr>
              <w:t>Delivery</w:t>
            </w:r>
          </w:p>
        </w:tc>
        <w:tc>
          <w:tcPr>
            <w:tcW w:w="5009" w:type="dxa"/>
            <w:tcBorders>
              <w:top w:val="single" w:sz="4" w:space="0" w:color="auto"/>
              <w:left w:val="single" w:sz="4" w:space="0" w:color="auto"/>
              <w:bottom w:val="single" w:sz="4" w:space="0" w:color="auto"/>
              <w:right w:val="single" w:sz="4" w:space="0" w:color="auto"/>
            </w:tcBorders>
            <w:shd w:val="clear" w:color="auto" w:fill="42618C" w:themeFill="accent3"/>
            <w:tcMar>
              <w:top w:w="80" w:type="dxa"/>
              <w:left w:w="120" w:type="dxa"/>
              <w:bottom w:w="80" w:type="dxa"/>
              <w:right w:w="120" w:type="dxa"/>
            </w:tcMar>
            <w:vAlign w:val="center"/>
          </w:tcPr>
          <w:p w14:paraId="10798FFC" w14:textId="77777777" w:rsidR="008544F1" w:rsidRPr="00887119" w:rsidRDefault="008544F1" w:rsidP="00ED53E5">
            <w:pPr>
              <w:jc w:val="left"/>
              <w:rPr>
                <w:rFonts w:cs="Arial"/>
                <w:sz w:val="18"/>
                <w:szCs w:val="18"/>
              </w:rPr>
            </w:pPr>
            <w:r w:rsidRPr="00887119">
              <w:rPr>
                <w:rFonts w:eastAsia="Arial" w:cs="Arial"/>
                <w:color w:val="FFFFFF"/>
                <w:sz w:val="18"/>
                <w:szCs w:val="18"/>
              </w:rPr>
              <w:t>Type of Support</w:t>
            </w:r>
          </w:p>
        </w:tc>
      </w:tr>
      <w:tr w:rsidR="008544F1" w:rsidRPr="00887119" w14:paraId="4C63214A" w14:textId="77777777" w:rsidTr="0080192A">
        <w:tc>
          <w:tcPr>
            <w:tcW w:w="2371" w:type="dxa"/>
            <w:tcBorders>
              <w:top w:val="single" w:sz="4" w:space="0" w:color="auto"/>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5A0B4E99" w14:textId="77777777" w:rsidR="008544F1" w:rsidRPr="00887119" w:rsidRDefault="008544F1" w:rsidP="00ED53E5">
            <w:pPr>
              <w:jc w:val="left"/>
              <w:rPr>
                <w:rFonts w:cs="Arial"/>
                <w:sz w:val="18"/>
                <w:szCs w:val="18"/>
              </w:rPr>
            </w:pPr>
            <w:r w:rsidRPr="00887119">
              <w:rPr>
                <w:rFonts w:eastAsia="Arial" w:cs="Arial"/>
                <w:sz w:val="18"/>
                <w:szCs w:val="18"/>
              </w:rPr>
              <w:t>Canada Housing Infrastructure Fund (CHIF)</w:t>
            </w:r>
          </w:p>
        </w:tc>
        <w:tc>
          <w:tcPr>
            <w:tcW w:w="1975" w:type="dxa"/>
            <w:tcBorders>
              <w:top w:val="single" w:sz="4" w:space="0" w:color="auto"/>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7ED33612" w14:textId="77777777" w:rsidR="008544F1" w:rsidRPr="00887119" w:rsidRDefault="008544F1" w:rsidP="00ED53E5">
            <w:pPr>
              <w:jc w:val="left"/>
              <w:rPr>
                <w:rFonts w:cs="Arial"/>
                <w:sz w:val="18"/>
                <w:szCs w:val="18"/>
              </w:rPr>
            </w:pPr>
            <w:r w:rsidRPr="00887119">
              <w:rPr>
                <w:rFonts w:eastAsia="Arial" w:cs="Arial"/>
                <w:sz w:val="18"/>
                <w:szCs w:val="18"/>
              </w:rPr>
              <w:t>Federal (CMHC / Infrastructure Canada)</w:t>
            </w:r>
          </w:p>
        </w:tc>
        <w:tc>
          <w:tcPr>
            <w:tcW w:w="5009" w:type="dxa"/>
            <w:tcBorders>
              <w:top w:val="single" w:sz="4" w:space="0" w:color="auto"/>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0E6178C7" w14:textId="77777777" w:rsidR="008544F1" w:rsidRPr="00887119" w:rsidRDefault="008544F1" w:rsidP="00ED53E5">
            <w:pPr>
              <w:jc w:val="left"/>
              <w:rPr>
                <w:rFonts w:cs="Arial"/>
                <w:sz w:val="18"/>
                <w:szCs w:val="18"/>
              </w:rPr>
            </w:pPr>
            <w:r w:rsidRPr="00887119">
              <w:rPr>
                <w:rFonts w:eastAsia="Arial" w:cs="Arial"/>
                <w:sz w:val="18"/>
                <w:szCs w:val="18"/>
              </w:rPr>
              <w:t>Grants for water, wastewater, stormwater, and solid waste infrastructure enabling housing growth</w:t>
            </w:r>
          </w:p>
        </w:tc>
      </w:tr>
      <w:tr w:rsidR="008544F1" w:rsidRPr="00887119" w14:paraId="6AA778FC"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1200FA2A" w14:textId="4CA3883C" w:rsidR="008544F1" w:rsidRPr="00887119" w:rsidRDefault="008538E5" w:rsidP="00ED53E5">
            <w:pPr>
              <w:jc w:val="left"/>
              <w:rPr>
                <w:rFonts w:cs="Arial"/>
                <w:sz w:val="18"/>
                <w:szCs w:val="18"/>
              </w:rPr>
            </w:pPr>
            <w:r>
              <w:rPr>
                <w:rFonts w:eastAsia="Arial" w:cs="Arial"/>
                <w:sz w:val="18"/>
                <w:szCs w:val="18"/>
              </w:rPr>
              <w:t>Build</w:t>
            </w:r>
            <w:r w:rsidR="0034489E">
              <w:rPr>
                <w:rFonts w:eastAsia="Arial" w:cs="Arial"/>
                <w:sz w:val="18"/>
                <w:szCs w:val="18"/>
              </w:rPr>
              <w:t xml:space="preserve"> Communities Strong Fund </w:t>
            </w:r>
            <w:r w:rsidR="008544F1" w:rsidRPr="00887119">
              <w:rPr>
                <w:rFonts w:eastAsia="Arial" w:cs="Arial"/>
                <w:sz w:val="18"/>
                <w:szCs w:val="18"/>
              </w:rPr>
              <w:t>(</w:t>
            </w:r>
            <w:r w:rsidR="0034489E">
              <w:rPr>
                <w:rFonts w:eastAsia="Arial" w:cs="Arial"/>
                <w:sz w:val="18"/>
                <w:szCs w:val="18"/>
              </w:rPr>
              <w:t>BCSF</w:t>
            </w:r>
            <w:r w:rsidR="008544F1" w:rsidRPr="00887119">
              <w:rPr>
                <w:rFonts w:eastAsia="Arial" w:cs="Arial"/>
                <w:sz w:val="18"/>
                <w:szCs w:val="18"/>
              </w:rPr>
              <w:t>)</w:t>
            </w:r>
            <w:r w:rsidR="00050E6C">
              <w:rPr>
                <w:rFonts w:eastAsia="Arial" w:cs="Arial"/>
                <w:sz w:val="18"/>
                <w:szCs w:val="18"/>
              </w:rPr>
              <w:t xml:space="preserve"> – previously C</w:t>
            </w:r>
            <w:r w:rsidR="004A2DD9">
              <w:rPr>
                <w:rFonts w:eastAsia="Arial" w:cs="Arial"/>
                <w:sz w:val="18"/>
                <w:szCs w:val="18"/>
              </w:rPr>
              <w:t>anada Community-Building Fund (CCBF)</w:t>
            </w:r>
          </w:p>
        </w:tc>
        <w:tc>
          <w:tcPr>
            <w:tcW w:w="1975"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4A89CE69" w14:textId="77777777" w:rsidR="008544F1" w:rsidRPr="00887119" w:rsidRDefault="008544F1" w:rsidP="00ED53E5">
            <w:pPr>
              <w:jc w:val="left"/>
              <w:rPr>
                <w:rFonts w:cs="Arial"/>
                <w:sz w:val="18"/>
                <w:szCs w:val="18"/>
              </w:rPr>
            </w:pPr>
            <w:r w:rsidRPr="00887119">
              <w:rPr>
                <w:rFonts w:eastAsia="Arial" w:cs="Arial"/>
                <w:sz w:val="18"/>
                <w:szCs w:val="18"/>
              </w:rPr>
              <w:t>Federal (Infrastructure Canada)</w:t>
            </w:r>
          </w:p>
        </w:tc>
        <w:tc>
          <w:tcPr>
            <w:tcW w:w="5009"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28E169E0" w14:textId="77777777" w:rsidR="008544F1" w:rsidRPr="00887119" w:rsidRDefault="008544F1" w:rsidP="00ED53E5">
            <w:pPr>
              <w:jc w:val="left"/>
              <w:rPr>
                <w:rFonts w:cs="Arial"/>
                <w:sz w:val="18"/>
                <w:szCs w:val="18"/>
              </w:rPr>
            </w:pPr>
            <w:r w:rsidRPr="00887119">
              <w:rPr>
                <w:rFonts w:eastAsia="Arial" w:cs="Arial"/>
                <w:sz w:val="18"/>
                <w:szCs w:val="18"/>
              </w:rPr>
              <w:t>Flexible annual infrastructure funding across 19 project categories</w:t>
            </w:r>
          </w:p>
        </w:tc>
      </w:tr>
      <w:tr w:rsidR="008544F1" w:rsidRPr="00887119" w14:paraId="78F796AA"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35D947BF" w14:textId="77777777" w:rsidR="008544F1" w:rsidRPr="00887119" w:rsidRDefault="008544F1" w:rsidP="00ED53E5">
            <w:pPr>
              <w:jc w:val="left"/>
              <w:rPr>
                <w:rFonts w:cs="Arial"/>
                <w:sz w:val="18"/>
                <w:szCs w:val="18"/>
              </w:rPr>
            </w:pPr>
            <w:r w:rsidRPr="00887119">
              <w:rPr>
                <w:rFonts w:eastAsia="Arial" w:cs="Arial"/>
                <w:sz w:val="18"/>
                <w:szCs w:val="18"/>
              </w:rPr>
              <w:t>Affordable Housing Fund (AHF)</w:t>
            </w:r>
          </w:p>
        </w:tc>
        <w:tc>
          <w:tcPr>
            <w:tcW w:w="197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6BA228F3" w14:textId="77777777" w:rsidR="008544F1" w:rsidRPr="00887119" w:rsidRDefault="008544F1" w:rsidP="00ED53E5">
            <w:pPr>
              <w:jc w:val="left"/>
              <w:rPr>
                <w:rFonts w:cs="Arial"/>
                <w:sz w:val="18"/>
                <w:szCs w:val="18"/>
              </w:rPr>
            </w:pPr>
            <w:r w:rsidRPr="00887119">
              <w:rPr>
                <w:rFonts w:eastAsia="Arial" w:cs="Arial"/>
                <w:sz w:val="18"/>
                <w:szCs w:val="18"/>
              </w:rPr>
              <w:t>Federal (CMHC)</w:t>
            </w:r>
          </w:p>
        </w:tc>
        <w:tc>
          <w:tcPr>
            <w:tcW w:w="5009"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61C2605C" w14:textId="77777777" w:rsidR="008544F1" w:rsidRPr="00887119" w:rsidRDefault="008544F1" w:rsidP="00ED53E5">
            <w:pPr>
              <w:jc w:val="left"/>
              <w:rPr>
                <w:rFonts w:cs="Arial"/>
                <w:sz w:val="18"/>
                <w:szCs w:val="18"/>
              </w:rPr>
            </w:pPr>
            <w:r w:rsidRPr="00887119">
              <w:rPr>
                <w:rFonts w:eastAsia="Arial" w:cs="Arial"/>
                <w:sz w:val="18"/>
                <w:szCs w:val="18"/>
              </w:rPr>
              <w:t>Low-interest and forgivable loans for construction, repair, and acquisition of affordable housing</w:t>
            </w:r>
          </w:p>
        </w:tc>
      </w:tr>
      <w:tr w:rsidR="008544F1" w:rsidRPr="00887119" w14:paraId="1C31AF01"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4D5BF184" w14:textId="77777777" w:rsidR="008544F1" w:rsidRPr="00887119" w:rsidRDefault="008544F1" w:rsidP="00ED53E5">
            <w:pPr>
              <w:jc w:val="left"/>
              <w:rPr>
                <w:rFonts w:cs="Arial"/>
                <w:sz w:val="18"/>
                <w:szCs w:val="18"/>
              </w:rPr>
            </w:pPr>
            <w:r w:rsidRPr="00887119">
              <w:rPr>
                <w:rFonts w:eastAsia="Arial" w:cs="Arial"/>
                <w:sz w:val="18"/>
                <w:szCs w:val="18"/>
              </w:rPr>
              <w:t>Apartment Construction Loan Program (ACLP)</w:t>
            </w:r>
          </w:p>
        </w:tc>
        <w:tc>
          <w:tcPr>
            <w:tcW w:w="1975"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5B4D353C" w14:textId="77777777" w:rsidR="008544F1" w:rsidRPr="00887119" w:rsidRDefault="008544F1" w:rsidP="00ED53E5">
            <w:pPr>
              <w:jc w:val="left"/>
              <w:rPr>
                <w:rFonts w:cs="Arial"/>
                <w:sz w:val="18"/>
                <w:szCs w:val="18"/>
              </w:rPr>
            </w:pPr>
            <w:r w:rsidRPr="00887119">
              <w:rPr>
                <w:rFonts w:eastAsia="Arial" w:cs="Arial"/>
                <w:sz w:val="18"/>
                <w:szCs w:val="18"/>
              </w:rPr>
              <w:t>Federal (CMHC)</w:t>
            </w:r>
          </w:p>
        </w:tc>
        <w:tc>
          <w:tcPr>
            <w:tcW w:w="5009"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6D16BBDB" w14:textId="77777777" w:rsidR="008544F1" w:rsidRPr="00887119" w:rsidRDefault="008544F1" w:rsidP="00ED53E5">
            <w:pPr>
              <w:jc w:val="left"/>
              <w:rPr>
                <w:rFonts w:cs="Arial"/>
                <w:sz w:val="18"/>
                <w:szCs w:val="18"/>
              </w:rPr>
            </w:pPr>
            <w:r w:rsidRPr="00887119">
              <w:rPr>
                <w:rFonts w:eastAsia="Arial" w:cs="Arial"/>
                <w:sz w:val="18"/>
                <w:szCs w:val="18"/>
              </w:rPr>
              <w:t>Low-cost repayable loans for purpose-built rental construction</w:t>
            </w:r>
          </w:p>
        </w:tc>
      </w:tr>
      <w:tr w:rsidR="001B0763" w:rsidRPr="00887119" w14:paraId="73C1B768"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0A8C9DD0" w14:textId="22B8E57F" w:rsidR="001B0763" w:rsidRPr="00887119" w:rsidRDefault="001B0763" w:rsidP="001B0763">
            <w:pPr>
              <w:jc w:val="left"/>
              <w:rPr>
                <w:rFonts w:eastAsia="Arial" w:cs="Arial"/>
                <w:sz w:val="18"/>
                <w:szCs w:val="18"/>
              </w:rPr>
            </w:pPr>
            <w:r>
              <w:rPr>
                <w:rFonts w:eastAsia="Arial" w:cs="Arial"/>
                <w:sz w:val="18"/>
                <w:szCs w:val="18"/>
              </w:rPr>
              <w:t xml:space="preserve">Co-op Housing Development Program </w:t>
            </w:r>
            <w:r w:rsidRPr="005424FE">
              <w:rPr>
                <w:rFonts w:cs="Arial"/>
                <w:sz w:val="18"/>
                <w:szCs w:val="20"/>
                <w:vertAlign w:val="superscript"/>
              </w:rPr>
              <w:t>†</w:t>
            </w:r>
          </w:p>
        </w:tc>
        <w:tc>
          <w:tcPr>
            <w:tcW w:w="197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4F8EDD8C" w14:textId="538B149F" w:rsidR="001B0763" w:rsidRPr="00887119" w:rsidRDefault="001B0763" w:rsidP="001B0763">
            <w:pPr>
              <w:jc w:val="left"/>
              <w:rPr>
                <w:rFonts w:eastAsia="Arial" w:cs="Arial"/>
                <w:sz w:val="18"/>
                <w:szCs w:val="18"/>
              </w:rPr>
            </w:pPr>
            <w:r>
              <w:rPr>
                <w:rFonts w:eastAsia="Arial" w:cs="Arial"/>
                <w:sz w:val="18"/>
                <w:szCs w:val="18"/>
              </w:rPr>
              <w:t>Federal (CMHC)</w:t>
            </w:r>
          </w:p>
        </w:tc>
        <w:tc>
          <w:tcPr>
            <w:tcW w:w="5009"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514C3608" w14:textId="19A2E7CA" w:rsidR="001B0763" w:rsidRPr="00887119" w:rsidRDefault="001B0763" w:rsidP="001B0763">
            <w:pPr>
              <w:jc w:val="left"/>
              <w:rPr>
                <w:rFonts w:eastAsia="Arial" w:cs="Arial"/>
                <w:sz w:val="18"/>
                <w:szCs w:val="18"/>
              </w:rPr>
            </w:pPr>
            <w:r w:rsidRPr="00D34BF5">
              <w:rPr>
                <w:rFonts w:eastAsia="Arial" w:cs="Arial"/>
                <w:sz w:val="18"/>
                <w:szCs w:val="18"/>
              </w:rPr>
              <w:t>Access forgivable loans along with low-interest repayable loans to build rental co-operative housing. This program supports a new generation of non-profit co-operative housing.</w:t>
            </w:r>
          </w:p>
        </w:tc>
      </w:tr>
      <w:tr w:rsidR="008544F1" w:rsidRPr="00887119" w14:paraId="0F1A5B72"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39138950" w14:textId="77777777" w:rsidR="008544F1" w:rsidRPr="00887119" w:rsidRDefault="008544F1" w:rsidP="00ED53E5">
            <w:pPr>
              <w:jc w:val="left"/>
              <w:rPr>
                <w:rFonts w:cs="Arial"/>
                <w:sz w:val="18"/>
                <w:szCs w:val="18"/>
              </w:rPr>
            </w:pPr>
            <w:r w:rsidRPr="00887119">
              <w:rPr>
                <w:rFonts w:eastAsia="Arial" w:cs="Arial"/>
                <w:sz w:val="18"/>
                <w:szCs w:val="18"/>
              </w:rPr>
              <w:t>Housing Accelerator Fund (HAF)</w:t>
            </w:r>
          </w:p>
        </w:tc>
        <w:tc>
          <w:tcPr>
            <w:tcW w:w="1975"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3D8794A2" w14:textId="77777777" w:rsidR="008544F1" w:rsidRPr="00887119" w:rsidRDefault="008544F1" w:rsidP="00ED53E5">
            <w:pPr>
              <w:jc w:val="left"/>
              <w:rPr>
                <w:rFonts w:cs="Arial"/>
                <w:sz w:val="18"/>
                <w:szCs w:val="18"/>
              </w:rPr>
            </w:pPr>
            <w:r w:rsidRPr="00887119">
              <w:rPr>
                <w:rFonts w:eastAsia="Arial" w:cs="Arial"/>
                <w:sz w:val="18"/>
                <w:szCs w:val="18"/>
              </w:rPr>
              <w:t>Federal (CMHC)</w:t>
            </w:r>
          </w:p>
        </w:tc>
        <w:tc>
          <w:tcPr>
            <w:tcW w:w="5009"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4F1260DA" w14:textId="77777777" w:rsidR="008544F1" w:rsidRPr="00887119" w:rsidRDefault="008544F1" w:rsidP="00ED53E5">
            <w:pPr>
              <w:jc w:val="left"/>
              <w:rPr>
                <w:rFonts w:cs="Arial"/>
                <w:sz w:val="18"/>
                <w:szCs w:val="18"/>
              </w:rPr>
            </w:pPr>
            <w:r w:rsidRPr="00887119">
              <w:rPr>
                <w:rFonts w:eastAsia="Arial" w:cs="Arial"/>
                <w:sz w:val="18"/>
                <w:szCs w:val="18"/>
              </w:rPr>
              <w:t>Incentive funding to municipalities in exchange for zoning and regulatory reforms</w:t>
            </w:r>
          </w:p>
        </w:tc>
      </w:tr>
      <w:tr w:rsidR="008544F1" w:rsidRPr="00887119" w14:paraId="7EB3E27F"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0132EC80" w14:textId="77777777" w:rsidR="008544F1" w:rsidRPr="00887119" w:rsidRDefault="008544F1" w:rsidP="00ED53E5">
            <w:pPr>
              <w:jc w:val="left"/>
              <w:rPr>
                <w:rFonts w:cs="Arial"/>
                <w:sz w:val="18"/>
                <w:szCs w:val="18"/>
              </w:rPr>
            </w:pPr>
            <w:r w:rsidRPr="00887119">
              <w:rPr>
                <w:rFonts w:eastAsia="Arial" w:cs="Arial"/>
                <w:sz w:val="18"/>
                <w:szCs w:val="18"/>
              </w:rPr>
              <w:lastRenderedPageBreak/>
              <w:t>CMHC Seed Funding †</w:t>
            </w:r>
          </w:p>
        </w:tc>
        <w:tc>
          <w:tcPr>
            <w:tcW w:w="197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19A793F0" w14:textId="77777777" w:rsidR="008544F1" w:rsidRPr="00887119" w:rsidRDefault="008544F1" w:rsidP="00ED53E5">
            <w:pPr>
              <w:jc w:val="left"/>
              <w:rPr>
                <w:rFonts w:cs="Arial"/>
                <w:sz w:val="18"/>
                <w:szCs w:val="18"/>
              </w:rPr>
            </w:pPr>
            <w:r w:rsidRPr="00887119">
              <w:rPr>
                <w:rFonts w:eastAsia="Arial" w:cs="Arial"/>
                <w:sz w:val="18"/>
                <w:szCs w:val="18"/>
              </w:rPr>
              <w:t>Federal (CMHC)</w:t>
            </w:r>
          </w:p>
        </w:tc>
        <w:tc>
          <w:tcPr>
            <w:tcW w:w="5009"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40BBC651" w14:textId="77777777" w:rsidR="008544F1" w:rsidRPr="00887119" w:rsidRDefault="008544F1" w:rsidP="00ED53E5">
            <w:pPr>
              <w:jc w:val="left"/>
              <w:rPr>
                <w:rFonts w:cs="Arial"/>
                <w:sz w:val="18"/>
                <w:szCs w:val="18"/>
              </w:rPr>
            </w:pPr>
            <w:r w:rsidRPr="00887119">
              <w:rPr>
                <w:rFonts w:eastAsia="Arial" w:cs="Arial"/>
                <w:sz w:val="18"/>
                <w:szCs w:val="18"/>
              </w:rPr>
              <w:t>Interest-free loans and contributions for early-stage affordable housing project development. Program is now closed.</w:t>
            </w:r>
            <w:r w:rsidRPr="00887119">
              <w:rPr>
                <w:rStyle w:val="FootnoteReference"/>
                <w:rFonts w:cs="Arial"/>
                <w:sz w:val="18"/>
                <w:szCs w:val="18"/>
              </w:rPr>
              <w:footnoteReference w:id="21"/>
            </w:r>
          </w:p>
        </w:tc>
      </w:tr>
      <w:tr w:rsidR="008544F1" w:rsidRPr="00887119" w14:paraId="637A6F2E"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56051081"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Affordable Housing Development Program (AHDP)</w:t>
            </w:r>
          </w:p>
        </w:tc>
        <w:tc>
          <w:tcPr>
            <w:tcW w:w="1975"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1B571422" w14:textId="3CB82D56" w:rsidR="008544F1" w:rsidRPr="000D2EE8" w:rsidRDefault="008544F1" w:rsidP="00ED53E5">
            <w:pPr>
              <w:jc w:val="left"/>
              <w:rPr>
                <w:rFonts w:cs="Arial"/>
                <w:color w:val="C00000"/>
                <w:sz w:val="18"/>
                <w:szCs w:val="18"/>
              </w:rPr>
            </w:pPr>
            <w:r w:rsidRPr="000D2EE8">
              <w:rPr>
                <w:rFonts w:eastAsia="Arial" w:cs="Arial"/>
                <w:color w:val="C00000"/>
                <w:sz w:val="18"/>
                <w:szCs w:val="18"/>
              </w:rPr>
              <w:t>Provincial (</w:t>
            </w:r>
            <w:r w:rsidR="00402288" w:rsidRPr="000D2EE8">
              <w:rPr>
                <w:rFonts w:eastAsia="Arial" w:cs="Arial"/>
                <w:color w:val="C00000"/>
                <w:sz w:val="18"/>
                <w:szCs w:val="18"/>
              </w:rPr>
              <w:t>PEI</w:t>
            </w:r>
            <w:r w:rsidRPr="000D2EE8">
              <w:rPr>
                <w:rFonts w:eastAsia="Arial" w:cs="Arial"/>
                <w:color w:val="C00000"/>
                <w:sz w:val="18"/>
                <w:szCs w:val="18"/>
              </w:rPr>
              <w:t>HC)</w:t>
            </w:r>
          </w:p>
        </w:tc>
        <w:tc>
          <w:tcPr>
            <w:tcW w:w="5009"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4623B8EE" w14:textId="5A73570A" w:rsidR="008544F1" w:rsidRPr="000D2EE8" w:rsidRDefault="008544F1" w:rsidP="00ED53E5">
            <w:pPr>
              <w:jc w:val="left"/>
              <w:rPr>
                <w:rFonts w:cs="Arial"/>
                <w:color w:val="C00000"/>
                <w:sz w:val="18"/>
                <w:szCs w:val="18"/>
              </w:rPr>
            </w:pPr>
            <w:r w:rsidRPr="000D2EE8">
              <w:rPr>
                <w:rFonts w:eastAsia="Arial" w:cs="Arial"/>
                <w:color w:val="C00000"/>
                <w:sz w:val="18"/>
                <w:szCs w:val="18"/>
              </w:rPr>
              <w:t>Forgivable loans of up to $55,000/unit for new affordable rental units.</w:t>
            </w:r>
          </w:p>
        </w:tc>
      </w:tr>
      <w:tr w:rsidR="008544F1" w:rsidRPr="00887119" w14:paraId="4DB23A9A"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6B08270D"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Municipal Infrastructure Fund (MIF)</w:t>
            </w:r>
          </w:p>
        </w:tc>
        <w:tc>
          <w:tcPr>
            <w:tcW w:w="197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32CF1AC7"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Provincial</w:t>
            </w:r>
          </w:p>
        </w:tc>
        <w:tc>
          <w:tcPr>
            <w:tcW w:w="5009"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00D3856C" w14:textId="46BFA924" w:rsidR="008544F1" w:rsidRPr="000D2EE8" w:rsidRDefault="008544F1" w:rsidP="00ED53E5">
            <w:pPr>
              <w:jc w:val="left"/>
              <w:rPr>
                <w:rFonts w:cs="Arial"/>
                <w:color w:val="C00000"/>
                <w:sz w:val="18"/>
                <w:szCs w:val="18"/>
              </w:rPr>
            </w:pPr>
            <w:r w:rsidRPr="000D2EE8">
              <w:rPr>
                <w:rFonts w:eastAsia="Arial" w:cs="Arial"/>
                <w:color w:val="C00000"/>
                <w:sz w:val="18"/>
                <w:szCs w:val="18"/>
              </w:rPr>
              <w:t>Grants to extend municipal water, sewer, and road infrastructure in rural municipalities to enable subdivision development.</w:t>
            </w:r>
          </w:p>
        </w:tc>
      </w:tr>
      <w:tr w:rsidR="008544F1" w:rsidRPr="00887119" w14:paraId="025F76EB"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497F12E4"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Community Housing Expansion Pilot (CHEP) ‡</w:t>
            </w:r>
          </w:p>
        </w:tc>
        <w:tc>
          <w:tcPr>
            <w:tcW w:w="1975"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2B049E2E" w14:textId="7B46B816" w:rsidR="008544F1" w:rsidRPr="000D2EE8" w:rsidRDefault="008544F1" w:rsidP="00ED53E5">
            <w:pPr>
              <w:jc w:val="left"/>
              <w:rPr>
                <w:rFonts w:cs="Arial"/>
                <w:color w:val="C00000"/>
                <w:sz w:val="18"/>
                <w:szCs w:val="18"/>
              </w:rPr>
            </w:pPr>
            <w:r w:rsidRPr="000D2EE8">
              <w:rPr>
                <w:rFonts w:eastAsia="Arial" w:cs="Arial"/>
                <w:color w:val="C00000"/>
                <w:sz w:val="18"/>
                <w:szCs w:val="18"/>
              </w:rPr>
              <w:t>Provincial (</w:t>
            </w:r>
            <w:r w:rsidR="00402288" w:rsidRPr="000D2EE8">
              <w:rPr>
                <w:rFonts w:eastAsia="Arial" w:cs="Arial"/>
                <w:color w:val="C00000"/>
                <w:sz w:val="18"/>
                <w:szCs w:val="18"/>
              </w:rPr>
              <w:t>PEI</w:t>
            </w:r>
            <w:r w:rsidRPr="000D2EE8">
              <w:rPr>
                <w:rFonts w:eastAsia="Arial" w:cs="Arial"/>
                <w:color w:val="C00000"/>
                <w:sz w:val="18"/>
                <w:szCs w:val="18"/>
              </w:rPr>
              <w:t>HC)</w:t>
            </w:r>
          </w:p>
        </w:tc>
        <w:tc>
          <w:tcPr>
            <w:tcW w:w="5009"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6D416F80" w14:textId="064C4E79" w:rsidR="008544F1" w:rsidRPr="000D2EE8" w:rsidRDefault="008544F1" w:rsidP="00ED53E5">
            <w:pPr>
              <w:jc w:val="left"/>
              <w:rPr>
                <w:rFonts w:cs="Arial"/>
                <w:color w:val="C00000"/>
                <w:sz w:val="18"/>
                <w:szCs w:val="18"/>
              </w:rPr>
            </w:pPr>
            <w:r w:rsidRPr="000D2EE8">
              <w:rPr>
                <w:rFonts w:eastAsia="Arial" w:cs="Arial"/>
                <w:color w:val="C00000"/>
                <w:sz w:val="18"/>
                <w:szCs w:val="18"/>
              </w:rPr>
              <w:t>Capacity building and funding for non-profit and co-op organizations to acquire and develop affordable units. Paused as of early 2026.</w:t>
            </w:r>
          </w:p>
        </w:tc>
      </w:tr>
      <w:tr w:rsidR="008544F1" w:rsidRPr="00887119" w14:paraId="1AEB69EC"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2361BAC3"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Subdivision Financing Development Program</w:t>
            </w:r>
          </w:p>
        </w:tc>
        <w:tc>
          <w:tcPr>
            <w:tcW w:w="197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774696D1"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Provincial</w:t>
            </w:r>
          </w:p>
        </w:tc>
        <w:tc>
          <w:tcPr>
            <w:tcW w:w="5009"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3A424204" w14:textId="311EFF2D" w:rsidR="008544F1" w:rsidRPr="000D2EE8" w:rsidRDefault="008544F1" w:rsidP="00ED53E5">
            <w:pPr>
              <w:jc w:val="left"/>
              <w:rPr>
                <w:rFonts w:cs="Arial"/>
                <w:color w:val="C00000"/>
                <w:sz w:val="18"/>
                <w:szCs w:val="18"/>
              </w:rPr>
            </w:pPr>
            <w:r w:rsidRPr="000D2EE8">
              <w:rPr>
                <w:rFonts w:eastAsia="Arial" w:cs="Arial"/>
                <w:color w:val="C00000"/>
                <w:sz w:val="18"/>
                <w:szCs w:val="18"/>
              </w:rPr>
              <w:t>Support for multi-unit residential development feasibility.</w:t>
            </w:r>
          </w:p>
        </w:tc>
      </w:tr>
      <w:tr w:rsidR="008544F1" w:rsidRPr="00887119" w14:paraId="479374A6"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544B4DBD"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Down Payment Assistance Program</w:t>
            </w:r>
          </w:p>
        </w:tc>
        <w:tc>
          <w:tcPr>
            <w:tcW w:w="1975"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67F21EAE" w14:textId="22FCD702" w:rsidR="008544F1" w:rsidRPr="000D2EE8" w:rsidRDefault="008544F1" w:rsidP="00ED53E5">
            <w:pPr>
              <w:jc w:val="left"/>
              <w:rPr>
                <w:rFonts w:cs="Arial"/>
                <w:color w:val="C00000"/>
                <w:sz w:val="18"/>
                <w:szCs w:val="18"/>
              </w:rPr>
            </w:pPr>
            <w:r w:rsidRPr="000D2EE8">
              <w:rPr>
                <w:rFonts w:eastAsia="Arial" w:cs="Arial"/>
                <w:color w:val="C00000"/>
                <w:sz w:val="18"/>
                <w:szCs w:val="18"/>
              </w:rPr>
              <w:t xml:space="preserve">Provincial (Finance </w:t>
            </w:r>
            <w:r w:rsidR="00402288" w:rsidRPr="000D2EE8">
              <w:rPr>
                <w:rFonts w:eastAsia="Arial" w:cs="Arial"/>
                <w:color w:val="C00000"/>
                <w:sz w:val="18"/>
                <w:szCs w:val="18"/>
              </w:rPr>
              <w:t>PEI</w:t>
            </w:r>
            <w:r w:rsidRPr="000D2EE8">
              <w:rPr>
                <w:rFonts w:eastAsia="Arial" w:cs="Arial"/>
                <w:color w:val="C00000"/>
                <w:sz w:val="18"/>
                <w:szCs w:val="18"/>
              </w:rPr>
              <w:t>)</w:t>
            </w:r>
          </w:p>
        </w:tc>
        <w:tc>
          <w:tcPr>
            <w:tcW w:w="5009"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001BDA54"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Assistance to first-time buyers with down payment costs</w:t>
            </w:r>
          </w:p>
        </w:tc>
      </w:tr>
      <w:tr w:rsidR="008544F1" w:rsidRPr="00887119" w14:paraId="64F53B24"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7EEEDD9E"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Closing Cost Support Program</w:t>
            </w:r>
          </w:p>
        </w:tc>
        <w:tc>
          <w:tcPr>
            <w:tcW w:w="1975" w:type="dxa"/>
            <w:tcBorders>
              <w:top w:val="single" w:sz="4" w:space="0" w:color="CCCCCC"/>
              <w:left w:val="single" w:sz="4" w:space="0" w:color="auto"/>
              <w:bottom w:val="single" w:sz="4" w:space="0" w:color="CCCCCC"/>
              <w:right w:val="single" w:sz="4" w:space="0" w:color="CCCCCC"/>
            </w:tcBorders>
            <w:shd w:val="clear" w:color="auto" w:fill="F2F2F2" w:themeFill="background1" w:themeFillShade="F2"/>
            <w:tcMar>
              <w:top w:w="80" w:type="dxa"/>
              <w:left w:w="120" w:type="dxa"/>
              <w:bottom w:w="80" w:type="dxa"/>
              <w:right w:w="120" w:type="dxa"/>
            </w:tcMar>
            <w:vAlign w:val="center"/>
          </w:tcPr>
          <w:p w14:paraId="2CB8F268" w14:textId="6AC537C6" w:rsidR="008544F1" w:rsidRPr="000D2EE8" w:rsidRDefault="008544F1" w:rsidP="00ED53E5">
            <w:pPr>
              <w:jc w:val="left"/>
              <w:rPr>
                <w:rFonts w:cs="Arial"/>
                <w:color w:val="C00000"/>
                <w:sz w:val="18"/>
                <w:szCs w:val="18"/>
              </w:rPr>
            </w:pPr>
            <w:r w:rsidRPr="000D2EE8">
              <w:rPr>
                <w:rFonts w:eastAsia="Arial" w:cs="Arial"/>
                <w:color w:val="C00000"/>
                <w:sz w:val="18"/>
                <w:szCs w:val="18"/>
              </w:rPr>
              <w:t>Provincial (</w:t>
            </w:r>
            <w:r w:rsidR="00402288" w:rsidRPr="000D2EE8">
              <w:rPr>
                <w:rFonts w:eastAsia="Arial" w:cs="Arial"/>
                <w:color w:val="C00000"/>
                <w:sz w:val="18"/>
                <w:szCs w:val="18"/>
              </w:rPr>
              <w:t>PEI</w:t>
            </w:r>
            <w:r w:rsidRPr="000D2EE8">
              <w:rPr>
                <w:rFonts w:eastAsia="Arial" w:cs="Arial"/>
                <w:color w:val="C00000"/>
                <w:sz w:val="18"/>
                <w:szCs w:val="18"/>
              </w:rPr>
              <w:t>HC)</w:t>
            </w:r>
          </w:p>
        </w:tc>
        <w:tc>
          <w:tcPr>
            <w:tcW w:w="5009" w:type="dxa"/>
            <w:tcBorders>
              <w:top w:val="single" w:sz="4" w:space="0" w:color="CCCCCC"/>
              <w:left w:val="single" w:sz="4" w:space="0" w:color="auto"/>
              <w:bottom w:val="single" w:sz="4" w:space="0" w:color="CCCCCC"/>
              <w:right w:val="single" w:sz="4" w:space="0" w:color="auto"/>
            </w:tcBorders>
            <w:shd w:val="clear" w:color="auto" w:fill="F2F2F2" w:themeFill="background1" w:themeFillShade="F2"/>
            <w:tcMar>
              <w:top w:w="80" w:type="dxa"/>
              <w:left w:w="120" w:type="dxa"/>
              <w:bottom w:w="80" w:type="dxa"/>
              <w:right w:w="120" w:type="dxa"/>
            </w:tcMar>
            <w:vAlign w:val="center"/>
          </w:tcPr>
          <w:p w14:paraId="609F93C8"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Assistance to first-time buyers with closing costs</w:t>
            </w:r>
          </w:p>
        </w:tc>
      </w:tr>
      <w:tr w:rsidR="008544F1" w:rsidRPr="00887119" w14:paraId="76B73F04" w14:textId="77777777" w:rsidTr="0080192A">
        <w:tc>
          <w:tcPr>
            <w:tcW w:w="2371"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2EEACBF7"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Rent-to-Own Pilot Program</w:t>
            </w:r>
          </w:p>
        </w:tc>
        <w:tc>
          <w:tcPr>
            <w:tcW w:w="1975" w:type="dxa"/>
            <w:tcBorders>
              <w:top w:val="single" w:sz="4" w:space="0" w:color="CCCCCC"/>
              <w:left w:val="single" w:sz="4" w:space="0" w:color="auto"/>
              <w:bottom w:val="single" w:sz="4" w:space="0" w:color="CCCCCC"/>
              <w:right w:val="single" w:sz="4" w:space="0" w:color="CCCCCC"/>
            </w:tcBorders>
            <w:shd w:val="clear" w:color="auto" w:fill="FFFFFF" w:themeFill="background1"/>
            <w:tcMar>
              <w:top w:w="80" w:type="dxa"/>
              <w:left w:w="120" w:type="dxa"/>
              <w:bottom w:w="80" w:type="dxa"/>
              <w:right w:w="120" w:type="dxa"/>
            </w:tcMar>
            <w:vAlign w:val="center"/>
          </w:tcPr>
          <w:p w14:paraId="009F8E30" w14:textId="43FB52CA" w:rsidR="008544F1" w:rsidRPr="000D2EE8" w:rsidRDefault="008544F1" w:rsidP="00ED53E5">
            <w:pPr>
              <w:jc w:val="left"/>
              <w:rPr>
                <w:rFonts w:cs="Arial"/>
                <w:color w:val="C00000"/>
                <w:sz w:val="18"/>
                <w:szCs w:val="18"/>
              </w:rPr>
            </w:pPr>
            <w:r w:rsidRPr="000D2EE8">
              <w:rPr>
                <w:rFonts w:eastAsia="Arial" w:cs="Arial"/>
                <w:color w:val="C00000"/>
                <w:sz w:val="18"/>
                <w:szCs w:val="18"/>
              </w:rPr>
              <w:t xml:space="preserve">Provincial (Finance </w:t>
            </w:r>
            <w:r w:rsidR="00402288" w:rsidRPr="000D2EE8">
              <w:rPr>
                <w:rFonts w:eastAsia="Arial" w:cs="Arial"/>
                <w:color w:val="C00000"/>
                <w:sz w:val="18"/>
                <w:szCs w:val="18"/>
              </w:rPr>
              <w:t>PEI</w:t>
            </w:r>
            <w:r w:rsidRPr="000D2EE8">
              <w:rPr>
                <w:rFonts w:eastAsia="Arial" w:cs="Arial"/>
                <w:color w:val="C00000"/>
                <w:sz w:val="18"/>
                <w:szCs w:val="18"/>
              </w:rPr>
              <w:t>)</w:t>
            </w:r>
          </w:p>
        </w:tc>
        <w:tc>
          <w:tcPr>
            <w:tcW w:w="5009" w:type="dxa"/>
            <w:tcBorders>
              <w:top w:val="single" w:sz="4" w:space="0" w:color="CCCCCC"/>
              <w:left w:val="single" w:sz="4" w:space="0" w:color="auto"/>
              <w:bottom w:val="single" w:sz="4" w:space="0" w:color="CCCCCC"/>
              <w:right w:val="single" w:sz="4" w:space="0" w:color="auto"/>
            </w:tcBorders>
            <w:shd w:val="clear" w:color="auto" w:fill="FFFFFF" w:themeFill="background1"/>
            <w:tcMar>
              <w:top w:w="80" w:type="dxa"/>
              <w:left w:w="120" w:type="dxa"/>
              <w:bottom w:w="80" w:type="dxa"/>
              <w:right w:w="120" w:type="dxa"/>
            </w:tcMar>
            <w:vAlign w:val="center"/>
          </w:tcPr>
          <w:p w14:paraId="1FDCDA81"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Pathway to ownership for households unable to access conventional mortgage financing</w:t>
            </w:r>
          </w:p>
        </w:tc>
      </w:tr>
      <w:tr w:rsidR="008544F1" w:rsidRPr="00887119" w14:paraId="0C6566B5" w14:textId="77777777" w:rsidTr="0080192A">
        <w:tc>
          <w:tcPr>
            <w:tcW w:w="2371" w:type="dxa"/>
            <w:tcBorders>
              <w:top w:val="single" w:sz="4" w:space="0" w:color="CCCCCC"/>
              <w:left w:val="single" w:sz="4" w:space="0" w:color="auto"/>
              <w:bottom w:val="single" w:sz="4" w:space="0" w:color="auto"/>
              <w:right w:val="single" w:sz="4" w:space="0" w:color="auto"/>
            </w:tcBorders>
            <w:shd w:val="clear" w:color="auto" w:fill="F2F2F2" w:themeFill="background1" w:themeFillShade="F2"/>
            <w:tcMar>
              <w:top w:w="80" w:type="dxa"/>
              <w:left w:w="120" w:type="dxa"/>
              <w:bottom w:w="80" w:type="dxa"/>
              <w:right w:w="120" w:type="dxa"/>
            </w:tcMar>
            <w:vAlign w:val="center"/>
          </w:tcPr>
          <w:p w14:paraId="6EF96730" w14:textId="79EF249C" w:rsidR="008544F1" w:rsidRPr="000D2EE8" w:rsidRDefault="008544F1" w:rsidP="00ED53E5">
            <w:pPr>
              <w:jc w:val="left"/>
              <w:rPr>
                <w:rFonts w:cs="Arial"/>
                <w:color w:val="C00000"/>
                <w:sz w:val="18"/>
                <w:szCs w:val="18"/>
              </w:rPr>
            </w:pPr>
            <w:r w:rsidRPr="000D2EE8">
              <w:rPr>
                <w:rFonts w:eastAsia="Arial" w:cs="Arial"/>
                <w:color w:val="C00000"/>
                <w:sz w:val="18"/>
                <w:szCs w:val="18"/>
              </w:rPr>
              <w:t>Canada-</w:t>
            </w:r>
            <w:r w:rsidR="00402288" w:rsidRPr="000D2EE8">
              <w:rPr>
                <w:rFonts w:eastAsia="Arial" w:cs="Arial"/>
                <w:color w:val="C00000"/>
                <w:sz w:val="18"/>
                <w:szCs w:val="18"/>
              </w:rPr>
              <w:t>PEI</w:t>
            </w:r>
            <w:r w:rsidRPr="000D2EE8">
              <w:rPr>
                <w:rFonts w:eastAsia="Arial" w:cs="Arial"/>
                <w:color w:val="C00000"/>
                <w:sz w:val="18"/>
                <w:szCs w:val="18"/>
              </w:rPr>
              <w:t xml:space="preserve"> Housing Benefit</w:t>
            </w:r>
          </w:p>
        </w:tc>
        <w:tc>
          <w:tcPr>
            <w:tcW w:w="1975" w:type="dxa"/>
            <w:tcBorders>
              <w:top w:val="single" w:sz="4" w:space="0" w:color="CCCCCC"/>
              <w:left w:val="single" w:sz="4" w:space="0" w:color="auto"/>
              <w:bottom w:val="single" w:sz="4" w:space="0" w:color="auto"/>
              <w:right w:val="single" w:sz="4" w:space="0" w:color="CCCCCC"/>
            </w:tcBorders>
            <w:shd w:val="clear" w:color="auto" w:fill="F2F2F2" w:themeFill="background1" w:themeFillShade="F2"/>
            <w:tcMar>
              <w:top w:w="80" w:type="dxa"/>
              <w:left w:w="120" w:type="dxa"/>
              <w:bottom w:w="80" w:type="dxa"/>
              <w:right w:w="120" w:type="dxa"/>
            </w:tcMar>
            <w:vAlign w:val="center"/>
          </w:tcPr>
          <w:p w14:paraId="70F87FDD" w14:textId="021C7CA6" w:rsidR="008544F1" w:rsidRPr="000D2EE8" w:rsidRDefault="008544F1" w:rsidP="00ED53E5">
            <w:pPr>
              <w:jc w:val="left"/>
              <w:rPr>
                <w:rFonts w:cs="Arial"/>
                <w:color w:val="C00000"/>
                <w:sz w:val="18"/>
                <w:szCs w:val="18"/>
              </w:rPr>
            </w:pPr>
            <w:r w:rsidRPr="000D2EE8">
              <w:rPr>
                <w:rFonts w:eastAsia="Arial" w:cs="Arial"/>
                <w:color w:val="C00000"/>
                <w:sz w:val="18"/>
                <w:szCs w:val="18"/>
              </w:rPr>
              <w:t>Federal-Provincial (</w:t>
            </w:r>
            <w:r w:rsidR="00402288" w:rsidRPr="000D2EE8">
              <w:rPr>
                <w:rFonts w:eastAsia="Arial" w:cs="Arial"/>
                <w:color w:val="C00000"/>
                <w:sz w:val="18"/>
                <w:szCs w:val="18"/>
              </w:rPr>
              <w:t>PEI</w:t>
            </w:r>
            <w:r w:rsidRPr="000D2EE8">
              <w:rPr>
                <w:rFonts w:eastAsia="Arial" w:cs="Arial"/>
                <w:color w:val="C00000"/>
                <w:sz w:val="18"/>
                <w:szCs w:val="18"/>
              </w:rPr>
              <w:t>HC)</w:t>
            </w:r>
          </w:p>
        </w:tc>
        <w:tc>
          <w:tcPr>
            <w:tcW w:w="5009" w:type="dxa"/>
            <w:tcBorders>
              <w:top w:val="single" w:sz="4" w:space="0" w:color="CCCCCC"/>
              <w:left w:val="single" w:sz="4" w:space="0" w:color="auto"/>
              <w:bottom w:val="single" w:sz="4" w:space="0" w:color="auto"/>
              <w:right w:val="single" w:sz="4" w:space="0" w:color="auto"/>
            </w:tcBorders>
            <w:shd w:val="clear" w:color="auto" w:fill="F2F2F2" w:themeFill="background1" w:themeFillShade="F2"/>
            <w:tcMar>
              <w:top w:w="80" w:type="dxa"/>
              <w:left w:w="120" w:type="dxa"/>
              <w:bottom w:w="80" w:type="dxa"/>
              <w:right w:w="120" w:type="dxa"/>
            </w:tcMar>
            <w:vAlign w:val="center"/>
          </w:tcPr>
          <w:p w14:paraId="3D6CA792" w14:textId="77777777" w:rsidR="008544F1" w:rsidRPr="000D2EE8" w:rsidRDefault="008544F1" w:rsidP="00ED53E5">
            <w:pPr>
              <w:jc w:val="left"/>
              <w:rPr>
                <w:rFonts w:cs="Arial"/>
                <w:color w:val="C00000"/>
                <w:sz w:val="18"/>
                <w:szCs w:val="18"/>
              </w:rPr>
            </w:pPr>
            <w:r w:rsidRPr="000D2EE8">
              <w:rPr>
                <w:rFonts w:eastAsia="Arial" w:cs="Arial"/>
                <w:color w:val="C00000"/>
                <w:sz w:val="18"/>
                <w:szCs w:val="18"/>
              </w:rPr>
              <w:t>Portable rent assistance for eligible low-income renter households under the NHS bilateral agreement.</w:t>
            </w:r>
            <w:r w:rsidRPr="000D2EE8">
              <w:rPr>
                <w:rStyle w:val="FootnoteReference"/>
                <w:rFonts w:cs="Arial"/>
                <w:color w:val="C00000"/>
                <w:sz w:val="18"/>
                <w:szCs w:val="18"/>
              </w:rPr>
              <w:footnoteReference w:id="22"/>
            </w:r>
          </w:p>
        </w:tc>
      </w:tr>
    </w:tbl>
    <w:p w14:paraId="0C46945D" w14:textId="1B1BBFEB" w:rsidR="008544F1" w:rsidRPr="00887119" w:rsidRDefault="00126355" w:rsidP="00126355">
      <w:pPr>
        <w:pStyle w:val="Source"/>
      </w:pPr>
      <w:r w:rsidRPr="00887119">
        <w:t>† Program closed.  ‡ Paused as of early 2026.</w:t>
      </w:r>
    </w:p>
    <w:p w14:paraId="1B8E7FAD" w14:textId="77777777" w:rsidR="00741C2A" w:rsidRPr="00887119" w:rsidRDefault="00741C2A" w:rsidP="002B6159"/>
    <w:p w14:paraId="4C84EFA3" w14:textId="2509032F" w:rsidR="00975FD3" w:rsidRPr="00887119" w:rsidRDefault="00EE226B" w:rsidP="002B6159">
      <w:r w:rsidRPr="00887119">
        <w:t>These programs play a key role in improving project feasibility and enabling affordable housing development</w:t>
      </w:r>
      <w:r w:rsidR="004F458F" w:rsidRPr="00887119">
        <w:t>;</w:t>
      </w:r>
      <w:r w:rsidRPr="00887119">
        <w:t xml:space="preserve"> particularly</w:t>
      </w:r>
      <w:r w:rsidR="004F458F" w:rsidRPr="00887119">
        <w:t>,</w:t>
      </w:r>
      <w:r w:rsidRPr="00887119">
        <w:t xml:space="preserve"> in markets where construction and land costs </w:t>
      </w:r>
      <w:r w:rsidR="00F417FB" w:rsidRPr="00887119">
        <w:t>are</w:t>
      </w:r>
      <w:r w:rsidRPr="00887119">
        <w:t xml:space="preserve"> barriers to delivery.</w:t>
      </w:r>
      <w:r w:rsidR="006114D7" w:rsidRPr="00887119">
        <w:t xml:space="preserve"> </w:t>
      </w:r>
    </w:p>
    <w:p w14:paraId="406A0ABA" w14:textId="77777777" w:rsidR="00D407DF" w:rsidRPr="00887119" w:rsidRDefault="00D407DF" w:rsidP="002B6159"/>
    <w:p w14:paraId="17374D58" w14:textId="58BA8E93" w:rsidR="006E034D" w:rsidRPr="00887119" w:rsidRDefault="006E034D" w:rsidP="00842B20">
      <w:pPr>
        <w:pStyle w:val="Heading2"/>
      </w:pPr>
      <w:bookmarkStart w:id="33" w:name="_Toc229051944"/>
      <w:bookmarkStart w:id="34" w:name="_Toc237957427"/>
      <w:r w:rsidRPr="00887119">
        <w:t>Municipal Planning Framework</w:t>
      </w:r>
      <w:bookmarkEnd w:id="33"/>
      <w:bookmarkEnd w:id="34"/>
    </w:p>
    <w:p w14:paraId="44354480" w14:textId="1FC57B4E" w:rsidR="00E801C7" w:rsidRPr="000D2EE8" w:rsidRDefault="00E801C7" w:rsidP="00E801C7">
      <w:pPr>
        <w:rPr>
          <w:color w:val="C00000"/>
        </w:rPr>
      </w:pPr>
      <w:r w:rsidRPr="000D2EE8">
        <w:rPr>
          <w:color w:val="C00000"/>
        </w:rPr>
        <w:t xml:space="preserve">Land use planning in </w:t>
      </w:r>
      <w:r w:rsidR="00402288" w:rsidRPr="000D2EE8">
        <w:rPr>
          <w:color w:val="C00000"/>
        </w:rPr>
        <w:t>PEI</w:t>
      </w:r>
      <w:r w:rsidRPr="000D2EE8">
        <w:rPr>
          <w:color w:val="C00000"/>
        </w:rPr>
        <w:t xml:space="preserve"> is governed by the provincial </w:t>
      </w:r>
      <w:r w:rsidRPr="000D2EE8">
        <w:rPr>
          <w:i/>
          <w:iCs/>
          <w:color w:val="C00000"/>
        </w:rPr>
        <w:t>Planning Act</w:t>
      </w:r>
      <w:r w:rsidRPr="000D2EE8">
        <w:rPr>
          <w:color w:val="C00000"/>
        </w:rPr>
        <w:t xml:space="preserve">, which establishes the overall framework, authority, and processes guiding how land use and development are regulated across the province. Under the </w:t>
      </w:r>
      <w:r w:rsidRPr="000D2EE8">
        <w:rPr>
          <w:i/>
          <w:iCs/>
          <w:color w:val="C00000"/>
        </w:rPr>
        <w:t>Planning Act</w:t>
      </w:r>
      <w:r w:rsidRPr="000D2EE8">
        <w:rPr>
          <w:color w:val="C00000"/>
        </w:rPr>
        <w:t xml:space="preserve">, 29 municipalities have accepted responsibility for land use planning and created Official Plans and land use by-laws, covering approximately 20% of </w:t>
      </w:r>
      <w:r w:rsidR="00402288" w:rsidRPr="000D2EE8">
        <w:rPr>
          <w:color w:val="C00000"/>
        </w:rPr>
        <w:t>PEI</w:t>
      </w:r>
      <w:r w:rsidRPr="000D2EE8">
        <w:rPr>
          <w:color w:val="C00000"/>
        </w:rPr>
        <w:t>’s land mass.</w:t>
      </w:r>
      <w:r w:rsidRPr="000D2EE8">
        <w:rPr>
          <w:rStyle w:val="FootnoteReference"/>
          <w:color w:val="C00000"/>
        </w:rPr>
        <w:footnoteReference w:id="23"/>
      </w:r>
      <w:r w:rsidRPr="000D2EE8">
        <w:rPr>
          <w:color w:val="C00000"/>
        </w:rPr>
        <w:t xml:space="preserve"> The remaining 80% (encompassing both unincorporated areas and municipalities without local planning services) falls under provincial jurisdiction, governed by the </w:t>
      </w:r>
      <w:r w:rsidRPr="000D2EE8">
        <w:rPr>
          <w:i/>
          <w:iCs/>
          <w:color w:val="C00000"/>
        </w:rPr>
        <w:t>Subdivision and Development Regulations</w:t>
      </w:r>
      <w:r w:rsidRPr="000D2EE8">
        <w:rPr>
          <w:color w:val="C00000"/>
        </w:rPr>
        <w:t xml:space="preserve"> and related provincial legislation.</w:t>
      </w:r>
    </w:p>
    <w:p w14:paraId="5D6F9028" w14:textId="77777777" w:rsidR="00E801C7" w:rsidRPr="000D2EE8" w:rsidRDefault="00E801C7" w:rsidP="00E801C7">
      <w:pPr>
        <w:rPr>
          <w:color w:val="C00000"/>
        </w:rPr>
      </w:pPr>
    </w:p>
    <w:p w14:paraId="4A91B286" w14:textId="77777777" w:rsidR="00E801C7" w:rsidRPr="000D2EE8" w:rsidRDefault="00E801C7" w:rsidP="00E801C7">
      <w:pPr>
        <w:rPr>
          <w:color w:val="C00000"/>
        </w:rPr>
      </w:pPr>
      <w:r w:rsidRPr="000D2EE8">
        <w:rPr>
          <w:color w:val="C00000"/>
        </w:rPr>
        <w:lastRenderedPageBreak/>
        <w:t xml:space="preserve">Under the </w:t>
      </w:r>
      <w:r w:rsidRPr="000D2EE8">
        <w:rPr>
          <w:i/>
          <w:iCs/>
          <w:color w:val="C00000"/>
        </w:rPr>
        <w:t>Planning Act</w:t>
      </w:r>
      <w:r w:rsidRPr="000D2EE8">
        <w:rPr>
          <w:color w:val="C00000"/>
        </w:rPr>
        <w:t>, municipalities with planning authority are required to adopt Official Plans and supporting land use by-laws. Official Plans serve as long-term visioning documents outlining a municipality’s goals, growth expectations, and development priorities over a planning horizon of up to 15 years, with updates required every five years. Land use by-laws are developed under the direction of municipal councils and establish the regulatory framework for development, typically prepared through consultation with the public and in collaboration with technical experts, municipal staff, and planning boards.</w:t>
      </w:r>
    </w:p>
    <w:p w14:paraId="14E2D470" w14:textId="77777777" w:rsidR="00E801C7" w:rsidRPr="000D2EE8" w:rsidRDefault="00E801C7" w:rsidP="00E801C7">
      <w:pPr>
        <w:rPr>
          <w:color w:val="C00000"/>
        </w:rPr>
      </w:pPr>
    </w:p>
    <w:p w14:paraId="527A9838" w14:textId="3FEBB026" w:rsidR="00E801C7" w:rsidRPr="000D2EE8" w:rsidRDefault="00E801C7" w:rsidP="00E801C7">
      <w:pPr>
        <w:rPr>
          <w:color w:val="C00000"/>
        </w:rPr>
      </w:pPr>
      <w:r w:rsidRPr="000D2EE8">
        <w:rPr>
          <w:color w:val="C00000"/>
        </w:rPr>
        <w:t>This structure results in a considerably more centralized, provincially governed planning landscape than is typical in other Canadian provinces. The province’s dominant role in regulating land use across the majority of the Island has important implications for how housing policy, land use planning, and development approvals are coordinated</w:t>
      </w:r>
      <w:r w:rsidR="003A3533" w:rsidRPr="000D2EE8">
        <w:rPr>
          <w:color w:val="C00000"/>
        </w:rPr>
        <w:t>;</w:t>
      </w:r>
      <w:r w:rsidRPr="000D2EE8">
        <w:rPr>
          <w:color w:val="C00000"/>
        </w:rPr>
        <w:t xml:space="preserve"> particularly</w:t>
      </w:r>
      <w:r w:rsidR="003A3533" w:rsidRPr="000D2EE8">
        <w:rPr>
          <w:color w:val="C00000"/>
        </w:rPr>
        <w:t>,</w:t>
      </w:r>
      <w:r w:rsidRPr="000D2EE8">
        <w:rPr>
          <w:color w:val="C00000"/>
        </w:rPr>
        <w:t xml:space="preserve"> in rural and unincorporated areas where local planning capacity is absent.</w:t>
      </w:r>
    </w:p>
    <w:p w14:paraId="19464C5F" w14:textId="77777777" w:rsidR="00E801C7" w:rsidRPr="000D2EE8" w:rsidRDefault="00E801C7" w:rsidP="00EB377F">
      <w:pPr>
        <w:rPr>
          <w:color w:val="C00000"/>
        </w:rPr>
      </w:pPr>
    </w:p>
    <w:p w14:paraId="0544A9B1" w14:textId="77777777" w:rsidR="007E60FA" w:rsidRPr="000D2EE8" w:rsidRDefault="007E60FA" w:rsidP="007E60FA">
      <w:pPr>
        <w:rPr>
          <w:b/>
          <w:bCs/>
          <w:color w:val="C00000"/>
        </w:rPr>
      </w:pPr>
      <w:r w:rsidRPr="000D2EE8">
        <w:rPr>
          <w:b/>
          <w:bCs/>
          <w:color w:val="C00000"/>
        </w:rPr>
        <w:t>Province-Wide Land Use Plan</w:t>
      </w:r>
    </w:p>
    <w:p w14:paraId="362EB10F" w14:textId="14E143E0" w:rsidR="007E60FA" w:rsidRPr="000D2EE8" w:rsidRDefault="007E60FA" w:rsidP="007E60FA">
      <w:pPr>
        <w:rPr>
          <w:color w:val="C00000"/>
        </w:rPr>
      </w:pPr>
      <w:r w:rsidRPr="000D2EE8">
        <w:rPr>
          <w:color w:val="C00000"/>
        </w:rPr>
        <w:t xml:space="preserve">A pending development in </w:t>
      </w:r>
      <w:r w:rsidR="00402288" w:rsidRPr="000D2EE8">
        <w:rPr>
          <w:color w:val="C00000"/>
        </w:rPr>
        <w:t>PEI</w:t>
      </w:r>
      <w:r w:rsidRPr="000D2EE8">
        <w:rPr>
          <w:color w:val="C00000"/>
        </w:rPr>
        <w:t>’s planning framework is the province’s work toward a comprehensive province-wide land use plan</w:t>
      </w:r>
      <w:r w:rsidR="00F34EF2" w:rsidRPr="000D2EE8">
        <w:rPr>
          <w:color w:val="C00000"/>
        </w:rPr>
        <w:t>,</w:t>
      </w:r>
      <w:r w:rsidRPr="000D2EE8">
        <w:rPr>
          <w:color w:val="C00000"/>
        </w:rPr>
        <w:t xml:space="preserve"> a long-called-for instrument that would</w:t>
      </w:r>
      <w:r w:rsidR="00F34EF2" w:rsidRPr="000D2EE8">
        <w:rPr>
          <w:color w:val="C00000"/>
        </w:rPr>
        <w:t xml:space="preserve"> </w:t>
      </w:r>
      <w:r w:rsidRPr="000D2EE8">
        <w:rPr>
          <w:color w:val="C00000"/>
        </w:rPr>
        <w:t xml:space="preserve">establish a coordinated planning framework across all areas of the province. </w:t>
      </w:r>
    </w:p>
    <w:p w14:paraId="613B47DC" w14:textId="77777777" w:rsidR="007E60FA" w:rsidRPr="000D2EE8" w:rsidRDefault="007E60FA" w:rsidP="007E60FA">
      <w:pPr>
        <w:rPr>
          <w:color w:val="C00000"/>
        </w:rPr>
      </w:pPr>
    </w:p>
    <w:p w14:paraId="384B6A69" w14:textId="54BBBADE" w:rsidR="007E60FA" w:rsidRPr="000D2EE8" w:rsidRDefault="007E60FA" w:rsidP="007E60FA">
      <w:pPr>
        <w:rPr>
          <w:color w:val="C00000"/>
        </w:rPr>
      </w:pPr>
      <w:r w:rsidRPr="000D2EE8">
        <w:rPr>
          <w:color w:val="C00000"/>
        </w:rPr>
        <w:t xml:space="preserve">The </w:t>
      </w:r>
      <w:r w:rsidRPr="000D2EE8">
        <w:rPr>
          <w:i/>
          <w:iCs/>
          <w:color w:val="C00000"/>
        </w:rPr>
        <w:t>State of the Island</w:t>
      </w:r>
      <w:r w:rsidRPr="000D2EE8">
        <w:rPr>
          <w:color w:val="C00000"/>
        </w:rPr>
        <w:t xml:space="preserve"> report was released in early 2025, and the province simultaneously initiated community engagement on the plan. The report identifies housing as a central consideration in the land use planning process, noting the alignment between a province-wide land use plan and the three strategic pillars of the </w:t>
      </w:r>
      <w:r w:rsidRPr="000D2EE8">
        <w:rPr>
          <w:i/>
          <w:iCs/>
          <w:color w:val="C00000"/>
        </w:rPr>
        <w:t>Building Together</w:t>
      </w:r>
      <w:r w:rsidRPr="000D2EE8">
        <w:rPr>
          <w:color w:val="C00000"/>
        </w:rPr>
        <w:t xml:space="preserve"> Housing Strategy: supply acceleration, affordability, and vulnerability.</w:t>
      </w:r>
      <w:r w:rsidRPr="000D2EE8">
        <w:rPr>
          <w:rStyle w:val="FootnoteReference"/>
          <w:color w:val="C00000"/>
        </w:rPr>
        <w:footnoteReference w:id="24"/>
      </w:r>
    </w:p>
    <w:p w14:paraId="60204497" w14:textId="77777777" w:rsidR="007E60FA" w:rsidRPr="000D2EE8" w:rsidRDefault="007E60FA" w:rsidP="007E60FA">
      <w:pPr>
        <w:rPr>
          <w:color w:val="C00000"/>
        </w:rPr>
      </w:pPr>
    </w:p>
    <w:p w14:paraId="4661737C" w14:textId="0A883EF0" w:rsidR="006207C2" w:rsidRPr="000D2EE8" w:rsidRDefault="00096A65" w:rsidP="00096A65">
      <w:pPr>
        <w:spacing w:after="160"/>
        <w:rPr>
          <w:color w:val="C00000"/>
        </w:rPr>
      </w:pPr>
      <w:r w:rsidRPr="000D2EE8">
        <w:rPr>
          <w:color w:val="C00000"/>
        </w:rPr>
        <w:t xml:space="preserve">If adopted, a province-wide land use plan would govern development across the entire Island and would represent a substantive shift in how residential growth, agricultural land protection, and servicing decisions are coordinated across </w:t>
      </w:r>
      <w:r w:rsidR="00402288" w:rsidRPr="000D2EE8">
        <w:rPr>
          <w:color w:val="C00000"/>
        </w:rPr>
        <w:t>PEI</w:t>
      </w:r>
      <w:r w:rsidRPr="000D2EE8">
        <w:rPr>
          <w:color w:val="C00000"/>
        </w:rPr>
        <w:t xml:space="preserve">. For the </w:t>
      </w:r>
      <w:r w:rsidR="00526C3B" w:rsidRPr="000D2EE8">
        <w:rPr>
          <w:color w:val="C00000"/>
        </w:rPr>
        <w:t>20</w:t>
      </w:r>
      <w:r w:rsidRPr="000D2EE8">
        <w:rPr>
          <w:color w:val="C00000"/>
        </w:rPr>
        <w:t>% of the province covered by municipal Official Plans, the provincial plan would sit above existing local plans in the planning hierarchy</w:t>
      </w:r>
      <w:r w:rsidR="00526C3B" w:rsidRPr="000D2EE8">
        <w:rPr>
          <w:color w:val="C00000"/>
        </w:rPr>
        <w:t>. M</w:t>
      </w:r>
      <w:r w:rsidRPr="000D2EE8">
        <w:rPr>
          <w:color w:val="C00000"/>
        </w:rPr>
        <w:t xml:space="preserve">unicipalities would likely be required to conform their Official Plans to the provincial framework, while retaining them as the primary day-to-day regulatory instrument. For the </w:t>
      </w:r>
      <w:r w:rsidR="00526C3B" w:rsidRPr="000D2EE8">
        <w:rPr>
          <w:color w:val="C00000"/>
        </w:rPr>
        <w:t>remain</w:t>
      </w:r>
      <w:r w:rsidR="00B40080" w:rsidRPr="000D2EE8">
        <w:rPr>
          <w:color w:val="C00000"/>
        </w:rPr>
        <w:t>in</w:t>
      </w:r>
      <w:r w:rsidR="00526C3B" w:rsidRPr="000D2EE8">
        <w:rPr>
          <w:color w:val="C00000"/>
        </w:rPr>
        <w:t>g</w:t>
      </w:r>
      <w:r w:rsidRPr="000D2EE8">
        <w:rPr>
          <w:color w:val="C00000"/>
        </w:rPr>
        <w:t>, the plan would represent an entirely new layer of land use direction. The outcome of this process will have direct implications for housing supply, density, and the geographic distribution of residential development across the province.</w:t>
      </w:r>
      <w:r w:rsidR="0065139E" w:rsidRPr="000D2EE8">
        <w:rPr>
          <w:color w:val="C00000"/>
        </w:rPr>
        <w:t xml:space="preserve"> </w:t>
      </w:r>
    </w:p>
    <w:p w14:paraId="5044DFA5" w14:textId="77777777" w:rsidR="009F7FE5" w:rsidRPr="00887119" w:rsidRDefault="009F7FE5">
      <w:pPr>
        <w:spacing w:after="160"/>
        <w:jc w:val="left"/>
        <w:rPr>
          <w:rFonts w:ascii="Bahnschrift" w:eastAsiaTheme="majorEastAsia" w:hAnsi="Bahnschrift" w:cstheme="majorBidi"/>
          <w:b/>
          <w:color w:val="8AA2BA" w:themeColor="accent1" w:themeShade="BF"/>
          <w:sz w:val="56"/>
          <w:szCs w:val="32"/>
        </w:rPr>
      </w:pPr>
      <w:bookmarkStart w:id="35" w:name="_Toc229051945"/>
      <w:r w:rsidRPr="00887119">
        <w:br w:type="page"/>
      </w:r>
    </w:p>
    <w:p w14:paraId="450D9C5F" w14:textId="6D82DC28" w:rsidR="00C91879" w:rsidRPr="00887119" w:rsidRDefault="00C91879" w:rsidP="00842B20">
      <w:pPr>
        <w:pStyle w:val="Heading1"/>
      </w:pPr>
      <w:bookmarkStart w:id="36" w:name="_Toc237957428"/>
      <w:r w:rsidRPr="00887119">
        <w:lastRenderedPageBreak/>
        <w:t>ENGAGEMENT SUMMARY</w:t>
      </w:r>
      <w:bookmarkEnd w:id="35"/>
      <w:bookmarkEnd w:id="36"/>
    </w:p>
    <w:p w14:paraId="69D0933E" w14:textId="77777777" w:rsidR="00F36100" w:rsidRDefault="00F36100" w:rsidP="00F36100"/>
    <w:p w14:paraId="214D25A7" w14:textId="24186D7D" w:rsidR="00C91879" w:rsidRPr="00887119" w:rsidRDefault="00C65D35" w:rsidP="00842B20">
      <w:pPr>
        <w:pStyle w:val="Heading2"/>
        <w:numPr>
          <w:ilvl w:val="1"/>
          <w:numId w:val="1"/>
        </w:numPr>
      </w:pPr>
      <w:bookmarkStart w:id="37" w:name="_Toc237957429"/>
      <w:r>
        <w:t>THEMES</w:t>
      </w:r>
      <w:bookmarkEnd w:id="37"/>
    </w:p>
    <w:p w14:paraId="711CE510" w14:textId="5338EB22" w:rsidR="00D43EEB" w:rsidRDefault="00D43EEB" w:rsidP="00D43EEB">
      <w:r>
        <w:t xml:space="preserve">The following stakeholder organizations and service providers participated in engagement discussions related to the </w:t>
      </w:r>
      <w:r w:rsidR="00402288" w:rsidRPr="00402288">
        <w:rPr>
          <w:color w:val="C00000"/>
        </w:rPr>
        <w:t>PEI</w:t>
      </w:r>
      <w:r>
        <w:t xml:space="preserve"> Provincial Housing Needs Assessment:</w:t>
      </w:r>
    </w:p>
    <w:p w14:paraId="70071EDB" w14:textId="77777777" w:rsidR="00D43EEB" w:rsidRDefault="00D43EEB" w:rsidP="00D43EEB"/>
    <w:tbl>
      <w:tblPr>
        <w:tblStyle w:val="TableGrid"/>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80"/>
        <w:gridCol w:w="4680"/>
      </w:tblGrid>
      <w:tr w:rsidR="00D43EEB" w:rsidRPr="00472706" w14:paraId="3C1F0AD0" w14:textId="77777777" w:rsidTr="009B24FB">
        <w:trPr>
          <w:trHeight w:val="360"/>
        </w:trPr>
        <w:tc>
          <w:tcPr>
            <w:tcW w:w="4680" w:type="dxa"/>
            <w:shd w:val="clear" w:color="auto" w:fill="F2F2F2" w:themeFill="background1" w:themeFillShade="F2"/>
            <w:vAlign w:val="center"/>
          </w:tcPr>
          <w:p w14:paraId="172E88DA" w14:textId="4F4F7878" w:rsidR="00D43EEB" w:rsidRPr="00701B6E" w:rsidRDefault="00D43EEB" w:rsidP="00472706">
            <w:pPr>
              <w:jc w:val="center"/>
              <w:rPr>
                <w:color w:val="C00000"/>
                <w:sz w:val="20"/>
                <w:szCs w:val="20"/>
              </w:rPr>
            </w:pPr>
            <w:r w:rsidRPr="00701B6E">
              <w:rPr>
                <w:color w:val="C00000"/>
                <w:sz w:val="20"/>
                <w:szCs w:val="20"/>
              </w:rPr>
              <w:t xml:space="preserve">Family Service </w:t>
            </w:r>
            <w:r w:rsidR="00402288" w:rsidRPr="00701B6E">
              <w:rPr>
                <w:color w:val="C00000"/>
                <w:sz w:val="20"/>
                <w:szCs w:val="20"/>
              </w:rPr>
              <w:t>PEI</w:t>
            </w:r>
          </w:p>
        </w:tc>
        <w:tc>
          <w:tcPr>
            <w:tcW w:w="4680" w:type="dxa"/>
            <w:shd w:val="clear" w:color="auto" w:fill="F2F2F2" w:themeFill="background1" w:themeFillShade="F2"/>
            <w:vAlign w:val="center"/>
          </w:tcPr>
          <w:p w14:paraId="6F44C3F9" w14:textId="52A8B2CE" w:rsidR="00D43EEB" w:rsidRPr="00701B6E" w:rsidRDefault="00D43EEB" w:rsidP="00472706">
            <w:pPr>
              <w:jc w:val="center"/>
              <w:rPr>
                <w:color w:val="C00000"/>
                <w:sz w:val="20"/>
                <w:szCs w:val="20"/>
              </w:rPr>
            </w:pPr>
            <w:r w:rsidRPr="00701B6E">
              <w:rPr>
                <w:color w:val="C00000"/>
                <w:sz w:val="20"/>
                <w:szCs w:val="20"/>
              </w:rPr>
              <w:t>Blooming House Women’s Shelter</w:t>
            </w:r>
          </w:p>
        </w:tc>
      </w:tr>
      <w:tr w:rsidR="00D43EEB" w:rsidRPr="00472706" w14:paraId="5CD83F9E" w14:textId="77777777" w:rsidTr="009B24FB">
        <w:trPr>
          <w:trHeight w:val="360"/>
        </w:trPr>
        <w:tc>
          <w:tcPr>
            <w:tcW w:w="4680" w:type="dxa"/>
            <w:vAlign w:val="center"/>
          </w:tcPr>
          <w:p w14:paraId="0DEEA203" w14:textId="125729EF" w:rsidR="00D43EEB" w:rsidRPr="00701B6E" w:rsidRDefault="00D43EEB" w:rsidP="00472706">
            <w:pPr>
              <w:jc w:val="center"/>
              <w:rPr>
                <w:color w:val="C00000"/>
                <w:sz w:val="20"/>
                <w:szCs w:val="20"/>
              </w:rPr>
            </w:pPr>
            <w:r w:rsidRPr="00701B6E">
              <w:rPr>
                <w:color w:val="C00000"/>
                <w:sz w:val="20"/>
                <w:szCs w:val="20"/>
              </w:rPr>
              <w:t xml:space="preserve">BGC Prince County / </w:t>
            </w:r>
            <w:proofErr w:type="spellStart"/>
            <w:r w:rsidRPr="00701B6E">
              <w:rPr>
                <w:color w:val="C00000"/>
                <w:sz w:val="20"/>
                <w:szCs w:val="20"/>
              </w:rPr>
              <w:t>LifeHouse</w:t>
            </w:r>
            <w:proofErr w:type="spellEnd"/>
          </w:p>
        </w:tc>
        <w:tc>
          <w:tcPr>
            <w:tcW w:w="4680" w:type="dxa"/>
            <w:vAlign w:val="center"/>
          </w:tcPr>
          <w:p w14:paraId="16C9F567" w14:textId="074B9188" w:rsidR="00D43EEB" w:rsidRPr="00701B6E" w:rsidRDefault="00D43EEB" w:rsidP="00472706">
            <w:pPr>
              <w:jc w:val="center"/>
              <w:rPr>
                <w:color w:val="C00000"/>
                <w:sz w:val="20"/>
                <w:szCs w:val="20"/>
              </w:rPr>
            </w:pPr>
            <w:r w:rsidRPr="00701B6E">
              <w:rPr>
                <w:color w:val="C00000"/>
                <w:sz w:val="20"/>
                <w:szCs w:val="20"/>
              </w:rPr>
              <w:t>Bedford McDonald House</w:t>
            </w:r>
          </w:p>
        </w:tc>
      </w:tr>
      <w:tr w:rsidR="00D43EEB" w:rsidRPr="00472706" w14:paraId="187BC22D" w14:textId="77777777" w:rsidTr="009B24FB">
        <w:trPr>
          <w:trHeight w:val="360"/>
        </w:trPr>
        <w:tc>
          <w:tcPr>
            <w:tcW w:w="4680" w:type="dxa"/>
            <w:shd w:val="clear" w:color="auto" w:fill="F2F2F2" w:themeFill="background1" w:themeFillShade="F2"/>
            <w:vAlign w:val="center"/>
          </w:tcPr>
          <w:p w14:paraId="6F0D6A03" w14:textId="4C89554F" w:rsidR="00D43EEB" w:rsidRPr="00701B6E" w:rsidRDefault="00D43EEB" w:rsidP="00472706">
            <w:pPr>
              <w:jc w:val="center"/>
              <w:rPr>
                <w:color w:val="C00000"/>
                <w:sz w:val="20"/>
                <w:szCs w:val="20"/>
              </w:rPr>
            </w:pPr>
            <w:r w:rsidRPr="00701B6E">
              <w:rPr>
                <w:color w:val="C00000"/>
                <w:sz w:val="20"/>
                <w:szCs w:val="20"/>
              </w:rPr>
              <w:t>Salvation Army</w:t>
            </w:r>
          </w:p>
        </w:tc>
        <w:tc>
          <w:tcPr>
            <w:tcW w:w="4680" w:type="dxa"/>
            <w:shd w:val="clear" w:color="auto" w:fill="F2F2F2" w:themeFill="background1" w:themeFillShade="F2"/>
            <w:vAlign w:val="center"/>
          </w:tcPr>
          <w:p w14:paraId="70A8D838" w14:textId="024DC89A" w:rsidR="00D43EEB" w:rsidRPr="00701B6E" w:rsidRDefault="00D43EEB" w:rsidP="00472706">
            <w:pPr>
              <w:jc w:val="center"/>
              <w:rPr>
                <w:color w:val="C00000"/>
                <w:sz w:val="20"/>
                <w:szCs w:val="20"/>
              </w:rPr>
            </w:pPr>
            <w:r w:rsidRPr="00701B6E">
              <w:rPr>
                <w:color w:val="C00000"/>
                <w:sz w:val="20"/>
                <w:szCs w:val="20"/>
              </w:rPr>
              <w:t>Community Mental Health Association</w:t>
            </w:r>
            <w:r w:rsidR="009717F5" w:rsidRPr="00701B6E">
              <w:rPr>
                <w:color w:val="C00000"/>
                <w:sz w:val="20"/>
                <w:szCs w:val="20"/>
              </w:rPr>
              <w:t xml:space="preserve"> </w:t>
            </w:r>
            <w:r w:rsidR="00402288" w:rsidRPr="00701B6E">
              <w:rPr>
                <w:color w:val="C00000"/>
                <w:sz w:val="20"/>
                <w:szCs w:val="20"/>
              </w:rPr>
              <w:t>PEI</w:t>
            </w:r>
          </w:p>
        </w:tc>
      </w:tr>
      <w:tr w:rsidR="009717F5" w:rsidRPr="00472706" w14:paraId="60D02C79" w14:textId="77777777" w:rsidTr="009B24FB">
        <w:trPr>
          <w:trHeight w:val="360"/>
        </w:trPr>
        <w:tc>
          <w:tcPr>
            <w:tcW w:w="4680" w:type="dxa"/>
            <w:vAlign w:val="center"/>
          </w:tcPr>
          <w:p w14:paraId="16C3C3E6" w14:textId="3C4EBDAA" w:rsidR="009717F5" w:rsidRPr="00701B6E" w:rsidRDefault="009717F5" w:rsidP="00472706">
            <w:pPr>
              <w:jc w:val="center"/>
              <w:rPr>
                <w:color w:val="C00000"/>
                <w:sz w:val="20"/>
                <w:szCs w:val="20"/>
              </w:rPr>
            </w:pPr>
            <w:r w:rsidRPr="00701B6E">
              <w:rPr>
                <w:color w:val="C00000"/>
                <w:sz w:val="20"/>
                <w:szCs w:val="20"/>
              </w:rPr>
              <w:t xml:space="preserve">John Howard Society of </w:t>
            </w:r>
            <w:r w:rsidR="00402288" w:rsidRPr="00701B6E">
              <w:rPr>
                <w:color w:val="C00000"/>
                <w:sz w:val="20"/>
                <w:szCs w:val="20"/>
              </w:rPr>
              <w:t>PEI</w:t>
            </w:r>
          </w:p>
        </w:tc>
        <w:tc>
          <w:tcPr>
            <w:tcW w:w="4680" w:type="dxa"/>
            <w:vAlign w:val="center"/>
          </w:tcPr>
          <w:p w14:paraId="6F3F0C85" w14:textId="11B4C732" w:rsidR="009717F5" w:rsidRPr="00701B6E" w:rsidRDefault="009717F5" w:rsidP="00472706">
            <w:pPr>
              <w:jc w:val="center"/>
              <w:rPr>
                <w:color w:val="C00000"/>
                <w:sz w:val="20"/>
                <w:szCs w:val="20"/>
              </w:rPr>
            </w:pPr>
            <w:r w:rsidRPr="00701B6E">
              <w:rPr>
                <w:color w:val="C00000"/>
                <w:sz w:val="20"/>
                <w:szCs w:val="20"/>
              </w:rPr>
              <w:t>Community Legal Information</w:t>
            </w:r>
          </w:p>
        </w:tc>
      </w:tr>
      <w:tr w:rsidR="009717F5" w:rsidRPr="00472706" w14:paraId="7AC4F091" w14:textId="77777777" w:rsidTr="009B24FB">
        <w:trPr>
          <w:trHeight w:val="360"/>
        </w:trPr>
        <w:tc>
          <w:tcPr>
            <w:tcW w:w="4680" w:type="dxa"/>
            <w:shd w:val="clear" w:color="auto" w:fill="F2F2F2" w:themeFill="background1" w:themeFillShade="F2"/>
            <w:vAlign w:val="center"/>
          </w:tcPr>
          <w:p w14:paraId="7EF271FB" w14:textId="736AA16F" w:rsidR="009717F5" w:rsidRPr="00701B6E" w:rsidRDefault="009717F5" w:rsidP="00472706">
            <w:pPr>
              <w:jc w:val="center"/>
              <w:rPr>
                <w:color w:val="C00000"/>
                <w:sz w:val="20"/>
                <w:szCs w:val="20"/>
              </w:rPr>
            </w:pPr>
            <w:r w:rsidRPr="00701B6E">
              <w:rPr>
                <w:color w:val="C00000"/>
                <w:sz w:val="20"/>
                <w:szCs w:val="20"/>
              </w:rPr>
              <w:t>PEERS Alliance</w:t>
            </w:r>
          </w:p>
        </w:tc>
        <w:tc>
          <w:tcPr>
            <w:tcW w:w="4680" w:type="dxa"/>
            <w:shd w:val="clear" w:color="auto" w:fill="F2F2F2" w:themeFill="background1" w:themeFillShade="F2"/>
            <w:vAlign w:val="center"/>
          </w:tcPr>
          <w:p w14:paraId="360BB8FF" w14:textId="276403C1" w:rsidR="009717F5" w:rsidRPr="00701B6E" w:rsidRDefault="009717F5" w:rsidP="00472706">
            <w:pPr>
              <w:jc w:val="center"/>
              <w:rPr>
                <w:color w:val="C00000"/>
                <w:sz w:val="20"/>
                <w:szCs w:val="20"/>
              </w:rPr>
            </w:pPr>
            <w:r w:rsidRPr="00701B6E">
              <w:rPr>
                <w:color w:val="C00000"/>
                <w:sz w:val="20"/>
                <w:szCs w:val="20"/>
              </w:rPr>
              <w:t xml:space="preserve">CBDC </w:t>
            </w:r>
            <w:r w:rsidR="00402288" w:rsidRPr="00701B6E">
              <w:rPr>
                <w:color w:val="C00000"/>
                <w:sz w:val="20"/>
                <w:szCs w:val="20"/>
              </w:rPr>
              <w:t>PEI</w:t>
            </w:r>
            <w:r w:rsidRPr="00701B6E">
              <w:rPr>
                <w:color w:val="C00000"/>
                <w:sz w:val="20"/>
                <w:szCs w:val="20"/>
              </w:rPr>
              <w:t xml:space="preserve"> – Community Navigator Program</w:t>
            </w:r>
          </w:p>
        </w:tc>
      </w:tr>
      <w:tr w:rsidR="009717F5" w:rsidRPr="00472706" w14:paraId="6F4DF8B1" w14:textId="77777777" w:rsidTr="009B24FB">
        <w:trPr>
          <w:trHeight w:val="360"/>
        </w:trPr>
        <w:tc>
          <w:tcPr>
            <w:tcW w:w="4680" w:type="dxa"/>
            <w:vAlign w:val="center"/>
          </w:tcPr>
          <w:p w14:paraId="0D562EE7" w14:textId="57E5BF83" w:rsidR="009717F5" w:rsidRPr="00701B6E" w:rsidRDefault="00472706" w:rsidP="00472706">
            <w:pPr>
              <w:jc w:val="center"/>
              <w:rPr>
                <w:color w:val="C00000"/>
                <w:sz w:val="20"/>
                <w:szCs w:val="20"/>
              </w:rPr>
            </w:pPr>
            <w:r w:rsidRPr="00701B6E">
              <w:rPr>
                <w:color w:val="C00000"/>
                <w:sz w:val="20"/>
                <w:szCs w:val="20"/>
              </w:rPr>
              <w:t>Chief Mary Bernard Memorial Shelter</w:t>
            </w:r>
          </w:p>
        </w:tc>
        <w:tc>
          <w:tcPr>
            <w:tcW w:w="4680" w:type="dxa"/>
            <w:vAlign w:val="center"/>
          </w:tcPr>
          <w:p w14:paraId="3E521DCC" w14:textId="72F025C7" w:rsidR="009717F5" w:rsidRPr="00701B6E" w:rsidRDefault="00472706" w:rsidP="00472706">
            <w:pPr>
              <w:jc w:val="center"/>
              <w:rPr>
                <w:color w:val="C00000"/>
                <w:sz w:val="20"/>
                <w:szCs w:val="20"/>
              </w:rPr>
            </w:pPr>
            <w:r w:rsidRPr="00701B6E">
              <w:rPr>
                <w:color w:val="C00000"/>
                <w:sz w:val="20"/>
                <w:szCs w:val="20"/>
              </w:rPr>
              <w:t>Lennox Island First Nation</w:t>
            </w:r>
          </w:p>
        </w:tc>
      </w:tr>
      <w:tr w:rsidR="00472706" w:rsidRPr="00472706" w14:paraId="7A2D9CE9" w14:textId="77777777" w:rsidTr="009B24FB">
        <w:trPr>
          <w:trHeight w:val="360"/>
        </w:trPr>
        <w:tc>
          <w:tcPr>
            <w:tcW w:w="4680" w:type="dxa"/>
            <w:shd w:val="clear" w:color="auto" w:fill="F2F2F2" w:themeFill="background1" w:themeFillShade="F2"/>
            <w:vAlign w:val="center"/>
          </w:tcPr>
          <w:p w14:paraId="612CB7BF" w14:textId="42326E2B" w:rsidR="00472706" w:rsidRPr="00701B6E" w:rsidRDefault="00472706" w:rsidP="00472706">
            <w:pPr>
              <w:jc w:val="center"/>
              <w:rPr>
                <w:color w:val="C00000"/>
                <w:sz w:val="20"/>
                <w:szCs w:val="20"/>
              </w:rPr>
            </w:pPr>
            <w:r w:rsidRPr="00701B6E">
              <w:rPr>
                <w:color w:val="C00000"/>
                <w:sz w:val="20"/>
                <w:szCs w:val="20"/>
              </w:rPr>
              <w:t>Lennon House</w:t>
            </w:r>
          </w:p>
        </w:tc>
        <w:tc>
          <w:tcPr>
            <w:tcW w:w="4680" w:type="dxa"/>
            <w:shd w:val="clear" w:color="auto" w:fill="F2F2F2" w:themeFill="background1" w:themeFillShade="F2"/>
            <w:vAlign w:val="center"/>
          </w:tcPr>
          <w:p w14:paraId="0B91F9EC" w14:textId="2BF4DE5A" w:rsidR="00472706" w:rsidRPr="00701B6E" w:rsidRDefault="00402288" w:rsidP="00472706">
            <w:pPr>
              <w:jc w:val="center"/>
              <w:rPr>
                <w:color w:val="C00000"/>
                <w:sz w:val="20"/>
                <w:szCs w:val="20"/>
              </w:rPr>
            </w:pPr>
            <w:r w:rsidRPr="00701B6E">
              <w:rPr>
                <w:color w:val="C00000"/>
                <w:sz w:val="20"/>
                <w:szCs w:val="20"/>
              </w:rPr>
              <w:t>PEI</w:t>
            </w:r>
            <w:r w:rsidR="00472706" w:rsidRPr="00701B6E">
              <w:rPr>
                <w:color w:val="C00000"/>
                <w:sz w:val="20"/>
                <w:szCs w:val="20"/>
              </w:rPr>
              <w:t xml:space="preserve"> Fight for Affordable Housing</w:t>
            </w:r>
          </w:p>
        </w:tc>
      </w:tr>
      <w:tr w:rsidR="00472706" w:rsidRPr="00472706" w14:paraId="498AD515" w14:textId="77777777" w:rsidTr="009B24FB">
        <w:trPr>
          <w:trHeight w:val="360"/>
        </w:trPr>
        <w:tc>
          <w:tcPr>
            <w:tcW w:w="4680" w:type="dxa"/>
            <w:vAlign w:val="center"/>
          </w:tcPr>
          <w:p w14:paraId="2728A331" w14:textId="45A55339" w:rsidR="00472706" w:rsidRPr="00472706" w:rsidRDefault="00472706" w:rsidP="00472706">
            <w:pPr>
              <w:jc w:val="center"/>
              <w:rPr>
                <w:sz w:val="20"/>
                <w:szCs w:val="20"/>
              </w:rPr>
            </w:pPr>
            <w:r w:rsidRPr="00701B6E">
              <w:rPr>
                <w:color w:val="C00000"/>
                <w:sz w:val="20"/>
                <w:szCs w:val="20"/>
              </w:rPr>
              <w:t>U</w:t>
            </w:r>
            <w:r w:rsidR="00402288" w:rsidRPr="00701B6E">
              <w:rPr>
                <w:color w:val="C00000"/>
                <w:sz w:val="20"/>
                <w:szCs w:val="20"/>
              </w:rPr>
              <w:t>PEI</w:t>
            </w:r>
            <w:r w:rsidRPr="00701B6E">
              <w:rPr>
                <w:color w:val="C00000"/>
                <w:sz w:val="20"/>
                <w:szCs w:val="20"/>
              </w:rPr>
              <w:t xml:space="preserve"> Student Union</w:t>
            </w:r>
          </w:p>
        </w:tc>
        <w:tc>
          <w:tcPr>
            <w:tcW w:w="4680" w:type="dxa"/>
            <w:shd w:val="clear" w:color="auto" w:fill="BFBFBF" w:themeFill="background1" w:themeFillShade="BF"/>
            <w:vAlign w:val="center"/>
          </w:tcPr>
          <w:p w14:paraId="5D09518F" w14:textId="77777777" w:rsidR="00472706" w:rsidRPr="00472706" w:rsidRDefault="00472706" w:rsidP="00472706">
            <w:pPr>
              <w:jc w:val="left"/>
              <w:rPr>
                <w:sz w:val="20"/>
                <w:szCs w:val="20"/>
              </w:rPr>
            </w:pPr>
          </w:p>
        </w:tc>
      </w:tr>
    </w:tbl>
    <w:p w14:paraId="2A06238B" w14:textId="77777777" w:rsidR="00842B20" w:rsidRDefault="00842B20" w:rsidP="00842B20">
      <w:pPr>
        <w:spacing w:after="160"/>
        <w:jc w:val="left"/>
      </w:pPr>
    </w:p>
    <w:p w14:paraId="1593DD69" w14:textId="60263926" w:rsidR="00994361" w:rsidRDefault="00994361" w:rsidP="00994361">
      <w:r w:rsidRPr="00994361">
        <w:t>The following table summarizes the major themes identified through stakeholder interviews, including the key issues raised, populations disproportionately affected, and the overarching takeaway for each theme.</w:t>
      </w:r>
    </w:p>
    <w:p w14:paraId="4397B2E6" w14:textId="77777777" w:rsidR="00994361" w:rsidRDefault="00994361" w:rsidP="00994361"/>
    <w:p w14:paraId="2B943AC6" w14:textId="56FEBB3D" w:rsidR="00EE1FE9" w:rsidRDefault="00EE1FE9" w:rsidP="00EE1FE9">
      <w:pPr>
        <w:pStyle w:val="Caption"/>
      </w:pPr>
      <w:r>
        <w:t xml:space="preserve">Table </w:t>
      </w:r>
      <w:fldSimple w:instr=" STYLEREF 1 \s ">
        <w:r w:rsidR="008D4BDE">
          <w:rPr>
            <w:noProof/>
          </w:rPr>
          <w:t>5</w:t>
        </w:r>
      </w:fldSimple>
      <w:r>
        <w:t>.</w:t>
      </w:r>
      <w:fldSimple w:instr=" SEQ Table \* ARABIC \s 1 ">
        <w:r w:rsidR="008D4BDE">
          <w:rPr>
            <w:noProof/>
          </w:rPr>
          <w:t>1</w:t>
        </w:r>
      </w:fldSimple>
      <w:r>
        <w:t>: Stakeholder engagement themes</w:t>
      </w:r>
    </w:p>
    <w:tbl>
      <w:tblPr>
        <w:tblW w:w="9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1563"/>
        <w:gridCol w:w="3277"/>
        <w:gridCol w:w="1995"/>
        <w:gridCol w:w="2525"/>
      </w:tblGrid>
      <w:tr w:rsidR="00560BDE" w:rsidRPr="00B745F0" w14:paraId="02C2C291" w14:textId="77777777" w:rsidTr="00633D46">
        <w:trPr>
          <w:trHeight w:val="358"/>
          <w:tblHeader/>
        </w:trPr>
        <w:tc>
          <w:tcPr>
            <w:tcW w:w="1563" w:type="dxa"/>
            <w:shd w:val="clear" w:color="auto" w:fill="42618C" w:themeFill="accent3"/>
            <w:tcMar>
              <w:top w:w="100" w:type="dxa"/>
              <w:left w:w="140" w:type="dxa"/>
              <w:bottom w:w="100" w:type="dxa"/>
              <w:right w:w="140" w:type="dxa"/>
            </w:tcMar>
            <w:vAlign w:val="center"/>
          </w:tcPr>
          <w:p w14:paraId="00492E55" w14:textId="77777777" w:rsidR="00994361" w:rsidRPr="00B745F0" w:rsidRDefault="00994361" w:rsidP="00F2622B">
            <w:pPr>
              <w:jc w:val="left"/>
              <w:rPr>
                <w:rFonts w:cs="Arial"/>
                <w:sz w:val="18"/>
                <w:szCs w:val="18"/>
              </w:rPr>
            </w:pPr>
            <w:r w:rsidRPr="00B745F0">
              <w:rPr>
                <w:rFonts w:eastAsia="Arial" w:cs="Arial"/>
                <w:color w:val="FFFFFF"/>
                <w:sz w:val="18"/>
                <w:szCs w:val="18"/>
              </w:rPr>
              <w:t>Theme</w:t>
            </w:r>
          </w:p>
        </w:tc>
        <w:tc>
          <w:tcPr>
            <w:tcW w:w="3277" w:type="dxa"/>
            <w:shd w:val="clear" w:color="auto" w:fill="42618C" w:themeFill="accent3"/>
            <w:tcMar>
              <w:top w:w="100" w:type="dxa"/>
              <w:left w:w="140" w:type="dxa"/>
              <w:bottom w:w="100" w:type="dxa"/>
              <w:right w:w="140" w:type="dxa"/>
            </w:tcMar>
            <w:vAlign w:val="center"/>
          </w:tcPr>
          <w:p w14:paraId="12831A85" w14:textId="7910C523" w:rsidR="00994361" w:rsidRPr="00B745F0" w:rsidRDefault="00994361" w:rsidP="00F2622B">
            <w:pPr>
              <w:jc w:val="left"/>
              <w:rPr>
                <w:rFonts w:cs="Arial"/>
                <w:sz w:val="18"/>
                <w:szCs w:val="18"/>
              </w:rPr>
            </w:pPr>
            <w:r w:rsidRPr="00B745F0">
              <w:rPr>
                <w:rFonts w:eastAsia="Arial" w:cs="Arial"/>
                <w:color w:val="FFFFFF"/>
                <w:sz w:val="18"/>
                <w:szCs w:val="18"/>
              </w:rPr>
              <w:t xml:space="preserve">Key </w:t>
            </w:r>
            <w:r w:rsidR="00F10B21" w:rsidRPr="00B745F0">
              <w:rPr>
                <w:rFonts w:eastAsia="Arial" w:cs="Arial"/>
                <w:color w:val="FFFFFF"/>
                <w:sz w:val="18"/>
                <w:szCs w:val="18"/>
              </w:rPr>
              <w:t>i</w:t>
            </w:r>
            <w:r w:rsidRPr="00B745F0">
              <w:rPr>
                <w:rFonts w:eastAsia="Arial" w:cs="Arial"/>
                <w:color w:val="FFFFFF"/>
                <w:sz w:val="18"/>
                <w:szCs w:val="18"/>
              </w:rPr>
              <w:t xml:space="preserve">ssues </w:t>
            </w:r>
            <w:r w:rsidR="00F10B21" w:rsidRPr="00B745F0">
              <w:rPr>
                <w:rFonts w:eastAsia="Arial" w:cs="Arial"/>
                <w:color w:val="FFFFFF"/>
                <w:sz w:val="18"/>
                <w:szCs w:val="18"/>
              </w:rPr>
              <w:t>i</w:t>
            </w:r>
            <w:r w:rsidRPr="00B745F0">
              <w:rPr>
                <w:rFonts w:eastAsia="Arial" w:cs="Arial"/>
                <w:color w:val="FFFFFF"/>
                <w:sz w:val="18"/>
                <w:szCs w:val="18"/>
              </w:rPr>
              <w:t>dentified</w:t>
            </w:r>
          </w:p>
        </w:tc>
        <w:tc>
          <w:tcPr>
            <w:tcW w:w="1995" w:type="dxa"/>
            <w:shd w:val="clear" w:color="auto" w:fill="42618C" w:themeFill="accent3"/>
            <w:tcMar>
              <w:top w:w="100" w:type="dxa"/>
              <w:left w:w="140" w:type="dxa"/>
              <w:bottom w:w="100" w:type="dxa"/>
              <w:right w:w="140" w:type="dxa"/>
            </w:tcMar>
            <w:vAlign w:val="center"/>
          </w:tcPr>
          <w:p w14:paraId="4A9D172A" w14:textId="10022329" w:rsidR="00994361" w:rsidRPr="00B745F0" w:rsidRDefault="00994361" w:rsidP="00F2622B">
            <w:pPr>
              <w:jc w:val="left"/>
              <w:rPr>
                <w:rFonts w:cs="Arial"/>
                <w:sz w:val="18"/>
                <w:szCs w:val="18"/>
              </w:rPr>
            </w:pPr>
            <w:r w:rsidRPr="00B745F0">
              <w:rPr>
                <w:rFonts w:eastAsia="Arial" w:cs="Arial"/>
                <w:color w:val="FFFFFF"/>
                <w:sz w:val="18"/>
                <w:szCs w:val="18"/>
              </w:rPr>
              <w:t xml:space="preserve">Populations </w:t>
            </w:r>
            <w:r w:rsidR="00F10B21" w:rsidRPr="00B745F0">
              <w:rPr>
                <w:rFonts w:eastAsia="Arial" w:cs="Arial"/>
                <w:color w:val="FFFFFF"/>
                <w:sz w:val="18"/>
                <w:szCs w:val="18"/>
              </w:rPr>
              <w:t>a</w:t>
            </w:r>
            <w:r w:rsidRPr="00B745F0">
              <w:rPr>
                <w:rFonts w:eastAsia="Arial" w:cs="Arial"/>
                <w:color w:val="FFFFFF"/>
                <w:sz w:val="18"/>
                <w:szCs w:val="18"/>
              </w:rPr>
              <w:t>ffected</w:t>
            </w:r>
          </w:p>
        </w:tc>
        <w:tc>
          <w:tcPr>
            <w:tcW w:w="2525" w:type="dxa"/>
            <w:shd w:val="clear" w:color="auto" w:fill="42618C" w:themeFill="accent3"/>
            <w:tcMar>
              <w:top w:w="100" w:type="dxa"/>
              <w:left w:w="140" w:type="dxa"/>
              <w:bottom w:w="100" w:type="dxa"/>
              <w:right w:w="140" w:type="dxa"/>
            </w:tcMar>
            <w:vAlign w:val="center"/>
          </w:tcPr>
          <w:p w14:paraId="078E8CF8" w14:textId="7E0CEEA0" w:rsidR="00994361" w:rsidRPr="00B745F0" w:rsidRDefault="00994361" w:rsidP="00F2622B">
            <w:pPr>
              <w:jc w:val="left"/>
              <w:rPr>
                <w:rFonts w:cs="Arial"/>
                <w:sz w:val="18"/>
                <w:szCs w:val="18"/>
              </w:rPr>
            </w:pPr>
            <w:r w:rsidRPr="00B745F0">
              <w:rPr>
                <w:rFonts w:eastAsia="Arial" w:cs="Arial"/>
                <w:color w:val="FFFFFF"/>
                <w:sz w:val="18"/>
                <w:szCs w:val="18"/>
              </w:rPr>
              <w:t xml:space="preserve">Key </w:t>
            </w:r>
            <w:r w:rsidR="00F10B21" w:rsidRPr="00B745F0">
              <w:rPr>
                <w:rFonts w:eastAsia="Arial" w:cs="Arial"/>
                <w:color w:val="FFFFFF"/>
                <w:sz w:val="18"/>
                <w:szCs w:val="18"/>
              </w:rPr>
              <w:t>t</w:t>
            </w:r>
            <w:r w:rsidRPr="00B745F0">
              <w:rPr>
                <w:rFonts w:eastAsia="Arial" w:cs="Arial"/>
                <w:color w:val="FFFFFF"/>
                <w:sz w:val="18"/>
                <w:szCs w:val="18"/>
              </w:rPr>
              <w:t>akeaway</w:t>
            </w:r>
          </w:p>
        </w:tc>
      </w:tr>
      <w:tr w:rsidR="00560BDE" w:rsidRPr="00B745F0" w14:paraId="11628FE4" w14:textId="77777777" w:rsidTr="006F135E">
        <w:tc>
          <w:tcPr>
            <w:tcW w:w="1563" w:type="dxa"/>
            <w:shd w:val="clear" w:color="auto" w:fill="F2F2F2" w:themeFill="background1" w:themeFillShade="F2"/>
            <w:tcMar>
              <w:top w:w="80" w:type="dxa"/>
              <w:left w:w="140" w:type="dxa"/>
              <w:bottom w:w="80" w:type="dxa"/>
              <w:right w:w="140" w:type="dxa"/>
            </w:tcMar>
            <w:vAlign w:val="center"/>
          </w:tcPr>
          <w:p w14:paraId="04AED832" w14:textId="78D67FB0" w:rsidR="00994361" w:rsidRPr="00B745F0" w:rsidRDefault="00994361" w:rsidP="00F2622B">
            <w:pPr>
              <w:jc w:val="left"/>
              <w:rPr>
                <w:rFonts w:cs="Arial"/>
                <w:sz w:val="18"/>
                <w:szCs w:val="18"/>
              </w:rPr>
            </w:pPr>
            <w:r w:rsidRPr="00B745F0">
              <w:rPr>
                <w:rFonts w:eastAsia="Arial" w:cs="Arial"/>
                <w:sz w:val="18"/>
                <w:szCs w:val="18"/>
              </w:rPr>
              <w:t xml:space="preserve">Affordability and </w:t>
            </w:r>
            <w:r w:rsidR="00F2622B" w:rsidRPr="00B745F0">
              <w:rPr>
                <w:rFonts w:eastAsia="Arial" w:cs="Arial"/>
                <w:sz w:val="18"/>
                <w:szCs w:val="18"/>
              </w:rPr>
              <w:t>c</w:t>
            </w:r>
            <w:r w:rsidRPr="00B745F0">
              <w:rPr>
                <w:rFonts w:eastAsia="Arial" w:cs="Arial"/>
                <w:sz w:val="18"/>
                <w:szCs w:val="18"/>
              </w:rPr>
              <w:t xml:space="preserve">ost of </w:t>
            </w:r>
            <w:r w:rsidR="00F2622B" w:rsidRPr="00B745F0">
              <w:rPr>
                <w:rFonts w:eastAsia="Arial" w:cs="Arial"/>
                <w:sz w:val="18"/>
                <w:szCs w:val="18"/>
              </w:rPr>
              <w:t>l</w:t>
            </w:r>
            <w:r w:rsidRPr="00B745F0">
              <w:rPr>
                <w:rFonts w:eastAsia="Arial" w:cs="Arial"/>
                <w:sz w:val="18"/>
                <w:szCs w:val="18"/>
              </w:rPr>
              <w:t>iving</w:t>
            </w:r>
          </w:p>
        </w:tc>
        <w:tc>
          <w:tcPr>
            <w:tcW w:w="3277" w:type="dxa"/>
            <w:shd w:val="clear" w:color="auto" w:fill="F2F2F2" w:themeFill="background1" w:themeFillShade="F2"/>
            <w:tcMar>
              <w:top w:w="80" w:type="dxa"/>
              <w:left w:w="140" w:type="dxa"/>
              <w:bottom w:w="80" w:type="dxa"/>
              <w:right w:w="140" w:type="dxa"/>
            </w:tcMar>
            <w:vAlign w:val="center"/>
          </w:tcPr>
          <w:p w14:paraId="42A8AD64" w14:textId="727E5ED4" w:rsidR="00994361" w:rsidRPr="00701B6E" w:rsidRDefault="00994361" w:rsidP="00A02BDB">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Widespread housing cost burden (&gt;30% of income on shelter)</w:t>
            </w:r>
          </w:p>
          <w:p w14:paraId="5C109AC7" w14:textId="6B26BA61" w:rsidR="00994361" w:rsidRPr="00701B6E" w:rsidRDefault="00994361" w:rsidP="00A02BDB">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Hidden homelessness, overcrowding, and couch surfing on the rise</w:t>
            </w:r>
          </w:p>
          <w:p w14:paraId="040E9D76" w14:textId="1F767002" w:rsidR="00994361" w:rsidRPr="00701B6E" w:rsidRDefault="00994361" w:rsidP="00A02BDB">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Rising rents preventing savings for homeownership</w:t>
            </w:r>
          </w:p>
          <w:p w14:paraId="3FBB7130" w14:textId="42E6FEC1" w:rsidR="00994361" w:rsidRPr="00701B6E" w:rsidRDefault="00994361" w:rsidP="00A02BDB">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Housing instability affecting previously stable households</w:t>
            </w:r>
          </w:p>
        </w:tc>
        <w:tc>
          <w:tcPr>
            <w:tcW w:w="1995" w:type="dxa"/>
            <w:shd w:val="clear" w:color="auto" w:fill="F2F2F2" w:themeFill="background1" w:themeFillShade="F2"/>
            <w:tcMar>
              <w:top w:w="80" w:type="dxa"/>
              <w:left w:w="140" w:type="dxa"/>
              <w:bottom w:w="80" w:type="dxa"/>
              <w:right w:w="140" w:type="dxa"/>
            </w:tcMar>
            <w:vAlign w:val="center"/>
          </w:tcPr>
          <w:p w14:paraId="14F2168E" w14:textId="289E89C7" w:rsidR="00994361" w:rsidRPr="00701B6E" w:rsidRDefault="00994361" w:rsidP="00A02BD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Seniors</w:t>
            </w:r>
          </w:p>
          <w:p w14:paraId="26581071" w14:textId="5FEE647C" w:rsidR="00994361" w:rsidRPr="00701B6E" w:rsidRDefault="00994361" w:rsidP="00A02BD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Working households</w:t>
            </w:r>
          </w:p>
          <w:p w14:paraId="1B7B8423" w14:textId="1BA32CAF" w:rsidR="00994361" w:rsidRPr="00701B6E" w:rsidRDefault="00994361" w:rsidP="00A02BD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Newcomers</w:t>
            </w:r>
          </w:p>
          <w:p w14:paraId="6C88F852" w14:textId="3522C2D8" w:rsidR="00994361" w:rsidRPr="00701B6E" w:rsidRDefault="00994361" w:rsidP="00A02BDB">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Students</w:t>
            </w:r>
          </w:p>
        </w:tc>
        <w:tc>
          <w:tcPr>
            <w:tcW w:w="2525" w:type="dxa"/>
            <w:shd w:val="clear" w:color="auto" w:fill="F2F2F2" w:themeFill="background1" w:themeFillShade="F2"/>
            <w:tcMar>
              <w:top w:w="80" w:type="dxa"/>
              <w:left w:w="140" w:type="dxa"/>
              <w:bottom w:w="80" w:type="dxa"/>
              <w:right w:w="140" w:type="dxa"/>
            </w:tcMar>
            <w:vAlign w:val="center"/>
          </w:tcPr>
          <w:p w14:paraId="5DAB582D" w14:textId="77777777" w:rsidR="00994361" w:rsidRPr="00701B6E" w:rsidRDefault="00994361" w:rsidP="00F2622B">
            <w:pPr>
              <w:jc w:val="left"/>
              <w:rPr>
                <w:rFonts w:cs="Arial"/>
                <w:color w:val="C00000"/>
                <w:sz w:val="18"/>
                <w:szCs w:val="18"/>
              </w:rPr>
            </w:pPr>
            <w:r w:rsidRPr="00701B6E">
              <w:rPr>
                <w:rFonts w:eastAsia="Arial" w:cs="Arial"/>
                <w:color w:val="C00000"/>
                <w:sz w:val="18"/>
                <w:szCs w:val="18"/>
              </w:rPr>
              <w:t>Incomes and social assistance rates are increasingly out of step with housing costs, forcing difficult trade-offs and leaving households with little financial resilience.</w:t>
            </w:r>
          </w:p>
        </w:tc>
      </w:tr>
      <w:tr w:rsidR="00560BDE" w:rsidRPr="00B745F0" w14:paraId="29207AD5" w14:textId="77777777" w:rsidTr="00633D46">
        <w:tc>
          <w:tcPr>
            <w:tcW w:w="1563" w:type="dxa"/>
            <w:shd w:val="clear" w:color="auto" w:fill="FFFFFF"/>
            <w:tcMar>
              <w:top w:w="80" w:type="dxa"/>
              <w:left w:w="140" w:type="dxa"/>
              <w:bottom w:w="80" w:type="dxa"/>
              <w:right w:w="140" w:type="dxa"/>
            </w:tcMar>
            <w:vAlign w:val="center"/>
          </w:tcPr>
          <w:p w14:paraId="0D36D3A1" w14:textId="1BBB5E1B" w:rsidR="00994361" w:rsidRPr="00B745F0" w:rsidRDefault="00994361" w:rsidP="00F2622B">
            <w:pPr>
              <w:jc w:val="left"/>
              <w:rPr>
                <w:rFonts w:cs="Arial"/>
                <w:sz w:val="18"/>
                <w:szCs w:val="18"/>
              </w:rPr>
            </w:pPr>
            <w:r w:rsidRPr="00B745F0">
              <w:rPr>
                <w:rFonts w:eastAsia="Arial" w:cs="Arial"/>
                <w:sz w:val="18"/>
                <w:szCs w:val="18"/>
              </w:rPr>
              <w:t xml:space="preserve">Lack of </w:t>
            </w:r>
            <w:r w:rsidR="00D21D45" w:rsidRPr="00B745F0">
              <w:rPr>
                <w:rFonts w:eastAsia="Arial" w:cs="Arial"/>
                <w:sz w:val="18"/>
                <w:szCs w:val="18"/>
              </w:rPr>
              <w:t>a</w:t>
            </w:r>
            <w:r w:rsidRPr="00B745F0">
              <w:rPr>
                <w:rFonts w:eastAsia="Arial" w:cs="Arial"/>
                <w:sz w:val="18"/>
                <w:szCs w:val="18"/>
              </w:rPr>
              <w:t xml:space="preserve">ffordable and </w:t>
            </w:r>
            <w:r w:rsidR="00D21D45" w:rsidRPr="00B745F0">
              <w:rPr>
                <w:rFonts w:eastAsia="Arial" w:cs="Arial"/>
                <w:sz w:val="18"/>
                <w:szCs w:val="18"/>
              </w:rPr>
              <w:t>a</w:t>
            </w:r>
            <w:r w:rsidRPr="00B745F0">
              <w:rPr>
                <w:rFonts w:eastAsia="Arial" w:cs="Arial"/>
                <w:sz w:val="18"/>
                <w:szCs w:val="18"/>
              </w:rPr>
              <w:t xml:space="preserve">ppropriate </w:t>
            </w:r>
            <w:r w:rsidR="00D21D45" w:rsidRPr="00B745F0">
              <w:rPr>
                <w:rFonts w:eastAsia="Arial" w:cs="Arial"/>
                <w:sz w:val="18"/>
                <w:szCs w:val="18"/>
              </w:rPr>
              <w:t>h</w:t>
            </w:r>
            <w:r w:rsidRPr="00B745F0">
              <w:rPr>
                <w:rFonts w:eastAsia="Arial" w:cs="Arial"/>
                <w:sz w:val="18"/>
                <w:szCs w:val="18"/>
              </w:rPr>
              <w:t xml:space="preserve">ousing </w:t>
            </w:r>
            <w:r w:rsidR="00D21D45" w:rsidRPr="00B745F0">
              <w:rPr>
                <w:rFonts w:eastAsia="Arial" w:cs="Arial"/>
                <w:sz w:val="18"/>
                <w:szCs w:val="18"/>
              </w:rPr>
              <w:t>s</w:t>
            </w:r>
            <w:r w:rsidRPr="00B745F0">
              <w:rPr>
                <w:rFonts w:eastAsia="Arial" w:cs="Arial"/>
                <w:sz w:val="18"/>
                <w:szCs w:val="18"/>
              </w:rPr>
              <w:t>upply</w:t>
            </w:r>
          </w:p>
        </w:tc>
        <w:tc>
          <w:tcPr>
            <w:tcW w:w="3277" w:type="dxa"/>
            <w:shd w:val="clear" w:color="auto" w:fill="FFFFFF"/>
            <w:tcMar>
              <w:top w:w="80" w:type="dxa"/>
              <w:left w:w="140" w:type="dxa"/>
              <w:bottom w:w="80" w:type="dxa"/>
              <w:right w:w="140" w:type="dxa"/>
            </w:tcMar>
            <w:vAlign w:val="center"/>
          </w:tcPr>
          <w:p w14:paraId="0B618B01" w14:textId="75F65CD9" w:rsidR="00994361" w:rsidRPr="00701B6E" w:rsidRDefault="0059470C" w:rsidP="0059470C">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Province-wide a</w:t>
            </w:r>
            <w:r w:rsidR="00994361" w:rsidRPr="00701B6E">
              <w:rPr>
                <w:rFonts w:eastAsia="Arial" w:cs="Arial"/>
                <w:color w:val="C00000"/>
                <w:sz w:val="18"/>
                <w:szCs w:val="18"/>
              </w:rPr>
              <w:t>ffordable rental unit</w:t>
            </w:r>
            <w:r w:rsidRPr="00701B6E">
              <w:rPr>
                <w:rFonts w:eastAsia="Arial" w:cs="Arial"/>
                <w:color w:val="C00000"/>
                <w:sz w:val="18"/>
                <w:szCs w:val="18"/>
              </w:rPr>
              <w:t xml:space="preserve"> shortage </w:t>
            </w:r>
          </w:p>
          <w:p w14:paraId="381E4BBA" w14:textId="08140ACA"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New construction does not match community income levels</w:t>
            </w:r>
          </w:p>
          <w:p w14:paraId="7D4BF868" w14:textId="03EE9DB6"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Emergency shelters used as de facto long-term housing</w:t>
            </w:r>
          </w:p>
          <w:p w14:paraId="6685A5D0" w14:textId="7424F6AD" w:rsidR="00994361" w:rsidRPr="00701B6E" w:rsidRDefault="00994361" w:rsidP="00BA599B">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Insufficient supportive and deeply affordable options</w:t>
            </w:r>
          </w:p>
        </w:tc>
        <w:tc>
          <w:tcPr>
            <w:tcW w:w="1995" w:type="dxa"/>
            <w:shd w:val="clear" w:color="auto" w:fill="FFFFFF"/>
            <w:tcMar>
              <w:top w:w="80" w:type="dxa"/>
              <w:left w:w="140" w:type="dxa"/>
              <w:bottom w:w="80" w:type="dxa"/>
              <w:right w:w="140" w:type="dxa"/>
            </w:tcMar>
            <w:vAlign w:val="center"/>
          </w:tcPr>
          <w:p w14:paraId="30371C77" w14:textId="3E694C09"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Single adults</w:t>
            </w:r>
          </w:p>
          <w:p w14:paraId="4D4BDD64" w14:textId="4DF192BF"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Families (3</w:t>
            </w:r>
            <w:r w:rsidR="00C041AE" w:rsidRPr="00701B6E">
              <w:rPr>
                <w:rFonts w:eastAsia="Arial" w:cs="Arial"/>
                <w:color w:val="C00000"/>
                <w:sz w:val="18"/>
                <w:szCs w:val="18"/>
              </w:rPr>
              <w:noBreakHyphen/>
            </w:r>
            <w:r w:rsidRPr="00701B6E">
              <w:rPr>
                <w:rFonts w:eastAsia="Arial" w:cs="Arial"/>
                <w:color w:val="C00000"/>
                <w:sz w:val="18"/>
                <w:szCs w:val="18"/>
              </w:rPr>
              <w:t>bedroom need)</w:t>
            </w:r>
          </w:p>
          <w:p w14:paraId="72792F33" w14:textId="7C7D37E0"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Seniors and people with disabilities</w:t>
            </w:r>
          </w:p>
          <w:p w14:paraId="2E14AA9E" w14:textId="6AD586BB"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Rural residents</w:t>
            </w:r>
          </w:p>
        </w:tc>
        <w:tc>
          <w:tcPr>
            <w:tcW w:w="2525" w:type="dxa"/>
            <w:shd w:val="clear" w:color="auto" w:fill="FFFFFF"/>
            <w:tcMar>
              <w:top w:w="80" w:type="dxa"/>
              <w:left w:w="140" w:type="dxa"/>
              <w:bottom w:w="80" w:type="dxa"/>
              <w:right w:w="140" w:type="dxa"/>
            </w:tcMar>
            <w:vAlign w:val="center"/>
          </w:tcPr>
          <w:p w14:paraId="69E2493C" w14:textId="3E5E58B9" w:rsidR="00994361" w:rsidRPr="00701B6E" w:rsidRDefault="00994361" w:rsidP="00F2622B">
            <w:pPr>
              <w:jc w:val="left"/>
              <w:rPr>
                <w:rFonts w:cs="Arial"/>
                <w:color w:val="C00000"/>
                <w:sz w:val="18"/>
                <w:szCs w:val="18"/>
              </w:rPr>
            </w:pPr>
            <w:r w:rsidRPr="00701B6E">
              <w:rPr>
                <w:rFonts w:eastAsia="Arial" w:cs="Arial"/>
                <w:color w:val="C00000"/>
                <w:sz w:val="18"/>
                <w:szCs w:val="18"/>
              </w:rPr>
              <w:t>The housing supply gap is not simply quantitative</w:t>
            </w:r>
            <w:r w:rsidR="000062A7" w:rsidRPr="00701B6E">
              <w:rPr>
                <w:rFonts w:eastAsia="Arial" w:cs="Arial"/>
                <w:color w:val="C00000"/>
                <w:sz w:val="18"/>
                <w:szCs w:val="18"/>
              </w:rPr>
              <w:t>. I</w:t>
            </w:r>
            <w:r w:rsidRPr="00701B6E">
              <w:rPr>
                <w:rFonts w:eastAsia="Arial" w:cs="Arial"/>
                <w:color w:val="C00000"/>
                <w:sz w:val="18"/>
                <w:szCs w:val="18"/>
              </w:rPr>
              <w:t>t is a mismatch between what is built and what people can afford or need, leaving service providers with few placement options.</w:t>
            </w:r>
          </w:p>
        </w:tc>
      </w:tr>
      <w:tr w:rsidR="00560BDE" w:rsidRPr="00B745F0" w14:paraId="5E5FE2C4" w14:textId="77777777" w:rsidTr="006F135E">
        <w:tc>
          <w:tcPr>
            <w:tcW w:w="1563" w:type="dxa"/>
            <w:shd w:val="clear" w:color="auto" w:fill="F2F2F2" w:themeFill="background1" w:themeFillShade="F2"/>
            <w:tcMar>
              <w:top w:w="80" w:type="dxa"/>
              <w:left w:w="140" w:type="dxa"/>
              <w:bottom w:w="80" w:type="dxa"/>
              <w:right w:w="140" w:type="dxa"/>
            </w:tcMar>
            <w:vAlign w:val="center"/>
          </w:tcPr>
          <w:p w14:paraId="5E1516C4" w14:textId="1ECA0668" w:rsidR="00994361" w:rsidRPr="00B745F0" w:rsidRDefault="00994361" w:rsidP="00F2622B">
            <w:pPr>
              <w:jc w:val="left"/>
              <w:rPr>
                <w:rFonts w:cs="Arial"/>
                <w:sz w:val="18"/>
                <w:szCs w:val="18"/>
              </w:rPr>
            </w:pPr>
            <w:r w:rsidRPr="00B745F0">
              <w:rPr>
                <w:rFonts w:eastAsia="Arial" w:cs="Arial"/>
                <w:sz w:val="18"/>
                <w:szCs w:val="18"/>
              </w:rPr>
              <w:lastRenderedPageBreak/>
              <w:t xml:space="preserve">Supportive </w:t>
            </w:r>
            <w:r w:rsidR="00D21D45" w:rsidRPr="00B745F0">
              <w:rPr>
                <w:rFonts w:eastAsia="Arial" w:cs="Arial"/>
                <w:sz w:val="18"/>
                <w:szCs w:val="18"/>
              </w:rPr>
              <w:t>h</w:t>
            </w:r>
            <w:r w:rsidRPr="00B745F0">
              <w:rPr>
                <w:rFonts w:eastAsia="Arial" w:cs="Arial"/>
                <w:sz w:val="18"/>
                <w:szCs w:val="18"/>
              </w:rPr>
              <w:t xml:space="preserve">ousing and </w:t>
            </w:r>
            <w:r w:rsidR="00D21D45" w:rsidRPr="00B745F0">
              <w:rPr>
                <w:rFonts w:eastAsia="Arial" w:cs="Arial"/>
                <w:sz w:val="18"/>
                <w:szCs w:val="18"/>
              </w:rPr>
              <w:t>c</w:t>
            </w:r>
            <w:r w:rsidRPr="00B745F0">
              <w:rPr>
                <w:rFonts w:eastAsia="Arial" w:cs="Arial"/>
                <w:sz w:val="18"/>
                <w:szCs w:val="18"/>
              </w:rPr>
              <w:t xml:space="preserve">omplex </w:t>
            </w:r>
            <w:r w:rsidR="00D21D45" w:rsidRPr="00B745F0">
              <w:rPr>
                <w:rFonts w:eastAsia="Arial" w:cs="Arial"/>
                <w:sz w:val="18"/>
                <w:szCs w:val="18"/>
              </w:rPr>
              <w:t>n</w:t>
            </w:r>
            <w:r w:rsidRPr="00B745F0">
              <w:rPr>
                <w:rFonts w:eastAsia="Arial" w:cs="Arial"/>
                <w:sz w:val="18"/>
                <w:szCs w:val="18"/>
              </w:rPr>
              <w:t>eeds</w:t>
            </w:r>
          </w:p>
        </w:tc>
        <w:tc>
          <w:tcPr>
            <w:tcW w:w="3277" w:type="dxa"/>
            <w:shd w:val="clear" w:color="auto" w:fill="F2F2F2" w:themeFill="background1" w:themeFillShade="F2"/>
            <w:tcMar>
              <w:top w:w="80" w:type="dxa"/>
              <w:left w:w="140" w:type="dxa"/>
              <w:bottom w:w="80" w:type="dxa"/>
              <w:right w:w="140" w:type="dxa"/>
            </w:tcMar>
            <w:vAlign w:val="center"/>
          </w:tcPr>
          <w:p w14:paraId="6A1751CA" w14:textId="12756D65" w:rsidR="00994361" w:rsidRPr="00701B6E" w:rsidRDefault="00B707F5"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w:t>
            </w:r>
            <w:r w:rsidR="00994361" w:rsidRPr="00701B6E">
              <w:rPr>
                <w:rFonts w:eastAsia="Arial" w:cs="Arial"/>
                <w:color w:val="C00000"/>
                <w:sz w:val="18"/>
                <w:szCs w:val="18"/>
              </w:rPr>
              <w:t>ong-term supportive housing</w:t>
            </w:r>
            <w:r w:rsidRPr="00701B6E">
              <w:rPr>
                <w:rFonts w:eastAsia="Arial" w:cs="Arial"/>
                <w:color w:val="C00000"/>
                <w:sz w:val="18"/>
                <w:szCs w:val="18"/>
              </w:rPr>
              <w:t xml:space="preserve"> shortage</w:t>
            </w:r>
          </w:p>
          <w:p w14:paraId="1BA9A480" w14:textId="437A09AD"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System expects direct transitions from homelessness to independent living</w:t>
            </w:r>
          </w:p>
          <w:p w14:paraId="56188E7A" w14:textId="3BD21833"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Lack of 24/7 staffed, Housing First, and transitional models</w:t>
            </w:r>
          </w:p>
          <w:p w14:paraId="071EBF35" w14:textId="3236B8F9" w:rsidR="00994361" w:rsidRPr="00701B6E" w:rsidRDefault="00B707F5" w:rsidP="00BA599B">
            <w:pPr>
              <w:pStyle w:val="ListParagraph"/>
              <w:numPr>
                <w:ilvl w:val="0"/>
                <w:numId w:val="24"/>
              </w:numPr>
              <w:ind w:left="271" w:hanging="270"/>
              <w:jc w:val="left"/>
              <w:rPr>
                <w:rFonts w:cs="Arial"/>
                <w:color w:val="C00000"/>
                <w:sz w:val="18"/>
                <w:szCs w:val="18"/>
              </w:rPr>
            </w:pPr>
            <w:r w:rsidRPr="00701B6E">
              <w:rPr>
                <w:rFonts w:eastAsia="Arial" w:cs="Arial"/>
                <w:color w:val="C00000"/>
                <w:sz w:val="18"/>
                <w:szCs w:val="18"/>
              </w:rPr>
              <w:t>Mis</w:t>
            </w:r>
            <w:r w:rsidR="00994361" w:rsidRPr="00701B6E">
              <w:rPr>
                <w:rFonts w:eastAsia="Arial" w:cs="Arial"/>
                <w:color w:val="C00000"/>
                <w:sz w:val="18"/>
                <w:szCs w:val="18"/>
              </w:rPr>
              <w:t>alignment between housing, healthcare, and mental health systems</w:t>
            </w:r>
          </w:p>
        </w:tc>
        <w:tc>
          <w:tcPr>
            <w:tcW w:w="1995" w:type="dxa"/>
            <w:shd w:val="clear" w:color="auto" w:fill="F2F2F2" w:themeFill="background1" w:themeFillShade="F2"/>
            <w:tcMar>
              <w:top w:w="80" w:type="dxa"/>
              <w:left w:w="140" w:type="dxa"/>
              <w:bottom w:w="80" w:type="dxa"/>
              <w:right w:w="140" w:type="dxa"/>
            </w:tcMar>
            <w:vAlign w:val="center"/>
          </w:tcPr>
          <w:p w14:paraId="419A0269" w14:textId="1C9EA59A"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Individuals with mental health challenges</w:t>
            </w:r>
          </w:p>
          <w:p w14:paraId="4C5B4BCA" w14:textId="0D43CD8E"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People with addictions</w:t>
            </w:r>
          </w:p>
          <w:p w14:paraId="65774F76" w14:textId="7D31746F"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Trauma survivors</w:t>
            </w:r>
          </w:p>
          <w:p w14:paraId="2D303BDC" w14:textId="6D4CBAD6"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People with disabilities</w:t>
            </w:r>
          </w:p>
        </w:tc>
        <w:tc>
          <w:tcPr>
            <w:tcW w:w="2525" w:type="dxa"/>
            <w:shd w:val="clear" w:color="auto" w:fill="F2F2F2" w:themeFill="background1" w:themeFillShade="F2"/>
            <w:tcMar>
              <w:top w:w="80" w:type="dxa"/>
              <w:left w:w="140" w:type="dxa"/>
              <w:bottom w:w="80" w:type="dxa"/>
              <w:right w:w="140" w:type="dxa"/>
            </w:tcMar>
            <w:vAlign w:val="center"/>
          </w:tcPr>
          <w:p w14:paraId="2E75202B" w14:textId="21F9AE66" w:rsidR="00994361" w:rsidRPr="00701B6E" w:rsidRDefault="00994361" w:rsidP="00F2622B">
            <w:pPr>
              <w:jc w:val="left"/>
              <w:rPr>
                <w:rFonts w:cs="Arial"/>
                <w:color w:val="C00000"/>
                <w:sz w:val="18"/>
                <w:szCs w:val="18"/>
              </w:rPr>
            </w:pPr>
            <w:r w:rsidRPr="00701B6E">
              <w:rPr>
                <w:rFonts w:eastAsia="Arial" w:cs="Arial"/>
                <w:color w:val="C00000"/>
                <w:sz w:val="18"/>
                <w:szCs w:val="18"/>
              </w:rPr>
              <w:t xml:space="preserve">Many individuals cannot sustain independent living without ongoing supports. </w:t>
            </w:r>
            <w:r w:rsidR="00D7741B" w:rsidRPr="00701B6E">
              <w:rPr>
                <w:rFonts w:eastAsia="Arial" w:cs="Arial"/>
                <w:color w:val="C00000"/>
                <w:sz w:val="18"/>
                <w:szCs w:val="18"/>
              </w:rPr>
              <w:t>Missing</w:t>
            </w:r>
            <w:r w:rsidRPr="00701B6E">
              <w:rPr>
                <w:rFonts w:eastAsia="Arial" w:cs="Arial"/>
                <w:color w:val="C00000"/>
                <w:sz w:val="18"/>
                <w:szCs w:val="18"/>
              </w:rPr>
              <w:t xml:space="preserve"> intermediate housing options creates a structural gap that emergency shelters are </w:t>
            </w:r>
            <w:r w:rsidR="00D7741B" w:rsidRPr="00701B6E">
              <w:rPr>
                <w:rFonts w:eastAsia="Arial" w:cs="Arial"/>
                <w:color w:val="C00000"/>
                <w:sz w:val="18"/>
                <w:szCs w:val="18"/>
              </w:rPr>
              <w:t>not</w:t>
            </w:r>
            <w:r w:rsidRPr="00701B6E">
              <w:rPr>
                <w:rFonts w:eastAsia="Arial" w:cs="Arial"/>
                <w:color w:val="C00000"/>
                <w:sz w:val="18"/>
                <w:szCs w:val="18"/>
              </w:rPr>
              <w:t xml:space="preserve"> equipped to fill.</w:t>
            </w:r>
          </w:p>
        </w:tc>
      </w:tr>
      <w:tr w:rsidR="00560BDE" w:rsidRPr="00B745F0" w14:paraId="680CA88E" w14:textId="77777777" w:rsidTr="00633D46">
        <w:tc>
          <w:tcPr>
            <w:tcW w:w="1563" w:type="dxa"/>
            <w:shd w:val="clear" w:color="auto" w:fill="FFFFFF"/>
            <w:tcMar>
              <w:top w:w="80" w:type="dxa"/>
              <w:left w:w="140" w:type="dxa"/>
              <w:bottom w:w="80" w:type="dxa"/>
              <w:right w:w="140" w:type="dxa"/>
            </w:tcMar>
            <w:vAlign w:val="center"/>
          </w:tcPr>
          <w:p w14:paraId="1F8B6E8B" w14:textId="74DCC925" w:rsidR="00994361" w:rsidRPr="00B745F0" w:rsidRDefault="00994361" w:rsidP="00F2622B">
            <w:pPr>
              <w:jc w:val="left"/>
              <w:rPr>
                <w:rFonts w:cs="Arial"/>
                <w:sz w:val="18"/>
                <w:szCs w:val="18"/>
              </w:rPr>
            </w:pPr>
            <w:r w:rsidRPr="00B745F0">
              <w:rPr>
                <w:rFonts w:eastAsia="Arial" w:cs="Arial"/>
                <w:sz w:val="18"/>
                <w:szCs w:val="18"/>
              </w:rPr>
              <w:t xml:space="preserve">Mental </w:t>
            </w:r>
            <w:r w:rsidR="00D21D45" w:rsidRPr="00B745F0">
              <w:rPr>
                <w:rFonts w:eastAsia="Arial" w:cs="Arial"/>
                <w:sz w:val="18"/>
                <w:szCs w:val="18"/>
              </w:rPr>
              <w:t>h</w:t>
            </w:r>
            <w:r w:rsidRPr="00B745F0">
              <w:rPr>
                <w:rFonts w:eastAsia="Arial" w:cs="Arial"/>
                <w:sz w:val="18"/>
                <w:szCs w:val="18"/>
              </w:rPr>
              <w:t xml:space="preserve">ealth, </w:t>
            </w:r>
            <w:r w:rsidR="00D21D45" w:rsidRPr="00B745F0">
              <w:rPr>
                <w:rFonts w:eastAsia="Arial" w:cs="Arial"/>
                <w:sz w:val="18"/>
                <w:szCs w:val="18"/>
              </w:rPr>
              <w:t>a</w:t>
            </w:r>
            <w:r w:rsidRPr="00B745F0">
              <w:rPr>
                <w:rFonts w:eastAsia="Arial" w:cs="Arial"/>
                <w:sz w:val="18"/>
                <w:szCs w:val="18"/>
              </w:rPr>
              <w:t xml:space="preserve">ddictions, and </w:t>
            </w:r>
            <w:r w:rsidR="00D21D45" w:rsidRPr="00B745F0">
              <w:rPr>
                <w:rFonts w:eastAsia="Arial" w:cs="Arial"/>
                <w:sz w:val="18"/>
                <w:szCs w:val="18"/>
              </w:rPr>
              <w:t>h</w:t>
            </w:r>
            <w:r w:rsidRPr="00B745F0">
              <w:rPr>
                <w:rFonts w:eastAsia="Arial" w:cs="Arial"/>
                <w:sz w:val="18"/>
                <w:szCs w:val="18"/>
              </w:rPr>
              <w:t xml:space="preserve">ousing </w:t>
            </w:r>
            <w:r w:rsidR="00D21D45" w:rsidRPr="00B745F0">
              <w:rPr>
                <w:rFonts w:eastAsia="Arial" w:cs="Arial"/>
                <w:sz w:val="18"/>
                <w:szCs w:val="18"/>
              </w:rPr>
              <w:t>s</w:t>
            </w:r>
            <w:r w:rsidRPr="00B745F0">
              <w:rPr>
                <w:rFonts w:eastAsia="Arial" w:cs="Arial"/>
                <w:sz w:val="18"/>
                <w:szCs w:val="18"/>
              </w:rPr>
              <w:t>tability</w:t>
            </w:r>
          </w:p>
        </w:tc>
        <w:tc>
          <w:tcPr>
            <w:tcW w:w="3277" w:type="dxa"/>
            <w:shd w:val="clear" w:color="auto" w:fill="FFFFFF"/>
            <w:tcMar>
              <w:top w:w="80" w:type="dxa"/>
              <w:left w:w="140" w:type="dxa"/>
              <w:bottom w:w="80" w:type="dxa"/>
              <w:right w:w="140" w:type="dxa"/>
            </w:tcMar>
            <w:vAlign w:val="center"/>
          </w:tcPr>
          <w:p w14:paraId="431C8F35" w14:textId="13CCF545"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Housing insecurity is both a cause and a consequence of mental health crises</w:t>
            </w:r>
          </w:p>
          <w:p w14:paraId="39AEAD62" w14:textId="579BEC81"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Financial stress drives anxiety, depression, and family breakdown</w:t>
            </w:r>
          </w:p>
          <w:p w14:paraId="7D3E6D3A" w14:textId="5468E812"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People remain in unsafe situations due to lack of alternatives</w:t>
            </w:r>
          </w:p>
          <w:p w14:paraId="5EF14819" w14:textId="33DA2FCF"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High-acuity individuals excluded from housing due to stigma or requirements</w:t>
            </w:r>
          </w:p>
          <w:p w14:paraId="6967D500" w14:textId="63AD5B33" w:rsidR="00994361" w:rsidRPr="00701B6E" w:rsidRDefault="000A54CB"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Absence of</w:t>
            </w:r>
            <w:r w:rsidR="00994361" w:rsidRPr="00701B6E">
              <w:rPr>
                <w:rFonts w:eastAsia="Arial" w:cs="Arial"/>
                <w:color w:val="C00000"/>
                <w:sz w:val="18"/>
                <w:szCs w:val="18"/>
              </w:rPr>
              <w:t xml:space="preserve"> access to treatment, counselling, and crisis supports</w:t>
            </w:r>
            <w:r w:rsidRPr="00701B6E">
              <w:rPr>
                <w:rFonts w:eastAsia="Arial" w:cs="Arial"/>
                <w:color w:val="C00000"/>
                <w:sz w:val="18"/>
                <w:szCs w:val="18"/>
              </w:rPr>
              <w:t xml:space="preserve"> in rural areas</w:t>
            </w:r>
          </w:p>
        </w:tc>
        <w:tc>
          <w:tcPr>
            <w:tcW w:w="1995" w:type="dxa"/>
            <w:shd w:val="clear" w:color="auto" w:fill="FFFFFF"/>
            <w:tcMar>
              <w:top w:w="80" w:type="dxa"/>
              <w:left w:w="140" w:type="dxa"/>
              <w:bottom w:w="80" w:type="dxa"/>
              <w:right w:w="140" w:type="dxa"/>
            </w:tcMar>
            <w:vAlign w:val="center"/>
          </w:tcPr>
          <w:p w14:paraId="4F634CBF" w14:textId="33A88EF7"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Individuals with addictions</w:t>
            </w:r>
          </w:p>
          <w:p w14:paraId="2F841CDF" w14:textId="648170DF"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People with complex mental health needs</w:t>
            </w:r>
          </w:p>
          <w:p w14:paraId="7A54568C" w14:textId="54D3FE5E"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Rural residents</w:t>
            </w:r>
          </w:p>
          <w:p w14:paraId="10893A44" w14:textId="63D23071"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Those in unsafe or abusive housing</w:t>
            </w:r>
          </w:p>
        </w:tc>
        <w:tc>
          <w:tcPr>
            <w:tcW w:w="2525" w:type="dxa"/>
            <w:shd w:val="clear" w:color="auto" w:fill="FFFFFF"/>
            <w:tcMar>
              <w:top w:w="80" w:type="dxa"/>
              <w:left w:w="140" w:type="dxa"/>
              <w:bottom w:w="80" w:type="dxa"/>
              <w:right w:w="140" w:type="dxa"/>
            </w:tcMar>
            <w:vAlign w:val="center"/>
          </w:tcPr>
          <w:p w14:paraId="7B8CEA7D" w14:textId="1CF83A72" w:rsidR="00994361" w:rsidRPr="00701B6E" w:rsidRDefault="00994361" w:rsidP="00F2622B">
            <w:pPr>
              <w:jc w:val="left"/>
              <w:rPr>
                <w:rFonts w:cs="Arial"/>
                <w:color w:val="C00000"/>
                <w:sz w:val="18"/>
                <w:szCs w:val="18"/>
              </w:rPr>
            </w:pPr>
            <w:r w:rsidRPr="00701B6E">
              <w:rPr>
                <w:rFonts w:eastAsia="Arial" w:cs="Arial"/>
                <w:color w:val="C00000"/>
                <w:sz w:val="18"/>
                <w:szCs w:val="18"/>
              </w:rPr>
              <w:t xml:space="preserve">Safe, stable housing </w:t>
            </w:r>
            <w:r w:rsidR="00783E2C" w:rsidRPr="00701B6E">
              <w:rPr>
                <w:rFonts w:eastAsia="Arial" w:cs="Arial"/>
                <w:color w:val="C00000"/>
                <w:sz w:val="18"/>
                <w:szCs w:val="18"/>
              </w:rPr>
              <w:t>(</w:t>
            </w:r>
            <w:r w:rsidRPr="00701B6E">
              <w:rPr>
                <w:rFonts w:eastAsia="Arial" w:cs="Arial"/>
                <w:color w:val="C00000"/>
                <w:sz w:val="18"/>
                <w:szCs w:val="18"/>
              </w:rPr>
              <w:t>including for individuals who may not achieve full sobriety</w:t>
            </w:r>
            <w:r w:rsidR="00783E2C" w:rsidRPr="00701B6E">
              <w:rPr>
                <w:rFonts w:eastAsia="Arial" w:cs="Arial"/>
                <w:color w:val="C00000"/>
                <w:sz w:val="18"/>
                <w:szCs w:val="18"/>
              </w:rPr>
              <w:t>)</w:t>
            </w:r>
            <w:r w:rsidRPr="00701B6E">
              <w:rPr>
                <w:rFonts w:eastAsia="Arial" w:cs="Arial"/>
                <w:color w:val="C00000"/>
                <w:sz w:val="18"/>
                <w:szCs w:val="18"/>
              </w:rPr>
              <w:t xml:space="preserve"> is both a human right and a cost-effective way to improve health outcomes and reduce pressure on emergency services.</w:t>
            </w:r>
          </w:p>
        </w:tc>
      </w:tr>
      <w:tr w:rsidR="00560BDE" w:rsidRPr="00B745F0" w14:paraId="3EF6EEE6" w14:textId="77777777" w:rsidTr="006F135E">
        <w:tc>
          <w:tcPr>
            <w:tcW w:w="1563" w:type="dxa"/>
            <w:shd w:val="clear" w:color="auto" w:fill="F2F2F2" w:themeFill="background1" w:themeFillShade="F2"/>
            <w:tcMar>
              <w:top w:w="80" w:type="dxa"/>
              <w:left w:w="140" w:type="dxa"/>
              <w:bottom w:w="80" w:type="dxa"/>
              <w:right w:w="140" w:type="dxa"/>
            </w:tcMar>
            <w:vAlign w:val="center"/>
          </w:tcPr>
          <w:p w14:paraId="48AB4632" w14:textId="56DE5BFE" w:rsidR="00994361" w:rsidRPr="00B745F0" w:rsidRDefault="00994361" w:rsidP="00F2622B">
            <w:pPr>
              <w:jc w:val="left"/>
              <w:rPr>
                <w:rFonts w:cs="Arial"/>
                <w:sz w:val="18"/>
                <w:szCs w:val="18"/>
              </w:rPr>
            </w:pPr>
            <w:r w:rsidRPr="00B745F0">
              <w:rPr>
                <w:rFonts w:eastAsia="Arial" w:cs="Arial"/>
                <w:sz w:val="18"/>
                <w:szCs w:val="18"/>
              </w:rPr>
              <w:t xml:space="preserve">Transportation and </w:t>
            </w:r>
            <w:r w:rsidR="00D21D45" w:rsidRPr="00B745F0">
              <w:rPr>
                <w:rFonts w:eastAsia="Arial" w:cs="Arial"/>
                <w:sz w:val="18"/>
                <w:szCs w:val="18"/>
              </w:rPr>
              <w:t>r</w:t>
            </w:r>
            <w:r w:rsidRPr="00B745F0">
              <w:rPr>
                <w:rFonts w:eastAsia="Arial" w:cs="Arial"/>
                <w:sz w:val="18"/>
                <w:szCs w:val="18"/>
              </w:rPr>
              <w:t xml:space="preserve">ural </w:t>
            </w:r>
            <w:r w:rsidR="00D21D45" w:rsidRPr="00B745F0">
              <w:rPr>
                <w:rFonts w:eastAsia="Arial" w:cs="Arial"/>
                <w:sz w:val="18"/>
                <w:szCs w:val="18"/>
              </w:rPr>
              <w:t>s</w:t>
            </w:r>
            <w:r w:rsidRPr="00B745F0">
              <w:rPr>
                <w:rFonts w:eastAsia="Arial" w:cs="Arial"/>
                <w:sz w:val="18"/>
                <w:szCs w:val="18"/>
              </w:rPr>
              <w:t xml:space="preserve">ervice </w:t>
            </w:r>
            <w:r w:rsidR="00D21D45" w:rsidRPr="00B745F0">
              <w:rPr>
                <w:rFonts w:eastAsia="Arial" w:cs="Arial"/>
                <w:sz w:val="18"/>
                <w:szCs w:val="18"/>
              </w:rPr>
              <w:t>g</w:t>
            </w:r>
            <w:r w:rsidRPr="00B745F0">
              <w:rPr>
                <w:rFonts w:eastAsia="Arial" w:cs="Arial"/>
                <w:sz w:val="18"/>
                <w:szCs w:val="18"/>
              </w:rPr>
              <w:t>aps</w:t>
            </w:r>
          </w:p>
        </w:tc>
        <w:tc>
          <w:tcPr>
            <w:tcW w:w="3277" w:type="dxa"/>
            <w:shd w:val="clear" w:color="auto" w:fill="F2F2F2" w:themeFill="background1" w:themeFillShade="F2"/>
            <w:tcMar>
              <w:top w:w="80" w:type="dxa"/>
              <w:left w:w="140" w:type="dxa"/>
              <w:bottom w:w="80" w:type="dxa"/>
              <w:right w:w="140" w:type="dxa"/>
            </w:tcMar>
            <w:vAlign w:val="center"/>
          </w:tcPr>
          <w:p w14:paraId="6DB0DA9B" w14:textId="5EE85721" w:rsidR="00994361" w:rsidRPr="00701B6E" w:rsidRDefault="009B368F"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Absence</w:t>
            </w:r>
            <w:r w:rsidR="00994361" w:rsidRPr="00701B6E">
              <w:rPr>
                <w:rFonts w:eastAsia="Arial" w:cs="Arial"/>
                <w:color w:val="C00000"/>
                <w:sz w:val="18"/>
                <w:szCs w:val="18"/>
              </w:rPr>
              <w:t xml:space="preserve"> of reliable public transit limits access to employment and services</w:t>
            </w:r>
          </w:p>
          <w:p w14:paraId="34BF6279" w14:textId="4E29AEDB"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Support services concentrate</w:t>
            </w:r>
            <w:r w:rsidR="009B368F" w:rsidRPr="00701B6E">
              <w:rPr>
                <w:rFonts w:eastAsia="Arial" w:cs="Arial"/>
                <w:color w:val="C00000"/>
                <w:sz w:val="18"/>
                <w:szCs w:val="18"/>
              </w:rPr>
              <w:t xml:space="preserve"> </w:t>
            </w:r>
            <w:r w:rsidRPr="00701B6E">
              <w:rPr>
                <w:rFonts w:eastAsia="Arial" w:cs="Arial"/>
                <w:color w:val="C00000"/>
                <w:sz w:val="18"/>
                <w:szCs w:val="18"/>
              </w:rPr>
              <w:t>in Charlottetown, requiring relocation from rural areas</w:t>
            </w:r>
          </w:p>
          <w:p w14:paraId="2D3180AB" w14:textId="234147E7"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Rural housing extremely limited near major employment areas</w:t>
            </w:r>
          </w:p>
          <w:p w14:paraId="5F21E940" w14:textId="1A702816"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Dependency on employers or informal transportation arrangements</w:t>
            </w:r>
          </w:p>
        </w:tc>
        <w:tc>
          <w:tcPr>
            <w:tcW w:w="1995" w:type="dxa"/>
            <w:shd w:val="clear" w:color="auto" w:fill="F2F2F2" w:themeFill="background1" w:themeFillShade="F2"/>
            <w:tcMar>
              <w:top w:w="80" w:type="dxa"/>
              <w:left w:w="140" w:type="dxa"/>
              <w:bottom w:w="80" w:type="dxa"/>
              <w:right w:w="140" w:type="dxa"/>
            </w:tcMar>
            <w:vAlign w:val="center"/>
          </w:tcPr>
          <w:p w14:paraId="32FE20E1" w14:textId="37A2DD34"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 xml:space="preserve">Newcomers </w:t>
            </w:r>
            <w:r w:rsidR="002131A6" w:rsidRPr="00701B6E">
              <w:rPr>
                <w:rFonts w:eastAsia="Arial" w:cs="Arial"/>
                <w:color w:val="C00000"/>
                <w:sz w:val="18"/>
                <w:szCs w:val="18"/>
              </w:rPr>
              <w:t>/</w:t>
            </w:r>
            <w:r w:rsidRPr="00701B6E">
              <w:rPr>
                <w:rFonts w:eastAsia="Arial" w:cs="Arial"/>
                <w:color w:val="C00000"/>
                <w:sz w:val="18"/>
                <w:szCs w:val="18"/>
              </w:rPr>
              <w:t xml:space="preserve"> temporary foreign workers</w:t>
            </w:r>
          </w:p>
          <w:p w14:paraId="5A402F67" w14:textId="40251D9C"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Low-income residents</w:t>
            </w:r>
          </w:p>
          <w:p w14:paraId="6B677030" w14:textId="6AEDC289"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Rural residents</w:t>
            </w:r>
          </w:p>
          <w:p w14:paraId="7A47BF3F" w14:textId="3E4CEBF1"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People requiring healthcare or social services</w:t>
            </w:r>
          </w:p>
        </w:tc>
        <w:tc>
          <w:tcPr>
            <w:tcW w:w="2525" w:type="dxa"/>
            <w:shd w:val="clear" w:color="auto" w:fill="F2F2F2" w:themeFill="background1" w:themeFillShade="F2"/>
            <w:tcMar>
              <w:top w:w="80" w:type="dxa"/>
              <w:left w:w="140" w:type="dxa"/>
              <w:bottom w:w="80" w:type="dxa"/>
              <w:right w:w="140" w:type="dxa"/>
            </w:tcMar>
            <w:vAlign w:val="center"/>
          </w:tcPr>
          <w:p w14:paraId="2D80BD9D" w14:textId="7CE01DCF" w:rsidR="00994361" w:rsidRPr="00701B6E" w:rsidRDefault="00994361" w:rsidP="00F2622B">
            <w:pPr>
              <w:jc w:val="left"/>
              <w:rPr>
                <w:rFonts w:cs="Arial"/>
                <w:color w:val="C00000"/>
                <w:sz w:val="18"/>
                <w:szCs w:val="18"/>
              </w:rPr>
            </w:pPr>
            <w:r w:rsidRPr="00701B6E">
              <w:rPr>
                <w:rFonts w:eastAsia="Arial" w:cs="Arial"/>
                <w:color w:val="C00000"/>
                <w:sz w:val="18"/>
                <w:szCs w:val="18"/>
              </w:rPr>
              <w:t>Transportation is a cross-cutting barrier that limits access to housing opportunities, employment, and supports</w:t>
            </w:r>
            <w:r w:rsidR="00783E2C" w:rsidRPr="00701B6E">
              <w:rPr>
                <w:rFonts w:eastAsia="Arial" w:cs="Arial"/>
                <w:color w:val="C00000"/>
                <w:sz w:val="18"/>
                <w:szCs w:val="18"/>
              </w:rPr>
              <w:t>;</w:t>
            </w:r>
            <w:r w:rsidRPr="00701B6E">
              <w:rPr>
                <w:rFonts w:eastAsia="Arial" w:cs="Arial"/>
                <w:color w:val="C00000"/>
                <w:sz w:val="18"/>
                <w:szCs w:val="18"/>
              </w:rPr>
              <w:t xml:space="preserve"> particularly</w:t>
            </w:r>
            <w:r w:rsidR="00783E2C" w:rsidRPr="00701B6E">
              <w:rPr>
                <w:rFonts w:eastAsia="Arial" w:cs="Arial"/>
                <w:color w:val="C00000"/>
                <w:sz w:val="18"/>
                <w:szCs w:val="18"/>
              </w:rPr>
              <w:t>,</w:t>
            </w:r>
            <w:r w:rsidRPr="00701B6E">
              <w:rPr>
                <w:rFonts w:eastAsia="Arial" w:cs="Arial"/>
                <w:color w:val="C00000"/>
                <w:sz w:val="18"/>
                <w:szCs w:val="18"/>
              </w:rPr>
              <w:t xml:space="preserve"> for those in rural communities who are already underserved.</w:t>
            </w:r>
          </w:p>
        </w:tc>
      </w:tr>
      <w:tr w:rsidR="00560BDE" w:rsidRPr="00B745F0" w14:paraId="07EAFECF" w14:textId="77777777" w:rsidTr="00633D46">
        <w:tc>
          <w:tcPr>
            <w:tcW w:w="1563" w:type="dxa"/>
            <w:shd w:val="clear" w:color="auto" w:fill="FFFFFF"/>
            <w:tcMar>
              <w:top w:w="80" w:type="dxa"/>
              <w:left w:w="140" w:type="dxa"/>
              <w:bottom w:w="80" w:type="dxa"/>
              <w:right w:w="140" w:type="dxa"/>
            </w:tcMar>
            <w:vAlign w:val="center"/>
          </w:tcPr>
          <w:p w14:paraId="2237D69B" w14:textId="7D879C14" w:rsidR="00994361" w:rsidRPr="00B745F0" w:rsidRDefault="00994361" w:rsidP="00F2622B">
            <w:pPr>
              <w:jc w:val="left"/>
              <w:rPr>
                <w:rFonts w:cs="Arial"/>
                <w:sz w:val="18"/>
                <w:szCs w:val="18"/>
              </w:rPr>
            </w:pPr>
            <w:r w:rsidRPr="00B745F0">
              <w:rPr>
                <w:rFonts w:eastAsia="Arial" w:cs="Arial"/>
                <w:sz w:val="18"/>
                <w:szCs w:val="18"/>
              </w:rPr>
              <w:t xml:space="preserve">Tenant </w:t>
            </w:r>
            <w:r w:rsidR="00D21D45" w:rsidRPr="00B745F0">
              <w:rPr>
                <w:rFonts w:eastAsia="Arial" w:cs="Arial"/>
                <w:sz w:val="18"/>
                <w:szCs w:val="18"/>
              </w:rPr>
              <w:t>r</w:t>
            </w:r>
            <w:r w:rsidRPr="00B745F0">
              <w:rPr>
                <w:rFonts w:eastAsia="Arial" w:cs="Arial"/>
                <w:sz w:val="18"/>
                <w:szCs w:val="18"/>
              </w:rPr>
              <w:t xml:space="preserve">ights, </w:t>
            </w:r>
            <w:r w:rsidR="00D21D45" w:rsidRPr="00B745F0">
              <w:rPr>
                <w:rFonts w:eastAsia="Arial" w:cs="Arial"/>
                <w:sz w:val="18"/>
                <w:szCs w:val="18"/>
              </w:rPr>
              <w:t>e</w:t>
            </w:r>
            <w:r w:rsidRPr="00B745F0">
              <w:rPr>
                <w:rFonts w:eastAsia="Arial" w:cs="Arial"/>
                <w:sz w:val="18"/>
                <w:szCs w:val="18"/>
              </w:rPr>
              <w:t xml:space="preserve">victions, and </w:t>
            </w:r>
            <w:r w:rsidR="00D21D45" w:rsidRPr="00B745F0">
              <w:rPr>
                <w:rFonts w:eastAsia="Arial" w:cs="Arial"/>
                <w:sz w:val="18"/>
                <w:szCs w:val="18"/>
              </w:rPr>
              <w:t>h</w:t>
            </w:r>
            <w:r w:rsidRPr="00B745F0">
              <w:rPr>
                <w:rFonts w:eastAsia="Arial" w:cs="Arial"/>
                <w:sz w:val="18"/>
                <w:szCs w:val="18"/>
              </w:rPr>
              <w:t xml:space="preserve">ousing </w:t>
            </w:r>
            <w:r w:rsidR="00D21D45" w:rsidRPr="00B745F0">
              <w:rPr>
                <w:rFonts w:eastAsia="Arial" w:cs="Arial"/>
                <w:sz w:val="18"/>
                <w:szCs w:val="18"/>
              </w:rPr>
              <w:t>s</w:t>
            </w:r>
            <w:r w:rsidRPr="00B745F0">
              <w:rPr>
                <w:rFonts w:eastAsia="Arial" w:cs="Arial"/>
                <w:sz w:val="18"/>
                <w:szCs w:val="18"/>
              </w:rPr>
              <w:t>ecurity</w:t>
            </w:r>
          </w:p>
        </w:tc>
        <w:tc>
          <w:tcPr>
            <w:tcW w:w="3277" w:type="dxa"/>
            <w:shd w:val="clear" w:color="auto" w:fill="FFFFFF"/>
            <w:tcMar>
              <w:top w:w="80" w:type="dxa"/>
              <w:left w:w="140" w:type="dxa"/>
              <w:bottom w:w="80" w:type="dxa"/>
              <w:right w:w="140" w:type="dxa"/>
            </w:tcMar>
            <w:vAlign w:val="center"/>
          </w:tcPr>
          <w:p w14:paraId="5330C51C" w14:textId="5BBE8C30"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Increasing renovictions, own-use evictions, and condo conversions</w:t>
            </w:r>
          </w:p>
          <w:p w14:paraId="1106A3FB" w14:textId="3814F01E"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Illegal rent increases and inadequate maintenance enforcement</w:t>
            </w:r>
          </w:p>
          <w:p w14:paraId="46CDA1BC" w14:textId="164C9135"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Tenants unaware of their rights or unable to challenge illegal practices</w:t>
            </w:r>
          </w:p>
          <w:p w14:paraId="59C2830F" w14:textId="126B5DB9"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No rental registry; vacancy control difficult to enforce</w:t>
            </w:r>
          </w:p>
        </w:tc>
        <w:tc>
          <w:tcPr>
            <w:tcW w:w="1995" w:type="dxa"/>
            <w:shd w:val="clear" w:color="auto" w:fill="FFFFFF"/>
            <w:tcMar>
              <w:top w:w="80" w:type="dxa"/>
              <w:left w:w="140" w:type="dxa"/>
              <w:bottom w:w="80" w:type="dxa"/>
              <w:right w:w="140" w:type="dxa"/>
            </w:tcMar>
            <w:vAlign w:val="center"/>
          </w:tcPr>
          <w:p w14:paraId="162AC785" w14:textId="2804653A"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Students</w:t>
            </w:r>
          </w:p>
          <w:p w14:paraId="0234F078" w14:textId="4BAC3265"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Newcomers</w:t>
            </w:r>
          </w:p>
          <w:p w14:paraId="43F9D315" w14:textId="28161BBE"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Low-income households</w:t>
            </w:r>
          </w:p>
          <w:p w14:paraId="62239BE7" w14:textId="733313B3"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Social assistance recipients</w:t>
            </w:r>
          </w:p>
        </w:tc>
        <w:tc>
          <w:tcPr>
            <w:tcW w:w="2525" w:type="dxa"/>
            <w:shd w:val="clear" w:color="auto" w:fill="FFFFFF"/>
            <w:tcMar>
              <w:top w:w="80" w:type="dxa"/>
              <w:left w:w="140" w:type="dxa"/>
              <w:bottom w:w="80" w:type="dxa"/>
              <w:right w:w="140" w:type="dxa"/>
            </w:tcMar>
            <w:vAlign w:val="center"/>
          </w:tcPr>
          <w:p w14:paraId="0B20E482" w14:textId="2E7080CA" w:rsidR="00994361" w:rsidRPr="00701B6E" w:rsidRDefault="00994361" w:rsidP="00F2622B">
            <w:pPr>
              <w:jc w:val="left"/>
              <w:rPr>
                <w:rFonts w:cs="Arial"/>
                <w:color w:val="C00000"/>
                <w:sz w:val="18"/>
                <w:szCs w:val="18"/>
              </w:rPr>
            </w:pPr>
            <w:r w:rsidRPr="00701B6E">
              <w:rPr>
                <w:rFonts w:eastAsia="Arial" w:cs="Arial"/>
                <w:color w:val="C00000"/>
                <w:sz w:val="18"/>
                <w:szCs w:val="18"/>
              </w:rPr>
              <w:t xml:space="preserve">Structural weaknesses in tenant protection </w:t>
            </w:r>
            <w:r w:rsidR="003F6FBC" w:rsidRPr="00701B6E">
              <w:rPr>
                <w:rFonts w:eastAsia="Arial" w:cs="Arial"/>
                <w:color w:val="C00000"/>
                <w:sz w:val="18"/>
                <w:szCs w:val="18"/>
              </w:rPr>
              <w:t>(</w:t>
            </w:r>
            <w:r w:rsidRPr="00701B6E">
              <w:rPr>
                <w:rFonts w:eastAsia="Arial" w:cs="Arial"/>
                <w:color w:val="C00000"/>
                <w:sz w:val="18"/>
                <w:szCs w:val="18"/>
              </w:rPr>
              <w:t>including limited enforcement capacity and low awareness of rights</w:t>
            </w:r>
            <w:r w:rsidR="003F6FBC" w:rsidRPr="00701B6E">
              <w:rPr>
                <w:rFonts w:eastAsia="Arial" w:cs="Arial"/>
                <w:color w:val="C00000"/>
                <w:sz w:val="18"/>
                <w:szCs w:val="18"/>
              </w:rPr>
              <w:t>)</w:t>
            </w:r>
            <w:r w:rsidRPr="00701B6E">
              <w:rPr>
                <w:rFonts w:eastAsia="Arial" w:cs="Arial"/>
                <w:color w:val="C00000"/>
                <w:sz w:val="18"/>
                <w:szCs w:val="18"/>
              </w:rPr>
              <w:t xml:space="preserve"> leave vulnerable renters exposed to displacement and illegal practices.</w:t>
            </w:r>
          </w:p>
        </w:tc>
      </w:tr>
      <w:tr w:rsidR="00560BDE" w:rsidRPr="00B745F0" w14:paraId="0FEA18A2" w14:textId="77777777" w:rsidTr="006F135E">
        <w:tc>
          <w:tcPr>
            <w:tcW w:w="1563" w:type="dxa"/>
            <w:shd w:val="clear" w:color="auto" w:fill="F2F2F2" w:themeFill="background1" w:themeFillShade="F2"/>
            <w:tcMar>
              <w:top w:w="80" w:type="dxa"/>
              <w:left w:w="140" w:type="dxa"/>
              <w:bottom w:w="80" w:type="dxa"/>
              <w:right w:w="140" w:type="dxa"/>
            </w:tcMar>
            <w:vAlign w:val="center"/>
          </w:tcPr>
          <w:p w14:paraId="5D3E0BC9" w14:textId="3C1B5B8E" w:rsidR="00994361" w:rsidRPr="00B745F0" w:rsidRDefault="00994361" w:rsidP="00F2622B">
            <w:pPr>
              <w:jc w:val="left"/>
              <w:rPr>
                <w:rFonts w:cs="Arial"/>
                <w:sz w:val="18"/>
                <w:szCs w:val="18"/>
              </w:rPr>
            </w:pPr>
            <w:r w:rsidRPr="00B745F0">
              <w:rPr>
                <w:rFonts w:eastAsia="Arial" w:cs="Arial"/>
                <w:sz w:val="18"/>
                <w:szCs w:val="18"/>
              </w:rPr>
              <w:lastRenderedPageBreak/>
              <w:t xml:space="preserve">Newcomers, </w:t>
            </w:r>
            <w:r w:rsidR="00765A50" w:rsidRPr="00B745F0">
              <w:rPr>
                <w:rFonts w:eastAsia="Arial" w:cs="Arial"/>
                <w:sz w:val="18"/>
                <w:szCs w:val="18"/>
              </w:rPr>
              <w:t>t</w:t>
            </w:r>
            <w:r w:rsidRPr="00B745F0">
              <w:rPr>
                <w:rFonts w:eastAsia="Arial" w:cs="Arial"/>
                <w:sz w:val="18"/>
                <w:szCs w:val="18"/>
              </w:rPr>
              <w:t xml:space="preserve">emporary </w:t>
            </w:r>
            <w:r w:rsidR="00765A50" w:rsidRPr="00B745F0">
              <w:rPr>
                <w:rFonts w:eastAsia="Arial" w:cs="Arial"/>
                <w:sz w:val="18"/>
                <w:szCs w:val="18"/>
              </w:rPr>
              <w:t>f</w:t>
            </w:r>
            <w:r w:rsidRPr="00B745F0">
              <w:rPr>
                <w:rFonts w:eastAsia="Arial" w:cs="Arial"/>
                <w:sz w:val="18"/>
                <w:szCs w:val="18"/>
              </w:rPr>
              <w:t xml:space="preserve">oreign </w:t>
            </w:r>
            <w:r w:rsidR="00765A50" w:rsidRPr="00B745F0">
              <w:rPr>
                <w:rFonts w:eastAsia="Arial" w:cs="Arial"/>
                <w:sz w:val="18"/>
                <w:szCs w:val="18"/>
              </w:rPr>
              <w:t>w</w:t>
            </w:r>
            <w:r w:rsidRPr="00B745F0">
              <w:rPr>
                <w:rFonts w:eastAsia="Arial" w:cs="Arial"/>
                <w:sz w:val="18"/>
                <w:szCs w:val="18"/>
              </w:rPr>
              <w:t xml:space="preserve">orkers, and </w:t>
            </w:r>
            <w:r w:rsidR="00765A50" w:rsidRPr="00B745F0">
              <w:rPr>
                <w:rFonts w:eastAsia="Arial" w:cs="Arial"/>
                <w:sz w:val="18"/>
                <w:szCs w:val="18"/>
              </w:rPr>
              <w:t>i</w:t>
            </w:r>
            <w:r w:rsidRPr="00B745F0">
              <w:rPr>
                <w:rFonts w:eastAsia="Arial" w:cs="Arial"/>
                <w:sz w:val="18"/>
                <w:szCs w:val="18"/>
              </w:rPr>
              <w:t xml:space="preserve">nternational </w:t>
            </w:r>
            <w:r w:rsidR="00765A50" w:rsidRPr="00B745F0">
              <w:rPr>
                <w:rFonts w:eastAsia="Arial" w:cs="Arial"/>
                <w:sz w:val="18"/>
                <w:szCs w:val="18"/>
              </w:rPr>
              <w:t>s</w:t>
            </w:r>
            <w:r w:rsidRPr="00B745F0">
              <w:rPr>
                <w:rFonts w:eastAsia="Arial" w:cs="Arial"/>
                <w:sz w:val="18"/>
                <w:szCs w:val="18"/>
              </w:rPr>
              <w:t>tudents</w:t>
            </w:r>
          </w:p>
        </w:tc>
        <w:tc>
          <w:tcPr>
            <w:tcW w:w="3277" w:type="dxa"/>
            <w:shd w:val="clear" w:color="auto" w:fill="F2F2F2" w:themeFill="background1" w:themeFillShade="F2"/>
            <w:tcMar>
              <w:top w:w="80" w:type="dxa"/>
              <w:left w:w="140" w:type="dxa"/>
              <w:bottom w:w="80" w:type="dxa"/>
              <w:right w:w="140" w:type="dxa"/>
            </w:tcMar>
            <w:vAlign w:val="center"/>
          </w:tcPr>
          <w:p w14:paraId="30570DE4" w14:textId="3BF72FEA"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Overcrowded or unsafe employer-provided housing</w:t>
            </w:r>
          </w:p>
          <w:p w14:paraId="16BC9E93" w14:textId="14F5F635"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Lack of family-sized units and rural housing options</w:t>
            </w:r>
          </w:p>
          <w:p w14:paraId="5D1C3076" w14:textId="3AF30CB2"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Fear of jeopardizing immigration status prevents complaints</w:t>
            </w:r>
          </w:p>
          <w:p w14:paraId="1D7C0E83" w14:textId="193AE068"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Rental fraud, food insecurity, and limited legal supports for students</w:t>
            </w:r>
          </w:p>
        </w:tc>
        <w:tc>
          <w:tcPr>
            <w:tcW w:w="1995" w:type="dxa"/>
            <w:shd w:val="clear" w:color="auto" w:fill="F2F2F2" w:themeFill="background1" w:themeFillShade="F2"/>
            <w:tcMar>
              <w:top w:w="80" w:type="dxa"/>
              <w:left w:w="140" w:type="dxa"/>
              <w:bottom w:w="80" w:type="dxa"/>
              <w:right w:w="140" w:type="dxa"/>
            </w:tcMar>
            <w:vAlign w:val="center"/>
          </w:tcPr>
          <w:p w14:paraId="3B4583CB" w14:textId="0987A567"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Temporary foreign workers</w:t>
            </w:r>
          </w:p>
          <w:p w14:paraId="74DDD22B" w14:textId="2B39CCA8"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Newcomer families</w:t>
            </w:r>
          </w:p>
          <w:p w14:paraId="7CD4AA23" w14:textId="636D251E"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International students</w:t>
            </w:r>
          </w:p>
          <w:p w14:paraId="058FFDED" w14:textId="6D35D2CD"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Rural agricultural and fish plant workers</w:t>
            </w:r>
          </w:p>
        </w:tc>
        <w:tc>
          <w:tcPr>
            <w:tcW w:w="2525" w:type="dxa"/>
            <w:shd w:val="clear" w:color="auto" w:fill="F2F2F2" w:themeFill="background1" w:themeFillShade="F2"/>
            <w:tcMar>
              <w:top w:w="80" w:type="dxa"/>
              <w:left w:w="140" w:type="dxa"/>
              <w:bottom w:w="80" w:type="dxa"/>
              <w:right w:w="140" w:type="dxa"/>
            </w:tcMar>
            <w:vAlign w:val="center"/>
          </w:tcPr>
          <w:p w14:paraId="000D0E4C" w14:textId="4E0BFC9A" w:rsidR="00994361" w:rsidRPr="00701B6E" w:rsidRDefault="00994361" w:rsidP="00F2622B">
            <w:pPr>
              <w:jc w:val="left"/>
              <w:rPr>
                <w:rFonts w:cs="Arial"/>
                <w:color w:val="C00000"/>
                <w:sz w:val="18"/>
                <w:szCs w:val="18"/>
              </w:rPr>
            </w:pPr>
            <w:r w:rsidRPr="00701B6E">
              <w:rPr>
                <w:rFonts w:eastAsia="Arial" w:cs="Arial"/>
                <w:color w:val="C00000"/>
                <w:sz w:val="18"/>
                <w:szCs w:val="18"/>
              </w:rPr>
              <w:t xml:space="preserve">Newcomers and temporary workers face compounded vulnerabilities </w:t>
            </w:r>
            <w:r w:rsidR="00AD3694" w:rsidRPr="00701B6E">
              <w:rPr>
                <w:rFonts w:eastAsia="Arial" w:cs="Arial"/>
                <w:color w:val="C00000"/>
                <w:sz w:val="18"/>
                <w:szCs w:val="18"/>
              </w:rPr>
              <w:t xml:space="preserve">(e.g., </w:t>
            </w:r>
            <w:r w:rsidRPr="00701B6E">
              <w:rPr>
                <w:rFonts w:eastAsia="Arial" w:cs="Arial"/>
                <w:color w:val="C00000"/>
                <w:sz w:val="18"/>
                <w:szCs w:val="18"/>
              </w:rPr>
              <w:t>limited rights knowledge, transportation dependency, and precarious immigration status</w:t>
            </w:r>
            <w:r w:rsidR="00AD3694" w:rsidRPr="00701B6E">
              <w:rPr>
                <w:rFonts w:eastAsia="Arial" w:cs="Arial"/>
                <w:color w:val="C00000"/>
                <w:sz w:val="18"/>
                <w:szCs w:val="18"/>
              </w:rPr>
              <w:t>),</w:t>
            </w:r>
            <w:r w:rsidRPr="00701B6E">
              <w:rPr>
                <w:rFonts w:eastAsia="Arial" w:cs="Arial"/>
                <w:color w:val="C00000"/>
                <w:sz w:val="18"/>
                <w:szCs w:val="18"/>
              </w:rPr>
              <w:t xml:space="preserve"> making them especially susceptible to exploitation and housing instability.</w:t>
            </w:r>
          </w:p>
        </w:tc>
      </w:tr>
      <w:tr w:rsidR="00560BDE" w:rsidRPr="00B745F0" w14:paraId="06B26FB9" w14:textId="77777777" w:rsidTr="00633D46">
        <w:tc>
          <w:tcPr>
            <w:tcW w:w="1563" w:type="dxa"/>
            <w:shd w:val="clear" w:color="auto" w:fill="FFFFFF"/>
            <w:tcMar>
              <w:top w:w="80" w:type="dxa"/>
              <w:left w:w="140" w:type="dxa"/>
              <w:bottom w:w="80" w:type="dxa"/>
              <w:right w:w="140" w:type="dxa"/>
            </w:tcMar>
            <w:vAlign w:val="center"/>
          </w:tcPr>
          <w:p w14:paraId="22BFB9F9" w14:textId="65EAF949" w:rsidR="00994361" w:rsidRPr="00B745F0" w:rsidRDefault="00994361" w:rsidP="00F2622B">
            <w:pPr>
              <w:jc w:val="left"/>
              <w:rPr>
                <w:rFonts w:cs="Arial"/>
                <w:sz w:val="18"/>
                <w:szCs w:val="18"/>
              </w:rPr>
            </w:pPr>
            <w:r w:rsidRPr="00B745F0">
              <w:rPr>
                <w:rFonts w:eastAsia="Arial" w:cs="Arial"/>
                <w:sz w:val="18"/>
                <w:szCs w:val="18"/>
              </w:rPr>
              <w:t xml:space="preserve">Indigenous </w:t>
            </w:r>
            <w:r w:rsidR="00765A50" w:rsidRPr="00B745F0">
              <w:rPr>
                <w:rFonts w:eastAsia="Arial" w:cs="Arial"/>
                <w:sz w:val="18"/>
                <w:szCs w:val="18"/>
              </w:rPr>
              <w:t>h</w:t>
            </w:r>
            <w:r w:rsidRPr="00B745F0">
              <w:rPr>
                <w:rFonts w:eastAsia="Arial" w:cs="Arial"/>
                <w:sz w:val="18"/>
                <w:szCs w:val="18"/>
              </w:rPr>
              <w:t xml:space="preserve">ousing </w:t>
            </w:r>
            <w:r w:rsidR="00765A50" w:rsidRPr="00B745F0">
              <w:rPr>
                <w:rFonts w:eastAsia="Arial" w:cs="Arial"/>
                <w:sz w:val="18"/>
                <w:szCs w:val="18"/>
              </w:rPr>
              <w:t>n</w:t>
            </w:r>
            <w:r w:rsidRPr="00B745F0">
              <w:rPr>
                <w:rFonts w:eastAsia="Arial" w:cs="Arial"/>
                <w:sz w:val="18"/>
                <w:szCs w:val="18"/>
              </w:rPr>
              <w:t>eeds</w:t>
            </w:r>
          </w:p>
        </w:tc>
        <w:tc>
          <w:tcPr>
            <w:tcW w:w="3277" w:type="dxa"/>
            <w:shd w:val="clear" w:color="auto" w:fill="FFFFFF"/>
            <w:tcMar>
              <w:top w:w="80" w:type="dxa"/>
              <w:left w:w="140" w:type="dxa"/>
              <w:bottom w:w="80" w:type="dxa"/>
              <w:right w:w="140" w:type="dxa"/>
            </w:tcMar>
            <w:vAlign w:val="center"/>
          </w:tcPr>
          <w:p w14:paraId="304E52A7" w14:textId="16328FAF" w:rsidR="00994361" w:rsidRPr="00701B6E" w:rsidRDefault="00AD3694"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Substantial</w:t>
            </w:r>
            <w:r w:rsidR="00994361" w:rsidRPr="00701B6E">
              <w:rPr>
                <w:rFonts w:eastAsia="Arial" w:cs="Arial"/>
                <w:color w:val="C00000"/>
                <w:sz w:val="18"/>
                <w:szCs w:val="18"/>
              </w:rPr>
              <w:t xml:space="preserve"> housing shortages both on- and off-reserve</w:t>
            </w:r>
          </w:p>
          <w:p w14:paraId="47C5A616" w14:textId="11D50C39"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Lack of safe, affordable options for those leaving shelters or unsafe situations</w:t>
            </w:r>
          </w:p>
          <w:p w14:paraId="04817688" w14:textId="3542AA72"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Systemic gaps in mental health, addictions, and supportive housing for Indigenous communities</w:t>
            </w:r>
          </w:p>
        </w:tc>
        <w:tc>
          <w:tcPr>
            <w:tcW w:w="1995" w:type="dxa"/>
            <w:shd w:val="clear" w:color="auto" w:fill="FFFFFF"/>
            <w:tcMar>
              <w:top w:w="80" w:type="dxa"/>
              <w:left w:w="140" w:type="dxa"/>
              <w:bottom w:w="80" w:type="dxa"/>
              <w:right w:w="140" w:type="dxa"/>
            </w:tcMar>
            <w:vAlign w:val="center"/>
          </w:tcPr>
          <w:p w14:paraId="75ACFF64" w14:textId="4DD9D986" w:rsidR="00994361" w:rsidRPr="00701B6E" w:rsidRDefault="00AD3694"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Indigenous</w:t>
            </w:r>
            <w:r w:rsidR="00994361" w:rsidRPr="00701B6E">
              <w:rPr>
                <w:rFonts w:eastAsia="Arial" w:cs="Arial"/>
                <w:color w:val="C00000"/>
                <w:sz w:val="18"/>
                <w:szCs w:val="18"/>
              </w:rPr>
              <w:t xml:space="preserve"> community members</w:t>
            </w:r>
          </w:p>
          <w:p w14:paraId="08CEA42E" w14:textId="1F4B881E"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Indigenous individuals in shelters</w:t>
            </w:r>
          </w:p>
          <w:p w14:paraId="7A7D2E22" w14:textId="2FB19CB3"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Indigenous people with complex needs</w:t>
            </w:r>
          </w:p>
        </w:tc>
        <w:tc>
          <w:tcPr>
            <w:tcW w:w="2525" w:type="dxa"/>
            <w:shd w:val="clear" w:color="auto" w:fill="FFFFFF"/>
            <w:tcMar>
              <w:top w:w="80" w:type="dxa"/>
              <w:left w:w="140" w:type="dxa"/>
              <w:bottom w:w="80" w:type="dxa"/>
              <w:right w:w="140" w:type="dxa"/>
            </w:tcMar>
            <w:vAlign w:val="center"/>
          </w:tcPr>
          <w:p w14:paraId="2F5FBBC0" w14:textId="77777777" w:rsidR="00994361" w:rsidRPr="00701B6E" w:rsidRDefault="00994361" w:rsidP="00F2622B">
            <w:pPr>
              <w:jc w:val="left"/>
              <w:rPr>
                <w:rFonts w:cs="Arial"/>
                <w:color w:val="C00000"/>
                <w:sz w:val="18"/>
                <w:szCs w:val="18"/>
              </w:rPr>
            </w:pPr>
            <w:r w:rsidRPr="00701B6E">
              <w:rPr>
                <w:rFonts w:eastAsia="Arial" w:cs="Arial"/>
                <w:color w:val="C00000"/>
                <w:sz w:val="18"/>
                <w:szCs w:val="18"/>
              </w:rPr>
              <w:t>Indigenous housing needs require culturally appropriate, community-centred responses that address both immediate supply shortfalls and broader systemic gaps in health and social supports.</w:t>
            </w:r>
          </w:p>
        </w:tc>
      </w:tr>
      <w:tr w:rsidR="00560BDE" w:rsidRPr="00B745F0" w14:paraId="73511082" w14:textId="77777777" w:rsidTr="006F135E">
        <w:tc>
          <w:tcPr>
            <w:tcW w:w="1563" w:type="dxa"/>
            <w:shd w:val="clear" w:color="auto" w:fill="F2F2F2" w:themeFill="background1" w:themeFillShade="F2"/>
            <w:tcMar>
              <w:top w:w="80" w:type="dxa"/>
              <w:left w:w="140" w:type="dxa"/>
              <w:bottom w:w="80" w:type="dxa"/>
              <w:right w:w="140" w:type="dxa"/>
            </w:tcMar>
            <w:vAlign w:val="center"/>
          </w:tcPr>
          <w:p w14:paraId="0674BDD0" w14:textId="21C2337F" w:rsidR="00994361" w:rsidRPr="00B745F0" w:rsidRDefault="00994361" w:rsidP="00F2622B">
            <w:pPr>
              <w:jc w:val="left"/>
              <w:rPr>
                <w:rFonts w:cs="Arial"/>
                <w:sz w:val="18"/>
                <w:szCs w:val="18"/>
              </w:rPr>
            </w:pPr>
            <w:r w:rsidRPr="00B745F0">
              <w:rPr>
                <w:rFonts w:eastAsia="Arial" w:cs="Arial"/>
                <w:sz w:val="18"/>
                <w:szCs w:val="18"/>
              </w:rPr>
              <w:t xml:space="preserve">Housing and </w:t>
            </w:r>
            <w:r w:rsidR="00765A50" w:rsidRPr="00B745F0">
              <w:rPr>
                <w:rFonts w:eastAsia="Arial" w:cs="Arial"/>
                <w:sz w:val="18"/>
                <w:szCs w:val="18"/>
              </w:rPr>
              <w:t>v</w:t>
            </w:r>
            <w:r w:rsidRPr="00B745F0">
              <w:rPr>
                <w:rFonts w:eastAsia="Arial" w:cs="Arial"/>
                <w:sz w:val="18"/>
                <w:szCs w:val="18"/>
              </w:rPr>
              <w:t>ulnerable P</w:t>
            </w:r>
            <w:r w:rsidR="00BA599B" w:rsidRPr="00B745F0">
              <w:rPr>
                <w:rFonts w:eastAsia="Arial" w:cs="Arial"/>
                <w:sz w:val="18"/>
                <w:szCs w:val="18"/>
              </w:rPr>
              <w:t>o</w:t>
            </w:r>
            <w:r w:rsidRPr="00B745F0">
              <w:rPr>
                <w:rFonts w:eastAsia="Arial" w:cs="Arial"/>
                <w:sz w:val="18"/>
                <w:szCs w:val="18"/>
              </w:rPr>
              <w:t>pulations</w:t>
            </w:r>
          </w:p>
        </w:tc>
        <w:tc>
          <w:tcPr>
            <w:tcW w:w="3277" w:type="dxa"/>
            <w:shd w:val="clear" w:color="auto" w:fill="F2F2F2" w:themeFill="background1" w:themeFillShade="F2"/>
            <w:tcMar>
              <w:top w:w="80" w:type="dxa"/>
              <w:left w:w="140" w:type="dxa"/>
              <w:bottom w:w="80" w:type="dxa"/>
              <w:right w:w="140" w:type="dxa"/>
            </w:tcMar>
            <w:vAlign w:val="center"/>
          </w:tcPr>
          <w:p w14:paraId="47A2917B" w14:textId="5991A9AF"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Housing challenges disproportionately affect multiple overlapping vulnerable groups</w:t>
            </w:r>
          </w:p>
          <w:p w14:paraId="42B3E902" w14:textId="44278959"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Housing instability intersects with poverty, food insecurity, healthcare access, and public safety</w:t>
            </w:r>
          </w:p>
          <w:p w14:paraId="0AFEDCF4" w14:textId="3BCCEEF4" w:rsidR="00994361" w:rsidRPr="00701B6E" w:rsidRDefault="00994361" w:rsidP="00BA599B">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Social isolation compounds housing precarity for many groups</w:t>
            </w:r>
          </w:p>
        </w:tc>
        <w:tc>
          <w:tcPr>
            <w:tcW w:w="1995" w:type="dxa"/>
            <w:shd w:val="clear" w:color="auto" w:fill="F2F2F2" w:themeFill="background1" w:themeFillShade="F2"/>
            <w:tcMar>
              <w:top w:w="80" w:type="dxa"/>
              <w:left w:w="140" w:type="dxa"/>
              <w:bottom w:w="80" w:type="dxa"/>
              <w:right w:w="140" w:type="dxa"/>
            </w:tcMar>
            <w:vAlign w:val="center"/>
          </w:tcPr>
          <w:p w14:paraId="6E6F2D57" w14:textId="4BD5428A"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People experiencing homelessness</w:t>
            </w:r>
          </w:p>
          <w:p w14:paraId="3A2B655B" w14:textId="4F6674DC"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Domestic violence survivors</w:t>
            </w:r>
          </w:p>
          <w:p w14:paraId="2DDC2C8D" w14:textId="289DF5C3"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Youth aging out of care</w:t>
            </w:r>
          </w:p>
          <w:p w14:paraId="72A5E48D" w14:textId="4EEA0B83"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LGBTQ+ individuals</w:t>
            </w:r>
          </w:p>
          <w:p w14:paraId="613DF26D" w14:textId="03C879FC"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People with disabilities</w:t>
            </w:r>
          </w:p>
          <w:p w14:paraId="208A2D85" w14:textId="3CFC6069" w:rsidR="00994361" w:rsidRPr="00701B6E" w:rsidRDefault="00994361" w:rsidP="00311FA9">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Seniors</w:t>
            </w:r>
          </w:p>
        </w:tc>
        <w:tc>
          <w:tcPr>
            <w:tcW w:w="2525" w:type="dxa"/>
            <w:shd w:val="clear" w:color="auto" w:fill="F2F2F2" w:themeFill="background1" w:themeFillShade="F2"/>
            <w:tcMar>
              <w:top w:w="80" w:type="dxa"/>
              <w:left w:w="140" w:type="dxa"/>
              <w:bottom w:w="80" w:type="dxa"/>
              <w:right w:w="140" w:type="dxa"/>
            </w:tcMar>
            <w:vAlign w:val="center"/>
          </w:tcPr>
          <w:p w14:paraId="70010CB3" w14:textId="6DCBE30B" w:rsidR="00994361" w:rsidRPr="00701B6E" w:rsidRDefault="00994361" w:rsidP="00F2622B">
            <w:pPr>
              <w:jc w:val="left"/>
              <w:rPr>
                <w:rFonts w:cs="Arial"/>
                <w:color w:val="C00000"/>
                <w:sz w:val="18"/>
                <w:szCs w:val="18"/>
              </w:rPr>
            </w:pPr>
            <w:r w:rsidRPr="00701B6E">
              <w:rPr>
                <w:rFonts w:eastAsia="Arial" w:cs="Arial"/>
                <w:color w:val="C00000"/>
                <w:sz w:val="18"/>
                <w:szCs w:val="18"/>
              </w:rPr>
              <w:t>Housing vulnerability rarely exists in isolation</w:t>
            </w:r>
            <w:r w:rsidR="000E7621" w:rsidRPr="00701B6E">
              <w:rPr>
                <w:rFonts w:eastAsia="Arial" w:cs="Arial"/>
                <w:color w:val="C00000"/>
                <w:sz w:val="18"/>
                <w:szCs w:val="18"/>
              </w:rPr>
              <w:t>. I</w:t>
            </w:r>
            <w:r w:rsidRPr="00701B6E">
              <w:rPr>
                <w:rFonts w:eastAsia="Arial" w:cs="Arial"/>
                <w:color w:val="C00000"/>
                <w:sz w:val="18"/>
                <w:szCs w:val="18"/>
              </w:rPr>
              <w:t>t is deeply interconnected with poverty, health, and social exclusion, requiring coordinated responses across sectors and systems.</w:t>
            </w:r>
          </w:p>
        </w:tc>
      </w:tr>
    </w:tbl>
    <w:p w14:paraId="33EBB04B" w14:textId="77777777" w:rsidR="00994361" w:rsidRDefault="00994361" w:rsidP="00994361">
      <w:pPr>
        <w:spacing w:after="160"/>
      </w:pPr>
    </w:p>
    <w:p w14:paraId="0216DF4D" w14:textId="6A78D20A" w:rsidR="00FB5659" w:rsidRDefault="00FB5659" w:rsidP="00FB5659">
      <w:pPr>
        <w:pStyle w:val="Heading2"/>
      </w:pPr>
      <w:bookmarkStart w:id="38" w:name="_Toc237957430"/>
      <w:r>
        <w:t>VULNERA</w:t>
      </w:r>
      <w:r w:rsidR="005B0E4A">
        <w:t xml:space="preserve">BLE </w:t>
      </w:r>
      <w:r w:rsidR="001C15A6">
        <w:t>POPULATION</w:t>
      </w:r>
      <w:r w:rsidR="009461CD">
        <w:t xml:space="preserve"> SURVEY FINDINGS</w:t>
      </w:r>
      <w:bookmarkEnd w:id="38"/>
    </w:p>
    <w:p w14:paraId="0827F9FC" w14:textId="78C09DC0" w:rsidR="008B0756" w:rsidRDefault="008B0756" w:rsidP="008B0756">
      <w:pPr>
        <w:rPr>
          <w:lang w:eastAsia="en-CA"/>
        </w:rPr>
      </w:pPr>
      <w:r w:rsidRPr="008B0756">
        <w:rPr>
          <w:lang w:eastAsia="en-CA"/>
        </w:rPr>
        <w:t>The following table summarizes the housing-related barriers, key survey findings, and overarching takeaways for each vulnerable population group identified through stakeholder consultation and the community survey.</w:t>
      </w:r>
    </w:p>
    <w:p w14:paraId="4F2E2183" w14:textId="77777777" w:rsidR="008B0756" w:rsidRDefault="008B0756" w:rsidP="008B0756">
      <w:pPr>
        <w:rPr>
          <w:lang w:eastAsia="en-CA"/>
        </w:rPr>
      </w:pPr>
    </w:p>
    <w:p w14:paraId="333C7544" w14:textId="518536DE" w:rsidR="007C4888" w:rsidRDefault="007C4888" w:rsidP="007C4888">
      <w:pPr>
        <w:pStyle w:val="Caption"/>
      </w:pPr>
      <w:r>
        <w:t xml:space="preserve">Table </w:t>
      </w:r>
      <w:fldSimple w:instr=" STYLEREF 1 \s ">
        <w:r w:rsidR="008D4BDE">
          <w:rPr>
            <w:noProof/>
          </w:rPr>
          <w:t>5</w:t>
        </w:r>
      </w:fldSimple>
      <w:r>
        <w:t>.</w:t>
      </w:r>
      <w:fldSimple w:instr=" SEQ Table \* ARABIC \s 1 ">
        <w:r w:rsidR="008D4BDE">
          <w:rPr>
            <w:noProof/>
          </w:rPr>
          <w:t>2</w:t>
        </w:r>
      </w:fldSimple>
      <w:r>
        <w:t xml:space="preserve">: Findings by identified </w:t>
      </w:r>
      <w:r w:rsidR="00102F19">
        <w:t>vulnerable population groups</w:t>
      </w:r>
    </w:p>
    <w:tbl>
      <w:tblPr>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1975"/>
        <w:gridCol w:w="7380"/>
      </w:tblGrid>
      <w:tr w:rsidR="007221DE" w:rsidRPr="005C1F19" w14:paraId="248F7765" w14:textId="77777777" w:rsidTr="007221DE">
        <w:trPr>
          <w:tblHeader/>
        </w:trPr>
        <w:tc>
          <w:tcPr>
            <w:tcW w:w="1975" w:type="dxa"/>
            <w:shd w:val="clear" w:color="auto" w:fill="1F4E79"/>
            <w:tcMar>
              <w:top w:w="100" w:type="dxa"/>
              <w:left w:w="140" w:type="dxa"/>
              <w:bottom w:w="100" w:type="dxa"/>
              <w:right w:w="140" w:type="dxa"/>
            </w:tcMar>
            <w:vAlign w:val="center"/>
          </w:tcPr>
          <w:p w14:paraId="7C630650" w14:textId="464BBAD3" w:rsidR="007221DE" w:rsidRPr="005C1F19" w:rsidRDefault="007221DE" w:rsidP="00AB475B">
            <w:pPr>
              <w:jc w:val="left"/>
              <w:rPr>
                <w:rFonts w:cs="Arial"/>
                <w:sz w:val="18"/>
                <w:szCs w:val="18"/>
              </w:rPr>
            </w:pPr>
            <w:r w:rsidRPr="005C1F19">
              <w:rPr>
                <w:rFonts w:eastAsia="Arial" w:cs="Arial"/>
                <w:color w:val="FFFFFF"/>
                <w:sz w:val="18"/>
                <w:szCs w:val="18"/>
              </w:rPr>
              <w:t xml:space="preserve">Population </w:t>
            </w:r>
            <w:r w:rsidR="004046A5">
              <w:rPr>
                <w:rFonts w:eastAsia="Arial" w:cs="Arial"/>
                <w:color w:val="FFFFFF"/>
                <w:sz w:val="18"/>
                <w:szCs w:val="18"/>
              </w:rPr>
              <w:t>g</w:t>
            </w:r>
            <w:r w:rsidRPr="005C1F19">
              <w:rPr>
                <w:rFonts w:eastAsia="Arial" w:cs="Arial"/>
                <w:color w:val="FFFFFF"/>
                <w:sz w:val="18"/>
                <w:szCs w:val="18"/>
              </w:rPr>
              <w:t>roup</w:t>
            </w:r>
          </w:p>
        </w:tc>
        <w:tc>
          <w:tcPr>
            <w:tcW w:w="7380" w:type="dxa"/>
            <w:shd w:val="clear" w:color="auto" w:fill="1F4E79"/>
            <w:tcMar>
              <w:top w:w="100" w:type="dxa"/>
              <w:left w:w="140" w:type="dxa"/>
              <w:bottom w:w="100" w:type="dxa"/>
              <w:right w:w="140" w:type="dxa"/>
            </w:tcMar>
            <w:vAlign w:val="center"/>
          </w:tcPr>
          <w:p w14:paraId="65711DB2" w14:textId="274D3457" w:rsidR="007221DE" w:rsidRPr="005C1F19" w:rsidRDefault="007221DE" w:rsidP="00AB475B">
            <w:pPr>
              <w:jc w:val="left"/>
              <w:rPr>
                <w:rFonts w:cs="Arial"/>
                <w:sz w:val="18"/>
                <w:szCs w:val="18"/>
              </w:rPr>
            </w:pPr>
            <w:r w:rsidRPr="005C1F19">
              <w:rPr>
                <w:rFonts w:eastAsia="Arial" w:cs="Arial"/>
                <w:color w:val="FFFFFF"/>
                <w:sz w:val="18"/>
                <w:szCs w:val="18"/>
              </w:rPr>
              <w:t xml:space="preserve">Key </w:t>
            </w:r>
            <w:r w:rsidR="004046A5">
              <w:rPr>
                <w:rFonts w:eastAsia="Arial" w:cs="Arial"/>
                <w:color w:val="FFFFFF"/>
                <w:sz w:val="18"/>
                <w:szCs w:val="18"/>
              </w:rPr>
              <w:t>s</w:t>
            </w:r>
            <w:r w:rsidRPr="005C1F19">
              <w:rPr>
                <w:rFonts w:eastAsia="Arial" w:cs="Arial"/>
                <w:color w:val="FFFFFF"/>
                <w:sz w:val="18"/>
                <w:szCs w:val="18"/>
              </w:rPr>
              <w:t xml:space="preserve">urvey </w:t>
            </w:r>
            <w:r w:rsidR="004046A5">
              <w:rPr>
                <w:rFonts w:eastAsia="Arial" w:cs="Arial"/>
                <w:color w:val="FFFFFF"/>
                <w:sz w:val="18"/>
                <w:szCs w:val="18"/>
              </w:rPr>
              <w:t>f</w:t>
            </w:r>
            <w:r w:rsidRPr="005C1F19">
              <w:rPr>
                <w:rFonts w:eastAsia="Arial" w:cs="Arial"/>
                <w:color w:val="FFFFFF"/>
                <w:sz w:val="18"/>
                <w:szCs w:val="18"/>
              </w:rPr>
              <w:t>indings</w:t>
            </w:r>
          </w:p>
        </w:tc>
      </w:tr>
      <w:tr w:rsidR="007221DE" w:rsidRPr="005C1F19" w14:paraId="73952E0D" w14:textId="77777777" w:rsidTr="007221DE">
        <w:tc>
          <w:tcPr>
            <w:tcW w:w="1975" w:type="dxa"/>
            <w:shd w:val="clear" w:color="auto" w:fill="F7FAFD"/>
            <w:tcMar>
              <w:top w:w="80" w:type="dxa"/>
              <w:left w:w="140" w:type="dxa"/>
              <w:bottom w:w="80" w:type="dxa"/>
              <w:right w:w="140" w:type="dxa"/>
            </w:tcMar>
            <w:vAlign w:val="center"/>
          </w:tcPr>
          <w:p w14:paraId="2EE4294C" w14:textId="290F8F99" w:rsidR="007221DE" w:rsidRPr="005C1F19" w:rsidRDefault="007221DE" w:rsidP="00AB475B">
            <w:pPr>
              <w:jc w:val="left"/>
              <w:rPr>
                <w:rFonts w:cs="Arial"/>
                <w:sz w:val="18"/>
                <w:szCs w:val="18"/>
              </w:rPr>
            </w:pPr>
            <w:r w:rsidRPr="005C1F19">
              <w:rPr>
                <w:rFonts w:eastAsia="Arial" w:cs="Arial"/>
                <w:sz w:val="18"/>
                <w:szCs w:val="18"/>
              </w:rPr>
              <w:t xml:space="preserve">Visible </w:t>
            </w:r>
            <w:r w:rsidR="00A25379">
              <w:rPr>
                <w:rFonts w:eastAsia="Arial" w:cs="Arial"/>
                <w:sz w:val="18"/>
                <w:szCs w:val="18"/>
              </w:rPr>
              <w:t>m</w:t>
            </w:r>
            <w:r w:rsidRPr="005C1F19">
              <w:rPr>
                <w:rFonts w:eastAsia="Arial" w:cs="Arial"/>
                <w:sz w:val="18"/>
                <w:szCs w:val="18"/>
              </w:rPr>
              <w:t>inorities</w:t>
            </w:r>
          </w:p>
        </w:tc>
        <w:tc>
          <w:tcPr>
            <w:tcW w:w="7380" w:type="dxa"/>
            <w:shd w:val="clear" w:color="auto" w:fill="F7FAFD"/>
            <w:tcMar>
              <w:top w:w="80" w:type="dxa"/>
              <w:left w:w="140" w:type="dxa"/>
              <w:bottom w:w="80" w:type="dxa"/>
              <w:right w:w="140" w:type="dxa"/>
            </w:tcMar>
            <w:vAlign w:val="center"/>
          </w:tcPr>
          <w:p w14:paraId="6D680DFB" w14:textId="49E1965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More likely to be low-income than the general population</w:t>
            </w:r>
          </w:p>
          <w:p w14:paraId="4BED539D" w14:textId="6E51833C"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live in homes requiring major repair</w:t>
            </w:r>
          </w:p>
          <w:p w14:paraId="6AAD8A92" w14:textId="482489C3"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consider their living situation unstable</w:t>
            </w:r>
          </w:p>
          <w:p w14:paraId="1EA9E965" w14:textId="3CC5C625"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44% spend more than 30% of before-tax income on housing</w:t>
            </w:r>
          </w:p>
          <w:p w14:paraId="776B7FCF" w14:textId="0A4F5E26"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More than half find it difficult to pay monthly housing and utility costs</w:t>
            </w:r>
          </w:p>
          <w:p w14:paraId="72132A46" w14:textId="21DB9014"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lastRenderedPageBreak/>
              <w:t>2/3 find it difficult to pay for transportation</w:t>
            </w:r>
          </w:p>
          <w:p w14:paraId="6449A5DB" w14:textId="5FBAC991"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22% have faced discrimination when trying to access housing</w:t>
            </w:r>
          </w:p>
          <w:p w14:paraId="786CA815" w14:textId="1BD3A402"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are considering leaving their community due to housing issues</w:t>
            </w:r>
          </w:p>
        </w:tc>
      </w:tr>
      <w:tr w:rsidR="007221DE" w:rsidRPr="005C1F19" w14:paraId="0D47739B" w14:textId="77777777" w:rsidTr="007221DE">
        <w:tc>
          <w:tcPr>
            <w:tcW w:w="1975" w:type="dxa"/>
            <w:shd w:val="clear" w:color="auto" w:fill="FFFFFF"/>
            <w:tcMar>
              <w:top w:w="80" w:type="dxa"/>
              <w:left w:w="140" w:type="dxa"/>
              <w:bottom w:w="80" w:type="dxa"/>
              <w:right w:w="140" w:type="dxa"/>
            </w:tcMar>
            <w:vAlign w:val="center"/>
          </w:tcPr>
          <w:p w14:paraId="3D14990A" w14:textId="219FDEC6" w:rsidR="007221DE" w:rsidRPr="005C1F19" w:rsidRDefault="007221DE" w:rsidP="00AB475B">
            <w:pPr>
              <w:jc w:val="left"/>
              <w:rPr>
                <w:rFonts w:cs="Arial"/>
                <w:sz w:val="18"/>
                <w:szCs w:val="18"/>
              </w:rPr>
            </w:pPr>
            <w:r w:rsidRPr="005C1F19">
              <w:rPr>
                <w:rFonts w:eastAsia="Arial" w:cs="Arial"/>
                <w:sz w:val="18"/>
                <w:szCs w:val="18"/>
              </w:rPr>
              <w:lastRenderedPageBreak/>
              <w:t xml:space="preserve">Newcomers </w:t>
            </w:r>
            <w:r w:rsidR="00A25379">
              <w:rPr>
                <w:rFonts w:eastAsia="Arial" w:cs="Arial"/>
                <w:sz w:val="18"/>
                <w:szCs w:val="18"/>
              </w:rPr>
              <w:t>and</w:t>
            </w:r>
            <w:r w:rsidRPr="005C1F19">
              <w:rPr>
                <w:rFonts w:eastAsia="Arial" w:cs="Arial"/>
                <w:sz w:val="18"/>
                <w:szCs w:val="18"/>
              </w:rPr>
              <w:t xml:space="preserve"> </w:t>
            </w:r>
            <w:r w:rsidR="00A25379">
              <w:rPr>
                <w:rFonts w:eastAsia="Arial" w:cs="Arial"/>
                <w:sz w:val="18"/>
                <w:szCs w:val="18"/>
              </w:rPr>
              <w:t>r</w:t>
            </w:r>
            <w:r w:rsidRPr="005C1F19">
              <w:rPr>
                <w:rFonts w:eastAsia="Arial" w:cs="Arial"/>
                <w:sz w:val="18"/>
                <w:szCs w:val="18"/>
              </w:rPr>
              <w:t>efugees</w:t>
            </w:r>
          </w:p>
        </w:tc>
        <w:tc>
          <w:tcPr>
            <w:tcW w:w="7380" w:type="dxa"/>
            <w:shd w:val="clear" w:color="auto" w:fill="FFFFFF"/>
            <w:tcMar>
              <w:top w:w="80" w:type="dxa"/>
              <w:left w:w="140" w:type="dxa"/>
              <w:bottom w:w="80" w:type="dxa"/>
              <w:right w:w="140" w:type="dxa"/>
            </w:tcMar>
            <w:vAlign w:val="center"/>
          </w:tcPr>
          <w:p w14:paraId="6670398D" w14:textId="21479C86"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Half consider their housing situation unstable</w:t>
            </w:r>
          </w:p>
          <w:p w14:paraId="7A5CB84D" w14:textId="534C7235"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3/4 spend more than 30% of household before-tax income on housing</w:t>
            </w:r>
          </w:p>
          <w:p w14:paraId="52175942" w14:textId="36C63791"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Half find it difficult to pay for utilities and transportation</w:t>
            </w:r>
          </w:p>
          <w:p w14:paraId="64C81968" w14:textId="6D4E871F"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Least likely among vulnerable groups to be aware of available supports and services</w:t>
            </w:r>
          </w:p>
          <w:p w14:paraId="6B83A237" w14:textId="78A29B1B"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Half are considering leaving their community due to housing issues</w:t>
            </w:r>
          </w:p>
        </w:tc>
      </w:tr>
      <w:tr w:rsidR="007221DE" w:rsidRPr="005C1F19" w14:paraId="5BD6ED48" w14:textId="77777777" w:rsidTr="007221DE">
        <w:tc>
          <w:tcPr>
            <w:tcW w:w="1975" w:type="dxa"/>
            <w:shd w:val="clear" w:color="auto" w:fill="F7FAFD"/>
            <w:tcMar>
              <w:top w:w="80" w:type="dxa"/>
              <w:left w:w="140" w:type="dxa"/>
              <w:bottom w:w="80" w:type="dxa"/>
              <w:right w:w="140" w:type="dxa"/>
            </w:tcMar>
            <w:vAlign w:val="center"/>
          </w:tcPr>
          <w:p w14:paraId="092AAAAC" w14:textId="53B59090" w:rsidR="007221DE" w:rsidRPr="005C1F19" w:rsidRDefault="007221DE" w:rsidP="00AB475B">
            <w:pPr>
              <w:jc w:val="left"/>
              <w:rPr>
                <w:rFonts w:cs="Arial"/>
                <w:sz w:val="18"/>
                <w:szCs w:val="18"/>
              </w:rPr>
            </w:pPr>
            <w:r w:rsidRPr="005C1F19">
              <w:rPr>
                <w:rFonts w:eastAsia="Arial" w:cs="Arial"/>
                <w:sz w:val="18"/>
                <w:szCs w:val="18"/>
              </w:rPr>
              <w:t xml:space="preserve">2SLGBTQIA+ </w:t>
            </w:r>
            <w:r w:rsidR="00A25379">
              <w:rPr>
                <w:rFonts w:eastAsia="Arial" w:cs="Arial"/>
                <w:sz w:val="18"/>
                <w:szCs w:val="18"/>
              </w:rPr>
              <w:t>c</w:t>
            </w:r>
            <w:r w:rsidRPr="005C1F19">
              <w:rPr>
                <w:rFonts w:eastAsia="Arial" w:cs="Arial"/>
                <w:sz w:val="18"/>
                <w:szCs w:val="18"/>
              </w:rPr>
              <w:t>ommunity</w:t>
            </w:r>
          </w:p>
        </w:tc>
        <w:tc>
          <w:tcPr>
            <w:tcW w:w="7380" w:type="dxa"/>
            <w:shd w:val="clear" w:color="auto" w:fill="F7FAFD"/>
            <w:tcMar>
              <w:top w:w="80" w:type="dxa"/>
              <w:left w:w="140" w:type="dxa"/>
              <w:bottom w:w="80" w:type="dxa"/>
              <w:right w:w="140" w:type="dxa"/>
            </w:tcMar>
            <w:vAlign w:val="center"/>
          </w:tcPr>
          <w:p w14:paraId="7259A6B7" w14:textId="11255BEA"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had a suppressed household living with them due to lack of affordable or available housing</w:t>
            </w:r>
          </w:p>
          <w:p w14:paraId="745DAB05" w14:textId="6143D24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10% had someone couch surf in their home over the last year</w:t>
            </w:r>
          </w:p>
          <w:p w14:paraId="4876D86D" w14:textId="01E70FCB"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Over half live in a home in need of major repairs</w:t>
            </w:r>
          </w:p>
          <w:p w14:paraId="12599FF2" w14:textId="185586FC"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Nearly 1/4 live in housing that does not meet their household's accessibility needs</w:t>
            </w:r>
          </w:p>
          <w:p w14:paraId="1359D24C" w14:textId="242839C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43% consider their housing situation unstable</w:t>
            </w:r>
          </w:p>
          <w:p w14:paraId="77E556BE" w14:textId="363D7C0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43% spend more than 30% of before-tax income on housing</w:t>
            </w:r>
          </w:p>
          <w:p w14:paraId="343DAC83" w14:textId="6FCC189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2/3 find it difficult to pay monthly housing costs</w:t>
            </w:r>
          </w:p>
          <w:p w14:paraId="3D0FF03C" w14:textId="03D86952"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10% have experienced discrimination when trying to access housing</w:t>
            </w:r>
          </w:p>
          <w:p w14:paraId="2780150D" w14:textId="204D2A0F"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24% are considering leaving their community due to housing issues</w:t>
            </w:r>
          </w:p>
        </w:tc>
      </w:tr>
      <w:tr w:rsidR="007221DE" w:rsidRPr="005C1F19" w14:paraId="02808E3B" w14:textId="77777777" w:rsidTr="007221DE">
        <w:tc>
          <w:tcPr>
            <w:tcW w:w="1975" w:type="dxa"/>
            <w:shd w:val="clear" w:color="auto" w:fill="FFFFFF"/>
            <w:tcMar>
              <w:top w:w="80" w:type="dxa"/>
              <w:left w:w="140" w:type="dxa"/>
              <w:bottom w:w="80" w:type="dxa"/>
              <w:right w:w="140" w:type="dxa"/>
            </w:tcMar>
            <w:vAlign w:val="center"/>
          </w:tcPr>
          <w:p w14:paraId="5F59CE14" w14:textId="17FEB45E" w:rsidR="007221DE" w:rsidRPr="005C1F19" w:rsidRDefault="007221DE" w:rsidP="00AB475B">
            <w:pPr>
              <w:jc w:val="left"/>
              <w:rPr>
                <w:rFonts w:cs="Arial"/>
                <w:sz w:val="18"/>
                <w:szCs w:val="18"/>
              </w:rPr>
            </w:pPr>
            <w:r w:rsidRPr="005C1F19">
              <w:rPr>
                <w:rFonts w:eastAsia="Arial" w:cs="Arial"/>
                <w:sz w:val="18"/>
                <w:szCs w:val="18"/>
              </w:rPr>
              <w:t xml:space="preserve">Indigenous </w:t>
            </w:r>
            <w:r w:rsidR="00A25379">
              <w:rPr>
                <w:rFonts w:eastAsia="Arial" w:cs="Arial"/>
                <w:sz w:val="18"/>
                <w:szCs w:val="18"/>
              </w:rPr>
              <w:t>persons</w:t>
            </w:r>
          </w:p>
        </w:tc>
        <w:tc>
          <w:tcPr>
            <w:tcW w:w="7380" w:type="dxa"/>
            <w:shd w:val="clear" w:color="auto" w:fill="FFFFFF"/>
            <w:tcMar>
              <w:top w:w="80" w:type="dxa"/>
              <w:left w:w="140" w:type="dxa"/>
              <w:bottom w:w="80" w:type="dxa"/>
              <w:right w:w="140" w:type="dxa"/>
            </w:tcMar>
            <w:vAlign w:val="center"/>
          </w:tcPr>
          <w:p w14:paraId="681EB03C" w14:textId="4B534EED"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2/3 live in a home in need of major repairs</w:t>
            </w:r>
          </w:p>
          <w:p w14:paraId="7C5BE2AF" w14:textId="5607ACE4"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consider their living situation unstable</w:t>
            </w:r>
          </w:p>
          <w:p w14:paraId="6C143B33" w14:textId="7F809C03"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2/3 spend more than 30% of before-tax household income on housing</w:t>
            </w:r>
          </w:p>
          <w:p w14:paraId="5F2FF575" w14:textId="03EE229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have had difficulty finding housing that meets their accessibility needs</w:t>
            </w:r>
          </w:p>
          <w:p w14:paraId="4DE872ED" w14:textId="61B1CC4D"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2/3 are considering leaving their community due to housing issues</w:t>
            </w:r>
          </w:p>
        </w:tc>
      </w:tr>
      <w:tr w:rsidR="007221DE" w:rsidRPr="005C1F19" w14:paraId="101795B2" w14:textId="77777777" w:rsidTr="007221DE">
        <w:tc>
          <w:tcPr>
            <w:tcW w:w="1975" w:type="dxa"/>
            <w:shd w:val="clear" w:color="auto" w:fill="F7FAFD"/>
            <w:tcMar>
              <w:top w:w="80" w:type="dxa"/>
              <w:left w:w="140" w:type="dxa"/>
              <w:bottom w:w="80" w:type="dxa"/>
              <w:right w:w="140" w:type="dxa"/>
            </w:tcMar>
            <w:vAlign w:val="center"/>
          </w:tcPr>
          <w:p w14:paraId="18DD167F" w14:textId="3F8918B1" w:rsidR="007221DE" w:rsidRPr="005C1F19" w:rsidRDefault="00A25379" w:rsidP="00AB475B">
            <w:pPr>
              <w:jc w:val="left"/>
              <w:rPr>
                <w:rFonts w:cs="Arial"/>
                <w:sz w:val="18"/>
                <w:szCs w:val="18"/>
              </w:rPr>
            </w:pPr>
            <w:r>
              <w:rPr>
                <w:rFonts w:eastAsia="Arial" w:cs="Arial"/>
                <w:sz w:val="18"/>
                <w:szCs w:val="18"/>
              </w:rPr>
              <w:t>Persons</w:t>
            </w:r>
            <w:r w:rsidR="007221DE" w:rsidRPr="005C1F19">
              <w:rPr>
                <w:rFonts w:eastAsia="Arial" w:cs="Arial"/>
                <w:sz w:val="18"/>
                <w:szCs w:val="18"/>
              </w:rPr>
              <w:t xml:space="preserve"> with </w:t>
            </w:r>
            <w:r>
              <w:rPr>
                <w:rFonts w:eastAsia="Arial" w:cs="Arial"/>
                <w:sz w:val="18"/>
                <w:szCs w:val="18"/>
              </w:rPr>
              <w:t>p</w:t>
            </w:r>
            <w:r w:rsidR="007221DE" w:rsidRPr="005C1F19">
              <w:rPr>
                <w:rFonts w:eastAsia="Arial" w:cs="Arial"/>
                <w:sz w:val="18"/>
                <w:szCs w:val="18"/>
              </w:rPr>
              <w:t xml:space="preserve">hysical </w:t>
            </w:r>
            <w:r>
              <w:rPr>
                <w:rFonts w:eastAsia="Arial" w:cs="Arial"/>
                <w:sz w:val="18"/>
                <w:szCs w:val="18"/>
              </w:rPr>
              <w:t>d</w:t>
            </w:r>
            <w:r w:rsidR="007221DE" w:rsidRPr="005C1F19">
              <w:rPr>
                <w:rFonts w:eastAsia="Arial" w:cs="Arial"/>
                <w:sz w:val="18"/>
                <w:szCs w:val="18"/>
              </w:rPr>
              <w:t xml:space="preserve">isabilities </w:t>
            </w:r>
            <w:r>
              <w:rPr>
                <w:rFonts w:eastAsia="Arial" w:cs="Arial"/>
                <w:sz w:val="18"/>
                <w:szCs w:val="18"/>
              </w:rPr>
              <w:t>and</w:t>
            </w:r>
            <w:r w:rsidR="007221DE" w:rsidRPr="005C1F19">
              <w:rPr>
                <w:rFonts w:eastAsia="Arial" w:cs="Arial"/>
                <w:sz w:val="18"/>
                <w:szCs w:val="18"/>
              </w:rPr>
              <w:t xml:space="preserve"> </w:t>
            </w:r>
            <w:r>
              <w:rPr>
                <w:rFonts w:eastAsia="Arial" w:cs="Arial"/>
                <w:sz w:val="18"/>
                <w:szCs w:val="18"/>
              </w:rPr>
              <w:t>m</w:t>
            </w:r>
            <w:r w:rsidR="007221DE" w:rsidRPr="005C1F19">
              <w:rPr>
                <w:rFonts w:eastAsia="Arial" w:cs="Arial"/>
                <w:sz w:val="18"/>
                <w:szCs w:val="18"/>
              </w:rPr>
              <w:t xml:space="preserve">obility </w:t>
            </w:r>
            <w:r>
              <w:rPr>
                <w:rFonts w:eastAsia="Arial" w:cs="Arial"/>
                <w:sz w:val="18"/>
                <w:szCs w:val="18"/>
              </w:rPr>
              <w:t>c</w:t>
            </w:r>
            <w:r w:rsidR="007221DE" w:rsidRPr="005C1F19">
              <w:rPr>
                <w:rFonts w:eastAsia="Arial" w:cs="Arial"/>
                <w:sz w:val="18"/>
                <w:szCs w:val="18"/>
              </w:rPr>
              <w:t>hallenges</w:t>
            </w:r>
          </w:p>
        </w:tc>
        <w:tc>
          <w:tcPr>
            <w:tcW w:w="7380" w:type="dxa"/>
            <w:shd w:val="clear" w:color="auto" w:fill="F7FAFD"/>
            <w:tcMar>
              <w:top w:w="80" w:type="dxa"/>
              <w:left w:w="140" w:type="dxa"/>
              <w:bottom w:w="80" w:type="dxa"/>
              <w:right w:w="140" w:type="dxa"/>
            </w:tcMar>
            <w:vAlign w:val="center"/>
          </w:tcPr>
          <w:p w14:paraId="60E0CCDB" w14:textId="7CF790D1"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24% had a suppressed household living with them due to lack of affordable or available housing</w:t>
            </w:r>
          </w:p>
          <w:p w14:paraId="2B1FD017" w14:textId="407BA2E1"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29% had someone couch surf in their home over the last year</w:t>
            </w:r>
          </w:p>
          <w:p w14:paraId="7E7ED6B9" w14:textId="62245C71"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52% live in a home in need of major repairs</w:t>
            </w:r>
          </w:p>
          <w:p w14:paraId="63006546" w14:textId="27FB3890"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24% live in housing that does not meet their accessibility needs</w:t>
            </w:r>
          </w:p>
          <w:p w14:paraId="213A2831" w14:textId="6BB5BA29"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43% have experienced difficulty finding accessible housing</w:t>
            </w:r>
          </w:p>
          <w:p w14:paraId="4F2499A5" w14:textId="35B3AC8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consider their living situation unstable</w:t>
            </w:r>
          </w:p>
          <w:p w14:paraId="4A273179" w14:textId="48EEBE23"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57% spend more than 30% of before-tax income on housing</w:t>
            </w:r>
          </w:p>
          <w:p w14:paraId="5CA1C353" w14:textId="0A0131AA"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More than half find it difficult to pay monthly housing and heating costs</w:t>
            </w:r>
          </w:p>
          <w:p w14:paraId="44CF3539" w14:textId="6ADAFE47"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Over 1/4 have been refused housing because of their source of income</w:t>
            </w:r>
          </w:p>
          <w:p w14:paraId="5C399F07" w14:textId="6E59DA7C"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Nearly 2/3 report that available supports do not fully cover their costs</w:t>
            </w:r>
          </w:p>
          <w:p w14:paraId="2996A8C9" w14:textId="081FA815"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14% are considering leaving their community due to housing issues</w:t>
            </w:r>
          </w:p>
        </w:tc>
      </w:tr>
      <w:tr w:rsidR="007221DE" w:rsidRPr="005C1F19" w14:paraId="473ED6C9" w14:textId="77777777" w:rsidTr="007221DE">
        <w:tc>
          <w:tcPr>
            <w:tcW w:w="1975" w:type="dxa"/>
            <w:shd w:val="clear" w:color="auto" w:fill="FFFFFF"/>
            <w:tcMar>
              <w:top w:w="80" w:type="dxa"/>
              <w:left w:w="140" w:type="dxa"/>
              <w:bottom w:w="80" w:type="dxa"/>
              <w:right w:w="140" w:type="dxa"/>
            </w:tcMar>
            <w:vAlign w:val="center"/>
          </w:tcPr>
          <w:p w14:paraId="73D698E4" w14:textId="1D12AD60" w:rsidR="007221DE" w:rsidRPr="005C1F19" w:rsidRDefault="00A25379" w:rsidP="00AB475B">
            <w:pPr>
              <w:jc w:val="left"/>
              <w:rPr>
                <w:rFonts w:cs="Arial"/>
                <w:sz w:val="18"/>
                <w:szCs w:val="18"/>
              </w:rPr>
            </w:pPr>
            <w:r>
              <w:rPr>
                <w:rFonts w:eastAsia="Arial" w:cs="Arial"/>
                <w:sz w:val="18"/>
                <w:szCs w:val="18"/>
              </w:rPr>
              <w:t>Persons</w:t>
            </w:r>
            <w:r w:rsidR="007221DE" w:rsidRPr="005C1F19">
              <w:rPr>
                <w:rFonts w:eastAsia="Arial" w:cs="Arial"/>
                <w:sz w:val="18"/>
                <w:szCs w:val="18"/>
              </w:rPr>
              <w:t xml:space="preserve"> with </w:t>
            </w:r>
            <w:r>
              <w:rPr>
                <w:rFonts w:eastAsia="Arial" w:cs="Arial"/>
                <w:sz w:val="18"/>
                <w:szCs w:val="18"/>
              </w:rPr>
              <w:t>d</w:t>
            </w:r>
            <w:r w:rsidR="007221DE" w:rsidRPr="005C1F19">
              <w:rPr>
                <w:rFonts w:eastAsia="Arial" w:cs="Arial"/>
                <w:sz w:val="18"/>
                <w:szCs w:val="18"/>
              </w:rPr>
              <w:t xml:space="preserve">evelopmental </w:t>
            </w:r>
            <w:r>
              <w:rPr>
                <w:rFonts w:eastAsia="Arial" w:cs="Arial"/>
                <w:sz w:val="18"/>
                <w:szCs w:val="18"/>
              </w:rPr>
              <w:t>d</w:t>
            </w:r>
            <w:r w:rsidR="007221DE" w:rsidRPr="005C1F19">
              <w:rPr>
                <w:rFonts w:eastAsia="Arial" w:cs="Arial"/>
                <w:sz w:val="18"/>
                <w:szCs w:val="18"/>
              </w:rPr>
              <w:t>isabilities</w:t>
            </w:r>
          </w:p>
        </w:tc>
        <w:tc>
          <w:tcPr>
            <w:tcW w:w="7380" w:type="dxa"/>
            <w:shd w:val="clear" w:color="auto" w:fill="FFFFFF"/>
            <w:tcMar>
              <w:top w:w="80" w:type="dxa"/>
              <w:left w:w="140" w:type="dxa"/>
              <w:bottom w:w="80" w:type="dxa"/>
              <w:right w:w="140" w:type="dxa"/>
            </w:tcMar>
            <w:vAlign w:val="center"/>
          </w:tcPr>
          <w:p w14:paraId="362D1CE1" w14:textId="417FE9CC"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40% had a suppressed household living with them due to lack of affordable or available housing</w:t>
            </w:r>
          </w:p>
          <w:p w14:paraId="7BB9AD17" w14:textId="16E13EF5"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60% live in a home in need of major repairs</w:t>
            </w:r>
          </w:p>
          <w:p w14:paraId="1D3244E4" w14:textId="5A38EE01"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40% report that their housing does not meet their accessibility needs</w:t>
            </w:r>
          </w:p>
          <w:p w14:paraId="2C89AA48" w14:textId="550F949F"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80% have experienced difficulty finding accessible housing</w:t>
            </w:r>
          </w:p>
          <w:p w14:paraId="385662A0" w14:textId="51C5860E"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4/5 report living in an unstable housing situation</w:t>
            </w:r>
          </w:p>
          <w:p w14:paraId="65125F20" w14:textId="21B4AF50"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4/5 spend more than 20% of before-tax household income on housing</w:t>
            </w:r>
          </w:p>
          <w:p w14:paraId="0CD84803" w14:textId="2BB65CF1"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4/5 report going without groceries in the last five years in order to cover housing costs</w:t>
            </w:r>
          </w:p>
          <w:p w14:paraId="604F5874" w14:textId="0E184AF7"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75% report that available supports do not fully cover their costs</w:t>
            </w:r>
          </w:p>
          <w:p w14:paraId="5F015146" w14:textId="5500AF29"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4/5 have been refused housing because of their source of income</w:t>
            </w:r>
          </w:p>
          <w:p w14:paraId="5097E34A" w14:textId="164C9209"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lastRenderedPageBreak/>
              <w:t>Only 20% are satisfied with their current housing situation</w:t>
            </w:r>
          </w:p>
        </w:tc>
      </w:tr>
      <w:tr w:rsidR="007221DE" w:rsidRPr="005C1F19" w14:paraId="4127511A" w14:textId="77777777" w:rsidTr="007221DE">
        <w:tc>
          <w:tcPr>
            <w:tcW w:w="1975" w:type="dxa"/>
            <w:shd w:val="clear" w:color="auto" w:fill="F7FAFD"/>
            <w:tcMar>
              <w:top w:w="80" w:type="dxa"/>
              <w:left w:w="140" w:type="dxa"/>
              <w:bottom w:w="80" w:type="dxa"/>
              <w:right w:w="140" w:type="dxa"/>
            </w:tcMar>
            <w:vAlign w:val="center"/>
          </w:tcPr>
          <w:p w14:paraId="50C2ACF8" w14:textId="77777777" w:rsidR="007221DE" w:rsidRPr="005C1F19" w:rsidRDefault="007221DE" w:rsidP="00AB475B">
            <w:pPr>
              <w:jc w:val="left"/>
              <w:rPr>
                <w:rFonts w:cs="Arial"/>
                <w:sz w:val="18"/>
                <w:szCs w:val="18"/>
              </w:rPr>
            </w:pPr>
            <w:r w:rsidRPr="005C1F19">
              <w:rPr>
                <w:rFonts w:eastAsia="Arial" w:cs="Arial"/>
                <w:sz w:val="18"/>
                <w:szCs w:val="18"/>
              </w:rPr>
              <w:lastRenderedPageBreak/>
              <w:t>Veterans</w:t>
            </w:r>
          </w:p>
        </w:tc>
        <w:tc>
          <w:tcPr>
            <w:tcW w:w="7380" w:type="dxa"/>
            <w:shd w:val="clear" w:color="auto" w:fill="F7FAFD"/>
            <w:tcMar>
              <w:top w:w="80" w:type="dxa"/>
              <w:left w:w="140" w:type="dxa"/>
              <w:bottom w:w="80" w:type="dxa"/>
              <w:right w:w="140" w:type="dxa"/>
            </w:tcMar>
            <w:vAlign w:val="center"/>
          </w:tcPr>
          <w:p w14:paraId="656F0F99" w14:textId="128B2A74"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have a suppressed household living with them due to lack of affordable or available housing</w:t>
            </w:r>
          </w:p>
          <w:p w14:paraId="70B64F06" w14:textId="7FE86D0B"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have had someone couch surf at their home in the last year</w:t>
            </w:r>
          </w:p>
          <w:p w14:paraId="1D028F58" w14:textId="12AC3516"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Least likely of vulnerable groups to report inadequate or unsuitable housing</w:t>
            </w:r>
          </w:p>
          <w:p w14:paraId="0641E7AF" w14:textId="737D4AA8"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Reported the highest rate of housing stability among vulnerable groups surveyed</w:t>
            </w:r>
          </w:p>
          <w:p w14:paraId="2961C758" w14:textId="28A5FBAE"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Least likely of vulnerable groups to experience discrimination</w:t>
            </w:r>
          </w:p>
          <w:p w14:paraId="2729393C" w14:textId="02B50460"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Face challenges paying for heat, utilities, and transportation, but less likely to forgo other necessities to cover housing costs</w:t>
            </w:r>
          </w:p>
          <w:p w14:paraId="73858A76" w14:textId="0517F4C4"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1/3 are considering leaving their community due to housing issues</w:t>
            </w:r>
          </w:p>
        </w:tc>
      </w:tr>
      <w:tr w:rsidR="007221DE" w:rsidRPr="005C1F19" w14:paraId="43284E8F" w14:textId="77777777" w:rsidTr="007221DE">
        <w:tc>
          <w:tcPr>
            <w:tcW w:w="1975" w:type="dxa"/>
            <w:shd w:val="clear" w:color="auto" w:fill="FFFFFF"/>
            <w:tcMar>
              <w:top w:w="80" w:type="dxa"/>
              <w:left w:w="140" w:type="dxa"/>
              <w:bottom w:w="80" w:type="dxa"/>
              <w:right w:w="140" w:type="dxa"/>
            </w:tcMar>
            <w:vAlign w:val="center"/>
          </w:tcPr>
          <w:p w14:paraId="1C5F1CC7" w14:textId="05886489" w:rsidR="007221DE" w:rsidRPr="005C1F19" w:rsidRDefault="00A25379" w:rsidP="00AB475B">
            <w:pPr>
              <w:jc w:val="left"/>
              <w:rPr>
                <w:rFonts w:cs="Arial"/>
                <w:sz w:val="18"/>
                <w:szCs w:val="18"/>
              </w:rPr>
            </w:pPr>
            <w:r>
              <w:rPr>
                <w:rFonts w:eastAsia="Arial" w:cs="Arial"/>
                <w:sz w:val="18"/>
                <w:szCs w:val="18"/>
              </w:rPr>
              <w:t>Persons</w:t>
            </w:r>
            <w:r w:rsidR="007221DE" w:rsidRPr="005C1F19">
              <w:rPr>
                <w:rFonts w:eastAsia="Arial" w:cs="Arial"/>
                <w:sz w:val="18"/>
                <w:szCs w:val="18"/>
              </w:rPr>
              <w:t xml:space="preserve"> </w:t>
            </w:r>
            <w:r>
              <w:rPr>
                <w:rFonts w:eastAsia="Arial" w:cs="Arial"/>
                <w:sz w:val="18"/>
                <w:szCs w:val="18"/>
              </w:rPr>
              <w:t>e</w:t>
            </w:r>
            <w:r w:rsidR="007221DE" w:rsidRPr="005C1F19">
              <w:rPr>
                <w:rFonts w:eastAsia="Arial" w:cs="Arial"/>
                <w:sz w:val="18"/>
                <w:szCs w:val="18"/>
              </w:rPr>
              <w:t xml:space="preserve">xperiencing </w:t>
            </w:r>
            <w:r>
              <w:rPr>
                <w:rFonts w:eastAsia="Arial" w:cs="Arial"/>
                <w:sz w:val="18"/>
                <w:szCs w:val="18"/>
              </w:rPr>
              <w:t>h</w:t>
            </w:r>
            <w:r w:rsidR="007221DE" w:rsidRPr="005C1F19">
              <w:rPr>
                <w:rFonts w:eastAsia="Arial" w:cs="Arial"/>
                <w:sz w:val="18"/>
                <w:szCs w:val="18"/>
              </w:rPr>
              <w:t>omelessness</w:t>
            </w:r>
          </w:p>
        </w:tc>
        <w:tc>
          <w:tcPr>
            <w:tcW w:w="7380" w:type="dxa"/>
            <w:shd w:val="clear" w:color="auto" w:fill="FFFFFF"/>
            <w:tcMar>
              <w:top w:w="80" w:type="dxa"/>
              <w:left w:w="140" w:type="dxa"/>
              <w:bottom w:w="80" w:type="dxa"/>
              <w:right w:w="140" w:type="dxa"/>
            </w:tcMar>
            <w:vAlign w:val="center"/>
          </w:tcPr>
          <w:p w14:paraId="6D3F5909" w14:textId="0315C837"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Stakeholders report rising demand for emergency shelter, outreach, and supportive housing province-wide</w:t>
            </w:r>
          </w:p>
          <w:p w14:paraId="3247ABC7" w14:textId="4B290A96"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Increasing rates of hidden homelessness, couch surfing, and extended shelter use</w:t>
            </w:r>
          </w:p>
          <w:p w14:paraId="0295AE5D" w14:textId="2D2AA3F9" w:rsidR="007221DE" w:rsidRPr="00701B6E" w:rsidRDefault="007221DE" w:rsidP="002C353F">
            <w:pPr>
              <w:pStyle w:val="ListParagraph"/>
              <w:numPr>
                <w:ilvl w:val="0"/>
                <w:numId w:val="24"/>
              </w:numPr>
              <w:ind w:left="271" w:hanging="270"/>
              <w:jc w:val="left"/>
              <w:rPr>
                <w:rFonts w:eastAsia="Arial" w:cs="Arial"/>
                <w:color w:val="C00000"/>
                <w:sz w:val="18"/>
                <w:szCs w:val="18"/>
              </w:rPr>
            </w:pPr>
            <w:r w:rsidRPr="00701B6E">
              <w:rPr>
                <w:rFonts w:eastAsia="Arial" w:cs="Arial"/>
                <w:color w:val="C00000"/>
                <w:sz w:val="18"/>
                <w:szCs w:val="18"/>
              </w:rPr>
              <w:t>Survey data from this group is limited</w:t>
            </w:r>
            <w:r w:rsidR="00A25379" w:rsidRPr="00701B6E">
              <w:rPr>
                <w:rFonts w:eastAsia="Arial" w:cs="Arial"/>
                <w:color w:val="C00000"/>
                <w:sz w:val="18"/>
                <w:szCs w:val="18"/>
              </w:rPr>
              <w:t>. Only</w:t>
            </w:r>
            <w:r w:rsidRPr="00701B6E">
              <w:rPr>
                <w:rFonts w:eastAsia="Arial" w:cs="Arial"/>
                <w:color w:val="C00000"/>
                <w:sz w:val="18"/>
                <w:szCs w:val="18"/>
              </w:rPr>
              <w:t xml:space="preserve"> one respondent was reached, reporting they had been unhoused since losing their home to fire and were staying with friends or family as a result</w:t>
            </w:r>
          </w:p>
        </w:tc>
      </w:tr>
    </w:tbl>
    <w:p w14:paraId="191CE52E" w14:textId="225D66D7" w:rsidR="00C91879" w:rsidRPr="00887119" w:rsidRDefault="00C91879" w:rsidP="008E78D1">
      <w:pPr>
        <w:rPr>
          <w:rFonts w:eastAsiaTheme="majorEastAsia" w:cstheme="majorBidi"/>
          <w:b/>
          <w:color w:val="8AA2BA" w:themeColor="accent1" w:themeShade="BF"/>
          <w:sz w:val="56"/>
          <w:szCs w:val="32"/>
        </w:rPr>
      </w:pPr>
      <w:r w:rsidRPr="00887119">
        <w:br w:type="page"/>
      </w:r>
    </w:p>
    <w:p w14:paraId="464B9751" w14:textId="46D1676D" w:rsidR="00E44F55" w:rsidRPr="00887119" w:rsidRDefault="0001579E" w:rsidP="00842B20">
      <w:pPr>
        <w:pStyle w:val="Heading1"/>
      </w:pPr>
      <w:bookmarkStart w:id="39" w:name="_Toc229051948"/>
      <w:bookmarkStart w:id="40" w:name="_Toc237957431"/>
      <w:r w:rsidRPr="00887119">
        <w:lastRenderedPageBreak/>
        <w:t>DEMOGRAPHIC PROFILE</w:t>
      </w:r>
      <w:bookmarkEnd w:id="39"/>
      <w:bookmarkEnd w:id="40"/>
    </w:p>
    <w:p w14:paraId="30569DC3" w14:textId="77777777" w:rsidR="009E6DC9" w:rsidRPr="00887119" w:rsidRDefault="009E6DC9" w:rsidP="00F1203F"/>
    <w:p w14:paraId="0730ED55" w14:textId="37B797C8" w:rsidR="00F1203F" w:rsidRPr="00887119" w:rsidRDefault="00F1203F" w:rsidP="00F1203F">
      <w:r w:rsidRPr="00887119">
        <w:t>This section examines the province’s demographic structure and trends, including total population, growth or decline, age distribution, and the presence of key population groups such as Indigenous Peoples, recent immigrants, and migrants. Data is disaggregated by geographic category to highlight differences between urban and rural communities across the province.</w:t>
      </w:r>
    </w:p>
    <w:p w14:paraId="1C5FD270" w14:textId="77777777" w:rsidR="00F74737" w:rsidRPr="00887119" w:rsidRDefault="00F74737" w:rsidP="00EA0B7D"/>
    <w:p w14:paraId="15F639B4" w14:textId="31667638" w:rsidR="007F307B" w:rsidRPr="00887119" w:rsidRDefault="0035119F" w:rsidP="00842B20">
      <w:pPr>
        <w:pStyle w:val="Heading2"/>
      </w:pPr>
      <w:bookmarkStart w:id="41" w:name="_Toc226970608"/>
      <w:bookmarkStart w:id="42" w:name="_Toc229051949"/>
      <w:bookmarkStart w:id="43" w:name="_Toc237957432"/>
      <w:r w:rsidRPr="00887119">
        <w:t>POPULATION</w:t>
      </w:r>
      <w:bookmarkEnd w:id="41"/>
      <w:bookmarkEnd w:id="42"/>
      <w:bookmarkEnd w:id="43"/>
    </w:p>
    <w:p w14:paraId="075E5603" w14:textId="77777777" w:rsidR="00CA47D9" w:rsidRPr="00887119" w:rsidRDefault="00CA47D9" w:rsidP="00CA47D9">
      <w:r w:rsidRPr="00887119">
        <w:t>This section examines the community's demographic structure and trends, including total population, growth or decline, age distribution, and the presence of key population groups such as Indigenous Peoples, recent immigrants, and migrants.</w:t>
      </w:r>
    </w:p>
    <w:p w14:paraId="491655A8" w14:textId="77777777" w:rsidR="00CA47D9" w:rsidRPr="00887119" w:rsidRDefault="00CA47D9" w:rsidP="00CA47D9"/>
    <w:p w14:paraId="78E0DA15" w14:textId="77777777" w:rsidR="00CA47D9" w:rsidRPr="00887119" w:rsidRDefault="00CA47D9" w:rsidP="00CA47D9">
      <w:pPr>
        <w:pStyle w:val="Heading3"/>
      </w:pPr>
      <w:bookmarkStart w:id="44" w:name="_Toc222480660"/>
      <w:r w:rsidRPr="00887119">
        <w:t xml:space="preserve">Population </w:t>
      </w:r>
      <w:bookmarkEnd w:id="44"/>
      <w:r w:rsidRPr="00887119">
        <w:t>Change</w:t>
      </w:r>
    </w:p>
    <w:p w14:paraId="615F223B" w14:textId="23997C24" w:rsidR="00CA47D9" w:rsidRPr="00887119" w:rsidRDefault="00D411AB" w:rsidP="00CA47D9">
      <w:r w:rsidRPr="00887119">
        <w:t>Population trends are a</w:t>
      </w:r>
      <w:r w:rsidR="000D3058" w:rsidRPr="00887119">
        <w:t xml:space="preserve">n </w:t>
      </w:r>
      <w:r w:rsidRPr="00887119">
        <w:t xml:space="preserve">indicator of housing demand. The province’s 13% overall population increase </w:t>
      </w:r>
      <w:r w:rsidR="000D3058" w:rsidRPr="00887119">
        <w:t>from</w:t>
      </w:r>
      <w:r w:rsidRPr="00887119">
        <w:t xml:space="preserve"> 2021 </w:t>
      </w:r>
      <w:r w:rsidR="000D3058" w:rsidRPr="00887119">
        <w:t>to</w:t>
      </w:r>
      <w:r w:rsidRPr="00887119">
        <w:t xml:space="preserve"> 2025 (with the 25-to-34 age cohort growing by 44% and youth aged 15 to 24 by 21%) signals a marked surge in demand</w:t>
      </w:r>
      <w:r w:rsidR="002F1C31" w:rsidRPr="00887119">
        <w:t>; particularly, among</w:t>
      </w:r>
      <w:r w:rsidRPr="00887119">
        <w:t xml:space="preserve"> rental housing and entry-level ownership options. These gains are</w:t>
      </w:r>
      <w:r w:rsidR="000D3058" w:rsidRPr="00887119">
        <w:t xml:space="preserve"> largely</w:t>
      </w:r>
      <w:r w:rsidRPr="00887119">
        <w:t xml:space="preserve"> linked to rapid in-migration and reflect the kind of fast-moving demographic shift that can outpace housing supply within a short timeframe. </w:t>
      </w:r>
      <w:r w:rsidR="000D3058" w:rsidRPr="00887119">
        <w:t>By contrast, g</w:t>
      </w:r>
      <w:r w:rsidRPr="00887119">
        <w:t>rowth in the 65+ age group</w:t>
      </w:r>
      <w:r w:rsidR="000D3058" w:rsidRPr="00887119">
        <w:t xml:space="preserve"> </w:t>
      </w:r>
      <w:r w:rsidRPr="00887119">
        <w:t xml:space="preserve">was more moderate (+11%), though it </w:t>
      </w:r>
      <w:r w:rsidR="000D3058" w:rsidRPr="00887119">
        <w:t>suggests</w:t>
      </w:r>
      <w:r w:rsidRPr="00887119">
        <w:t xml:space="preserve"> a </w:t>
      </w:r>
      <w:r w:rsidR="004F647C" w:rsidRPr="00887119">
        <w:t xml:space="preserve">growing </w:t>
      </w:r>
      <w:r w:rsidRPr="00887119">
        <w:t>demand for accessible, age-appropriate, and potentially supported housing options in the coming decade.</w:t>
      </w:r>
    </w:p>
    <w:p w14:paraId="0579DB05" w14:textId="77777777" w:rsidR="00D411AB" w:rsidRPr="00887119" w:rsidRDefault="00D411AB" w:rsidP="00CA47D9"/>
    <w:p w14:paraId="19B11564" w14:textId="33271D20" w:rsidR="00CA47D9" w:rsidRPr="00887119" w:rsidRDefault="00CA47D9" w:rsidP="00CA47D9">
      <w:r w:rsidRPr="00887119">
        <w:rPr>
          <w:rStyle w:val="Figure-textChar"/>
        </w:rPr>
        <w:fldChar w:fldCharType="begin"/>
      </w:r>
      <w:r w:rsidRPr="00887119">
        <w:rPr>
          <w:rStyle w:val="Figure-textChar"/>
        </w:rPr>
        <w:instrText xml:space="preserve"> REF _Ref222758146 \h  \* MERGEFORMAT </w:instrText>
      </w:r>
      <w:r w:rsidRPr="00887119">
        <w:rPr>
          <w:rStyle w:val="Figure-textChar"/>
        </w:rPr>
      </w:r>
      <w:r w:rsidRPr="00887119">
        <w:rPr>
          <w:rStyle w:val="Figure-textChar"/>
        </w:rPr>
        <w:fldChar w:fldCharType="separate"/>
      </w:r>
      <w:r w:rsidR="008D4BDE" w:rsidRPr="008D4BDE">
        <w:rPr>
          <w:rStyle w:val="Figure-textChar"/>
        </w:rPr>
        <w:t>Table 6.1</w:t>
      </w:r>
      <w:r w:rsidRPr="00887119">
        <w:rPr>
          <w:rStyle w:val="Figure-textChar"/>
        </w:rPr>
        <w:fldChar w:fldCharType="end"/>
      </w:r>
      <w:r w:rsidRPr="00887119">
        <w:t xml:space="preserve"> </w:t>
      </w:r>
      <w:r w:rsidR="00D411AB" w:rsidRPr="00887119">
        <w:t>provides a snapshot of the current provincial population by age group and how it has shifted since the 2021 Census, alongside a comparison of growth rates across geographic categories to highlight where demographic change is most concentrated.</w:t>
      </w:r>
    </w:p>
    <w:p w14:paraId="398E5CA5" w14:textId="77777777" w:rsidR="00CA47D9" w:rsidRPr="00887119" w:rsidRDefault="00CA47D9" w:rsidP="00CA47D9"/>
    <w:p w14:paraId="2584EC14" w14:textId="47BD1292" w:rsidR="00CA47D9" w:rsidRPr="00887119" w:rsidRDefault="00CA47D9" w:rsidP="00CA47D9">
      <w:pPr>
        <w:pStyle w:val="Caption"/>
      </w:pPr>
      <w:bookmarkStart w:id="45" w:name="_Ref222758146"/>
      <w:r w:rsidRPr="00887119">
        <w:t xml:space="preserve">Table </w:t>
      </w:r>
      <w:fldSimple w:instr=" STYLEREF 1 \s ">
        <w:r w:rsidR="008D4BDE">
          <w:rPr>
            <w:noProof/>
          </w:rPr>
          <w:t>6</w:t>
        </w:r>
      </w:fldSimple>
      <w:r w:rsidR="00EE1FE9">
        <w:t>.</w:t>
      </w:r>
      <w:fldSimple w:instr=" SEQ Table \* ARABIC \s 1 ">
        <w:r w:rsidR="008D4BDE">
          <w:rPr>
            <w:noProof/>
          </w:rPr>
          <w:t>1</w:t>
        </w:r>
      </w:fldSimple>
      <w:bookmarkEnd w:id="45"/>
      <w:r w:rsidRPr="00887119">
        <w:t>: Population estimates by age group (2025) compared to most recent census (2021) and comparison of age distribution by geograph</w:t>
      </w:r>
      <w:r w:rsidR="00430802" w:rsidRPr="00887119">
        <w:t>ic category</w:t>
      </w:r>
    </w:p>
    <w:tbl>
      <w:tblPr>
        <w:tblW w:w="9355" w:type="dxa"/>
        <w:tblLayout w:type="fixed"/>
        <w:tblLook w:val="04A0" w:firstRow="1" w:lastRow="0" w:firstColumn="1" w:lastColumn="0" w:noHBand="0" w:noVBand="1"/>
      </w:tblPr>
      <w:tblGrid>
        <w:gridCol w:w="2155"/>
        <w:gridCol w:w="900"/>
        <w:gridCol w:w="900"/>
        <w:gridCol w:w="900"/>
        <w:gridCol w:w="900"/>
        <w:gridCol w:w="900"/>
        <w:gridCol w:w="900"/>
        <w:gridCol w:w="900"/>
        <w:gridCol w:w="900"/>
      </w:tblGrid>
      <w:tr w:rsidR="006A2E08" w:rsidRPr="00887119" w14:paraId="46BBEF8D" w14:textId="77777777" w:rsidTr="00EC17F7">
        <w:trPr>
          <w:trHeight w:val="402"/>
        </w:trPr>
        <w:tc>
          <w:tcPr>
            <w:tcW w:w="215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70582B27" w14:textId="77777777" w:rsidR="006A2E08" w:rsidRPr="00887119" w:rsidRDefault="006A2E08" w:rsidP="002C4B56">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w:t>
            </w:r>
          </w:p>
        </w:tc>
        <w:tc>
          <w:tcPr>
            <w:tcW w:w="9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017C5AC0"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Total</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AB23AAA"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0 to 14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281471A"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15 to 24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4919063"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25 to 34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F5D29B1"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35 to 54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4152B5E"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55 to 64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B2D743D"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65 to 84</w:t>
            </w:r>
          </w:p>
        </w:tc>
        <w:tc>
          <w:tcPr>
            <w:tcW w:w="9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59D11FC0" w14:textId="77777777" w:rsidR="006A2E08" w:rsidRPr="00887119" w:rsidRDefault="006A2E08" w:rsidP="002C4B5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85+</w:t>
            </w:r>
          </w:p>
        </w:tc>
      </w:tr>
      <w:tr w:rsidR="006A2E08" w:rsidRPr="00887119" w14:paraId="1CE17F85" w14:textId="77777777" w:rsidTr="005C4925">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32E1D628" w14:textId="77777777" w:rsidR="006A2E08" w:rsidRPr="00887119" w:rsidRDefault="006A2E08" w:rsidP="002C4B5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Provincial population</w:t>
            </w:r>
          </w:p>
        </w:tc>
      </w:tr>
      <w:tr w:rsidR="00D75E4D" w:rsidRPr="00887119" w14:paraId="5AC1F14C" w14:textId="77777777" w:rsidTr="002C4B56">
        <w:trPr>
          <w:trHeight w:val="402"/>
        </w:trPr>
        <w:tc>
          <w:tcPr>
            <w:tcW w:w="2155" w:type="dxa"/>
            <w:tcBorders>
              <w:top w:val="nil"/>
              <w:left w:val="single" w:sz="4" w:space="0" w:color="auto"/>
              <w:bottom w:val="single" w:sz="4" w:space="0" w:color="BFBFBF"/>
              <w:right w:val="single" w:sz="4" w:space="0" w:color="auto"/>
            </w:tcBorders>
            <w:shd w:val="clear" w:color="000000" w:fill="F2F2F2"/>
            <w:noWrap/>
            <w:vAlign w:val="center"/>
            <w:hideMark/>
          </w:tcPr>
          <w:p w14:paraId="11E5D3A2" w14:textId="446D67B2" w:rsidR="00D75E4D" w:rsidRPr="00887119" w:rsidRDefault="00D75E4D" w:rsidP="00D75E4D">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2025 total</w:t>
            </w:r>
          </w:p>
        </w:tc>
        <w:tc>
          <w:tcPr>
            <w:tcW w:w="900" w:type="dxa"/>
            <w:tcBorders>
              <w:top w:val="nil"/>
              <w:left w:val="nil"/>
              <w:bottom w:val="single" w:sz="4" w:space="0" w:color="BFBFBF"/>
              <w:right w:val="single" w:sz="4" w:space="0" w:color="auto"/>
            </w:tcBorders>
            <w:shd w:val="clear" w:color="000000" w:fill="F2F2F2"/>
            <w:noWrap/>
            <w:vAlign w:val="center"/>
            <w:hideMark/>
          </w:tcPr>
          <w:p w14:paraId="38F497D0" w14:textId="2E287D16" w:rsidR="00D75E4D" w:rsidRPr="00701B6E" w:rsidRDefault="00A90E93"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182,700</w:t>
            </w:r>
          </w:p>
        </w:tc>
        <w:tc>
          <w:tcPr>
            <w:tcW w:w="900" w:type="dxa"/>
            <w:tcBorders>
              <w:top w:val="nil"/>
              <w:left w:val="nil"/>
              <w:bottom w:val="single" w:sz="4" w:space="0" w:color="BFBFBF"/>
              <w:right w:val="single" w:sz="4" w:space="0" w:color="BFBFBF"/>
            </w:tcBorders>
            <w:shd w:val="clear" w:color="000000" w:fill="F2F2F2"/>
            <w:noWrap/>
            <w:vAlign w:val="center"/>
            <w:hideMark/>
          </w:tcPr>
          <w:p w14:paraId="1A70D59D" w14:textId="79CB8534" w:rsidR="00D75E4D" w:rsidRPr="00701B6E" w:rsidRDefault="00A90E93"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25,300</w:t>
            </w:r>
          </w:p>
        </w:tc>
        <w:tc>
          <w:tcPr>
            <w:tcW w:w="900" w:type="dxa"/>
            <w:tcBorders>
              <w:top w:val="nil"/>
              <w:left w:val="nil"/>
              <w:bottom w:val="single" w:sz="4" w:space="0" w:color="BFBFBF"/>
              <w:right w:val="single" w:sz="4" w:space="0" w:color="BFBFBF"/>
            </w:tcBorders>
            <w:shd w:val="clear" w:color="000000" w:fill="F2F2F2"/>
            <w:noWrap/>
            <w:vAlign w:val="center"/>
            <w:hideMark/>
          </w:tcPr>
          <w:p w14:paraId="75BFB3B6" w14:textId="3C801313" w:rsidR="00D75E4D" w:rsidRPr="00701B6E" w:rsidRDefault="00A90E93"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24,500</w:t>
            </w:r>
          </w:p>
        </w:tc>
        <w:tc>
          <w:tcPr>
            <w:tcW w:w="900" w:type="dxa"/>
            <w:tcBorders>
              <w:top w:val="nil"/>
              <w:left w:val="nil"/>
              <w:bottom w:val="single" w:sz="4" w:space="0" w:color="BFBFBF"/>
              <w:right w:val="single" w:sz="4" w:space="0" w:color="BFBFBF"/>
            </w:tcBorders>
            <w:shd w:val="clear" w:color="000000" w:fill="F2F2F2"/>
            <w:noWrap/>
            <w:vAlign w:val="center"/>
            <w:hideMark/>
          </w:tcPr>
          <w:p w14:paraId="565E387D" w14:textId="190E506D" w:rsidR="00D75E4D" w:rsidRPr="00701B6E" w:rsidRDefault="00435262"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27,500</w:t>
            </w:r>
          </w:p>
        </w:tc>
        <w:tc>
          <w:tcPr>
            <w:tcW w:w="900" w:type="dxa"/>
            <w:tcBorders>
              <w:top w:val="nil"/>
              <w:left w:val="nil"/>
              <w:bottom w:val="single" w:sz="4" w:space="0" w:color="BFBFBF"/>
              <w:right w:val="single" w:sz="4" w:space="0" w:color="BFBFBF"/>
            </w:tcBorders>
            <w:shd w:val="clear" w:color="000000" w:fill="F2F2F2"/>
            <w:noWrap/>
            <w:vAlign w:val="center"/>
            <w:hideMark/>
          </w:tcPr>
          <w:p w14:paraId="77A9F87C" w14:textId="7CBBE8D5" w:rsidR="00D75E4D" w:rsidRPr="00701B6E" w:rsidRDefault="00435262"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43,900</w:t>
            </w:r>
          </w:p>
        </w:tc>
        <w:tc>
          <w:tcPr>
            <w:tcW w:w="900" w:type="dxa"/>
            <w:tcBorders>
              <w:top w:val="nil"/>
              <w:left w:val="nil"/>
              <w:bottom w:val="single" w:sz="4" w:space="0" w:color="BFBFBF"/>
              <w:right w:val="single" w:sz="4" w:space="0" w:color="BFBFBF"/>
            </w:tcBorders>
            <w:shd w:val="clear" w:color="000000" w:fill="F2F2F2"/>
            <w:noWrap/>
            <w:vAlign w:val="center"/>
            <w:hideMark/>
          </w:tcPr>
          <w:p w14:paraId="4EAEAE86" w14:textId="416985DD" w:rsidR="00D75E4D" w:rsidRPr="00701B6E" w:rsidRDefault="00435262"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23,300</w:t>
            </w:r>
          </w:p>
        </w:tc>
        <w:tc>
          <w:tcPr>
            <w:tcW w:w="900" w:type="dxa"/>
            <w:tcBorders>
              <w:top w:val="nil"/>
              <w:left w:val="nil"/>
              <w:bottom w:val="single" w:sz="4" w:space="0" w:color="BFBFBF"/>
              <w:right w:val="single" w:sz="4" w:space="0" w:color="BFBFBF"/>
            </w:tcBorders>
            <w:shd w:val="clear" w:color="000000" w:fill="F2F2F2"/>
            <w:noWrap/>
            <w:vAlign w:val="center"/>
            <w:hideMark/>
          </w:tcPr>
          <w:p w14:paraId="1E6A1FBA" w14:textId="202B2E1A" w:rsidR="00D75E4D" w:rsidRPr="00701B6E" w:rsidRDefault="00435262"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34,00</w:t>
            </w:r>
          </w:p>
        </w:tc>
        <w:tc>
          <w:tcPr>
            <w:tcW w:w="900" w:type="dxa"/>
            <w:tcBorders>
              <w:top w:val="nil"/>
              <w:left w:val="nil"/>
              <w:bottom w:val="single" w:sz="4" w:space="0" w:color="BFBFBF"/>
              <w:right w:val="single" w:sz="4" w:space="0" w:color="auto"/>
            </w:tcBorders>
            <w:shd w:val="clear" w:color="000000" w:fill="F2F2F2"/>
            <w:noWrap/>
            <w:vAlign w:val="center"/>
            <w:hideMark/>
          </w:tcPr>
          <w:p w14:paraId="684FDC43" w14:textId="7FE13797" w:rsidR="00435262" w:rsidRPr="00FA46FA" w:rsidRDefault="00435262" w:rsidP="00FA46FA">
            <w:pPr>
              <w:spacing w:line="240" w:lineRule="auto"/>
              <w:jc w:val="right"/>
              <w:rPr>
                <w:rFonts w:cs="Arial"/>
                <w:color w:val="C00000"/>
                <w:sz w:val="18"/>
                <w:szCs w:val="18"/>
              </w:rPr>
            </w:pPr>
            <w:r>
              <w:rPr>
                <w:rFonts w:cs="Arial"/>
                <w:color w:val="C00000"/>
                <w:sz w:val="18"/>
                <w:szCs w:val="18"/>
              </w:rPr>
              <w:t>4,100</w:t>
            </w:r>
          </w:p>
        </w:tc>
      </w:tr>
      <w:tr w:rsidR="00D75E4D" w:rsidRPr="00887119" w14:paraId="031B4754" w14:textId="77777777" w:rsidTr="002C4B56">
        <w:trPr>
          <w:trHeight w:val="402"/>
        </w:trPr>
        <w:tc>
          <w:tcPr>
            <w:tcW w:w="2155" w:type="dxa"/>
            <w:tcBorders>
              <w:top w:val="nil"/>
              <w:left w:val="single" w:sz="4" w:space="0" w:color="auto"/>
              <w:bottom w:val="single" w:sz="4" w:space="0" w:color="auto"/>
              <w:right w:val="single" w:sz="4" w:space="0" w:color="auto"/>
            </w:tcBorders>
            <w:noWrap/>
            <w:vAlign w:val="center"/>
            <w:hideMark/>
          </w:tcPr>
          <w:p w14:paraId="5D52CD38" w14:textId="2FD7A1F3" w:rsidR="00D75E4D" w:rsidRPr="00887119" w:rsidRDefault="00D75E4D" w:rsidP="00D75E4D">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Since 2021</w:t>
            </w:r>
          </w:p>
        </w:tc>
        <w:tc>
          <w:tcPr>
            <w:tcW w:w="900" w:type="dxa"/>
            <w:tcBorders>
              <w:top w:val="nil"/>
              <w:left w:val="nil"/>
              <w:bottom w:val="single" w:sz="4" w:space="0" w:color="auto"/>
              <w:right w:val="single" w:sz="4" w:space="0" w:color="auto"/>
            </w:tcBorders>
            <w:noWrap/>
            <w:vAlign w:val="center"/>
            <w:hideMark/>
          </w:tcPr>
          <w:p w14:paraId="4C97CAAA" w14:textId="6F1CCC8E"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+13%</w:t>
            </w:r>
          </w:p>
        </w:tc>
        <w:tc>
          <w:tcPr>
            <w:tcW w:w="900" w:type="dxa"/>
            <w:tcBorders>
              <w:top w:val="nil"/>
              <w:left w:val="nil"/>
              <w:bottom w:val="single" w:sz="4" w:space="0" w:color="auto"/>
              <w:right w:val="single" w:sz="4" w:space="0" w:color="BFBFBF"/>
            </w:tcBorders>
            <w:noWrap/>
            <w:vAlign w:val="center"/>
            <w:hideMark/>
          </w:tcPr>
          <w:p w14:paraId="7646B61E" w14:textId="3EE2EAD7"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+2%</w:t>
            </w:r>
          </w:p>
        </w:tc>
        <w:tc>
          <w:tcPr>
            <w:tcW w:w="900" w:type="dxa"/>
            <w:tcBorders>
              <w:top w:val="nil"/>
              <w:left w:val="nil"/>
              <w:bottom w:val="single" w:sz="4" w:space="0" w:color="auto"/>
              <w:right w:val="single" w:sz="4" w:space="0" w:color="BFBFBF"/>
            </w:tcBorders>
            <w:noWrap/>
            <w:vAlign w:val="center"/>
            <w:hideMark/>
          </w:tcPr>
          <w:p w14:paraId="11C59F5A" w14:textId="0E8ED2FC" w:rsidR="00D75E4D" w:rsidRPr="00701B6E" w:rsidRDefault="00FA46FA"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+22%</w:t>
            </w:r>
          </w:p>
        </w:tc>
        <w:tc>
          <w:tcPr>
            <w:tcW w:w="900" w:type="dxa"/>
            <w:tcBorders>
              <w:top w:val="nil"/>
              <w:left w:val="nil"/>
              <w:bottom w:val="single" w:sz="4" w:space="0" w:color="auto"/>
              <w:right w:val="single" w:sz="4" w:space="0" w:color="BFBFBF"/>
            </w:tcBorders>
            <w:noWrap/>
            <w:vAlign w:val="center"/>
            <w:hideMark/>
          </w:tcPr>
          <w:p w14:paraId="657EFC4F" w14:textId="1A0352D3" w:rsidR="00D75E4D" w:rsidRPr="00701B6E" w:rsidRDefault="00FA46FA"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+44%</w:t>
            </w:r>
          </w:p>
        </w:tc>
        <w:tc>
          <w:tcPr>
            <w:tcW w:w="900" w:type="dxa"/>
            <w:tcBorders>
              <w:top w:val="nil"/>
              <w:left w:val="nil"/>
              <w:bottom w:val="single" w:sz="4" w:space="0" w:color="auto"/>
              <w:right w:val="single" w:sz="4" w:space="0" w:color="BFBFBF"/>
            </w:tcBorders>
            <w:noWrap/>
            <w:vAlign w:val="center"/>
            <w:hideMark/>
          </w:tcPr>
          <w:p w14:paraId="53A260E1" w14:textId="63A07E33"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+11%</w:t>
            </w:r>
          </w:p>
        </w:tc>
        <w:tc>
          <w:tcPr>
            <w:tcW w:w="900" w:type="dxa"/>
            <w:tcBorders>
              <w:top w:val="nil"/>
              <w:left w:val="nil"/>
              <w:bottom w:val="single" w:sz="4" w:space="0" w:color="auto"/>
              <w:right w:val="single" w:sz="4" w:space="0" w:color="BFBFBF"/>
            </w:tcBorders>
            <w:noWrap/>
            <w:vAlign w:val="center"/>
            <w:hideMark/>
          </w:tcPr>
          <w:p w14:paraId="176B6D16" w14:textId="37E17270"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-4%</w:t>
            </w:r>
          </w:p>
        </w:tc>
        <w:tc>
          <w:tcPr>
            <w:tcW w:w="900" w:type="dxa"/>
            <w:tcBorders>
              <w:top w:val="nil"/>
              <w:left w:val="nil"/>
              <w:bottom w:val="single" w:sz="4" w:space="0" w:color="auto"/>
              <w:right w:val="single" w:sz="4" w:space="0" w:color="BFBFBF"/>
            </w:tcBorders>
            <w:noWrap/>
            <w:vAlign w:val="center"/>
            <w:hideMark/>
          </w:tcPr>
          <w:p w14:paraId="0F449433" w14:textId="37E44252"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+11%</w:t>
            </w:r>
          </w:p>
        </w:tc>
        <w:tc>
          <w:tcPr>
            <w:tcW w:w="900" w:type="dxa"/>
            <w:tcBorders>
              <w:top w:val="nil"/>
              <w:left w:val="nil"/>
              <w:bottom w:val="single" w:sz="4" w:space="0" w:color="auto"/>
              <w:right w:val="single" w:sz="4" w:space="0" w:color="auto"/>
            </w:tcBorders>
            <w:noWrap/>
            <w:vAlign w:val="center"/>
            <w:hideMark/>
          </w:tcPr>
          <w:p w14:paraId="54F62CA3" w14:textId="4A15F4F8" w:rsidR="00D75E4D" w:rsidRPr="00701B6E" w:rsidRDefault="00FA46FA" w:rsidP="00D75E4D">
            <w:pPr>
              <w:spacing w:line="240" w:lineRule="auto"/>
              <w:jc w:val="right"/>
              <w:rPr>
                <w:rFonts w:eastAsia="Times New Roman" w:cs="Arial"/>
                <w:color w:val="C00000"/>
                <w:kern w:val="0"/>
                <w:sz w:val="18"/>
                <w:szCs w:val="18"/>
                <w:lang w:eastAsia="en-CA"/>
                <w14:ligatures w14:val="none"/>
              </w:rPr>
            </w:pPr>
            <w:r>
              <w:rPr>
                <w:rFonts w:cs="Arial"/>
                <w:color w:val="C00000"/>
                <w:sz w:val="18"/>
                <w:szCs w:val="18"/>
              </w:rPr>
              <w:t>+11%</w:t>
            </w:r>
          </w:p>
        </w:tc>
      </w:tr>
      <w:tr w:rsidR="006A2E08" w:rsidRPr="00887119" w14:paraId="41DD1CA3" w14:textId="77777777" w:rsidTr="005C4925">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488C1A63" w14:textId="356A1495" w:rsidR="006A2E08" w:rsidRPr="00887119" w:rsidRDefault="006A2E08" w:rsidP="002C4B5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Geographic category rates of change by age group (</w:t>
            </w:r>
            <w:r w:rsidR="00D75E4D" w:rsidRPr="00887119">
              <w:rPr>
                <w:rFonts w:eastAsia="Times New Roman" w:cs="Arial"/>
                <w:color w:val="000000"/>
                <w:kern w:val="0"/>
                <w:sz w:val="18"/>
                <w:szCs w:val="18"/>
                <w:lang w:eastAsia="en-CA"/>
                <w14:ligatures w14:val="none"/>
              </w:rPr>
              <w:t>2021</w:t>
            </w:r>
            <w:r w:rsidRPr="00887119">
              <w:rPr>
                <w:rFonts w:eastAsia="Times New Roman" w:cs="Arial"/>
                <w:color w:val="000000"/>
                <w:kern w:val="0"/>
                <w:sz w:val="18"/>
                <w:szCs w:val="18"/>
                <w:lang w:eastAsia="en-CA"/>
                <w14:ligatures w14:val="none"/>
              </w:rPr>
              <w:t xml:space="preserve"> to 20</w:t>
            </w:r>
            <w:r w:rsidR="00D75E4D" w:rsidRPr="00887119">
              <w:rPr>
                <w:rFonts w:eastAsia="Times New Roman" w:cs="Arial"/>
                <w:color w:val="000000"/>
                <w:kern w:val="0"/>
                <w:sz w:val="18"/>
                <w:szCs w:val="18"/>
                <w:lang w:eastAsia="en-CA"/>
                <w14:ligatures w14:val="none"/>
              </w:rPr>
              <w:t>25</w:t>
            </w:r>
            <w:r w:rsidRPr="00887119">
              <w:rPr>
                <w:rFonts w:eastAsia="Times New Roman" w:cs="Arial"/>
                <w:color w:val="000000"/>
                <w:kern w:val="0"/>
                <w:sz w:val="18"/>
                <w:szCs w:val="18"/>
                <w:lang w:eastAsia="en-CA"/>
                <w14:ligatures w14:val="none"/>
              </w:rPr>
              <w:t>)</w:t>
            </w:r>
          </w:p>
        </w:tc>
      </w:tr>
      <w:tr w:rsidR="00D75E4D" w:rsidRPr="00887119" w14:paraId="0EC83B10" w14:textId="77777777" w:rsidTr="002C4B56">
        <w:trPr>
          <w:trHeight w:val="402"/>
        </w:trPr>
        <w:tc>
          <w:tcPr>
            <w:tcW w:w="2155" w:type="dxa"/>
            <w:tcBorders>
              <w:top w:val="nil"/>
              <w:left w:val="single" w:sz="4" w:space="0" w:color="auto"/>
              <w:bottom w:val="single" w:sz="4" w:space="0" w:color="BFBFBF"/>
              <w:right w:val="single" w:sz="4" w:space="0" w:color="auto"/>
            </w:tcBorders>
            <w:shd w:val="clear" w:color="000000" w:fill="F2F2F2"/>
            <w:noWrap/>
            <w:vAlign w:val="center"/>
            <w:hideMark/>
          </w:tcPr>
          <w:p w14:paraId="5AA06D6F" w14:textId="77777777" w:rsidR="00D75E4D" w:rsidRPr="00887119" w:rsidRDefault="00D75E4D" w:rsidP="00D75E4D">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Urban</w:t>
            </w:r>
          </w:p>
        </w:tc>
        <w:tc>
          <w:tcPr>
            <w:tcW w:w="900" w:type="dxa"/>
            <w:tcBorders>
              <w:top w:val="nil"/>
              <w:left w:val="nil"/>
              <w:bottom w:val="single" w:sz="4" w:space="0" w:color="BFBFBF"/>
              <w:right w:val="single" w:sz="4" w:space="0" w:color="auto"/>
            </w:tcBorders>
            <w:shd w:val="clear" w:color="000000" w:fill="F2F2F2"/>
            <w:noWrap/>
            <w:vAlign w:val="center"/>
            <w:hideMark/>
          </w:tcPr>
          <w:p w14:paraId="57931B75" w14:textId="0B17752A"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+16%</w:t>
            </w:r>
          </w:p>
        </w:tc>
        <w:tc>
          <w:tcPr>
            <w:tcW w:w="900" w:type="dxa"/>
            <w:tcBorders>
              <w:top w:val="nil"/>
              <w:left w:val="nil"/>
              <w:bottom w:val="single" w:sz="4" w:space="0" w:color="BFBFBF"/>
              <w:right w:val="single" w:sz="4" w:space="0" w:color="BFBFBF"/>
            </w:tcBorders>
            <w:shd w:val="clear" w:color="000000" w:fill="F2F2F2"/>
            <w:noWrap/>
            <w:vAlign w:val="center"/>
            <w:hideMark/>
          </w:tcPr>
          <w:p w14:paraId="41913311" w14:textId="1455A38F"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+3%</w:t>
            </w:r>
          </w:p>
        </w:tc>
        <w:tc>
          <w:tcPr>
            <w:tcW w:w="900" w:type="dxa"/>
            <w:tcBorders>
              <w:top w:val="nil"/>
              <w:left w:val="nil"/>
              <w:bottom w:val="single" w:sz="4" w:space="0" w:color="BFBFBF"/>
              <w:right w:val="single" w:sz="4" w:space="0" w:color="BFBFBF"/>
            </w:tcBorders>
            <w:shd w:val="clear" w:color="000000" w:fill="F2F2F2"/>
            <w:noWrap/>
            <w:vAlign w:val="center"/>
            <w:hideMark/>
          </w:tcPr>
          <w:p w14:paraId="7A60EBAA" w14:textId="55C65637"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+26%</w:t>
            </w:r>
          </w:p>
        </w:tc>
        <w:tc>
          <w:tcPr>
            <w:tcW w:w="900" w:type="dxa"/>
            <w:tcBorders>
              <w:top w:val="nil"/>
              <w:left w:val="nil"/>
              <w:bottom w:val="single" w:sz="4" w:space="0" w:color="BFBFBF"/>
              <w:right w:val="single" w:sz="4" w:space="0" w:color="BFBFBF"/>
            </w:tcBorders>
            <w:shd w:val="clear" w:color="000000" w:fill="F2F2F2"/>
            <w:noWrap/>
            <w:vAlign w:val="center"/>
            <w:hideMark/>
          </w:tcPr>
          <w:p w14:paraId="733DC673" w14:textId="06290BED"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+49%</w:t>
            </w:r>
          </w:p>
        </w:tc>
        <w:tc>
          <w:tcPr>
            <w:tcW w:w="900" w:type="dxa"/>
            <w:tcBorders>
              <w:top w:val="nil"/>
              <w:left w:val="nil"/>
              <w:bottom w:val="single" w:sz="4" w:space="0" w:color="BFBFBF"/>
              <w:right w:val="single" w:sz="4" w:space="0" w:color="BFBFBF"/>
            </w:tcBorders>
            <w:shd w:val="clear" w:color="000000" w:fill="F2F2F2"/>
            <w:noWrap/>
            <w:vAlign w:val="center"/>
            <w:hideMark/>
          </w:tcPr>
          <w:p w14:paraId="23F326FC" w14:textId="7D5A295D"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+13%</w:t>
            </w:r>
          </w:p>
        </w:tc>
        <w:tc>
          <w:tcPr>
            <w:tcW w:w="900" w:type="dxa"/>
            <w:tcBorders>
              <w:top w:val="nil"/>
              <w:left w:val="nil"/>
              <w:bottom w:val="single" w:sz="4" w:space="0" w:color="BFBFBF"/>
              <w:right w:val="single" w:sz="4" w:space="0" w:color="BFBFBF"/>
            </w:tcBorders>
            <w:shd w:val="clear" w:color="000000" w:fill="F2F2F2"/>
            <w:noWrap/>
            <w:vAlign w:val="center"/>
            <w:hideMark/>
          </w:tcPr>
          <w:p w14:paraId="422B591B" w14:textId="043A5A0B"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-3%</w:t>
            </w:r>
          </w:p>
        </w:tc>
        <w:tc>
          <w:tcPr>
            <w:tcW w:w="900" w:type="dxa"/>
            <w:tcBorders>
              <w:top w:val="nil"/>
              <w:left w:val="nil"/>
              <w:bottom w:val="single" w:sz="4" w:space="0" w:color="BFBFBF"/>
              <w:right w:val="single" w:sz="4" w:space="0" w:color="BFBFBF"/>
            </w:tcBorders>
            <w:shd w:val="clear" w:color="000000" w:fill="F2F2F2"/>
            <w:noWrap/>
            <w:vAlign w:val="center"/>
            <w:hideMark/>
          </w:tcPr>
          <w:p w14:paraId="14062632" w14:textId="1D498D12"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+13%</w:t>
            </w:r>
          </w:p>
        </w:tc>
        <w:tc>
          <w:tcPr>
            <w:tcW w:w="900" w:type="dxa"/>
            <w:tcBorders>
              <w:top w:val="nil"/>
              <w:left w:val="nil"/>
              <w:bottom w:val="single" w:sz="4" w:space="0" w:color="BFBFBF"/>
              <w:right w:val="single" w:sz="4" w:space="0" w:color="auto"/>
            </w:tcBorders>
            <w:shd w:val="clear" w:color="000000" w:fill="F2F2F2"/>
            <w:noWrap/>
            <w:vAlign w:val="center"/>
            <w:hideMark/>
          </w:tcPr>
          <w:p w14:paraId="4AF40748" w14:textId="39C175AF"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+10%</w:t>
            </w:r>
          </w:p>
        </w:tc>
      </w:tr>
      <w:tr w:rsidR="00D75E4D" w:rsidRPr="00887119" w14:paraId="490D986A" w14:textId="77777777" w:rsidTr="002C4B56">
        <w:trPr>
          <w:trHeight w:val="402"/>
        </w:trPr>
        <w:tc>
          <w:tcPr>
            <w:tcW w:w="2155" w:type="dxa"/>
            <w:tcBorders>
              <w:top w:val="nil"/>
              <w:left w:val="single" w:sz="4" w:space="0" w:color="auto"/>
              <w:bottom w:val="single" w:sz="4" w:space="0" w:color="BFBFBF"/>
              <w:right w:val="single" w:sz="4" w:space="0" w:color="auto"/>
            </w:tcBorders>
            <w:noWrap/>
            <w:vAlign w:val="center"/>
            <w:hideMark/>
          </w:tcPr>
          <w:p w14:paraId="328E897D" w14:textId="77777777" w:rsidR="00D75E4D" w:rsidRPr="00887119" w:rsidRDefault="00D75E4D" w:rsidP="00D75E4D">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Small urban</w:t>
            </w:r>
          </w:p>
        </w:tc>
        <w:tc>
          <w:tcPr>
            <w:tcW w:w="900" w:type="dxa"/>
            <w:tcBorders>
              <w:top w:val="nil"/>
              <w:left w:val="nil"/>
              <w:bottom w:val="single" w:sz="4" w:space="0" w:color="BFBFBF"/>
              <w:right w:val="single" w:sz="4" w:space="0" w:color="auto"/>
            </w:tcBorders>
            <w:noWrap/>
            <w:vAlign w:val="center"/>
            <w:hideMark/>
          </w:tcPr>
          <w:p w14:paraId="213D4E7D" w14:textId="3A97AD00"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+12%</w:t>
            </w:r>
          </w:p>
        </w:tc>
        <w:tc>
          <w:tcPr>
            <w:tcW w:w="900" w:type="dxa"/>
            <w:tcBorders>
              <w:top w:val="nil"/>
              <w:left w:val="nil"/>
              <w:bottom w:val="single" w:sz="4" w:space="0" w:color="BFBFBF"/>
              <w:right w:val="single" w:sz="4" w:space="0" w:color="BFBFBF"/>
            </w:tcBorders>
            <w:noWrap/>
            <w:vAlign w:val="center"/>
            <w:hideMark/>
          </w:tcPr>
          <w:p w14:paraId="47F8CF3A" w14:textId="677E8106"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+3%</w:t>
            </w:r>
          </w:p>
        </w:tc>
        <w:tc>
          <w:tcPr>
            <w:tcW w:w="900" w:type="dxa"/>
            <w:tcBorders>
              <w:top w:val="nil"/>
              <w:left w:val="nil"/>
              <w:bottom w:val="single" w:sz="4" w:space="0" w:color="BFBFBF"/>
              <w:right w:val="single" w:sz="4" w:space="0" w:color="BFBFBF"/>
            </w:tcBorders>
            <w:noWrap/>
            <w:vAlign w:val="center"/>
            <w:hideMark/>
          </w:tcPr>
          <w:p w14:paraId="2F32B84B" w14:textId="627B1F33"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+18%</w:t>
            </w:r>
          </w:p>
        </w:tc>
        <w:tc>
          <w:tcPr>
            <w:tcW w:w="900" w:type="dxa"/>
            <w:tcBorders>
              <w:top w:val="nil"/>
              <w:left w:val="nil"/>
              <w:bottom w:val="single" w:sz="4" w:space="0" w:color="BFBFBF"/>
              <w:right w:val="single" w:sz="4" w:space="0" w:color="BFBFBF"/>
            </w:tcBorders>
            <w:noWrap/>
            <w:vAlign w:val="center"/>
            <w:hideMark/>
          </w:tcPr>
          <w:p w14:paraId="47D4CF04" w14:textId="57AC2F5A"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+41%</w:t>
            </w:r>
          </w:p>
        </w:tc>
        <w:tc>
          <w:tcPr>
            <w:tcW w:w="900" w:type="dxa"/>
            <w:tcBorders>
              <w:top w:val="nil"/>
              <w:left w:val="nil"/>
              <w:bottom w:val="single" w:sz="4" w:space="0" w:color="BFBFBF"/>
              <w:right w:val="single" w:sz="4" w:space="0" w:color="BFBFBF"/>
            </w:tcBorders>
            <w:noWrap/>
            <w:vAlign w:val="center"/>
            <w:hideMark/>
          </w:tcPr>
          <w:p w14:paraId="4A16A804" w14:textId="63407418"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+10%</w:t>
            </w:r>
          </w:p>
        </w:tc>
        <w:tc>
          <w:tcPr>
            <w:tcW w:w="900" w:type="dxa"/>
            <w:tcBorders>
              <w:top w:val="nil"/>
              <w:left w:val="nil"/>
              <w:bottom w:val="single" w:sz="4" w:space="0" w:color="BFBFBF"/>
              <w:right w:val="single" w:sz="4" w:space="0" w:color="BFBFBF"/>
            </w:tcBorders>
            <w:noWrap/>
            <w:vAlign w:val="center"/>
            <w:hideMark/>
          </w:tcPr>
          <w:p w14:paraId="623879F1" w14:textId="728B637F"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-6%</w:t>
            </w:r>
          </w:p>
        </w:tc>
        <w:tc>
          <w:tcPr>
            <w:tcW w:w="900" w:type="dxa"/>
            <w:tcBorders>
              <w:top w:val="nil"/>
              <w:left w:val="nil"/>
              <w:bottom w:val="single" w:sz="4" w:space="0" w:color="BFBFBF"/>
              <w:right w:val="single" w:sz="4" w:space="0" w:color="BFBFBF"/>
            </w:tcBorders>
            <w:noWrap/>
            <w:vAlign w:val="center"/>
            <w:hideMark/>
          </w:tcPr>
          <w:p w14:paraId="2BAB003F" w14:textId="675E2D6D"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+12%</w:t>
            </w:r>
          </w:p>
        </w:tc>
        <w:tc>
          <w:tcPr>
            <w:tcW w:w="900" w:type="dxa"/>
            <w:tcBorders>
              <w:top w:val="nil"/>
              <w:left w:val="nil"/>
              <w:bottom w:val="single" w:sz="4" w:space="0" w:color="BFBFBF"/>
              <w:right w:val="single" w:sz="4" w:space="0" w:color="auto"/>
            </w:tcBorders>
            <w:noWrap/>
            <w:vAlign w:val="center"/>
            <w:hideMark/>
          </w:tcPr>
          <w:p w14:paraId="5A3547BA" w14:textId="0E6B9063"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+14%</w:t>
            </w:r>
          </w:p>
        </w:tc>
      </w:tr>
      <w:tr w:rsidR="00D75E4D" w:rsidRPr="00887119" w14:paraId="37C4199E" w14:textId="77777777" w:rsidTr="002C4B56">
        <w:trPr>
          <w:trHeight w:val="402"/>
        </w:trPr>
        <w:tc>
          <w:tcPr>
            <w:tcW w:w="2155" w:type="dxa"/>
            <w:tcBorders>
              <w:top w:val="nil"/>
              <w:left w:val="single" w:sz="4" w:space="0" w:color="auto"/>
              <w:bottom w:val="single" w:sz="4" w:space="0" w:color="BFBFBF"/>
              <w:right w:val="single" w:sz="4" w:space="0" w:color="auto"/>
            </w:tcBorders>
            <w:shd w:val="clear" w:color="000000" w:fill="F2F2F2"/>
            <w:noWrap/>
            <w:vAlign w:val="center"/>
            <w:hideMark/>
          </w:tcPr>
          <w:p w14:paraId="299CFF4A" w14:textId="77777777" w:rsidR="00D75E4D" w:rsidRPr="00887119" w:rsidRDefault="00D75E4D" w:rsidP="00D75E4D">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Rural (urban adjacent)</w:t>
            </w:r>
          </w:p>
        </w:tc>
        <w:tc>
          <w:tcPr>
            <w:tcW w:w="900" w:type="dxa"/>
            <w:tcBorders>
              <w:top w:val="nil"/>
              <w:left w:val="nil"/>
              <w:bottom w:val="single" w:sz="4" w:space="0" w:color="BFBFBF"/>
              <w:right w:val="single" w:sz="4" w:space="0" w:color="auto"/>
            </w:tcBorders>
            <w:shd w:val="clear" w:color="000000" w:fill="F2F2F2"/>
            <w:noWrap/>
            <w:vAlign w:val="center"/>
            <w:hideMark/>
          </w:tcPr>
          <w:p w14:paraId="06FA7920" w14:textId="368BF1F9"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+10%</w:t>
            </w:r>
          </w:p>
        </w:tc>
        <w:tc>
          <w:tcPr>
            <w:tcW w:w="900" w:type="dxa"/>
            <w:tcBorders>
              <w:top w:val="nil"/>
              <w:left w:val="nil"/>
              <w:bottom w:val="single" w:sz="4" w:space="0" w:color="BFBFBF"/>
              <w:right w:val="single" w:sz="4" w:space="0" w:color="BFBFBF"/>
            </w:tcBorders>
            <w:shd w:val="clear" w:color="000000" w:fill="F2F2F2"/>
            <w:noWrap/>
            <w:vAlign w:val="center"/>
            <w:hideMark/>
          </w:tcPr>
          <w:p w14:paraId="52057FCA" w14:textId="619FD8B0"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0%</w:t>
            </w:r>
          </w:p>
        </w:tc>
        <w:tc>
          <w:tcPr>
            <w:tcW w:w="900" w:type="dxa"/>
            <w:tcBorders>
              <w:top w:val="nil"/>
              <w:left w:val="nil"/>
              <w:bottom w:val="single" w:sz="4" w:space="0" w:color="BFBFBF"/>
              <w:right w:val="single" w:sz="4" w:space="0" w:color="BFBFBF"/>
            </w:tcBorders>
            <w:shd w:val="clear" w:color="000000" w:fill="F2F2F2"/>
            <w:noWrap/>
            <w:vAlign w:val="center"/>
            <w:hideMark/>
          </w:tcPr>
          <w:p w14:paraId="380446F1" w14:textId="1BADD2E8"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+20%</w:t>
            </w:r>
          </w:p>
        </w:tc>
        <w:tc>
          <w:tcPr>
            <w:tcW w:w="900" w:type="dxa"/>
            <w:tcBorders>
              <w:top w:val="nil"/>
              <w:left w:val="nil"/>
              <w:bottom w:val="single" w:sz="4" w:space="0" w:color="BFBFBF"/>
              <w:right w:val="single" w:sz="4" w:space="0" w:color="BFBFBF"/>
            </w:tcBorders>
            <w:shd w:val="clear" w:color="000000" w:fill="F2F2F2"/>
            <w:noWrap/>
            <w:vAlign w:val="center"/>
            <w:hideMark/>
          </w:tcPr>
          <w:p w14:paraId="17226E3C" w14:textId="48087972"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+42%</w:t>
            </w:r>
          </w:p>
        </w:tc>
        <w:tc>
          <w:tcPr>
            <w:tcW w:w="900" w:type="dxa"/>
            <w:tcBorders>
              <w:top w:val="nil"/>
              <w:left w:val="nil"/>
              <w:bottom w:val="single" w:sz="4" w:space="0" w:color="BFBFBF"/>
              <w:right w:val="single" w:sz="4" w:space="0" w:color="BFBFBF"/>
            </w:tcBorders>
            <w:shd w:val="clear" w:color="000000" w:fill="F2F2F2"/>
            <w:noWrap/>
            <w:vAlign w:val="center"/>
            <w:hideMark/>
          </w:tcPr>
          <w:p w14:paraId="1EEBAFBE" w14:textId="7D7DA281"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+12%</w:t>
            </w:r>
          </w:p>
        </w:tc>
        <w:tc>
          <w:tcPr>
            <w:tcW w:w="900" w:type="dxa"/>
            <w:tcBorders>
              <w:top w:val="nil"/>
              <w:left w:val="nil"/>
              <w:bottom w:val="single" w:sz="4" w:space="0" w:color="BFBFBF"/>
              <w:right w:val="single" w:sz="4" w:space="0" w:color="BFBFBF"/>
            </w:tcBorders>
            <w:shd w:val="clear" w:color="000000" w:fill="F2F2F2"/>
            <w:noWrap/>
            <w:vAlign w:val="center"/>
            <w:hideMark/>
          </w:tcPr>
          <w:p w14:paraId="52C1CB7D" w14:textId="6AA45A29"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-5%</w:t>
            </w:r>
          </w:p>
        </w:tc>
        <w:tc>
          <w:tcPr>
            <w:tcW w:w="900" w:type="dxa"/>
            <w:tcBorders>
              <w:top w:val="nil"/>
              <w:left w:val="nil"/>
              <w:bottom w:val="single" w:sz="4" w:space="0" w:color="BFBFBF"/>
              <w:right w:val="single" w:sz="4" w:space="0" w:color="BFBFBF"/>
            </w:tcBorders>
            <w:shd w:val="clear" w:color="000000" w:fill="F2F2F2"/>
            <w:noWrap/>
            <w:vAlign w:val="center"/>
            <w:hideMark/>
          </w:tcPr>
          <w:p w14:paraId="6FA84E7A" w14:textId="7BC3FC82"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+8%</w:t>
            </w:r>
          </w:p>
        </w:tc>
        <w:tc>
          <w:tcPr>
            <w:tcW w:w="900" w:type="dxa"/>
            <w:tcBorders>
              <w:top w:val="nil"/>
              <w:left w:val="nil"/>
              <w:bottom w:val="single" w:sz="4" w:space="0" w:color="BFBFBF"/>
              <w:right w:val="single" w:sz="4" w:space="0" w:color="auto"/>
            </w:tcBorders>
            <w:shd w:val="clear" w:color="000000" w:fill="F2F2F2"/>
            <w:noWrap/>
            <w:vAlign w:val="center"/>
            <w:hideMark/>
          </w:tcPr>
          <w:p w14:paraId="26D796E2" w14:textId="2724DAA6"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+3%</w:t>
            </w:r>
          </w:p>
        </w:tc>
      </w:tr>
      <w:tr w:rsidR="00D75E4D" w:rsidRPr="00887119" w14:paraId="32A76E49" w14:textId="77777777" w:rsidTr="002C4B56">
        <w:trPr>
          <w:trHeight w:val="402"/>
        </w:trPr>
        <w:tc>
          <w:tcPr>
            <w:tcW w:w="2155" w:type="dxa"/>
            <w:tcBorders>
              <w:top w:val="nil"/>
              <w:left w:val="single" w:sz="4" w:space="0" w:color="auto"/>
              <w:bottom w:val="single" w:sz="4" w:space="0" w:color="auto"/>
              <w:right w:val="single" w:sz="4" w:space="0" w:color="auto"/>
            </w:tcBorders>
            <w:noWrap/>
            <w:vAlign w:val="center"/>
            <w:hideMark/>
          </w:tcPr>
          <w:p w14:paraId="7917A11B" w14:textId="77777777" w:rsidR="00D75E4D" w:rsidRPr="00887119" w:rsidRDefault="00D75E4D" w:rsidP="00D75E4D">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Rural (remote)</w:t>
            </w:r>
          </w:p>
        </w:tc>
        <w:tc>
          <w:tcPr>
            <w:tcW w:w="900" w:type="dxa"/>
            <w:tcBorders>
              <w:top w:val="nil"/>
              <w:left w:val="nil"/>
              <w:bottom w:val="single" w:sz="4" w:space="0" w:color="auto"/>
              <w:right w:val="single" w:sz="4" w:space="0" w:color="auto"/>
            </w:tcBorders>
            <w:noWrap/>
            <w:vAlign w:val="center"/>
            <w:hideMark/>
          </w:tcPr>
          <w:p w14:paraId="1A8C796E" w14:textId="23E5EB6C"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+8%</w:t>
            </w:r>
          </w:p>
        </w:tc>
        <w:tc>
          <w:tcPr>
            <w:tcW w:w="900" w:type="dxa"/>
            <w:tcBorders>
              <w:top w:val="nil"/>
              <w:left w:val="nil"/>
              <w:bottom w:val="single" w:sz="4" w:space="0" w:color="auto"/>
              <w:right w:val="single" w:sz="4" w:space="0" w:color="BFBFBF"/>
            </w:tcBorders>
            <w:noWrap/>
            <w:vAlign w:val="center"/>
            <w:hideMark/>
          </w:tcPr>
          <w:p w14:paraId="1A1B24BD" w14:textId="05ABE173"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+3%</w:t>
            </w:r>
          </w:p>
        </w:tc>
        <w:tc>
          <w:tcPr>
            <w:tcW w:w="900" w:type="dxa"/>
            <w:tcBorders>
              <w:top w:val="nil"/>
              <w:left w:val="nil"/>
              <w:bottom w:val="single" w:sz="4" w:space="0" w:color="auto"/>
              <w:right w:val="single" w:sz="4" w:space="0" w:color="BFBFBF"/>
            </w:tcBorders>
            <w:noWrap/>
            <w:vAlign w:val="center"/>
            <w:hideMark/>
          </w:tcPr>
          <w:p w14:paraId="1E5D2DD8" w14:textId="207814A8"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+8%</w:t>
            </w:r>
          </w:p>
        </w:tc>
        <w:tc>
          <w:tcPr>
            <w:tcW w:w="900" w:type="dxa"/>
            <w:tcBorders>
              <w:top w:val="nil"/>
              <w:left w:val="nil"/>
              <w:bottom w:val="single" w:sz="4" w:space="0" w:color="auto"/>
              <w:right w:val="single" w:sz="4" w:space="0" w:color="BFBFBF"/>
            </w:tcBorders>
            <w:noWrap/>
            <w:vAlign w:val="center"/>
            <w:hideMark/>
          </w:tcPr>
          <w:p w14:paraId="77B4805F" w14:textId="2945345B"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+31%</w:t>
            </w:r>
          </w:p>
        </w:tc>
        <w:tc>
          <w:tcPr>
            <w:tcW w:w="900" w:type="dxa"/>
            <w:tcBorders>
              <w:top w:val="nil"/>
              <w:left w:val="nil"/>
              <w:bottom w:val="single" w:sz="4" w:space="0" w:color="auto"/>
              <w:right w:val="single" w:sz="4" w:space="0" w:color="BFBFBF"/>
            </w:tcBorders>
            <w:noWrap/>
            <w:vAlign w:val="center"/>
            <w:hideMark/>
          </w:tcPr>
          <w:p w14:paraId="62ADB299" w14:textId="2A74E5CF"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+7%</w:t>
            </w:r>
          </w:p>
        </w:tc>
        <w:tc>
          <w:tcPr>
            <w:tcW w:w="900" w:type="dxa"/>
            <w:tcBorders>
              <w:top w:val="nil"/>
              <w:left w:val="nil"/>
              <w:bottom w:val="single" w:sz="4" w:space="0" w:color="auto"/>
              <w:right w:val="single" w:sz="4" w:space="0" w:color="BFBFBF"/>
            </w:tcBorders>
            <w:noWrap/>
            <w:vAlign w:val="center"/>
            <w:hideMark/>
          </w:tcPr>
          <w:p w14:paraId="3CA97B9D" w14:textId="79619347"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-5%</w:t>
            </w:r>
          </w:p>
        </w:tc>
        <w:tc>
          <w:tcPr>
            <w:tcW w:w="900" w:type="dxa"/>
            <w:tcBorders>
              <w:top w:val="nil"/>
              <w:left w:val="nil"/>
              <w:bottom w:val="single" w:sz="4" w:space="0" w:color="auto"/>
              <w:right w:val="single" w:sz="4" w:space="0" w:color="BFBFBF"/>
            </w:tcBorders>
            <w:noWrap/>
            <w:vAlign w:val="center"/>
            <w:hideMark/>
          </w:tcPr>
          <w:p w14:paraId="4CF7FC51" w14:textId="78A8CFC2"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+8%</w:t>
            </w:r>
          </w:p>
        </w:tc>
        <w:tc>
          <w:tcPr>
            <w:tcW w:w="900" w:type="dxa"/>
            <w:tcBorders>
              <w:top w:val="nil"/>
              <w:left w:val="nil"/>
              <w:bottom w:val="single" w:sz="4" w:space="0" w:color="auto"/>
              <w:right w:val="single" w:sz="4" w:space="0" w:color="auto"/>
            </w:tcBorders>
            <w:noWrap/>
            <w:vAlign w:val="center"/>
            <w:hideMark/>
          </w:tcPr>
          <w:p w14:paraId="609797CD" w14:textId="0511A634" w:rsidR="00D75E4D" w:rsidRPr="00701B6E" w:rsidRDefault="00D75E4D" w:rsidP="00D75E4D">
            <w:pPr>
              <w:spacing w:line="240" w:lineRule="auto"/>
              <w:jc w:val="right"/>
              <w:rPr>
                <w:rFonts w:eastAsia="Times New Roman" w:cs="Arial"/>
                <w:color w:val="C00000"/>
                <w:kern w:val="0"/>
                <w:sz w:val="18"/>
                <w:szCs w:val="18"/>
                <w:lang w:eastAsia="en-CA"/>
                <w14:ligatures w14:val="none"/>
              </w:rPr>
            </w:pPr>
            <w:r w:rsidRPr="00701B6E">
              <w:rPr>
                <w:rFonts w:cs="Arial"/>
                <w:color w:val="C00000"/>
                <w:sz w:val="18"/>
                <w:szCs w:val="18"/>
              </w:rPr>
              <w:t>+13%</w:t>
            </w:r>
          </w:p>
        </w:tc>
      </w:tr>
    </w:tbl>
    <w:p w14:paraId="4264C94A" w14:textId="77777777" w:rsidR="00CA47D9" w:rsidRPr="00887119" w:rsidRDefault="00CA47D9" w:rsidP="00CA47D9">
      <w:pPr>
        <w:pStyle w:val="Source"/>
      </w:pPr>
      <w:r w:rsidRPr="00887119">
        <w:t>Source: derived from Statistics Canada Table 17-10-0162 and Statistics Canada 2021 Census Profile</w:t>
      </w:r>
    </w:p>
    <w:p w14:paraId="2F8AFBA4" w14:textId="77777777" w:rsidR="00CA47D9" w:rsidRPr="00887119" w:rsidRDefault="00CA47D9" w:rsidP="00CA47D9"/>
    <w:p w14:paraId="7E98112E" w14:textId="48EB4A7F" w:rsidR="00154874" w:rsidRPr="00887119" w:rsidRDefault="00402288" w:rsidP="00CA47D9">
      <w:r w:rsidRPr="00402288">
        <w:rPr>
          <w:color w:val="C00000"/>
        </w:rPr>
        <w:t>PEI</w:t>
      </w:r>
      <w:r w:rsidR="00B966E6" w:rsidRPr="00887119">
        <w:t xml:space="preserve">’s overall population grew by 13% between 2021 and 2025, but growth was far from evenly distributed across the province. Urban areas recorded the strongest growth at +16%, followed by small urban (+12%), rural urban-adjacent (+10%), and rural remote (+8%). The 25-to-34 age cohort grew the fastest across every defined geography, led by urban areas at +49%. This </w:t>
      </w:r>
      <w:r w:rsidR="00154874" w:rsidRPr="00887119">
        <w:t>finding</w:t>
      </w:r>
      <w:r w:rsidR="00B966E6" w:rsidRPr="00887119">
        <w:t xml:space="preserve"> corresponds to concentrated demand for entry-level rental and starter ownership housing in those communities. </w:t>
      </w:r>
    </w:p>
    <w:p w14:paraId="3FCC3D64" w14:textId="77777777" w:rsidR="00154874" w:rsidRPr="00887119" w:rsidRDefault="00154874" w:rsidP="00CA47D9"/>
    <w:p w14:paraId="3B1ABD7E" w14:textId="6DB2D185" w:rsidR="00CA47D9" w:rsidRPr="00887119" w:rsidRDefault="00B966E6" w:rsidP="00CA47D9">
      <w:r w:rsidRPr="00887119">
        <w:t>Across all categories, the 55-to-64 cohort declined modestly (by 3</w:t>
      </w:r>
      <w:r w:rsidR="00C132E3" w:rsidRPr="00887119">
        <w:t>%</w:t>
      </w:r>
      <w:r w:rsidRPr="00887119">
        <w:t>–6%), reflecting generational transitions out of prime working age. These patterns suggest that urban and small urban communities are absorbing a disproportionate share of growth in the household formation years, while rural communities face a different challenge: slower overall growth combined with an aging population profile that will gradually drive demand for age-appropriate housing options.</w:t>
      </w:r>
    </w:p>
    <w:p w14:paraId="296F17CB" w14:textId="77777777" w:rsidR="00B966E6" w:rsidRPr="00887119" w:rsidRDefault="00B966E6" w:rsidP="00CA47D9"/>
    <w:p w14:paraId="0BE4503D" w14:textId="3FF7E8EC" w:rsidR="00CA47D9" w:rsidRPr="00887119" w:rsidRDefault="00CA47D9" w:rsidP="00CA47D9">
      <w:r w:rsidRPr="00887119">
        <w:rPr>
          <w:rStyle w:val="Figure-textChar"/>
        </w:rPr>
        <w:fldChar w:fldCharType="begin"/>
      </w:r>
      <w:r w:rsidRPr="00887119">
        <w:rPr>
          <w:rStyle w:val="Figure-textChar"/>
        </w:rPr>
        <w:instrText xml:space="preserve"> REF _Ref222758234 \h  \* MERGEFORMAT </w:instrText>
      </w:r>
      <w:r w:rsidRPr="00887119">
        <w:rPr>
          <w:rStyle w:val="Figure-textChar"/>
        </w:rPr>
      </w:r>
      <w:r w:rsidRPr="00887119">
        <w:rPr>
          <w:rStyle w:val="Figure-textChar"/>
        </w:rPr>
        <w:fldChar w:fldCharType="separate"/>
      </w:r>
      <w:r w:rsidR="008D4BDE" w:rsidRPr="008D4BDE">
        <w:rPr>
          <w:rStyle w:val="Figure-textChar"/>
        </w:rPr>
        <w:t>Figure 6.1</w:t>
      </w:r>
      <w:r w:rsidRPr="00887119">
        <w:rPr>
          <w:rStyle w:val="Figure-textChar"/>
        </w:rPr>
        <w:fldChar w:fldCharType="end"/>
      </w:r>
      <w:r w:rsidRPr="00887119">
        <w:t xml:space="preserve"> </w:t>
      </w:r>
      <w:r w:rsidR="0051457E" w:rsidRPr="00887119">
        <w:t xml:space="preserve">situates these trends in time by illustrating how the total provincial population has changed on an annual basis. It offers important context for understanding whether recent population change is accelerating, stabilizing, or reversing. </w:t>
      </w:r>
      <w:r w:rsidR="00402288" w:rsidRPr="00402288">
        <w:rPr>
          <w:color w:val="C00000"/>
        </w:rPr>
        <w:t>PEI</w:t>
      </w:r>
      <w:r w:rsidR="0051457E" w:rsidRPr="00887119">
        <w:t xml:space="preserve">’s recent growth trajectory has been among the most rapid in Canada, driven primarily by international and interprovincial in-migration. The speed and concentration of this growth </w:t>
      </w:r>
      <w:r w:rsidR="00E3331A" w:rsidRPr="00887119">
        <w:t>(especially</w:t>
      </w:r>
      <w:r w:rsidR="0051457E" w:rsidRPr="00887119">
        <w:t xml:space="preserve"> in urban areas</w:t>
      </w:r>
      <w:r w:rsidR="00E3331A" w:rsidRPr="00887119">
        <w:t>)</w:t>
      </w:r>
      <w:r w:rsidR="0051457E" w:rsidRPr="00887119">
        <w:t xml:space="preserve"> has had direct implications for housing supply capacity and rental market conditions across the province.</w:t>
      </w:r>
    </w:p>
    <w:p w14:paraId="50E6E6E3" w14:textId="77777777" w:rsidR="00CA47D9" w:rsidRPr="00887119" w:rsidRDefault="00CA47D9" w:rsidP="00CA47D9"/>
    <w:p w14:paraId="45346B2E" w14:textId="175B8560" w:rsidR="00CA47D9" w:rsidRPr="00887119" w:rsidRDefault="00CA47D9" w:rsidP="00CA47D9">
      <w:pPr>
        <w:pStyle w:val="Caption"/>
      </w:pPr>
      <w:bookmarkStart w:id="46" w:name="_Ref222758234"/>
      <w:r w:rsidRPr="00887119">
        <w:t xml:space="preserve">Figure </w:t>
      </w:r>
      <w:fldSimple w:instr=" STYLEREF 1 \s ">
        <w:r w:rsidR="008D4BDE">
          <w:rPr>
            <w:noProof/>
          </w:rPr>
          <w:t>6</w:t>
        </w:r>
      </w:fldSimple>
      <w:r w:rsidR="00A6003E" w:rsidRPr="00887119">
        <w:t>.</w:t>
      </w:r>
      <w:fldSimple w:instr=" SEQ Figure \* ARABIC \s 1 ">
        <w:r w:rsidR="008D4BDE">
          <w:rPr>
            <w:noProof/>
          </w:rPr>
          <w:t>1</w:t>
        </w:r>
      </w:fldSimple>
      <w:bookmarkEnd w:id="46"/>
      <w:r w:rsidRPr="00887119">
        <w:t>: Annual change in total population from previous year's population</w:t>
      </w:r>
    </w:p>
    <w:p w14:paraId="07009FF4" w14:textId="4555734D" w:rsidR="00CA47D9" w:rsidRPr="00887119" w:rsidRDefault="00EA05B6" w:rsidP="00CA47D9">
      <w:r w:rsidRPr="00887119">
        <w:rPr>
          <w:noProof/>
        </w:rPr>
        <w:drawing>
          <wp:inline distT="0" distB="0" distL="0" distR="0" wp14:anchorId="7A352FE7" wp14:editId="336ED383">
            <wp:extent cx="5889812" cy="2610971"/>
            <wp:effectExtent l="0" t="0" r="0" b="0"/>
            <wp:docPr id="85438619" name="Chart 1">
              <a:extLst xmlns:a="http://schemas.openxmlformats.org/drawingml/2006/main">
                <a:ext uri="{FF2B5EF4-FFF2-40B4-BE49-F238E27FC236}">
                  <a16:creationId xmlns:a16="http://schemas.microsoft.com/office/drawing/2014/main" id="{F5EFCB40-7FE9-4D78-9F5A-39BE973AAD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04F7C2" w14:textId="77777777" w:rsidR="00CA47D9" w:rsidRPr="00887119" w:rsidRDefault="00CA47D9" w:rsidP="00CA47D9">
      <w:pPr>
        <w:pStyle w:val="Source"/>
      </w:pPr>
      <w:r w:rsidRPr="00887119">
        <w:t>Source: derived from Statistics Canada Table 17-10-0155</w:t>
      </w:r>
    </w:p>
    <w:p w14:paraId="5FA19615" w14:textId="77777777" w:rsidR="00CA47D9" w:rsidRPr="00887119" w:rsidRDefault="00CA47D9" w:rsidP="00CA47D9"/>
    <w:p w14:paraId="55077DD7" w14:textId="77777777" w:rsidR="00CA47D9" w:rsidRPr="00887119" w:rsidRDefault="00CA47D9" w:rsidP="00CA47D9">
      <w:pPr>
        <w:pStyle w:val="Heading3"/>
      </w:pPr>
      <w:r w:rsidRPr="00887119">
        <w:t>Migration</w:t>
      </w:r>
    </w:p>
    <w:p w14:paraId="1B73959F" w14:textId="02413443" w:rsidR="00CA47D9" w:rsidRPr="00887119" w:rsidRDefault="00CA47D9" w:rsidP="00CA47D9">
      <w:r w:rsidRPr="00887119">
        <w:t xml:space="preserve">Year-to-year volatility can reflect economic shifts, changes in migration flows, or short-term demographic events, and may warrant cautious interpretation rather than extrapolation. The components driving these trends are explored in </w:t>
      </w:r>
      <w:r w:rsidRPr="00887119">
        <w:rPr>
          <w:rStyle w:val="Figure-textChar"/>
        </w:rPr>
        <w:fldChar w:fldCharType="begin"/>
      </w:r>
      <w:r w:rsidRPr="00887119">
        <w:rPr>
          <w:rStyle w:val="Figure-textChar"/>
        </w:rPr>
        <w:instrText xml:space="preserve"> REF _Ref222758358 \h  \* MERGEFORMAT </w:instrText>
      </w:r>
      <w:r w:rsidRPr="00887119">
        <w:rPr>
          <w:rStyle w:val="Figure-textChar"/>
        </w:rPr>
      </w:r>
      <w:r w:rsidRPr="00887119">
        <w:rPr>
          <w:rStyle w:val="Figure-textChar"/>
        </w:rPr>
        <w:fldChar w:fldCharType="separate"/>
      </w:r>
      <w:r w:rsidR="008D4BDE" w:rsidRPr="008D4BDE">
        <w:rPr>
          <w:rStyle w:val="Figure-textChar"/>
        </w:rPr>
        <w:t>Figure 6.2</w:t>
      </w:r>
      <w:r w:rsidRPr="00887119">
        <w:rPr>
          <w:rStyle w:val="Figure-textChar"/>
        </w:rPr>
        <w:fldChar w:fldCharType="end"/>
      </w:r>
      <w:r w:rsidRPr="00887119">
        <w:t xml:space="preserve">, which disaggregates </w:t>
      </w:r>
      <w:r w:rsidR="00C56403" w:rsidRPr="00887119">
        <w:t>provincial</w:t>
      </w:r>
      <w:r w:rsidRPr="00887119">
        <w:t xml:space="preserve"> </w:t>
      </w:r>
      <w:r w:rsidRPr="00887119">
        <w:lastRenderedPageBreak/>
        <w:t xml:space="preserve">population change into its constituent parts, and </w:t>
      </w:r>
      <w:r w:rsidRPr="00887119">
        <w:rPr>
          <w:rStyle w:val="Figure-textChar"/>
        </w:rPr>
        <w:fldChar w:fldCharType="begin"/>
      </w:r>
      <w:r w:rsidRPr="00887119">
        <w:rPr>
          <w:rStyle w:val="Figure-textChar"/>
        </w:rPr>
        <w:instrText xml:space="preserve"> REF _Ref222758512 \h  \* MERGEFORMAT </w:instrText>
      </w:r>
      <w:r w:rsidRPr="00887119">
        <w:rPr>
          <w:rStyle w:val="Figure-textChar"/>
        </w:rPr>
      </w:r>
      <w:r w:rsidRPr="00887119">
        <w:rPr>
          <w:rStyle w:val="Figure-textChar"/>
        </w:rPr>
        <w:fldChar w:fldCharType="separate"/>
      </w:r>
      <w:r w:rsidR="008D4BDE" w:rsidRPr="008D4BDE">
        <w:rPr>
          <w:rStyle w:val="Figure-textChar"/>
        </w:rPr>
        <w:t>Table 6.2</w:t>
      </w:r>
      <w:r w:rsidRPr="00887119">
        <w:rPr>
          <w:rStyle w:val="Figure-textChar"/>
        </w:rPr>
        <w:fldChar w:fldCharType="end"/>
      </w:r>
      <w:r w:rsidRPr="00887119">
        <w:t>, which draws on Census data to examine where recent movers within the local population originated.</w:t>
      </w:r>
    </w:p>
    <w:p w14:paraId="3C3FB98C" w14:textId="77777777" w:rsidR="00CA47D9" w:rsidRPr="00887119" w:rsidRDefault="00CA47D9" w:rsidP="00CA47D9"/>
    <w:p w14:paraId="73BDFFF4" w14:textId="1EAF1829" w:rsidR="00CA47D9" w:rsidRPr="00887119" w:rsidRDefault="00CA47D9" w:rsidP="00CA47D9">
      <w:r w:rsidRPr="00887119">
        <w:t xml:space="preserve">More specifically, </w:t>
      </w:r>
      <w:r w:rsidRPr="00887119">
        <w:rPr>
          <w:rStyle w:val="Figure-textChar"/>
        </w:rPr>
        <w:fldChar w:fldCharType="begin"/>
      </w:r>
      <w:r w:rsidRPr="00887119">
        <w:rPr>
          <w:rStyle w:val="Figure-textChar"/>
        </w:rPr>
        <w:instrText xml:space="preserve"> REF _Ref222758358 \h  \* MERGEFORMAT </w:instrText>
      </w:r>
      <w:r w:rsidRPr="00887119">
        <w:rPr>
          <w:rStyle w:val="Figure-textChar"/>
        </w:rPr>
      </w:r>
      <w:r w:rsidRPr="00887119">
        <w:rPr>
          <w:rStyle w:val="Figure-textChar"/>
        </w:rPr>
        <w:fldChar w:fldCharType="separate"/>
      </w:r>
      <w:r w:rsidR="008D4BDE" w:rsidRPr="008D4BDE">
        <w:rPr>
          <w:rStyle w:val="Figure-textChar"/>
        </w:rPr>
        <w:t>Figure 6.2</w:t>
      </w:r>
      <w:r w:rsidRPr="00887119">
        <w:rPr>
          <w:rStyle w:val="Figure-textChar"/>
        </w:rPr>
        <w:fldChar w:fldCharType="end"/>
      </w:r>
      <w:r w:rsidRPr="00887119">
        <w:t xml:space="preserve"> </w:t>
      </w:r>
      <w:r w:rsidR="00575B51" w:rsidRPr="00887119">
        <w:t xml:space="preserve">illustrates the relative contribution of different components (natural change, interprovincial migration, and international migration) to overall provincial population change. International migration has emerged as the dominant driver of </w:t>
      </w:r>
      <w:r w:rsidR="00402288" w:rsidRPr="00402288">
        <w:rPr>
          <w:color w:val="C00000"/>
        </w:rPr>
        <w:t>PEI</w:t>
      </w:r>
      <w:r w:rsidR="00575B51" w:rsidRPr="00887119">
        <w:t>’s recent growth and is the primary force behind population gains across all geographic categories, particularly urban and small urban areas.</w:t>
      </w:r>
    </w:p>
    <w:p w14:paraId="5B113A83" w14:textId="77777777" w:rsidR="00CA47D9" w:rsidRPr="00887119" w:rsidRDefault="00CA47D9" w:rsidP="00CA47D9"/>
    <w:p w14:paraId="3EFE8BA2" w14:textId="180BA48C" w:rsidR="00CA47D9" w:rsidRPr="00887119" w:rsidRDefault="00CA47D9" w:rsidP="00CA47D9">
      <w:pPr>
        <w:pStyle w:val="Caption"/>
      </w:pPr>
      <w:bookmarkStart w:id="47" w:name="_Ref222758358"/>
      <w:r w:rsidRPr="00887119">
        <w:t xml:space="preserve">Figure </w:t>
      </w:r>
      <w:fldSimple w:instr=" STYLEREF 1 \s ">
        <w:r w:rsidR="008D4BDE">
          <w:rPr>
            <w:noProof/>
          </w:rPr>
          <w:t>6</w:t>
        </w:r>
      </w:fldSimple>
      <w:r w:rsidR="00A6003E" w:rsidRPr="00887119">
        <w:t>.</w:t>
      </w:r>
      <w:fldSimple w:instr=" SEQ Figure \* ARABIC \s 1 ">
        <w:r w:rsidR="008D4BDE">
          <w:rPr>
            <w:noProof/>
          </w:rPr>
          <w:t>2</w:t>
        </w:r>
      </w:fldSimple>
      <w:bookmarkEnd w:id="47"/>
      <w:r w:rsidRPr="00887119">
        <w:t xml:space="preserve">: Annual </w:t>
      </w:r>
      <w:r w:rsidR="006347DC" w:rsidRPr="00887119">
        <w:t>provincial</w:t>
      </w:r>
      <w:r w:rsidRPr="00887119">
        <w:t xml:space="preserve"> demographic component shares of population change</w:t>
      </w:r>
    </w:p>
    <w:p w14:paraId="463F89BD" w14:textId="1208A1C6" w:rsidR="00CA47D9" w:rsidRPr="00887119" w:rsidRDefault="00BC2929" w:rsidP="00CA47D9">
      <w:r w:rsidRPr="00887119">
        <w:rPr>
          <w:noProof/>
        </w:rPr>
        <w:drawing>
          <wp:inline distT="0" distB="0" distL="0" distR="0" wp14:anchorId="7032DD4D" wp14:editId="7399A03F">
            <wp:extent cx="5919828" cy="2703418"/>
            <wp:effectExtent l="0" t="0" r="5080" b="1905"/>
            <wp:docPr id="1144225091" name="Chart 1">
              <a:extLst xmlns:a="http://schemas.openxmlformats.org/drawingml/2006/main">
                <a:ext uri="{FF2B5EF4-FFF2-40B4-BE49-F238E27FC236}">
                  <a16:creationId xmlns:a16="http://schemas.microsoft.com/office/drawing/2014/main" id="{D42B4EB1-44C1-4A53-B235-CBA3AB5941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93E0DE" w14:textId="77777777" w:rsidR="00CA47D9" w:rsidRPr="00887119" w:rsidRDefault="00CA47D9" w:rsidP="00CA47D9">
      <w:pPr>
        <w:pStyle w:val="Source"/>
      </w:pPr>
      <w:r w:rsidRPr="00887119">
        <w:t>Source: derived from Statistics Canada Tables 17-10-0152 and 17-10-0153</w:t>
      </w:r>
    </w:p>
    <w:p w14:paraId="5A2669E2" w14:textId="77777777" w:rsidR="00CA47D9" w:rsidRPr="00887119" w:rsidRDefault="00CA47D9" w:rsidP="00CA47D9"/>
    <w:p w14:paraId="1581F15F" w14:textId="6E03C116" w:rsidR="00E84A9E" w:rsidRPr="00887119" w:rsidRDefault="00E84A9E" w:rsidP="00E84A9E">
      <w:r w:rsidRPr="00887119">
        <w:t xml:space="preserve">International migration has been the dominant driver of provincial population growth in recent years, more often concentrated in urban and small urban areas where settlement services, employment, and rental options are more accessible. This pattern of migrant concentration has created uneven housing demand pressures across the province: urban areas have experienced rapid increases in renter demand and are likely experiencing declining vacancy rates (though there is limited data to confirm this), while rural communities (where international migration rates are considerably lower) have faced more gradual and demographically predictable demographic shifts. The geographic unevenness of in-migration is an important context for understanding the distribution of housing market stress across </w:t>
      </w:r>
      <w:r w:rsidR="00402288" w:rsidRPr="00402288">
        <w:rPr>
          <w:color w:val="C00000"/>
        </w:rPr>
        <w:t>PEI</w:t>
      </w:r>
      <w:r w:rsidRPr="00887119">
        <w:t>.</w:t>
      </w:r>
    </w:p>
    <w:p w14:paraId="3B5DE0B1" w14:textId="77777777" w:rsidR="00F31D0E" w:rsidRPr="00887119" w:rsidRDefault="00F31D0E" w:rsidP="00CA47D9"/>
    <w:p w14:paraId="3DCC3448" w14:textId="14F9C99D" w:rsidR="00CA47D9" w:rsidRPr="00887119" w:rsidRDefault="00CA47D9" w:rsidP="00CA47D9">
      <w:r w:rsidRPr="00887119">
        <w:rPr>
          <w:rStyle w:val="Figure-textChar"/>
        </w:rPr>
        <w:fldChar w:fldCharType="begin"/>
      </w:r>
      <w:r w:rsidRPr="00887119">
        <w:rPr>
          <w:rStyle w:val="Figure-textChar"/>
        </w:rPr>
        <w:instrText xml:space="preserve"> REF _Ref222758512 \h  \* MERGEFORMAT </w:instrText>
      </w:r>
      <w:r w:rsidRPr="00887119">
        <w:rPr>
          <w:rStyle w:val="Figure-textChar"/>
        </w:rPr>
      </w:r>
      <w:r w:rsidRPr="00887119">
        <w:rPr>
          <w:rStyle w:val="Figure-textChar"/>
        </w:rPr>
        <w:fldChar w:fldCharType="separate"/>
      </w:r>
      <w:r w:rsidR="008D4BDE" w:rsidRPr="008D4BDE">
        <w:rPr>
          <w:rStyle w:val="Figure-textChar"/>
        </w:rPr>
        <w:t>Table 6.2</w:t>
      </w:r>
      <w:r w:rsidRPr="00887119">
        <w:rPr>
          <w:rStyle w:val="Figure-textChar"/>
        </w:rPr>
        <w:fldChar w:fldCharType="end"/>
      </w:r>
      <w:r w:rsidRPr="00887119">
        <w:t xml:space="preserve"> complements </w:t>
      </w:r>
      <w:r w:rsidRPr="00887119">
        <w:rPr>
          <w:rStyle w:val="Figure-textChar"/>
        </w:rPr>
        <w:fldChar w:fldCharType="begin"/>
      </w:r>
      <w:r w:rsidRPr="00887119">
        <w:rPr>
          <w:rStyle w:val="Figure-textChar"/>
        </w:rPr>
        <w:instrText xml:space="preserve"> REF _Ref222758358 \h  \* MERGEFORMAT </w:instrText>
      </w:r>
      <w:r w:rsidRPr="00887119">
        <w:rPr>
          <w:rStyle w:val="Figure-textChar"/>
        </w:rPr>
      </w:r>
      <w:r w:rsidRPr="00887119">
        <w:rPr>
          <w:rStyle w:val="Figure-textChar"/>
        </w:rPr>
        <w:fldChar w:fldCharType="separate"/>
      </w:r>
      <w:r w:rsidR="008D4BDE" w:rsidRPr="008D4BDE">
        <w:rPr>
          <w:rStyle w:val="Figure-textChar"/>
        </w:rPr>
        <w:t>Figure 6.2</w:t>
      </w:r>
      <w:r w:rsidRPr="00887119">
        <w:rPr>
          <w:rStyle w:val="Figure-textChar"/>
        </w:rPr>
        <w:fldChar w:fldCharType="end"/>
      </w:r>
      <w:r w:rsidRPr="00887119">
        <w:t xml:space="preserve"> </w:t>
      </w:r>
      <w:r w:rsidR="00E84A9E" w:rsidRPr="00887119">
        <w:t xml:space="preserve">by drawing on 2021 Census data to show the origins </w:t>
      </w:r>
      <w:r w:rsidR="004659C2" w:rsidRPr="00887119">
        <w:t>of people</w:t>
      </w:r>
      <w:r w:rsidR="00E84A9E" w:rsidRPr="00887119">
        <w:t xml:space="preserve"> who moved to and within each geographic category in the five years prior to the Census.</w:t>
      </w:r>
    </w:p>
    <w:p w14:paraId="5DFE8346" w14:textId="77777777" w:rsidR="00CA47D9" w:rsidRPr="00887119" w:rsidRDefault="00CA47D9" w:rsidP="00CA47D9"/>
    <w:p w14:paraId="07FEFB76" w14:textId="438DFEC9" w:rsidR="00CA47D9" w:rsidRPr="00887119" w:rsidRDefault="00CA47D9" w:rsidP="00CA47D9">
      <w:pPr>
        <w:pStyle w:val="Caption"/>
      </w:pPr>
      <w:bookmarkStart w:id="48" w:name="_Ref222758512"/>
      <w:bookmarkStart w:id="49" w:name="_Ref222758507"/>
      <w:r w:rsidRPr="00887119">
        <w:lastRenderedPageBreak/>
        <w:t xml:space="preserve">Table </w:t>
      </w:r>
      <w:fldSimple w:instr=" STYLEREF 1 \s ">
        <w:r w:rsidR="008D4BDE">
          <w:rPr>
            <w:noProof/>
          </w:rPr>
          <w:t>6</w:t>
        </w:r>
      </w:fldSimple>
      <w:r w:rsidR="00EE1FE9">
        <w:t>.</w:t>
      </w:r>
      <w:fldSimple w:instr=" SEQ Table \* ARABIC \s 1 ">
        <w:r w:rsidR="008D4BDE">
          <w:rPr>
            <w:noProof/>
          </w:rPr>
          <w:t>2</w:t>
        </w:r>
      </w:fldSimple>
      <w:bookmarkEnd w:id="48"/>
      <w:r w:rsidRPr="00887119">
        <w:t>: Five-year mobility by origin and geograph</w:t>
      </w:r>
      <w:r w:rsidR="000245DB" w:rsidRPr="00887119">
        <w:t>ic category</w:t>
      </w:r>
      <w:r w:rsidRPr="00887119">
        <w:t>, 2021</w:t>
      </w:r>
      <w:bookmarkEnd w:id="49"/>
    </w:p>
    <w:tbl>
      <w:tblPr>
        <w:tblW w:w="9355" w:type="dxa"/>
        <w:tblLayout w:type="fixed"/>
        <w:tblLook w:val="04A0" w:firstRow="1" w:lastRow="0" w:firstColumn="1" w:lastColumn="0" w:noHBand="0" w:noVBand="1"/>
      </w:tblPr>
      <w:tblGrid>
        <w:gridCol w:w="2520"/>
        <w:gridCol w:w="1139"/>
        <w:gridCol w:w="1139"/>
        <w:gridCol w:w="1139"/>
        <w:gridCol w:w="1139"/>
        <w:gridCol w:w="1139"/>
        <w:gridCol w:w="1140"/>
      </w:tblGrid>
      <w:tr w:rsidR="001375E5" w:rsidRPr="00887119" w14:paraId="741490A7" w14:textId="77777777" w:rsidTr="00EA718C">
        <w:trPr>
          <w:trHeight w:val="710"/>
          <w:tblHeader/>
        </w:trPr>
        <w:tc>
          <w:tcPr>
            <w:tcW w:w="2520"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0235E3E1" w14:textId="77777777" w:rsidR="001375E5" w:rsidRPr="00887119" w:rsidRDefault="001375E5" w:rsidP="00036E32">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Migrant category</w:t>
            </w:r>
          </w:p>
        </w:tc>
        <w:tc>
          <w:tcPr>
            <w:tcW w:w="1139"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6873E1D6" w14:textId="77777777" w:rsidR="001375E5" w:rsidRPr="00887119" w:rsidRDefault="001375E5" w:rsidP="00036E3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13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97CCA9C" w14:textId="77777777" w:rsidR="001375E5" w:rsidRPr="00887119" w:rsidRDefault="001375E5" w:rsidP="00036E3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13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37585F5" w14:textId="77777777" w:rsidR="001375E5" w:rsidRPr="00887119" w:rsidRDefault="001375E5" w:rsidP="00036E3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13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EA0E631" w14:textId="77777777" w:rsidR="001375E5" w:rsidRPr="00887119" w:rsidRDefault="001375E5" w:rsidP="00036E3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13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DABA5A3" w14:textId="77777777" w:rsidR="001375E5" w:rsidRPr="00887119" w:rsidRDefault="001375E5" w:rsidP="00036E3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c>
          <w:tcPr>
            <w:tcW w:w="114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CFE5520" w14:textId="23C7F264" w:rsidR="001375E5" w:rsidRPr="00887119" w:rsidRDefault="00FB7A1C" w:rsidP="00036E3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On-reserve</w:t>
            </w:r>
          </w:p>
        </w:tc>
      </w:tr>
      <w:tr w:rsidR="001375E5" w:rsidRPr="00887119" w14:paraId="1EFB5075" w14:textId="77777777" w:rsidTr="002A6939">
        <w:trPr>
          <w:trHeight w:val="402"/>
        </w:trPr>
        <w:tc>
          <w:tcPr>
            <w:tcW w:w="2520" w:type="dxa"/>
            <w:tcBorders>
              <w:top w:val="nil"/>
              <w:left w:val="single" w:sz="4" w:space="0" w:color="auto"/>
              <w:bottom w:val="single" w:sz="4" w:space="0" w:color="BFBFBF"/>
              <w:right w:val="nil"/>
            </w:tcBorders>
            <w:shd w:val="clear" w:color="000000" w:fill="F2F2F2"/>
            <w:noWrap/>
            <w:vAlign w:val="center"/>
            <w:hideMark/>
          </w:tcPr>
          <w:p w14:paraId="53FE4363" w14:textId="26FA0ADF" w:rsidR="001375E5" w:rsidRPr="00887119" w:rsidRDefault="0085795F" w:rsidP="00036E32">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M</w:t>
            </w:r>
            <w:r w:rsidR="001375E5" w:rsidRPr="00887119">
              <w:rPr>
                <w:rFonts w:eastAsia="Times New Roman" w:cs="Arial"/>
                <w:color w:val="0D0D0D"/>
                <w:kern w:val="0"/>
                <w:sz w:val="18"/>
                <w:szCs w:val="18"/>
                <w:lang w:eastAsia="en-CA"/>
                <w14:ligatures w14:val="none"/>
              </w:rPr>
              <w:t>oved within community</w:t>
            </w:r>
          </w:p>
        </w:tc>
        <w:tc>
          <w:tcPr>
            <w:tcW w:w="1139" w:type="dxa"/>
            <w:tcBorders>
              <w:top w:val="nil"/>
              <w:left w:val="single" w:sz="4" w:space="0" w:color="auto"/>
              <w:bottom w:val="single" w:sz="4" w:space="0" w:color="BFBFBF"/>
              <w:right w:val="single" w:sz="4" w:space="0" w:color="auto"/>
            </w:tcBorders>
            <w:shd w:val="clear" w:color="000000" w:fill="F2F2F2"/>
            <w:noWrap/>
            <w:vAlign w:val="center"/>
            <w:hideMark/>
          </w:tcPr>
          <w:p w14:paraId="5C6C1C62"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10.8%</w:t>
            </w:r>
          </w:p>
        </w:tc>
        <w:tc>
          <w:tcPr>
            <w:tcW w:w="1139" w:type="dxa"/>
            <w:tcBorders>
              <w:top w:val="nil"/>
              <w:left w:val="nil"/>
              <w:bottom w:val="single" w:sz="4" w:space="0" w:color="BFBFBF"/>
              <w:right w:val="single" w:sz="4" w:space="0" w:color="BFBFBF"/>
            </w:tcBorders>
            <w:shd w:val="clear" w:color="000000" w:fill="F2F2F2"/>
            <w:noWrap/>
            <w:vAlign w:val="center"/>
            <w:hideMark/>
          </w:tcPr>
          <w:p w14:paraId="50951B20"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17.4%</w:t>
            </w:r>
          </w:p>
        </w:tc>
        <w:tc>
          <w:tcPr>
            <w:tcW w:w="1139" w:type="dxa"/>
            <w:tcBorders>
              <w:top w:val="nil"/>
              <w:left w:val="nil"/>
              <w:bottom w:val="single" w:sz="4" w:space="0" w:color="BFBFBF"/>
              <w:right w:val="single" w:sz="4" w:space="0" w:color="BFBFBF"/>
            </w:tcBorders>
            <w:shd w:val="clear" w:color="000000" w:fill="F2F2F2"/>
            <w:noWrap/>
            <w:vAlign w:val="center"/>
            <w:hideMark/>
          </w:tcPr>
          <w:p w14:paraId="033E8806"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9.2%</w:t>
            </w:r>
          </w:p>
        </w:tc>
        <w:tc>
          <w:tcPr>
            <w:tcW w:w="1139" w:type="dxa"/>
            <w:tcBorders>
              <w:top w:val="nil"/>
              <w:left w:val="nil"/>
              <w:bottom w:val="single" w:sz="4" w:space="0" w:color="BFBFBF"/>
              <w:right w:val="single" w:sz="4" w:space="0" w:color="BFBFBF"/>
            </w:tcBorders>
            <w:shd w:val="clear" w:color="000000" w:fill="F2F2F2"/>
            <w:noWrap/>
            <w:vAlign w:val="center"/>
            <w:hideMark/>
          </w:tcPr>
          <w:p w14:paraId="10F50927"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4.5%</w:t>
            </w:r>
          </w:p>
        </w:tc>
        <w:tc>
          <w:tcPr>
            <w:tcW w:w="1139" w:type="dxa"/>
            <w:tcBorders>
              <w:top w:val="nil"/>
              <w:left w:val="nil"/>
              <w:bottom w:val="single" w:sz="4" w:space="0" w:color="BFBFBF"/>
              <w:right w:val="single" w:sz="4" w:space="0" w:color="BFBFBF"/>
            </w:tcBorders>
            <w:shd w:val="clear" w:color="000000" w:fill="F2F2F2"/>
            <w:noWrap/>
            <w:vAlign w:val="center"/>
            <w:hideMark/>
          </w:tcPr>
          <w:p w14:paraId="236CCEC6"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4.8%</w:t>
            </w:r>
          </w:p>
        </w:tc>
        <w:tc>
          <w:tcPr>
            <w:tcW w:w="1140" w:type="dxa"/>
            <w:tcBorders>
              <w:top w:val="nil"/>
              <w:left w:val="nil"/>
              <w:bottom w:val="single" w:sz="4" w:space="0" w:color="BFBFBF"/>
              <w:right w:val="single" w:sz="4" w:space="0" w:color="auto"/>
            </w:tcBorders>
            <w:shd w:val="clear" w:color="000000" w:fill="F2F2F2"/>
            <w:noWrap/>
            <w:vAlign w:val="center"/>
            <w:hideMark/>
          </w:tcPr>
          <w:p w14:paraId="204555DA"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9.0%</w:t>
            </w:r>
          </w:p>
        </w:tc>
      </w:tr>
      <w:tr w:rsidR="001375E5" w:rsidRPr="00887119" w14:paraId="1933BC70" w14:textId="77777777" w:rsidTr="002A6939">
        <w:trPr>
          <w:trHeight w:val="402"/>
        </w:trPr>
        <w:tc>
          <w:tcPr>
            <w:tcW w:w="2520" w:type="dxa"/>
            <w:tcBorders>
              <w:top w:val="nil"/>
              <w:left w:val="single" w:sz="4" w:space="0" w:color="auto"/>
              <w:bottom w:val="single" w:sz="4" w:space="0" w:color="BFBFBF"/>
              <w:right w:val="nil"/>
            </w:tcBorders>
            <w:noWrap/>
            <w:vAlign w:val="center"/>
            <w:hideMark/>
          </w:tcPr>
          <w:p w14:paraId="2A4A5E30" w14:textId="77777777" w:rsidR="001375E5" w:rsidRPr="00887119" w:rsidRDefault="001375E5" w:rsidP="00036E32">
            <w:pPr>
              <w:spacing w:line="240" w:lineRule="auto"/>
              <w:jc w:val="left"/>
              <w:rPr>
                <w:rFonts w:eastAsia="Times New Roman" w:cs="Arial"/>
                <w:color w:val="0D0D0D"/>
                <w:kern w:val="0"/>
                <w:sz w:val="18"/>
                <w:szCs w:val="18"/>
                <w:lang w:eastAsia="en-CA"/>
                <w14:ligatures w14:val="none"/>
              </w:rPr>
            </w:pPr>
            <w:proofErr w:type="spellStart"/>
            <w:r w:rsidRPr="00887119">
              <w:rPr>
                <w:rFonts w:eastAsia="Times New Roman" w:cs="Arial"/>
                <w:color w:val="0D0D0D"/>
                <w:kern w:val="0"/>
                <w:sz w:val="18"/>
                <w:szCs w:val="18"/>
                <w:lang w:eastAsia="en-CA"/>
                <w14:ligatures w14:val="none"/>
              </w:rPr>
              <w:t>Intraprovincial</w:t>
            </w:r>
            <w:proofErr w:type="spellEnd"/>
            <w:r w:rsidRPr="00887119">
              <w:rPr>
                <w:rFonts w:eastAsia="Times New Roman" w:cs="Arial"/>
                <w:color w:val="0D0D0D"/>
                <w:kern w:val="0"/>
                <w:sz w:val="18"/>
                <w:szCs w:val="18"/>
                <w:lang w:eastAsia="en-CA"/>
                <w14:ligatures w14:val="none"/>
              </w:rPr>
              <w:t xml:space="preserve"> migrant</w:t>
            </w:r>
          </w:p>
        </w:tc>
        <w:tc>
          <w:tcPr>
            <w:tcW w:w="1139" w:type="dxa"/>
            <w:tcBorders>
              <w:top w:val="nil"/>
              <w:left w:val="single" w:sz="4" w:space="0" w:color="auto"/>
              <w:bottom w:val="single" w:sz="4" w:space="0" w:color="BFBFBF"/>
              <w:right w:val="single" w:sz="4" w:space="0" w:color="auto"/>
            </w:tcBorders>
            <w:noWrap/>
            <w:vAlign w:val="center"/>
            <w:hideMark/>
          </w:tcPr>
          <w:p w14:paraId="020C2E6F"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15.9%</w:t>
            </w:r>
          </w:p>
        </w:tc>
        <w:tc>
          <w:tcPr>
            <w:tcW w:w="1139" w:type="dxa"/>
            <w:tcBorders>
              <w:top w:val="nil"/>
              <w:left w:val="nil"/>
              <w:bottom w:val="single" w:sz="4" w:space="0" w:color="BFBFBF"/>
              <w:right w:val="single" w:sz="4" w:space="0" w:color="BFBFBF"/>
            </w:tcBorders>
            <w:noWrap/>
            <w:vAlign w:val="center"/>
            <w:hideMark/>
          </w:tcPr>
          <w:p w14:paraId="3A4DF0C7"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10.4%</w:t>
            </w:r>
          </w:p>
        </w:tc>
        <w:tc>
          <w:tcPr>
            <w:tcW w:w="1139" w:type="dxa"/>
            <w:tcBorders>
              <w:top w:val="nil"/>
              <w:left w:val="nil"/>
              <w:bottom w:val="single" w:sz="4" w:space="0" w:color="BFBFBF"/>
              <w:right w:val="single" w:sz="4" w:space="0" w:color="BFBFBF"/>
            </w:tcBorders>
            <w:noWrap/>
            <w:vAlign w:val="center"/>
            <w:hideMark/>
          </w:tcPr>
          <w:p w14:paraId="5B1AD949"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17.7%</w:t>
            </w:r>
          </w:p>
        </w:tc>
        <w:tc>
          <w:tcPr>
            <w:tcW w:w="1139" w:type="dxa"/>
            <w:tcBorders>
              <w:top w:val="nil"/>
              <w:left w:val="nil"/>
              <w:bottom w:val="single" w:sz="4" w:space="0" w:color="BFBFBF"/>
              <w:right w:val="single" w:sz="4" w:space="0" w:color="BFBFBF"/>
            </w:tcBorders>
            <w:noWrap/>
            <w:vAlign w:val="center"/>
            <w:hideMark/>
          </w:tcPr>
          <w:p w14:paraId="300E9AF0"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22.9%</w:t>
            </w:r>
          </w:p>
        </w:tc>
        <w:tc>
          <w:tcPr>
            <w:tcW w:w="1139" w:type="dxa"/>
            <w:tcBorders>
              <w:top w:val="nil"/>
              <w:left w:val="nil"/>
              <w:bottom w:val="single" w:sz="4" w:space="0" w:color="BFBFBF"/>
              <w:right w:val="single" w:sz="4" w:space="0" w:color="BFBFBF"/>
            </w:tcBorders>
            <w:noWrap/>
            <w:vAlign w:val="center"/>
            <w:hideMark/>
          </w:tcPr>
          <w:p w14:paraId="3B5AC5B9"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15.6%</w:t>
            </w:r>
          </w:p>
        </w:tc>
        <w:tc>
          <w:tcPr>
            <w:tcW w:w="1140" w:type="dxa"/>
            <w:tcBorders>
              <w:top w:val="nil"/>
              <w:left w:val="nil"/>
              <w:bottom w:val="single" w:sz="4" w:space="0" w:color="BFBFBF"/>
              <w:right w:val="single" w:sz="4" w:space="0" w:color="auto"/>
            </w:tcBorders>
            <w:noWrap/>
            <w:vAlign w:val="center"/>
            <w:hideMark/>
          </w:tcPr>
          <w:p w14:paraId="24603090"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8.1%</w:t>
            </w:r>
          </w:p>
        </w:tc>
      </w:tr>
      <w:tr w:rsidR="001375E5" w:rsidRPr="00887119" w14:paraId="2391069F" w14:textId="77777777" w:rsidTr="002A6939">
        <w:trPr>
          <w:trHeight w:val="402"/>
        </w:trPr>
        <w:tc>
          <w:tcPr>
            <w:tcW w:w="2520" w:type="dxa"/>
            <w:tcBorders>
              <w:top w:val="nil"/>
              <w:left w:val="single" w:sz="4" w:space="0" w:color="auto"/>
              <w:bottom w:val="single" w:sz="4" w:space="0" w:color="BFBFBF"/>
              <w:right w:val="nil"/>
            </w:tcBorders>
            <w:shd w:val="clear" w:color="000000" w:fill="F2F2F2"/>
            <w:noWrap/>
            <w:vAlign w:val="center"/>
            <w:hideMark/>
          </w:tcPr>
          <w:p w14:paraId="70D0CA09" w14:textId="77777777" w:rsidR="001375E5" w:rsidRPr="00887119" w:rsidRDefault="001375E5" w:rsidP="00036E32">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Interprovincial migrant</w:t>
            </w:r>
          </w:p>
        </w:tc>
        <w:tc>
          <w:tcPr>
            <w:tcW w:w="1139" w:type="dxa"/>
            <w:tcBorders>
              <w:top w:val="nil"/>
              <w:left w:val="single" w:sz="4" w:space="0" w:color="auto"/>
              <w:bottom w:val="single" w:sz="4" w:space="0" w:color="BFBFBF"/>
              <w:right w:val="single" w:sz="4" w:space="0" w:color="auto"/>
            </w:tcBorders>
            <w:shd w:val="clear" w:color="000000" w:fill="F2F2F2"/>
            <w:noWrap/>
            <w:vAlign w:val="center"/>
            <w:hideMark/>
          </w:tcPr>
          <w:p w14:paraId="14E3A1B3"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8.6%</w:t>
            </w:r>
          </w:p>
        </w:tc>
        <w:tc>
          <w:tcPr>
            <w:tcW w:w="1139" w:type="dxa"/>
            <w:tcBorders>
              <w:top w:val="nil"/>
              <w:left w:val="nil"/>
              <w:bottom w:val="single" w:sz="4" w:space="0" w:color="BFBFBF"/>
              <w:right w:val="single" w:sz="4" w:space="0" w:color="BFBFBF"/>
            </w:tcBorders>
            <w:shd w:val="clear" w:color="000000" w:fill="F2F2F2"/>
            <w:noWrap/>
            <w:vAlign w:val="center"/>
            <w:hideMark/>
          </w:tcPr>
          <w:p w14:paraId="6BB6A95C"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8.6%</w:t>
            </w:r>
          </w:p>
        </w:tc>
        <w:tc>
          <w:tcPr>
            <w:tcW w:w="1139" w:type="dxa"/>
            <w:tcBorders>
              <w:top w:val="nil"/>
              <w:left w:val="nil"/>
              <w:bottom w:val="single" w:sz="4" w:space="0" w:color="BFBFBF"/>
              <w:right w:val="single" w:sz="4" w:space="0" w:color="BFBFBF"/>
            </w:tcBorders>
            <w:shd w:val="clear" w:color="000000" w:fill="F2F2F2"/>
            <w:noWrap/>
            <w:vAlign w:val="center"/>
            <w:hideMark/>
          </w:tcPr>
          <w:p w14:paraId="598C1140"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8.0%</w:t>
            </w:r>
          </w:p>
        </w:tc>
        <w:tc>
          <w:tcPr>
            <w:tcW w:w="1139" w:type="dxa"/>
            <w:tcBorders>
              <w:top w:val="nil"/>
              <w:left w:val="nil"/>
              <w:bottom w:val="single" w:sz="4" w:space="0" w:color="BFBFBF"/>
              <w:right w:val="single" w:sz="4" w:space="0" w:color="BFBFBF"/>
            </w:tcBorders>
            <w:shd w:val="clear" w:color="000000" w:fill="F2F2F2"/>
            <w:noWrap/>
            <w:vAlign w:val="center"/>
            <w:hideMark/>
          </w:tcPr>
          <w:p w14:paraId="6D7EB491"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8.5%</w:t>
            </w:r>
          </w:p>
        </w:tc>
        <w:tc>
          <w:tcPr>
            <w:tcW w:w="1139" w:type="dxa"/>
            <w:tcBorders>
              <w:top w:val="nil"/>
              <w:left w:val="nil"/>
              <w:bottom w:val="single" w:sz="4" w:space="0" w:color="BFBFBF"/>
              <w:right w:val="single" w:sz="4" w:space="0" w:color="BFBFBF"/>
            </w:tcBorders>
            <w:shd w:val="clear" w:color="000000" w:fill="F2F2F2"/>
            <w:noWrap/>
            <w:vAlign w:val="center"/>
            <w:hideMark/>
          </w:tcPr>
          <w:p w14:paraId="30E2033B"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8.9%</w:t>
            </w:r>
          </w:p>
        </w:tc>
        <w:tc>
          <w:tcPr>
            <w:tcW w:w="1140" w:type="dxa"/>
            <w:tcBorders>
              <w:top w:val="nil"/>
              <w:left w:val="nil"/>
              <w:bottom w:val="single" w:sz="4" w:space="0" w:color="BFBFBF"/>
              <w:right w:val="single" w:sz="4" w:space="0" w:color="auto"/>
            </w:tcBorders>
            <w:shd w:val="clear" w:color="000000" w:fill="F2F2F2"/>
            <w:noWrap/>
            <w:vAlign w:val="center"/>
            <w:hideMark/>
          </w:tcPr>
          <w:p w14:paraId="69A2BF47"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4.5%</w:t>
            </w:r>
          </w:p>
        </w:tc>
      </w:tr>
      <w:tr w:rsidR="001375E5" w:rsidRPr="00887119" w14:paraId="5541D78C" w14:textId="77777777" w:rsidTr="002A6939">
        <w:trPr>
          <w:trHeight w:val="402"/>
        </w:trPr>
        <w:tc>
          <w:tcPr>
            <w:tcW w:w="2520" w:type="dxa"/>
            <w:tcBorders>
              <w:top w:val="nil"/>
              <w:left w:val="single" w:sz="4" w:space="0" w:color="auto"/>
              <w:bottom w:val="single" w:sz="4" w:space="0" w:color="auto"/>
              <w:right w:val="nil"/>
            </w:tcBorders>
            <w:noWrap/>
            <w:vAlign w:val="center"/>
            <w:hideMark/>
          </w:tcPr>
          <w:p w14:paraId="0DB7D6F5" w14:textId="77777777" w:rsidR="001375E5" w:rsidRPr="00887119" w:rsidRDefault="001375E5" w:rsidP="00036E32">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International migrant</w:t>
            </w:r>
          </w:p>
        </w:tc>
        <w:tc>
          <w:tcPr>
            <w:tcW w:w="1139" w:type="dxa"/>
            <w:tcBorders>
              <w:top w:val="nil"/>
              <w:left w:val="single" w:sz="4" w:space="0" w:color="auto"/>
              <w:bottom w:val="single" w:sz="4" w:space="0" w:color="auto"/>
              <w:right w:val="single" w:sz="4" w:space="0" w:color="auto"/>
            </w:tcBorders>
            <w:noWrap/>
            <w:vAlign w:val="center"/>
            <w:hideMark/>
          </w:tcPr>
          <w:p w14:paraId="60BE3CA2"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6.0%</w:t>
            </w:r>
          </w:p>
        </w:tc>
        <w:tc>
          <w:tcPr>
            <w:tcW w:w="1139" w:type="dxa"/>
            <w:tcBorders>
              <w:top w:val="nil"/>
              <w:left w:val="nil"/>
              <w:bottom w:val="single" w:sz="4" w:space="0" w:color="auto"/>
              <w:right w:val="single" w:sz="4" w:space="0" w:color="BFBFBF"/>
            </w:tcBorders>
            <w:noWrap/>
            <w:vAlign w:val="center"/>
            <w:hideMark/>
          </w:tcPr>
          <w:p w14:paraId="29C7690A"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10.9%</w:t>
            </w:r>
          </w:p>
        </w:tc>
        <w:tc>
          <w:tcPr>
            <w:tcW w:w="1139" w:type="dxa"/>
            <w:tcBorders>
              <w:top w:val="nil"/>
              <w:left w:val="nil"/>
              <w:bottom w:val="single" w:sz="4" w:space="0" w:color="auto"/>
              <w:right w:val="single" w:sz="4" w:space="0" w:color="BFBFBF"/>
            </w:tcBorders>
            <w:noWrap/>
            <w:vAlign w:val="center"/>
            <w:hideMark/>
          </w:tcPr>
          <w:p w14:paraId="621564B2"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6.2%</w:t>
            </w:r>
          </w:p>
        </w:tc>
        <w:tc>
          <w:tcPr>
            <w:tcW w:w="1139" w:type="dxa"/>
            <w:tcBorders>
              <w:top w:val="nil"/>
              <w:left w:val="nil"/>
              <w:bottom w:val="single" w:sz="4" w:space="0" w:color="auto"/>
              <w:right w:val="single" w:sz="4" w:space="0" w:color="BFBFBF"/>
            </w:tcBorders>
            <w:noWrap/>
            <w:vAlign w:val="center"/>
            <w:hideMark/>
          </w:tcPr>
          <w:p w14:paraId="69C4E61D"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0.9%</w:t>
            </w:r>
          </w:p>
        </w:tc>
        <w:tc>
          <w:tcPr>
            <w:tcW w:w="1139" w:type="dxa"/>
            <w:tcBorders>
              <w:top w:val="nil"/>
              <w:left w:val="nil"/>
              <w:bottom w:val="single" w:sz="4" w:space="0" w:color="auto"/>
              <w:right w:val="single" w:sz="4" w:space="0" w:color="BFBFBF"/>
            </w:tcBorders>
            <w:noWrap/>
            <w:vAlign w:val="center"/>
            <w:hideMark/>
          </w:tcPr>
          <w:p w14:paraId="41BCE47D"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0.7%</w:t>
            </w:r>
          </w:p>
        </w:tc>
        <w:tc>
          <w:tcPr>
            <w:tcW w:w="1140" w:type="dxa"/>
            <w:tcBorders>
              <w:top w:val="nil"/>
              <w:left w:val="nil"/>
              <w:bottom w:val="single" w:sz="4" w:space="0" w:color="auto"/>
              <w:right w:val="single" w:sz="4" w:space="0" w:color="auto"/>
            </w:tcBorders>
            <w:noWrap/>
            <w:vAlign w:val="center"/>
            <w:hideMark/>
          </w:tcPr>
          <w:p w14:paraId="06967637" w14:textId="77777777" w:rsidR="001375E5" w:rsidRPr="002E10EB" w:rsidRDefault="001375E5" w:rsidP="00036E3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bl>
    <w:p w14:paraId="06DCF657" w14:textId="799CA5B4" w:rsidR="00CA47D9" w:rsidRPr="00887119" w:rsidRDefault="00CA47D9" w:rsidP="00CA47D9">
      <w:pPr>
        <w:pStyle w:val="Source"/>
      </w:pPr>
      <w:r w:rsidRPr="00887119">
        <w:t xml:space="preserve">Source: </w:t>
      </w:r>
      <w:r w:rsidR="001410A3" w:rsidRPr="00887119">
        <w:t xml:space="preserve">derived from </w:t>
      </w:r>
      <w:r w:rsidRPr="00887119">
        <w:t>Statistics Canada 2021 Census Profile</w:t>
      </w:r>
    </w:p>
    <w:p w14:paraId="65E310D0" w14:textId="77777777" w:rsidR="00CA47D9" w:rsidRPr="00887119" w:rsidRDefault="00CA47D9" w:rsidP="00CA47D9"/>
    <w:p w14:paraId="76671138" w14:textId="7DDD55C2" w:rsidR="009554CB" w:rsidRPr="00887119" w:rsidRDefault="009554CB" w:rsidP="009554CB">
      <w:r w:rsidRPr="00887119">
        <w:t xml:space="preserve">Migration patterns vary considerably across </w:t>
      </w:r>
      <w:r w:rsidR="00402288" w:rsidRPr="00402288">
        <w:rPr>
          <w:color w:val="C00000"/>
        </w:rPr>
        <w:t>PEI</w:t>
      </w:r>
      <w:r w:rsidRPr="00887119">
        <w:t xml:space="preserve">’s geographic categories. Urban areas show the highest share of international migrants (10.9%) and within-community movers (17.4%), reflecting both the concentration of newcomers in the province’s main centre and higher levels of internal residential mobility (commonly associated with rental market churn and affordability-driven moves). By contrast, rural urban-adjacent areas show the highest </w:t>
      </w:r>
      <w:proofErr w:type="spellStart"/>
      <w:r w:rsidRPr="00887119">
        <w:t>intraprovincial</w:t>
      </w:r>
      <w:proofErr w:type="spellEnd"/>
      <w:r w:rsidRPr="00887119">
        <w:t xml:space="preserve"> migration share (22.9%), consistent with residents relocating from urban or small urban centres in search of more affordable housing within commuting distance of employment.</w:t>
      </w:r>
    </w:p>
    <w:p w14:paraId="1A1FA658" w14:textId="77777777" w:rsidR="00CA47D9" w:rsidRPr="00887119" w:rsidRDefault="00CA47D9" w:rsidP="00CA47D9"/>
    <w:p w14:paraId="732B313C" w14:textId="1A467B0B" w:rsidR="00CE0FDC" w:rsidRPr="00887119" w:rsidRDefault="009554CB" w:rsidP="00CA47D9">
      <w:r w:rsidRPr="00887119">
        <w:t>Rural remote areas show very low rates of international migration (0.7%) and relatively low within-community mobility, suggesting a population that is less exposed to the displacement pressures associated with rapid in-migration but may also be less able to attract the workforce needed to sustain local services and economies. These mobility patterns have direct implications for housing need: rural communities facing outmigration or limited in-migration may require strategies focused on retention and housing for aging residents, while urban areas need supply responses calibrated to the rental and affordability demands of a rapidly growing, diverse, and mobile population.</w:t>
      </w:r>
    </w:p>
    <w:p w14:paraId="2ED35D07" w14:textId="77777777" w:rsidR="009554CB" w:rsidRPr="00887119" w:rsidRDefault="009554CB" w:rsidP="00CA47D9"/>
    <w:p w14:paraId="07AF9C4B" w14:textId="77777777" w:rsidR="00CA47D9" w:rsidRPr="00887119" w:rsidRDefault="00CA47D9" w:rsidP="00CA47D9">
      <w:pPr>
        <w:pStyle w:val="Heading3"/>
      </w:pPr>
      <w:r w:rsidRPr="00887119">
        <w:t>Key Populations</w:t>
      </w:r>
    </w:p>
    <w:p w14:paraId="770BA543" w14:textId="3FCB7141" w:rsidR="00CA47D9" w:rsidRPr="00887119" w:rsidRDefault="00CA47D9" w:rsidP="00CA47D9">
      <w:r w:rsidRPr="00887119">
        <w:rPr>
          <w:rStyle w:val="Figure-textChar"/>
        </w:rPr>
        <w:fldChar w:fldCharType="begin"/>
      </w:r>
      <w:r w:rsidRPr="00887119">
        <w:rPr>
          <w:rStyle w:val="Figure-textChar"/>
        </w:rPr>
        <w:instrText xml:space="preserve"> REF _Ref222758625 \h  \* MERGEFORMAT </w:instrText>
      </w:r>
      <w:r w:rsidRPr="00887119">
        <w:rPr>
          <w:rStyle w:val="Figure-textChar"/>
        </w:rPr>
      </w:r>
      <w:r w:rsidRPr="00887119">
        <w:rPr>
          <w:rStyle w:val="Figure-textChar"/>
        </w:rPr>
        <w:fldChar w:fldCharType="separate"/>
      </w:r>
      <w:r w:rsidR="008D4BDE" w:rsidRPr="008D4BDE">
        <w:rPr>
          <w:rStyle w:val="Figure-textChar"/>
        </w:rPr>
        <w:t>Table 6.3</w:t>
      </w:r>
      <w:r w:rsidRPr="00887119">
        <w:rPr>
          <w:rStyle w:val="Figure-textChar"/>
        </w:rPr>
        <w:fldChar w:fldCharType="end"/>
      </w:r>
      <w:r w:rsidRPr="00887119">
        <w:t xml:space="preserve"> profiles several population groups whose housing circumstances and vulnerabilities may warrant particular attention.</w:t>
      </w:r>
    </w:p>
    <w:p w14:paraId="14CFE824" w14:textId="77777777" w:rsidR="00CA47D9" w:rsidRPr="00887119" w:rsidRDefault="00CA47D9" w:rsidP="00CA47D9"/>
    <w:p w14:paraId="070956AB" w14:textId="4AA37E90" w:rsidR="00CA47D9" w:rsidRPr="00887119" w:rsidRDefault="00CA47D9" w:rsidP="00CA47D9">
      <w:pPr>
        <w:pStyle w:val="Caption"/>
      </w:pPr>
      <w:bookmarkStart w:id="50" w:name="_Ref222758625"/>
      <w:r w:rsidRPr="00887119">
        <w:t xml:space="preserve">Table </w:t>
      </w:r>
      <w:fldSimple w:instr=" STYLEREF 1 \s ">
        <w:r w:rsidR="008D4BDE">
          <w:rPr>
            <w:noProof/>
          </w:rPr>
          <w:t>6</w:t>
        </w:r>
      </w:fldSimple>
      <w:r w:rsidR="00EE1FE9">
        <w:t>.</w:t>
      </w:r>
      <w:fldSimple w:instr=" SEQ Table \* ARABIC \s 1 ">
        <w:r w:rsidR="008D4BDE">
          <w:rPr>
            <w:noProof/>
          </w:rPr>
          <w:t>3</w:t>
        </w:r>
      </w:fldSimple>
      <w:bookmarkEnd w:id="50"/>
      <w:r w:rsidRPr="00887119">
        <w:t>: Key population group shares of total population by geograph</w:t>
      </w:r>
      <w:r w:rsidR="00123E7B" w:rsidRPr="00887119">
        <w:t>ic category</w:t>
      </w:r>
      <w:r w:rsidRPr="00887119">
        <w:t>, 2021</w:t>
      </w:r>
    </w:p>
    <w:tbl>
      <w:tblPr>
        <w:tblW w:w="9355" w:type="dxa"/>
        <w:tblLayout w:type="fixed"/>
        <w:tblLook w:val="04A0" w:firstRow="1" w:lastRow="0" w:firstColumn="1" w:lastColumn="0" w:noHBand="0" w:noVBand="1"/>
      </w:tblPr>
      <w:tblGrid>
        <w:gridCol w:w="3055"/>
        <w:gridCol w:w="1260"/>
        <w:gridCol w:w="1260"/>
        <w:gridCol w:w="1260"/>
        <w:gridCol w:w="1260"/>
        <w:gridCol w:w="1260"/>
      </w:tblGrid>
      <w:tr w:rsidR="00D35359" w:rsidRPr="00887119" w14:paraId="14856E2F" w14:textId="77777777" w:rsidTr="00EA718C">
        <w:trPr>
          <w:trHeight w:val="557"/>
          <w:tblHeader/>
        </w:trPr>
        <w:tc>
          <w:tcPr>
            <w:tcW w:w="305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11C21C6C" w14:textId="77777777" w:rsidR="00D35359" w:rsidRPr="00887119" w:rsidRDefault="00D35359" w:rsidP="00D35359">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Population category</w:t>
            </w:r>
          </w:p>
        </w:tc>
        <w:tc>
          <w:tcPr>
            <w:tcW w:w="126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5EC9080A" w14:textId="77777777" w:rsidR="00D35359" w:rsidRPr="00887119" w:rsidRDefault="00D35359" w:rsidP="00D35359">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26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2DCA780" w14:textId="6274F2C1" w:rsidR="00D35359" w:rsidRPr="00887119" w:rsidRDefault="00D35359" w:rsidP="00D35359">
            <w:pPr>
              <w:spacing w:line="240" w:lineRule="auto"/>
              <w:jc w:val="right"/>
              <w:rPr>
                <w:rFonts w:eastAsia="Times New Roman" w:cs="Arial"/>
                <w:color w:val="FFFFFF"/>
                <w:kern w:val="0"/>
                <w:sz w:val="18"/>
                <w:szCs w:val="18"/>
                <w:lang w:eastAsia="en-CA"/>
                <w14:ligatures w14:val="none"/>
              </w:rPr>
            </w:pPr>
            <w:r w:rsidRPr="00887119">
              <w:rPr>
                <w:rFonts w:cs="Arial"/>
                <w:color w:val="FFFFFF"/>
                <w:sz w:val="18"/>
                <w:szCs w:val="18"/>
              </w:rPr>
              <w:t>Urban</w:t>
            </w:r>
          </w:p>
        </w:tc>
        <w:tc>
          <w:tcPr>
            <w:tcW w:w="126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612D31C" w14:textId="636203E8" w:rsidR="00D35359" w:rsidRPr="00887119" w:rsidRDefault="00D35359" w:rsidP="00D35359">
            <w:pPr>
              <w:spacing w:line="240" w:lineRule="auto"/>
              <w:jc w:val="right"/>
              <w:rPr>
                <w:rFonts w:eastAsia="Times New Roman" w:cs="Arial"/>
                <w:color w:val="FFFFFF"/>
                <w:kern w:val="0"/>
                <w:sz w:val="18"/>
                <w:szCs w:val="18"/>
                <w:lang w:eastAsia="en-CA"/>
                <w14:ligatures w14:val="none"/>
              </w:rPr>
            </w:pPr>
            <w:r w:rsidRPr="00887119">
              <w:rPr>
                <w:rFonts w:cs="Arial"/>
                <w:color w:val="FFFFFF"/>
                <w:sz w:val="18"/>
                <w:szCs w:val="18"/>
              </w:rPr>
              <w:t>Small urban</w:t>
            </w:r>
          </w:p>
        </w:tc>
        <w:tc>
          <w:tcPr>
            <w:tcW w:w="126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B39AB71" w14:textId="3377F8D3" w:rsidR="00D35359" w:rsidRPr="00887119" w:rsidRDefault="00D35359" w:rsidP="00D35359">
            <w:pPr>
              <w:spacing w:line="240" w:lineRule="auto"/>
              <w:jc w:val="right"/>
              <w:rPr>
                <w:rFonts w:eastAsia="Times New Roman" w:cs="Arial"/>
                <w:color w:val="FFFFFF"/>
                <w:kern w:val="0"/>
                <w:sz w:val="18"/>
                <w:szCs w:val="18"/>
                <w:lang w:eastAsia="en-CA"/>
                <w14:ligatures w14:val="none"/>
              </w:rPr>
            </w:pPr>
            <w:r w:rsidRPr="00887119">
              <w:rPr>
                <w:rFonts w:cs="Arial"/>
                <w:color w:val="FFFFFF"/>
                <w:sz w:val="18"/>
                <w:szCs w:val="18"/>
              </w:rPr>
              <w:t>Rural (urban adjacent)</w:t>
            </w:r>
          </w:p>
        </w:tc>
        <w:tc>
          <w:tcPr>
            <w:tcW w:w="126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4E72F8D3" w14:textId="14E2E029" w:rsidR="00D35359" w:rsidRPr="00887119" w:rsidRDefault="00D35359" w:rsidP="00D35359">
            <w:pPr>
              <w:spacing w:line="240" w:lineRule="auto"/>
              <w:jc w:val="right"/>
              <w:rPr>
                <w:rFonts w:eastAsia="Times New Roman" w:cs="Arial"/>
                <w:color w:val="FFFFFF"/>
                <w:kern w:val="0"/>
                <w:sz w:val="18"/>
                <w:szCs w:val="18"/>
                <w:lang w:eastAsia="en-CA"/>
                <w14:ligatures w14:val="none"/>
              </w:rPr>
            </w:pPr>
            <w:r w:rsidRPr="00887119">
              <w:rPr>
                <w:rFonts w:cs="Arial"/>
                <w:color w:val="FFFFFF"/>
                <w:sz w:val="18"/>
                <w:szCs w:val="18"/>
              </w:rPr>
              <w:t>Rural (remote)</w:t>
            </w:r>
          </w:p>
        </w:tc>
      </w:tr>
      <w:tr w:rsidR="00B74454" w:rsidRPr="00887119" w14:paraId="7D64294F" w14:textId="77777777" w:rsidTr="00D35359">
        <w:trPr>
          <w:trHeight w:val="402"/>
        </w:trPr>
        <w:tc>
          <w:tcPr>
            <w:tcW w:w="3055" w:type="dxa"/>
            <w:tcBorders>
              <w:top w:val="nil"/>
              <w:left w:val="single" w:sz="4" w:space="0" w:color="auto"/>
              <w:bottom w:val="single" w:sz="4" w:space="0" w:color="BFBFBF"/>
              <w:right w:val="nil"/>
            </w:tcBorders>
            <w:shd w:val="clear" w:color="000000" w:fill="F2F2F2"/>
            <w:noWrap/>
            <w:vAlign w:val="center"/>
            <w:hideMark/>
          </w:tcPr>
          <w:p w14:paraId="5DE0B0E1"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Indigenous identifying persons</w:t>
            </w:r>
          </w:p>
        </w:tc>
        <w:tc>
          <w:tcPr>
            <w:tcW w:w="1260" w:type="dxa"/>
            <w:tcBorders>
              <w:top w:val="nil"/>
              <w:left w:val="single" w:sz="4" w:space="0" w:color="auto"/>
              <w:bottom w:val="single" w:sz="4" w:space="0" w:color="BFBFBF"/>
              <w:right w:val="single" w:sz="4" w:space="0" w:color="auto"/>
            </w:tcBorders>
            <w:shd w:val="clear" w:color="000000" w:fill="F2F2F2"/>
            <w:noWrap/>
            <w:vAlign w:val="center"/>
            <w:hideMark/>
          </w:tcPr>
          <w:p w14:paraId="0FEE7D3C"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c>
          <w:tcPr>
            <w:tcW w:w="1260" w:type="dxa"/>
            <w:tcBorders>
              <w:top w:val="nil"/>
              <w:left w:val="nil"/>
              <w:bottom w:val="single" w:sz="4" w:space="0" w:color="BFBFBF"/>
              <w:right w:val="single" w:sz="4" w:space="0" w:color="BFBFBF"/>
            </w:tcBorders>
            <w:shd w:val="clear" w:color="000000" w:fill="F2F2F2"/>
            <w:noWrap/>
            <w:vAlign w:val="center"/>
            <w:hideMark/>
          </w:tcPr>
          <w:p w14:paraId="033A906C"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1.9%</w:t>
            </w:r>
          </w:p>
        </w:tc>
        <w:tc>
          <w:tcPr>
            <w:tcW w:w="1260" w:type="dxa"/>
            <w:tcBorders>
              <w:top w:val="nil"/>
              <w:left w:val="nil"/>
              <w:bottom w:val="single" w:sz="4" w:space="0" w:color="BFBFBF"/>
              <w:right w:val="single" w:sz="4" w:space="0" w:color="BFBFBF"/>
            </w:tcBorders>
            <w:shd w:val="clear" w:color="000000" w:fill="F2F2F2"/>
            <w:noWrap/>
            <w:vAlign w:val="center"/>
            <w:hideMark/>
          </w:tcPr>
          <w:p w14:paraId="78C337BA"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c>
          <w:tcPr>
            <w:tcW w:w="1260" w:type="dxa"/>
            <w:tcBorders>
              <w:top w:val="nil"/>
              <w:left w:val="nil"/>
              <w:bottom w:val="single" w:sz="4" w:space="0" w:color="BFBFBF"/>
              <w:right w:val="single" w:sz="4" w:space="0" w:color="BFBFBF"/>
            </w:tcBorders>
            <w:shd w:val="clear" w:color="000000" w:fill="F2F2F2"/>
            <w:noWrap/>
            <w:vAlign w:val="center"/>
            <w:hideMark/>
          </w:tcPr>
          <w:p w14:paraId="743DD920"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260" w:type="dxa"/>
            <w:tcBorders>
              <w:top w:val="nil"/>
              <w:left w:val="nil"/>
              <w:bottom w:val="single" w:sz="4" w:space="0" w:color="BFBFBF"/>
              <w:right w:val="single" w:sz="4" w:space="0" w:color="auto"/>
            </w:tcBorders>
            <w:shd w:val="clear" w:color="000000" w:fill="F2F2F2"/>
            <w:noWrap/>
            <w:vAlign w:val="center"/>
            <w:hideMark/>
          </w:tcPr>
          <w:p w14:paraId="03BF8974"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r>
      <w:tr w:rsidR="00B74454" w:rsidRPr="00887119" w14:paraId="629EA081" w14:textId="77777777" w:rsidTr="00D35359">
        <w:trPr>
          <w:trHeight w:val="402"/>
        </w:trPr>
        <w:tc>
          <w:tcPr>
            <w:tcW w:w="3055" w:type="dxa"/>
            <w:tcBorders>
              <w:top w:val="nil"/>
              <w:left w:val="single" w:sz="4" w:space="0" w:color="auto"/>
              <w:bottom w:val="single" w:sz="4" w:space="0" w:color="BFBFBF"/>
              <w:right w:val="nil"/>
            </w:tcBorders>
            <w:noWrap/>
            <w:vAlign w:val="center"/>
            <w:hideMark/>
          </w:tcPr>
          <w:p w14:paraId="0691AA5F"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Visible minority identifying persons</w:t>
            </w:r>
          </w:p>
        </w:tc>
        <w:tc>
          <w:tcPr>
            <w:tcW w:w="1260" w:type="dxa"/>
            <w:tcBorders>
              <w:top w:val="nil"/>
              <w:left w:val="single" w:sz="4" w:space="0" w:color="auto"/>
              <w:bottom w:val="single" w:sz="4" w:space="0" w:color="BFBFBF"/>
              <w:right w:val="single" w:sz="4" w:space="0" w:color="auto"/>
            </w:tcBorders>
            <w:noWrap/>
            <w:vAlign w:val="center"/>
            <w:hideMark/>
          </w:tcPr>
          <w:p w14:paraId="1D41BCEE"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9.5%</w:t>
            </w:r>
          </w:p>
        </w:tc>
        <w:tc>
          <w:tcPr>
            <w:tcW w:w="1260" w:type="dxa"/>
            <w:tcBorders>
              <w:top w:val="nil"/>
              <w:left w:val="nil"/>
              <w:bottom w:val="single" w:sz="4" w:space="0" w:color="BFBFBF"/>
              <w:right w:val="single" w:sz="4" w:space="0" w:color="BFBFBF"/>
            </w:tcBorders>
            <w:noWrap/>
            <w:vAlign w:val="center"/>
            <w:hideMark/>
          </w:tcPr>
          <w:p w14:paraId="6FBC798D"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17.4%</w:t>
            </w:r>
          </w:p>
        </w:tc>
        <w:tc>
          <w:tcPr>
            <w:tcW w:w="1260" w:type="dxa"/>
            <w:tcBorders>
              <w:top w:val="nil"/>
              <w:left w:val="nil"/>
              <w:bottom w:val="single" w:sz="4" w:space="0" w:color="BFBFBF"/>
              <w:right w:val="single" w:sz="4" w:space="0" w:color="BFBFBF"/>
            </w:tcBorders>
            <w:noWrap/>
            <w:vAlign w:val="center"/>
            <w:hideMark/>
          </w:tcPr>
          <w:p w14:paraId="2C901B39"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8.7%</w:t>
            </w:r>
          </w:p>
        </w:tc>
        <w:tc>
          <w:tcPr>
            <w:tcW w:w="1260" w:type="dxa"/>
            <w:tcBorders>
              <w:top w:val="nil"/>
              <w:left w:val="nil"/>
              <w:bottom w:val="single" w:sz="4" w:space="0" w:color="BFBFBF"/>
              <w:right w:val="single" w:sz="4" w:space="0" w:color="BFBFBF"/>
            </w:tcBorders>
            <w:noWrap/>
            <w:vAlign w:val="center"/>
            <w:hideMark/>
          </w:tcPr>
          <w:p w14:paraId="2F711D12"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1260" w:type="dxa"/>
            <w:tcBorders>
              <w:top w:val="nil"/>
              <w:left w:val="nil"/>
              <w:bottom w:val="single" w:sz="4" w:space="0" w:color="BFBFBF"/>
              <w:right w:val="single" w:sz="4" w:space="0" w:color="auto"/>
            </w:tcBorders>
            <w:noWrap/>
            <w:vAlign w:val="center"/>
            <w:hideMark/>
          </w:tcPr>
          <w:p w14:paraId="2174FA55"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r>
      <w:tr w:rsidR="00B74454" w:rsidRPr="00887119" w14:paraId="39D0A225" w14:textId="77777777" w:rsidTr="00D35359">
        <w:trPr>
          <w:trHeight w:val="402"/>
        </w:trPr>
        <w:tc>
          <w:tcPr>
            <w:tcW w:w="3055" w:type="dxa"/>
            <w:tcBorders>
              <w:top w:val="nil"/>
              <w:left w:val="single" w:sz="4" w:space="0" w:color="auto"/>
              <w:bottom w:val="single" w:sz="4" w:space="0" w:color="BFBFBF"/>
              <w:right w:val="nil"/>
            </w:tcBorders>
            <w:shd w:val="clear" w:color="000000" w:fill="F2F2F2"/>
            <w:noWrap/>
            <w:vAlign w:val="center"/>
            <w:hideMark/>
          </w:tcPr>
          <w:p w14:paraId="7A80554B"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Immigrants</w:t>
            </w:r>
          </w:p>
        </w:tc>
        <w:tc>
          <w:tcPr>
            <w:tcW w:w="1260" w:type="dxa"/>
            <w:tcBorders>
              <w:top w:val="nil"/>
              <w:left w:val="single" w:sz="4" w:space="0" w:color="auto"/>
              <w:bottom w:val="single" w:sz="4" w:space="0" w:color="BFBFBF"/>
              <w:right w:val="single" w:sz="4" w:space="0" w:color="auto"/>
            </w:tcBorders>
            <w:shd w:val="clear" w:color="000000" w:fill="F2F2F2"/>
            <w:noWrap/>
            <w:vAlign w:val="center"/>
            <w:hideMark/>
          </w:tcPr>
          <w:p w14:paraId="285515AF"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7.8%</w:t>
            </w:r>
          </w:p>
        </w:tc>
        <w:tc>
          <w:tcPr>
            <w:tcW w:w="1260" w:type="dxa"/>
            <w:tcBorders>
              <w:top w:val="nil"/>
              <w:left w:val="nil"/>
              <w:bottom w:val="single" w:sz="4" w:space="0" w:color="BFBFBF"/>
              <w:right w:val="single" w:sz="4" w:space="0" w:color="BFBFBF"/>
            </w:tcBorders>
            <w:shd w:val="clear" w:color="000000" w:fill="F2F2F2"/>
            <w:noWrap/>
            <w:vAlign w:val="center"/>
            <w:hideMark/>
          </w:tcPr>
          <w:p w14:paraId="68C8B6B3"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11.9%</w:t>
            </w:r>
          </w:p>
        </w:tc>
        <w:tc>
          <w:tcPr>
            <w:tcW w:w="1260" w:type="dxa"/>
            <w:tcBorders>
              <w:top w:val="nil"/>
              <w:left w:val="nil"/>
              <w:bottom w:val="single" w:sz="4" w:space="0" w:color="BFBFBF"/>
              <w:right w:val="single" w:sz="4" w:space="0" w:color="BFBFBF"/>
            </w:tcBorders>
            <w:shd w:val="clear" w:color="000000" w:fill="F2F2F2"/>
            <w:noWrap/>
            <w:vAlign w:val="center"/>
            <w:hideMark/>
          </w:tcPr>
          <w:p w14:paraId="7715D7E7"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6.9%</w:t>
            </w:r>
          </w:p>
        </w:tc>
        <w:tc>
          <w:tcPr>
            <w:tcW w:w="1260" w:type="dxa"/>
            <w:tcBorders>
              <w:top w:val="nil"/>
              <w:left w:val="nil"/>
              <w:bottom w:val="single" w:sz="4" w:space="0" w:color="BFBFBF"/>
              <w:right w:val="single" w:sz="4" w:space="0" w:color="BFBFBF"/>
            </w:tcBorders>
            <w:shd w:val="clear" w:color="000000" w:fill="F2F2F2"/>
            <w:noWrap/>
            <w:vAlign w:val="center"/>
            <w:hideMark/>
          </w:tcPr>
          <w:p w14:paraId="1C08A1D2"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4.7%</w:t>
            </w:r>
          </w:p>
        </w:tc>
        <w:tc>
          <w:tcPr>
            <w:tcW w:w="1260" w:type="dxa"/>
            <w:tcBorders>
              <w:top w:val="nil"/>
              <w:left w:val="nil"/>
              <w:bottom w:val="single" w:sz="4" w:space="0" w:color="BFBFBF"/>
              <w:right w:val="single" w:sz="4" w:space="0" w:color="auto"/>
            </w:tcBorders>
            <w:shd w:val="clear" w:color="000000" w:fill="F2F2F2"/>
            <w:noWrap/>
            <w:vAlign w:val="center"/>
            <w:hideMark/>
          </w:tcPr>
          <w:p w14:paraId="1234B428"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r>
      <w:tr w:rsidR="00B74454" w:rsidRPr="00887119" w14:paraId="51FABB9B" w14:textId="77777777" w:rsidTr="00D35359">
        <w:trPr>
          <w:trHeight w:val="402"/>
        </w:trPr>
        <w:tc>
          <w:tcPr>
            <w:tcW w:w="3055" w:type="dxa"/>
            <w:tcBorders>
              <w:top w:val="nil"/>
              <w:left w:val="single" w:sz="4" w:space="0" w:color="auto"/>
              <w:bottom w:val="single" w:sz="4" w:space="0" w:color="BFBFBF"/>
              <w:right w:val="nil"/>
            </w:tcBorders>
            <w:noWrap/>
            <w:vAlign w:val="center"/>
            <w:hideMark/>
          </w:tcPr>
          <w:p w14:paraId="13E94640"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Recent immigrants</w:t>
            </w:r>
          </w:p>
        </w:tc>
        <w:tc>
          <w:tcPr>
            <w:tcW w:w="1260" w:type="dxa"/>
            <w:tcBorders>
              <w:top w:val="nil"/>
              <w:left w:val="single" w:sz="4" w:space="0" w:color="auto"/>
              <w:bottom w:val="single" w:sz="4" w:space="0" w:color="BFBFBF"/>
              <w:right w:val="single" w:sz="4" w:space="0" w:color="auto"/>
            </w:tcBorders>
            <w:noWrap/>
            <w:vAlign w:val="center"/>
            <w:hideMark/>
          </w:tcPr>
          <w:p w14:paraId="7738D2CC"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3.2%</w:t>
            </w:r>
          </w:p>
        </w:tc>
        <w:tc>
          <w:tcPr>
            <w:tcW w:w="1260" w:type="dxa"/>
            <w:tcBorders>
              <w:top w:val="nil"/>
              <w:left w:val="nil"/>
              <w:bottom w:val="single" w:sz="4" w:space="0" w:color="BFBFBF"/>
              <w:right w:val="single" w:sz="4" w:space="0" w:color="BFBFBF"/>
            </w:tcBorders>
            <w:noWrap/>
            <w:vAlign w:val="center"/>
            <w:hideMark/>
          </w:tcPr>
          <w:p w14:paraId="2E3CDB04"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6.0%</w:t>
            </w:r>
          </w:p>
        </w:tc>
        <w:tc>
          <w:tcPr>
            <w:tcW w:w="1260" w:type="dxa"/>
            <w:tcBorders>
              <w:top w:val="nil"/>
              <w:left w:val="nil"/>
              <w:bottom w:val="single" w:sz="4" w:space="0" w:color="BFBFBF"/>
              <w:right w:val="single" w:sz="4" w:space="0" w:color="BFBFBF"/>
            </w:tcBorders>
            <w:noWrap/>
            <w:vAlign w:val="center"/>
            <w:hideMark/>
          </w:tcPr>
          <w:p w14:paraId="6FAAED89"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w:t>
            </w:r>
          </w:p>
        </w:tc>
        <w:tc>
          <w:tcPr>
            <w:tcW w:w="1260" w:type="dxa"/>
            <w:tcBorders>
              <w:top w:val="nil"/>
              <w:left w:val="nil"/>
              <w:bottom w:val="single" w:sz="4" w:space="0" w:color="BFBFBF"/>
              <w:right w:val="single" w:sz="4" w:space="0" w:color="BFBFBF"/>
            </w:tcBorders>
            <w:noWrap/>
            <w:vAlign w:val="center"/>
            <w:hideMark/>
          </w:tcPr>
          <w:p w14:paraId="0B678CBF"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0.5%</w:t>
            </w:r>
          </w:p>
        </w:tc>
        <w:tc>
          <w:tcPr>
            <w:tcW w:w="1260" w:type="dxa"/>
            <w:tcBorders>
              <w:top w:val="nil"/>
              <w:left w:val="nil"/>
              <w:bottom w:val="single" w:sz="4" w:space="0" w:color="BFBFBF"/>
              <w:right w:val="single" w:sz="4" w:space="0" w:color="auto"/>
            </w:tcBorders>
            <w:noWrap/>
            <w:vAlign w:val="center"/>
            <w:hideMark/>
          </w:tcPr>
          <w:p w14:paraId="1E8F2520"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0.4%</w:t>
            </w:r>
          </w:p>
        </w:tc>
      </w:tr>
      <w:tr w:rsidR="00B74454" w:rsidRPr="00887119" w14:paraId="2E8E5ACA" w14:textId="77777777" w:rsidTr="00D35359">
        <w:trPr>
          <w:trHeight w:val="402"/>
        </w:trPr>
        <w:tc>
          <w:tcPr>
            <w:tcW w:w="3055" w:type="dxa"/>
            <w:tcBorders>
              <w:top w:val="nil"/>
              <w:left w:val="single" w:sz="4" w:space="0" w:color="auto"/>
              <w:bottom w:val="single" w:sz="4" w:space="0" w:color="BFBFBF"/>
              <w:right w:val="nil"/>
            </w:tcBorders>
            <w:shd w:val="clear" w:color="000000" w:fill="F2F2F2"/>
            <w:noWrap/>
            <w:vAlign w:val="center"/>
            <w:hideMark/>
          </w:tcPr>
          <w:p w14:paraId="1AFC13A2"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Non-permanent residents</w:t>
            </w:r>
          </w:p>
        </w:tc>
        <w:tc>
          <w:tcPr>
            <w:tcW w:w="1260" w:type="dxa"/>
            <w:tcBorders>
              <w:top w:val="nil"/>
              <w:left w:val="single" w:sz="4" w:space="0" w:color="auto"/>
              <w:bottom w:val="single" w:sz="4" w:space="0" w:color="BFBFBF"/>
              <w:right w:val="single" w:sz="4" w:space="0" w:color="auto"/>
            </w:tcBorders>
            <w:shd w:val="clear" w:color="000000" w:fill="F2F2F2"/>
            <w:noWrap/>
            <w:vAlign w:val="center"/>
            <w:hideMark/>
          </w:tcPr>
          <w:p w14:paraId="5389FE06"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w:t>
            </w:r>
          </w:p>
        </w:tc>
        <w:tc>
          <w:tcPr>
            <w:tcW w:w="1260" w:type="dxa"/>
            <w:tcBorders>
              <w:top w:val="nil"/>
              <w:left w:val="nil"/>
              <w:bottom w:val="single" w:sz="4" w:space="0" w:color="BFBFBF"/>
              <w:right w:val="single" w:sz="4" w:space="0" w:color="BFBFBF"/>
            </w:tcBorders>
            <w:shd w:val="clear" w:color="000000" w:fill="F2F2F2"/>
            <w:noWrap/>
            <w:vAlign w:val="center"/>
            <w:hideMark/>
          </w:tcPr>
          <w:p w14:paraId="7575E7F3"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6.7%</w:t>
            </w:r>
          </w:p>
        </w:tc>
        <w:tc>
          <w:tcPr>
            <w:tcW w:w="1260" w:type="dxa"/>
            <w:tcBorders>
              <w:top w:val="nil"/>
              <w:left w:val="nil"/>
              <w:bottom w:val="single" w:sz="4" w:space="0" w:color="BFBFBF"/>
              <w:right w:val="single" w:sz="4" w:space="0" w:color="BFBFBF"/>
            </w:tcBorders>
            <w:shd w:val="clear" w:color="000000" w:fill="F2F2F2"/>
            <w:noWrap/>
            <w:vAlign w:val="center"/>
            <w:hideMark/>
          </w:tcPr>
          <w:p w14:paraId="47503FE6"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3.8%</w:t>
            </w:r>
          </w:p>
        </w:tc>
        <w:tc>
          <w:tcPr>
            <w:tcW w:w="1260" w:type="dxa"/>
            <w:tcBorders>
              <w:top w:val="nil"/>
              <w:left w:val="nil"/>
              <w:bottom w:val="single" w:sz="4" w:space="0" w:color="BFBFBF"/>
              <w:right w:val="single" w:sz="4" w:space="0" w:color="BFBFBF"/>
            </w:tcBorders>
            <w:shd w:val="clear" w:color="000000" w:fill="F2F2F2"/>
            <w:noWrap/>
            <w:vAlign w:val="center"/>
            <w:hideMark/>
          </w:tcPr>
          <w:p w14:paraId="6CB046AC"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0.3%</w:t>
            </w:r>
          </w:p>
        </w:tc>
        <w:tc>
          <w:tcPr>
            <w:tcW w:w="1260" w:type="dxa"/>
            <w:tcBorders>
              <w:top w:val="nil"/>
              <w:left w:val="nil"/>
              <w:bottom w:val="single" w:sz="4" w:space="0" w:color="BFBFBF"/>
              <w:right w:val="single" w:sz="4" w:space="0" w:color="auto"/>
            </w:tcBorders>
            <w:shd w:val="clear" w:color="000000" w:fill="F2F2F2"/>
            <w:noWrap/>
            <w:vAlign w:val="center"/>
            <w:hideMark/>
          </w:tcPr>
          <w:p w14:paraId="419438CF"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0.5%</w:t>
            </w:r>
          </w:p>
        </w:tc>
      </w:tr>
      <w:tr w:rsidR="00B74454" w:rsidRPr="00887119" w14:paraId="6B9F36D8" w14:textId="77777777" w:rsidTr="00D35359">
        <w:trPr>
          <w:trHeight w:val="402"/>
        </w:trPr>
        <w:tc>
          <w:tcPr>
            <w:tcW w:w="3055" w:type="dxa"/>
            <w:tcBorders>
              <w:top w:val="nil"/>
              <w:left w:val="single" w:sz="4" w:space="0" w:color="auto"/>
              <w:bottom w:val="single" w:sz="4" w:space="0" w:color="BFBFBF"/>
              <w:right w:val="nil"/>
            </w:tcBorders>
            <w:noWrap/>
            <w:vAlign w:val="center"/>
            <w:hideMark/>
          </w:tcPr>
          <w:p w14:paraId="263DD21F"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Non-official language speakers</w:t>
            </w:r>
          </w:p>
        </w:tc>
        <w:tc>
          <w:tcPr>
            <w:tcW w:w="1260" w:type="dxa"/>
            <w:tcBorders>
              <w:top w:val="nil"/>
              <w:left w:val="single" w:sz="4" w:space="0" w:color="auto"/>
              <w:bottom w:val="single" w:sz="4" w:space="0" w:color="BFBFBF"/>
              <w:right w:val="single" w:sz="4" w:space="0" w:color="auto"/>
            </w:tcBorders>
            <w:noWrap/>
            <w:vAlign w:val="center"/>
            <w:hideMark/>
          </w:tcPr>
          <w:p w14:paraId="2CB2C7D4"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260" w:type="dxa"/>
            <w:tcBorders>
              <w:top w:val="nil"/>
              <w:left w:val="nil"/>
              <w:bottom w:val="single" w:sz="4" w:space="0" w:color="BFBFBF"/>
              <w:right w:val="single" w:sz="4" w:space="0" w:color="BFBFBF"/>
            </w:tcBorders>
            <w:noWrap/>
            <w:vAlign w:val="center"/>
            <w:hideMark/>
          </w:tcPr>
          <w:p w14:paraId="26659C26"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260" w:type="dxa"/>
            <w:tcBorders>
              <w:top w:val="nil"/>
              <w:left w:val="nil"/>
              <w:bottom w:val="single" w:sz="4" w:space="0" w:color="BFBFBF"/>
              <w:right w:val="single" w:sz="4" w:space="0" w:color="BFBFBF"/>
            </w:tcBorders>
            <w:noWrap/>
            <w:vAlign w:val="center"/>
            <w:hideMark/>
          </w:tcPr>
          <w:p w14:paraId="232425AA"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260" w:type="dxa"/>
            <w:tcBorders>
              <w:top w:val="nil"/>
              <w:left w:val="nil"/>
              <w:bottom w:val="single" w:sz="4" w:space="0" w:color="BFBFBF"/>
              <w:right w:val="single" w:sz="4" w:space="0" w:color="BFBFBF"/>
            </w:tcBorders>
            <w:noWrap/>
            <w:vAlign w:val="center"/>
            <w:hideMark/>
          </w:tcPr>
          <w:p w14:paraId="3CC5A5A7"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0.6%</w:t>
            </w:r>
          </w:p>
        </w:tc>
        <w:tc>
          <w:tcPr>
            <w:tcW w:w="1260" w:type="dxa"/>
            <w:tcBorders>
              <w:top w:val="nil"/>
              <w:left w:val="nil"/>
              <w:bottom w:val="single" w:sz="4" w:space="0" w:color="BFBFBF"/>
              <w:right w:val="single" w:sz="4" w:space="0" w:color="auto"/>
            </w:tcBorders>
            <w:noWrap/>
            <w:vAlign w:val="center"/>
            <w:hideMark/>
          </w:tcPr>
          <w:p w14:paraId="0570C8AB"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0.3%</w:t>
            </w:r>
          </w:p>
        </w:tc>
      </w:tr>
      <w:tr w:rsidR="00B74454" w:rsidRPr="00887119" w14:paraId="5BA5BF5D" w14:textId="77777777" w:rsidTr="00D35359">
        <w:trPr>
          <w:trHeight w:val="402"/>
        </w:trPr>
        <w:tc>
          <w:tcPr>
            <w:tcW w:w="3055" w:type="dxa"/>
            <w:tcBorders>
              <w:top w:val="nil"/>
              <w:left w:val="single" w:sz="4" w:space="0" w:color="auto"/>
              <w:bottom w:val="single" w:sz="4" w:space="0" w:color="BFBFBF"/>
              <w:right w:val="nil"/>
            </w:tcBorders>
            <w:shd w:val="clear" w:color="000000" w:fill="F2F2F2"/>
            <w:noWrap/>
            <w:vAlign w:val="center"/>
            <w:hideMark/>
          </w:tcPr>
          <w:p w14:paraId="5607EB36"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lastRenderedPageBreak/>
              <w:t>High school diploma or less</w:t>
            </w:r>
          </w:p>
        </w:tc>
        <w:tc>
          <w:tcPr>
            <w:tcW w:w="1260" w:type="dxa"/>
            <w:tcBorders>
              <w:top w:val="nil"/>
              <w:left w:val="single" w:sz="4" w:space="0" w:color="auto"/>
              <w:bottom w:val="single" w:sz="4" w:space="0" w:color="BFBFBF"/>
              <w:right w:val="single" w:sz="4" w:space="0" w:color="auto"/>
            </w:tcBorders>
            <w:shd w:val="clear" w:color="000000" w:fill="F2F2F2"/>
            <w:noWrap/>
            <w:vAlign w:val="center"/>
            <w:hideMark/>
          </w:tcPr>
          <w:p w14:paraId="08D76271"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35.3%</w:t>
            </w:r>
          </w:p>
        </w:tc>
        <w:tc>
          <w:tcPr>
            <w:tcW w:w="1260" w:type="dxa"/>
            <w:tcBorders>
              <w:top w:val="nil"/>
              <w:left w:val="nil"/>
              <w:bottom w:val="single" w:sz="4" w:space="0" w:color="BFBFBF"/>
              <w:right w:val="single" w:sz="4" w:space="0" w:color="BFBFBF"/>
            </w:tcBorders>
            <w:shd w:val="clear" w:color="000000" w:fill="F2F2F2"/>
            <w:noWrap/>
            <w:vAlign w:val="center"/>
            <w:hideMark/>
          </w:tcPr>
          <w:p w14:paraId="6F975F7E"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29.3%</w:t>
            </w:r>
          </w:p>
        </w:tc>
        <w:tc>
          <w:tcPr>
            <w:tcW w:w="1260" w:type="dxa"/>
            <w:tcBorders>
              <w:top w:val="nil"/>
              <w:left w:val="nil"/>
              <w:bottom w:val="single" w:sz="4" w:space="0" w:color="BFBFBF"/>
              <w:right w:val="single" w:sz="4" w:space="0" w:color="BFBFBF"/>
            </w:tcBorders>
            <w:shd w:val="clear" w:color="000000" w:fill="F2F2F2"/>
            <w:noWrap/>
            <w:vAlign w:val="center"/>
            <w:hideMark/>
          </w:tcPr>
          <w:p w14:paraId="1D37668D"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39.3%</w:t>
            </w:r>
          </w:p>
        </w:tc>
        <w:tc>
          <w:tcPr>
            <w:tcW w:w="1260" w:type="dxa"/>
            <w:tcBorders>
              <w:top w:val="nil"/>
              <w:left w:val="nil"/>
              <w:bottom w:val="single" w:sz="4" w:space="0" w:color="BFBFBF"/>
              <w:right w:val="single" w:sz="4" w:space="0" w:color="BFBFBF"/>
            </w:tcBorders>
            <w:shd w:val="clear" w:color="000000" w:fill="F2F2F2"/>
            <w:noWrap/>
            <w:vAlign w:val="center"/>
            <w:hideMark/>
          </w:tcPr>
          <w:p w14:paraId="7165F9C6"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34.0%</w:t>
            </w:r>
          </w:p>
        </w:tc>
        <w:tc>
          <w:tcPr>
            <w:tcW w:w="1260" w:type="dxa"/>
            <w:tcBorders>
              <w:top w:val="nil"/>
              <w:left w:val="nil"/>
              <w:bottom w:val="single" w:sz="4" w:space="0" w:color="BFBFBF"/>
              <w:right w:val="single" w:sz="4" w:space="0" w:color="auto"/>
            </w:tcBorders>
            <w:shd w:val="clear" w:color="000000" w:fill="F2F2F2"/>
            <w:noWrap/>
            <w:vAlign w:val="center"/>
            <w:hideMark/>
          </w:tcPr>
          <w:p w14:paraId="702C16DD"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52.5%</w:t>
            </w:r>
          </w:p>
        </w:tc>
      </w:tr>
      <w:tr w:rsidR="00B74454" w:rsidRPr="00887119" w14:paraId="1321B669" w14:textId="77777777" w:rsidTr="00D35359">
        <w:trPr>
          <w:trHeight w:val="402"/>
        </w:trPr>
        <w:tc>
          <w:tcPr>
            <w:tcW w:w="3055" w:type="dxa"/>
            <w:tcBorders>
              <w:top w:val="nil"/>
              <w:left w:val="single" w:sz="4" w:space="0" w:color="auto"/>
              <w:bottom w:val="single" w:sz="4" w:space="0" w:color="BFBFBF"/>
              <w:right w:val="nil"/>
            </w:tcBorders>
            <w:noWrap/>
            <w:vAlign w:val="center"/>
            <w:hideMark/>
          </w:tcPr>
          <w:p w14:paraId="00AB3924"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In poverty</w:t>
            </w:r>
          </w:p>
        </w:tc>
        <w:tc>
          <w:tcPr>
            <w:tcW w:w="1260" w:type="dxa"/>
            <w:tcBorders>
              <w:top w:val="nil"/>
              <w:left w:val="single" w:sz="4" w:space="0" w:color="auto"/>
              <w:bottom w:val="single" w:sz="4" w:space="0" w:color="BFBFBF"/>
              <w:right w:val="single" w:sz="4" w:space="0" w:color="auto"/>
            </w:tcBorders>
            <w:noWrap/>
            <w:vAlign w:val="center"/>
            <w:hideMark/>
          </w:tcPr>
          <w:p w14:paraId="43BBD233"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8.3%</w:t>
            </w:r>
          </w:p>
        </w:tc>
        <w:tc>
          <w:tcPr>
            <w:tcW w:w="1260" w:type="dxa"/>
            <w:tcBorders>
              <w:top w:val="nil"/>
              <w:left w:val="nil"/>
              <w:bottom w:val="single" w:sz="4" w:space="0" w:color="BFBFBF"/>
              <w:right w:val="single" w:sz="4" w:space="0" w:color="BFBFBF"/>
            </w:tcBorders>
            <w:noWrap/>
            <w:vAlign w:val="center"/>
            <w:hideMark/>
          </w:tcPr>
          <w:p w14:paraId="030A780E"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11.2%</w:t>
            </w:r>
          </w:p>
        </w:tc>
        <w:tc>
          <w:tcPr>
            <w:tcW w:w="1260" w:type="dxa"/>
            <w:tcBorders>
              <w:top w:val="nil"/>
              <w:left w:val="nil"/>
              <w:bottom w:val="single" w:sz="4" w:space="0" w:color="BFBFBF"/>
              <w:right w:val="single" w:sz="4" w:space="0" w:color="BFBFBF"/>
            </w:tcBorders>
            <w:noWrap/>
            <w:vAlign w:val="center"/>
            <w:hideMark/>
          </w:tcPr>
          <w:p w14:paraId="43AC6829"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8.7%</w:t>
            </w:r>
          </w:p>
        </w:tc>
        <w:tc>
          <w:tcPr>
            <w:tcW w:w="1260" w:type="dxa"/>
            <w:tcBorders>
              <w:top w:val="nil"/>
              <w:left w:val="nil"/>
              <w:bottom w:val="single" w:sz="4" w:space="0" w:color="BFBFBF"/>
              <w:right w:val="single" w:sz="4" w:space="0" w:color="BFBFBF"/>
            </w:tcBorders>
            <w:noWrap/>
            <w:vAlign w:val="center"/>
            <w:hideMark/>
          </w:tcPr>
          <w:p w14:paraId="4824B3C7"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4.5%</w:t>
            </w:r>
          </w:p>
        </w:tc>
        <w:tc>
          <w:tcPr>
            <w:tcW w:w="1260" w:type="dxa"/>
            <w:tcBorders>
              <w:top w:val="nil"/>
              <w:left w:val="nil"/>
              <w:bottom w:val="single" w:sz="4" w:space="0" w:color="BFBFBF"/>
              <w:right w:val="single" w:sz="4" w:space="0" w:color="auto"/>
            </w:tcBorders>
            <w:noWrap/>
            <w:vAlign w:val="center"/>
            <w:hideMark/>
          </w:tcPr>
          <w:p w14:paraId="4311C3B1"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5.3%</w:t>
            </w:r>
          </w:p>
        </w:tc>
      </w:tr>
      <w:tr w:rsidR="00B74454" w:rsidRPr="00887119" w14:paraId="2B107041" w14:textId="77777777" w:rsidTr="00D35359">
        <w:trPr>
          <w:trHeight w:val="402"/>
        </w:trPr>
        <w:tc>
          <w:tcPr>
            <w:tcW w:w="3055" w:type="dxa"/>
            <w:tcBorders>
              <w:top w:val="nil"/>
              <w:left w:val="single" w:sz="4" w:space="0" w:color="auto"/>
              <w:bottom w:val="single" w:sz="4" w:space="0" w:color="auto"/>
              <w:right w:val="nil"/>
            </w:tcBorders>
            <w:shd w:val="clear" w:color="000000" w:fill="F2F2F2"/>
            <w:noWrap/>
            <w:vAlign w:val="center"/>
            <w:hideMark/>
          </w:tcPr>
          <w:p w14:paraId="0F5F8814" w14:textId="77777777" w:rsidR="00B74454" w:rsidRPr="00887119" w:rsidRDefault="00B74454" w:rsidP="00B74454">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Veterans</w:t>
            </w:r>
          </w:p>
        </w:tc>
        <w:tc>
          <w:tcPr>
            <w:tcW w:w="1260" w:type="dxa"/>
            <w:tcBorders>
              <w:top w:val="nil"/>
              <w:left w:val="single" w:sz="4" w:space="0" w:color="auto"/>
              <w:bottom w:val="single" w:sz="4" w:space="0" w:color="auto"/>
              <w:right w:val="single" w:sz="4" w:space="0" w:color="auto"/>
            </w:tcBorders>
            <w:shd w:val="clear" w:color="000000" w:fill="F2F2F2"/>
            <w:noWrap/>
            <w:vAlign w:val="center"/>
            <w:hideMark/>
          </w:tcPr>
          <w:p w14:paraId="5EF42801"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1260" w:type="dxa"/>
            <w:tcBorders>
              <w:top w:val="nil"/>
              <w:left w:val="nil"/>
              <w:bottom w:val="single" w:sz="4" w:space="0" w:color="auto"/>
              <w:right w:val="single" w:sz="4" w:space="0" w:color="BFBFBF"/>
            </w:tcBorders>
            <w:shd w:val="clear" w:color="000000" w:fill="F2F2F2"/>
            <w:noWrap/>
            <w:vAlign w:val="center"/>
            <w:hideMark/>
          </w:tcPr>
          <w:p w14:paraId="03AD08B4"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1260" w:type="dxa"/>
            <w:tcBorders>
              <w:top w:val="nil"/>
              <w:left w:val="nil"/>
              <w:bottom w:val="single" w:sz="4" w:space="0" w:color="auto"/>
              <w:right w:val="single" w:sz="4" w:space="0" w:color="BFBFBF"/>
            </w:tcBorders>
            <w:shd w:val="clear" w:color="000000" w:fill="F2F2F2"/>
            <w:noWrap/>
            <w:vAlign w:val="center"/>
            <w:hideMark/>
          </w:tcPr>
          <w:p w14:paraId="2033A534"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c>
          <w:tcPr>
            <w:tcW w:w="1260" w:type="dxa"/>
            <w:tcBorders>
              <w:top w:val="nil"/>
              <w:left w:val="nil"/>
              <w:bottom w:val="single" w:sz="4" w:space="0" w:color="auto"/>
              <w:right w:val="single" w:sz="4" w:space="0" w:color="BFBFBF"/>
            </w:tcBorders>
            <w:shd w:val="clear" w:color="000000" w:fill="F2F2F2"/>
            <w:noWrap/>
            <w:vAlign w:val="center"/>
            <w:hideMark/>
          </w:tcPr>
          <w:p w14:paraId="78557E20"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c>
          <w:tcPr>
            <w:tcW w:w="1260" w:type="dxa"/>
            <w:tcBorders>
              <w:top w:val="nil"/>
              <w:left w:val="nil"/>
              <w:bottom w:val="single" w:sz="4" w:space="0" w:color="auto"/>
              <w:right w:val="single" w:sz="4" w:space="0" w:color="auto"/>
            </w:tcBorders>
            <w:shd w:val="clear" w:color="000000" w:fill="F2F2F2"/>
            <w:noWrap/>
            <w:vAlign w:val="center"/>
            <w:hideMark/>
          </w:tcPr>
          <w:p w14:paraId="02D48159" w14:textId="77777777" w:rsidR="00B74454" w:rsidRPr="002E10EB" w:rsidRDefault="00B74454" w:rsidP="00B744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1.6%</w:t>
            </w:r>
          </w:p>
        </w:tc>
      </w:tr>
    </w:tbl>
    <w:p w14:paraId="29E6F82D" w14:textId="5ACC8911" w:rsidR="00CA47D9" w:rsidRPr="00887119" w:rsidRDefault="00CA47D9" w:rsidP="00CA47D9">
      <w:pPr>
        <w:pStyle w:val="Source"/>
      </w:pPr>
      <w:r w:rsidRPr="00887119">
        <w:t xml:space="preserve">Source: </w:t>
      </w:r>
      <w:r w:rsidR="002B36DE" w:rsidRPr="00887119">
        <w:t xml:space="preserve">derived from </w:t>
      </w:r>
      <w:r w:rsidRPr="00887119">
        <w:t>Statistics Canada 2021 Census Profile and Statistics Canada Table 98-10-0624</w:t>
      </w:r>
    </w:p>
    <w:p w14:paraId="1CCBA4A6" w14:textId="77777777" w:rsidR="00CA47D9" w:rsidRPr="00887119" w:rsidRDefault="00CA47D9" w:rsidP="00CA47D9"/>
    <w:p w14:paraId="4393360F" w14:textId="5A822FF7" w:rsidR="005177CC" w:rsidRPr="00887119" w:rsidRDefault="005177CC" w:rsidP="009579F0">
      <w:r w:rsidRPr="00887119">
        <w:t xml:space="preserve">The geographic distribution of key population groups across </w:t>
      </w:r>
      <w:r w:rsidR="00402288" w:rsidRPr="00402288">
        <w:rPr>
          <w:color w:val="C00000"/>
        </w:rPr>
        <w:t>PEI</w:t>
      </w:r>
      <w:r w:rsidRPr="00887119">
        <w:t xml:space="preserve"> reflects meaningful differences in vulnerability and housing need by urban-rural context. Visible minorities (17.4%) and recent immigrants (6.0%) are concentrated most heavily in urban areas, consistent with the settlement geography of international in-migration. These populations often face compounding barriers to housing access, including affordability constraints, discrimination, and limited familiarity with local housing systems, underscoring the need for targeted affordable rental supply and settlement supports in urban areas. </w:t>
      </w:r>
    </w:p>
    <w:p w14:paraId="34F6E0F8" w14:textId="77777777" w:rsidR="005177CC" w:rsidRPr="00887119" w:rsidRDefault="005177CC" w:rsidP="009579F0"/>
    <w:p w14:paraId="46D8EFC1" w14:textId="7038F180" w:rsidR="009579F0" w:rsidRPr="00887119" w:rsidRDefault="005177CC" w:rsidP="009579F0">
      <w:r w:rsidRPr="00887119">
        <w:t>In contrast, rural remote areas have the highest shares of residents with a high school diploma or less as their highest educational attainment (52.5%), pointing to different but equally important housing needs: lower-income households with limited access to non-market housing options. The higher poverty rate in urban areas (11.2%) compared to rural categories (4.5</w:t>
      </w:r>
      <w:r w:rsidR="00F54E4F" w:rsidRPr="00887119">
        <w:t>%</w:t>
      </w:r>
      <w:r w:rsidRPr="00887119">
        <w:t>–5.3%) further reinforces that affordable housing demand is most acute in cities, though rural communities face structural affordability challenges of their own, particularly in the context of lower median incomes and limited rental supply.</w:t>
      </w:r>
    </w:p>
    <w:p w14:paraId="5621E41D" w14:textId="77777777" w:rsidR="005177CC" w:rsidRPr="00887119" w:rsidRDefault="005177CC" w:rsidP="009579F0"/>
    <w:p w14:paraId="4177AC1F" w14:textId="7411BFA5" w:rsidR="00D34E14" w:rsidRPr="00887119" w:rsidRDefault="00D34E14" w:rsidP="00842B20">
      <w:pPr>
        <w:pStyle w:val="Heading2"/>
      </w:pPr>
      <w:bookmarkStart w:id="51" w:name="_Toc226970611"/>
      <w:bookmarkStart w:id="52" w:name="_Toc229051950"/>
      <w:bookmarkStart w:id="53" w:name="_Toc237957433"/>
      <w:r w:rsidRPr="00887119">
        <w:t>HOUSEHOLDS</w:t>
      </w:r>
      <w:bookmarkEnd w:id="51"/>
      <w:bookmarkEnd w:id="52"/>
      <w:bookmarkEnd w:id="53"/>
    </w:p>
    <w:p w14:paraId="7CCF6683" w14:textId="20BB856E" w:rsidR="00716ABA" w:rsidRPr="00887119" w:rsidRDefault="00F352FD" w:rsidP="00716ABA">
      <w:r w:rsidRPr="00887119">
        <w:t xml:space="preserve">This section examines the number, composition, tenure, and size of households across the province and by geographic category. It goes beyond total population counts to focus on the household, which is the fundamental unit of housing demand. A province with the same population could have vastly different housing needs depending on whether residents live in large families or small single-person dwellings, and those differences vary meaningfully between urban and rural contexts in </w:t>
      </w:r>
      <w:r w:rsidR="00402288" w:rsidRPr="00402288">
        <w:rPr>
          <w:color w:val="C00000"/>
        </w:rPr>
        <w:t>PEI</w:t>
      </w:r>
      <w:r w:rsidRPr="00887119">
        <w:t>.</w:t>
      </w:r>
    </w:p>
    <w:p w14:paraId="1F602A69" w14:textId="77777777" w:rsidR="00F352FD" w:rsidRPr="00887119" w:rsidRDefault="00F352FD" w:rsidP="00716ABA"/>
    <w:p w14:paraId="3B9CB856" w14:textId="77777777" w:rsidR="00716ABA" w:rsidRPr="00887119" w:rsidRDefault="00716ABA" w:rsidP="00716ABA">
      <w:pPr>
        <w:pStyle w:val="Heading3"/>
      </w:pPr>
      <w:r w:rsidRPr="00887119">
        <w:t>Overall Characteristics</w:t>
      </w:r>
    </w:p>
    <w:p w14:paraId="065881C1" w14:textId="3F2B704F" w:rsidR="00716ABA" w:rsidRPr="00887119" w:rsidRDefault="00716ABA" w:rsidP="00716ABA">
      <w:r w:rsidRPr="00887119">
        <w:rPr>
          <w:rStyle w:val="Figure-textChar"/>
        </w:rPr>
        <w:fldChar w:fldCharType="begin"/>
      </w:r>
      <w:r w:rsidRPr="00887119">
        <w:rPr>
          <w:rStyle w:val="Figure-textChar"/>
        </w:rPr>
        <w:instrText xml:space="preserve"> REF _Ref223274000 \h  \* MERGEFORMAT </w:instrText>
      </w:r>
      <w:r w:rsidRPr="00887119">
        <w:rPr>
          <w:rStyle w:val="Figure-textChar"/>
        </w:rPr>
      </w:r>
      <w:r w:rsidRPr="00887119">
        <w:rPr>
          <w:rStyle w:val="Figure-textChar"/>
        </w:rPr>
        <w:fldChar w:fldCharType="separate"/>
      </w:r>
      <w:r w:rsidR="008D4BDE" w:rsidRPr="008D4BDE">
        <w:rPr>
          <w:rStyle w:val="Figure-textChar"/>
        </w:rPr>
        <w:t>Table 6.4</w:t>
      </w:r>
      <w:r w:rsidRPr="00887119">
        <w:rPr>
          <w:rStyle w:val="Figure-textChar"/>
        </w:rPr>
        <w:fldChar w:fldCharType="end"/>
      </w:r>
      <w:r w:rsidRPr="00887119">
        <w:t xml:space="preserve"> </w:t>
      </w:r>
      <w:r w:rsidR="004F325B" w:rsidRPr="00887119">
        <w:t>summarizes the demographic composition of households by geographic category, providing a baseline understanding of who occupies housing across the province and highlighting key differences between urban and rural areas.</w:t>
      </w:r>
    </w:p>
    <w:p w14:paraId="0C7679AC" w14:textId="77777777" w:rsidR="00716ABA" w:rsidRPr="00887119" w:rsidRDefault="00716ABA" w:rsidP="00716ABA"/>
    <w:p w14:paraId="38266392" w14:textId="71DB477B" w:rsidR="00716ABA" w:rsidRPr="00887119" w:rsidRDefault="00716ABA" w:rsidP="00716ABA">
      <w:pPr>
        <w:pStyle w:val="Caption"/>
      </w:pPr>
      <w:bookmarkStart w:id="54" w:name="_Ref223274000"/>
      <w:r w:rsidRPr="00887119">
        <w:lastRenderedPageBreak/>
        <w:t xml:space="preserve">Table </w:t>
      </w:r>
      <w:fldSimple w:instr=" STYLEREF 1 \s ">
        <w:r w:rsidR="008D4BDE">
          <w:rPr>
            <w:noProof/>
          </w:rPr>
          <w:t>6</w:t>
        </w:r>
      </w:fldSimple>
      <w:r w:rsidR="00EE1FE9">
        <w:t>.</w:t>
      </w:r>
      <w:fldSimple w:instr=" SEQ Table \* ARABIC \s 1 ">
        <w:r w:rsidR="008D4BDE">
          <w:rPr>
            <w:noProof/>
          </w:rPr>
          <w:t>4</w:t>
        </w:r>
      </w:fldSimple>
      <w:bookmarkEnd w:id="54"/>
      <w:r w:rsidRPr="00887119">
        <w:t>: Summary of household characteristics by geograph</w:t>
      </w:r>
      <w:r w:rsidR="00BC06D8" w:rsidRPr="00887119">
        <w:t>ic category</w:t>
      </w:r>
      <w:r w:rsidRPr="00887119">
        <w:t>, 2021</w:t>
      </w:r>
    </w:p>
    <w:tbl>
      <w:tblPr>
        <w:tblW w:w="9355" w:type="dxa"/>
        <w:tblLayout w:type="fixed"/>
        <w:tblLook w:val="04A0" w:firstRow="1" w:lastRow="0" w:firstColumn="1" w:lastColumn="0" w:noHBand="0" w:noVBand="1"/>
      </w:tblPr>
      <w:tblGrid>
        <w:gridCol w:w="2160"/>
        <w:gridCol w:w="1199"/>
        <w:gridCol w:w="1199"/>
        <w:gridCol w:w="1199"/>
        <w:gridCol w:w="1199"/>
        <w:gridCol w:w="1199"/>
        <w:gridCol w:w="1200"/>
      </w:tblGrid>
      <w:tr w:rsidR="00E80542" w:rsidRPr="0040622D" w14:paraId="73AA6706" w14:textId="77777777" w:rsidTr="00444FE6">
        <w:trPr>
          <w:trHeight w:val="402"/>
          <w:tblHeader/>
        </w:trPr>
        <w:tc>
          <w:tcPr>
            <w:tcW w:w="2160" w:type="dxa"/>
            <w:tcBorders>
              <w:top w:val="nil"/>
              <w:left w:val="nil"/>
              <w:bottom w:val="nil"/>
              <w:right w:val="nil"/>
            </w:tcBorders>
            <w:noWrap/>
            <w:vAlign w:val="center"/>
            <w:hideMark/>
          </w:tcPr>
          <w:p w14:paraId="2AA4552A" w14:textId="77777777" w:rsidR="00E80542" w:rsidRPr="0040622D" w:rsidRDefault="00E80542" w:rsidP="0040622D">
            <w:pPr>
              <w:spacing w:line="240" w:lineRule="auto"/>
              <w:jc w:val="left"/>
              <w:rPr>
                <w:rFonts w:ascii="Times New Roman" w:eastAsia="Times New Roman" w:hAnsi="Times New Roman" w:cs="Times New Roman"/>
                <w:kern w:val="0"/>
                <w:sz w:val="20"/>
                <w:lang w:eastAsia="en-CA"/>
                <w14:ligatures w14:val="none"/>
              </w:rPr>
            </w:pPr>
          </w:p>
        </w:tc>
        <w:tc>
          <w:tcPr>
            <w:tcW w:w="7195" w:type="dxa"/>
            <w:gridSpan w:val="6"/>
            <w:tcBorders>
              <w:top w:val="single" w:sz="4" w:space="0" w:color="auto"/>
              <w:left w:val="single" w:sz="4" w:space="0" w:color="auto"/>
              <w:bottom w:val="single" w:sz="4" w:space="0" w:color="auto"/>
              <w:right w:val="single" w:sz="4" w:space="0" w:color="auto"/>
            </w:tcBorders>
            <w:shd w:val="clear" w:color="auto" w:fill="006B5F" w:themeFill="accent2"/>
            <w:noWrap/>
            <w:vAlign w:val="center"/>
            <w:hideMark/>
          </w:tcPr>
          <w:p w14:paraId="5E18ACCF" w14:textId="10036AEB" w:rsidR="00E80542" w:rsidRPr="0040622D" w:rsidRDefault="00E80542" w:rsidP="00E80542">
            <w:pPr>
              <w:spacing w:line="240" w:lineRule="auto"/>
              <w:jc w:val="left"/>
              <w:rPr>
                <w:rFonts w:eastAsia="Times New Roman" w:cs="Arial"/>
                <w:color w:val="FFFFFF"/>
                <w:kern w:val="0"/>
                <w:sz w:val="18"/>
                <w:szCs w:val="18"/>
                <w:lang w:eastAsia="en-CA"/>
                <w14:ligatures w14:val="none"/>
              </w:rPr>
            </w:pPr>
            <w:r w:rsidRPr="0040622D">
              <w:rPr>
                <w:rFonts w:eastAsia="Times New Roman" w:cs="Arial"/>
                <w:color w:val="FFFFFF"/>
                <w:kern w:val="0"/>
                <w:sz w:val="18"/>
                <w:szCs w:val="18"/>
                <w:lang w:eastAsia="en-CA"/>
                <w14:ligatures w14:val="none"/>
              </w:rPr>
              <w:t>Share of total households</w:t>
            </w:r>
          </w:p>
        </w:tc>
      </w:tr>
      <w:tr w:rsidR="0040622D" w:rsidRPr="0040622D" w14:paraId="214583BC" w14:textId="77777777" w:rsidTr="00CA4B7B">
        <w:trPr>
          <w:trHeight w:val="557"/>
          <w:tblHeader/>
        </w:trPr>
        <w:tc>
          <w:tcPr>
            <w:tcW w:w="2160" w:type="dxa"/>
            <w:tcBorders>
              <w:top w:val="single" w:sz="4" w:space="0" w:color="auto"/>
              <w:left w:val="single" w:sz="4" w:space="0" w:color="auto"/>
              <w:bottom w:val="nil"/>
              <w:right w:val="nil"/>
            </w:tcBorders>
            <w:shd w:val="clear" w:color="000000" w:fill="03557C"/>
            <w:noWrap/>
            <w:vAlign w:val="center"/>
            <w:hideMark/>
          </w:tcPr>
          <w:p w14:paraId="6B3F4B9C" w14:textId="77777777" w:rsidR="0040622D" w:rsidRPr="0040622D" w:rsidRDefault="0040622D" w:rsidP="0040622D">
            <w:pPr>
              <w:spacing w:line="240" w:lineRule="auto"/>
              <w:jc w:val="left"/>
              <w:rPr>
                <w:rFonts w:eastAsia="Times New Roman" w:cs="Arial"/>
                <w:color w:val="FFFFFF"/>
                <w:kern w:val="0"/>
                <w:sz w:val="18"/>
                <w:szCs w:val="18"/>
                <w:lang w:eastAsia="en-CA"/>
                <w14:ligatures w14:val="none"/>
              </w:rPr>
            </w:pPr>
            <w:r w:rsidRPr="0040622D">
              <w:rPr>
                <w:rFonts w:eastAsia="Times New Roman" w:cs="Arial"/>
                <w:color w:val="FFFFFF"/>
                <w:kern w:val="0"/>
                <w:sz w:val="18"/>
                <w:szCs w:val="18"/>
                <w:lang w:eastAsia="en-CA"/>
                <w14:ligatures w14:val="none"/>
              </w:rPr>
              <w:t>Characteristic</w:t>
            </w:r>
          </w:p>
        </w:tc>
        <w:tc>
          <w:tcPr>
            <w:tcW w:w="1199" w:type="dxa"/>
            <w:tcBorders>
              <w:top w:val="single" w:sz="4" w:space="0" w:color="auto"/>
              <w:left w:val="single" w:sz="4" w:space="0" w:color="auto"/>
              <w:bottom w:val="single" w:sz="4" w:space="0" w:color="auto"/>
              <w:right w:val="single" w:sz="4" w:space="0" w:color="auto"/>
            </w:tcBorders>
            <w:shd w:val="clear" w:color="auto" w:fill="CFD9E3" w:themeFill="accent1"/>
            <w:noWrap/>
            <w:vAlign w:val="center"/>
            <w:hideMark/>
          </w:tcPr>
          <w:p w14:paraId="76449861"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Province</w:t>
            </w:r>
          </w:p>
        </w:tc>
        <w:tc>
          <w:tcPr>
            <w:tcW w:w="1199" w:type="dxa"/>
            <w:tcBorders>
              <w:top w:val="nil"/>
              <w:left w:val="single" w:sz="4" w:space="0" w:color="auto"/>
              <w:bottom w:val="single" w:sz="4" w:space="0" w:color="auto"/>
              <w:right w:val="single" w:sz="4" w:space="0" w:color="BFBFBF"/>
            </w:tcBorders>
            <w:shd w:val="clear" w:color="auto" w:fill="CFD9E3" w:themeFill="accent1"/>
            <w:noWrap/>
            <w:vAlign w:val="center"/>
            <w:hideMark/>
          </w:tcPr>
          <w:p w14:paraId="4096B30E"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Urban</w:t>
            </w:r>
          </w:p>
        </w:tc>
        <w:tc>
          <w:tcPr>
            <w:tcW w:w="1199" w:type="dxa"/>
            <w:tcBorders>
              <w:top w:val="nil"/>
              <w:left w:val="nil"/>
              <w:bottom w:val="single" w:sz="4" w:space="0" w:color="auto"/>
              <w:right w:val="single" w:sz="4" w:space="0" w:color="BFBFBF"/>
            </w:tcBorders>
            <w:shd w:val="clear" w:color="auto" w:fill="CFD9E3" w:themeFill="accent1"/>
            <w:noWrap/>
            <w:vAlign w:val="center"/>
            <w:hideMark/>
          </w:tcPr>
          <w:p w14:paraId="705FF6A0"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Small urban</w:t>
            </w:r>
          </w:p>
        </w:tc>
        <w:tc>
          <w:tcPr>
            <w:tcW w:w="1199" w:type="dxa"/>
            <w:tcBorders>
              <w:top w:val="nil"/>
              <w:left w:val="nil"/>
              <w:bottom w:val="single" w:sz="4" w:space="0" w:color="auto"/>
              <w:right w:val="single" w:sz="4" w:space="0" w:color="BFBFBF"/>
            </w:tcBorders>
            <w:shd w:val="clear" w:color="auto" w:fill="CFD9E3" w:themeFill="accent1"/>
            <w:noWrap/>
            <w:vAlign w:val="center"/>
            <w:hideMark/>
          </w:tcPr>
          <w:p w14:paraId="2C855076"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Rural (urban adjacent)</w:t>
            </w:r>
          </w:p>
        </w:tc>
        <w:tc>
          <w:tcPr>
            <w:tcW w:w="1199" w:type="dxa"/>
            <w:tcBorders>
              <w:top w:val="nil"/>
              <w:left w:val="nil"/>
              <w:bottom w:val="single" w:sz="4" w:space="0" w:color="auto"/>
              <w:right w:val="single" w:sz="4" w:space="0" w:color="BFBFBF"/>
            </w:tcBorders>
            <w:shd w:val="clear" w:color="auto" w:fill="CFD9E3" w:themeFill="accent1"/>
            <w:noWrap/>
            <w:vAlign w:val="center"/>
            <w:hideMark/>
          </w:tcPr>
          <w:p w14:paraId="116C8DEB"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Rural (remote)</w:t>
            </w:r>
          </w:p>
        </w:tc>
        <w:tc>
          <w:tcPr>
            <w:tcW w:w="1200" w:type="dxa"/>
            <w:tcBorders>
              <w:top w:val="nil"/>
              <w:left w:val="nil"/>
              <w:bottom w:val="single" w:sz="4" w:space="0" w:color="auto"/>
              <w:right w:val="single" w:sz="4" w:space="0" w:color="auto"/>
            </w:tcBorders>
            <w:shd w:val="clear" w:color="auto" w:fill="CFD9E3" w:themeFill="accent1"/>
            <w:noWrap/>
            <w:vAlign w:val="center"/>
            <w:hideMark/>
          </w:tcPr>
          <w:p w14:paraId="0C8D3C0D" w14:textId="6F938144" w:rsidR="0040622D" w:rsidRPr="0040622D" w:rsidRDefault="00F83411" w:rsidP="0040622D">
            <w:pPr>
              <w:spacing w:line="240" w:lineRule="auto"/>
              <w:jc w:val="right"/>
              <w:rPr>
                <w:rFonts w:eastAsia="Times New Roman" w:cs="Arial"/>
                <w:color w:val="0D0D0D"/>
                <w:kern w:val="0"/>
                <w:sz w:val="18"/>
                <w:szCs w:val="18"/>
                <w:lang w:eastAsia="en-CA"/>
                <w14:ligatures w14:val="none"/>
              </w:rPr>
            </w:pPr>
            <w:r>
              <w:rPr>
                <w:rFonts w:eastAsia="Times New Roman" w:cs="Arial"/>
                <w:color w:val="0D0D0D"/>
                <w:kern w:val="0"/>
                <w:sz w:val="18"/>
                <w:szCs w:val="18"/>
                <w:lang w:eastAsia="en-CA"/>
                <w14:ligatures w14:val="none"/>
              </w:rPr>
              <w:t>On-reserve</w:t>
            </w:r>
          </w:p>
        </w:tc>
      </w:tr>
      <w:tr w:rsidR="0040622D" w:rsidRPr="0040622D" w14:paraId="79E33B3B" w14:textId="77777777" w:rsidTr="00CA4B7B">
        <w:trPr>
          <w:trHeight w:val="402"/>
        </w:trPr>
        <w:tc>
          <w:tcPr>
            <w:tcW w:w="2160" w:type="dxa"/>
            <w:tcBorders>
              <w:top w:val="single" w:sz="4" w:space="0" w:color="auto"/>
              <w:left w:val="single" w:sz="4" w:space="0" w:color="auto"/>
              <w:bottom w:val="single" w:sz="4" w:space="0" w:color="auto"/>
              <w:right w:val="nil"/>
            </w:tcBorders>
            <w:shd w:val="clear" w:color="000000" w:fill="F2F2F2"/>
            <w:noWrap/>
            <w:vAlign w:val="center"/>
            <w:hideMark/>
          </w:tcPr>
          <w:p w14:paraId="02DB81F1"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Total</w:t>
            </w:r>
          </w:p>
        </w:tc>
        <w:tc>
          <w:tcPr>
            <w:tcW w:w="1199" w:type="dxa"/>
            <w:tcBorders>
              <w:top w:val="nil"/>
              <w:left w:val="single" w:sz="4" w:space="0" w:color="auto"/>
              <w:bottom w:val="single" w:sz="4" w:space="0" w:color="auto"/>
              <w:right w:val="single" w:sz="4" w:space="0" w:color="auto"/>
            </w:tcBorders>
            <w:shd w:val="clear" w:color="000000" w:fill="F2F2F2"/>
            <w:noWrap/>
            <w:vAlign w:val="center"/>
            <w:hideMark/>
          </w:tcPr>
          <w:p w14:paraId="3A14A855"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64,570</w:t>
            </w:r>
          </w:p>
        </w:tc>
        <w:tc>
          <w:tcPr>
            <w:tcW w:w="1199" w:type="dxa"/>
            <w:tcBorders>
              <w:top w:val="nil"/>
              <w:left w:val="single" w:sz="4" w:space="0" w:color="auto"/>
              <w:bottom w:val="single" w:sz="4" w:space="0" w:color="auto"/>
              <w:right w:val="single" w:sz="4" w:space="0" w:color="BFBFBF"/>
            </w:tcBorders>
            <w:shd w:val="clear" w:color="000000" w:fill="F2F2F2"/>
            <w:noWrap/>
            <w:vAlign w:val="center"/>
            <w:hideMark/>
          </w:tcPr>
          <w:p w14:paraId="458A9E0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28,565</w:t>
            </w:r>
          </w:p>
        </w:tc>
        <w:tc>
          <w:tcPr>
            <w:tcW w:w="1199" w:type="dxa"/>
            <w:tcBorders>
              <w:top w:val="nil"/>
              <w:left w:val="nil"/>
              <w:bottom w:val="single" w:sz="4" w:space="0" w:color="auto"/>
              <w:right w:val="single" w:sz="4" w:space="0" w:color="BFBFBF"/>
            </w:tcBorders>
            <w:shd w:val="clear" w:color="000000" w:fill="F2F2F2"/>
            <w:noWrap/>
            <w:vAlign w:val="center"/>
            <w:hideMark/>
          </w:tcPr>
          <w:p w14:paraId="71DE02A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9,215</w:t>
            </w:r>
          </w:p>
        </w:tc>
        <w:tc>
          <w:tcPr>
            <w:tcW w:w="1199" w:type="dxa"/>
            <w:tcBorders>
              <w:top w:val="nil"/>
              <w:left w:val="nil"/>
              <w:bottom w:val="single" w:sz="4" w:space="0" w:color="auto"/>
              <w:right w:val="single" w:sz="4" w:space="0" w:color="BFBFBF"/>
            </w:tcBorders>
            <w:shd w:val="clear" w:color="000000" w:fill="F2F2F2"/>
            <w:noWrap/>
            <w:vAlign w:val="center"/>
            <w:hideMark/>
          </w:tcPr>
          <w:p w14:paraId="6D19C29F"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18,440</w:t>
            </w:r>
          </w:p>
        </w:tc>
        <w:tc>
          <w:tcPr>
            <w:tcW w:w="1199" w:type="dxa"/>
            <w:tcBorders>
              <w:top w:val="nil"/>
              <w:left w:val="nil"/>
              <w:bottom w:val="single" w:sz="4" w:space="0" w:color="auto"/>
              <w:right w:val="single" w:sz="4" w:space="0" w:color="BFBFBF"/>
            </w:tcBorders>
            <w:shd w:val="clear" w:color="000000" w:fill="F2F2F2"/>
            <w:noWrap/>
            <w:vAlign w:val="center"/>
            <w:hideMark/>
          </w:tcPr>
          <w:p w14:paraId="104C3FE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8,095</w:t>
            </w:r>
          </w:p>
        </w:tc>
        <w:tc>
          <w:tcPr>
            <w:tcW w:w="1200" w:type="dxa"/>
            <w:tcBorders>
              <w:top w:val="nil"/>
              <w:left w:val="nil"/>
              <w:bottom w:val="single" w:sz="4" w:space="0" w:color="auto"/>
              <w:right w:val="single" w:sz="4" w:space="0" w:color="auto"/>
            </w:tcBorders>
            <w:shd w:val="clear" w:color="000000" w:fill="F2F2F2"/>
            <w:noWrap/>
            <w:vAlign w:val="center"/>
            <w:hideMark/>
          </w:tcPr>
          <w:p w14:paraId="583B66C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205</w:t>
            </w:r>
          </w:p>
        </w:tc>
      </w:tr>
      <w:tr w:rsidR="0040622D" w:rsidRPr="0040622D" w14:paraId="0760BD68" w14:textId="77777777" w:rsidTr="00CA4B7B">
        <w:trPr>
          <w:trHeight w:val="402"/>
        </w:trPr>
        <w:tc>
          <w:tcPr>
            <w:tcW w:w="2160" w:type="dxa"/>
            <w:tcBorders>
              <w:top w:val="nil"/>
              <w:left w:val="single" w:sz="4" w:space="0" w:color="auto"/>
              <w:bottom w:val="single" w:sz="4" w:space="0" w:color="auto"/>
              <w:right w:val="nil"/>
            </w:tcBorders>
            <w:shd w:val="clear" w:color="000000" w:fill="BFBFBF"/>
            <w:noWrap/>
            <w:vAlign w:val="center"/>
            <w:hideMark/>
          </w:tcPr>
          <w:p w14:paraId="1D643D33"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Tenure</w:t>
            </w:r>
          </w:p>
        </w:tc>
        <w:tc>
          <w:tcPr>
            <w:tcW w:w="1199" w:type="dxa"/>
            <w:tcBorders>
              <w:top w:val="nil"/>
              <w:left w:val="nil"/>
              <w:bottom w:val="single" w:sz="4" w:space="0" w:color="auto"/>
              <w:right w:val="nil"/>
            </w:tcBorders>
            <w:shd w:val="clear" w:color="000000" w:fill="BFBFBF"/>
            <w:noWrap/>
            <w:vAlign w:val="center"/>
            <w:hideMark/>
          </w:tcPr>
          <w:p w14:paraId="298C7D42"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 </w:t>
            </w:r>
          </w:p>
        </w:tc>
        <w:tc>
          <w:tcPr>
            <w:tcW w:w="1199" w:type="dxa"/>
            <w:tcBorders>
              <w:top w:val="nil"/>
              <w:left w:val="nil"/>
              <w:bottom w:val="single" w:sz="4" w:space="0" w:color="auto"/>
              <w:right w:val="nil"/>
            </w:tcBorders>
            <w:shd w:val="clear" w:color="000000" w:fill="BFBFBF"/>
            <w:noWrap/>
            <w:vAlign w:val="center"/>
            <w:hideMark/>
          </w:tcPr>
          <w:p w14:paraId="0DAE1B81"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 </w:t>
            </w:r>
          </w:p>
        </w:tc>
        <w:tc>
          <w:tcPr>
            <w:tcW w:w="1199" w:type="dxa"/>
            <w:tcBorders>
              <w:top w:val="nil"/>
              <w:left w:val="nil"/>
              <w:bottom w:val="single" w:sz="4" w:space="0" w:color="auto"/>
              <w:right w:val="nil"/>
            </w:tcBorders>
            <w:shd w:val="clear" w:color="000000" w:fill="BFBFBF"/>
            <w:noWrap/>
            <w:vAlign w:val="center"/>
            <w:hideMark/>
          </w:tcPr>
          <w:p w14:paraId="6B61E520"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 </w:t>
            </w:r>
          </w:p>
        </w:tc>
        <w:tc>
          <w:tcPr>
            <w:tcW w:w="1199" w:type="dxa"/>
            <w:tcBorders>
              <w:top w:val="nil"/>
              <w:left w:val="nil"/>
              <w:bottom w:val="single" w:sz="4" w:space="0" w:color="auto"/>
              <w:right w:val="nil"/>
            </w:tcBorders>
            <w:shd w:val="clear" w:color="000000" w:fill="BFBFBF"/>
            <w:noWrap/>
            <w:vAlign w:val="center"/>
            <w:hideMark/>
          </w:tcPr>
          <w:p w14:paraId="259FDE7C"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 </w:t>
            </w:r>
          </w:p>
        </w:tc>
        <w:tc>
          <w:tcPr>
            <w:tcW w:w="1199" w:type="dxa"/>
            <w:tcBorders>
              <w:top w:val="nil"/>
              <w:left w:val="nil"/>
              <w:bottom w:val="single" w:sz="4" w:space="0" w:color="auto"/>
              <w:right w:val="nil"/>
            </w:tcBorders>
            <w:shd w:val="clear" w:color="000000" w:fill="BFBFBF"/>
            <w:noWrap/>
            <w:vAlign w:val="center"/>
            <w:hideMark/>
          </w:tcPr>
          <w:p w14:paraId="0126F738"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 </w:t>
            </w:r>
          </w:p>
        </w:tc>
        <w:tc>
          <w:tcPr>
            <w:tcW w:w="1200" w:type="dxa"/>
            <w:tcBorders>
              <w:top w:val="nil"/>
              <w:left w:val="nil"/>
              <w:bottom w:val="single" w:sz="4" w:space="0" w:color="auto"/>
              <w:right w:val="single" w:sz="4" w:space="0" w:color="auto"/>
            </w:tcBorders>
            <w:shd w:val="clear" w:color="000000" w:fill="BFBFBF"/>
            <w:noWrap/>
            <w:vAlign w:val="center"/>
            <w:hideMark/>
          </w:tcPr>
          <w:p w14:paraId="4EE6CD59" w14:textId="77777777" w:rsidR="0040622D" w:rsidRPr="0040622D" w:rsidRDefault="0040622D" w:rsidP="0040622D">
            <w:pPr>
              <w:spacing w:line="240" w:lineRule="auto"/>
              <w:jc w:val="righ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 </w:t>
            </w:r>
          </w:p>
        </w:tc>
      </w:tr>
      <w:tr w:rsidR="0040622D" w:rsidRPr="0040622D" w14:paraId="5336FFD2"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254EF734"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Owners</w:t>
            </w:r>
          </w:p>
        </w:tc>
        <w:tc>
          <w:tcPr>
            <w:tcW w:w="1199" w:type="dxa"/>
            <w:tcBorders>
              <w:top w:val="single" w:sz="4" w:space="0" w:color="auto"/>
              <w:left w:val="single" w:sz="4" w:space="0" w:color="auto"/>
              <w:bottom w:val="single" w:sz="4" w:space="0" w:color="BFBFBF"/>
              <w:right w:val="single" w:sz="4" w:space="0" w:color="auto"/>
            </w:tcBorders>
            <w:shd w:val="clear" w:color="000000" w:fill="F2F2F2"/>
            <w:noWrap/>
            <w:vAlign w:val="center"/>
            <w:hideMark/>
          </w:tcPr>
          <w:p w14:paraId="616E571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69%</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6110C97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51%</w:t>
            </w:r>
          </w:p>
        </w:tc>
        <w:tc>
          <w:tcPr>
            <w:tcW w:w="1199" w:type="dxa"/>
            <w:tcBorders>
              <w:top w:val="nil"/>
              <w:left w:val="nil"/>
              <w:bottom w:val="single" w:sz="4" w:space="0" w:color="BFBFBF"/>
              <w:right w:val="single" w:sz="4" w:space="0" w:color="BFBFBF"/>
            </w:tcBorders>
            <w:shd w:val="clear" w:color="000000" w:fill="F2F2F2"/>
            <w:noWrap/>
            <w:vAlign w:val="center"/>
            <w:hideMark/>
          </w:tcPr>
          <w:p w14:paraId="5C0E3445"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64%</w:t>
            </w:r>
          </w:p>
        </w:tc>
        <w:tc>
          <w:tcPr>
            <w:tcW w:w="1199" w:type="dxa"/>
            <w:tcBorders>
              <w:top w:val="nil"/>
              <w:left w:val="nil"/>
              <w:bottom w:val="single" w:sz="4" w:space="0" w:color="BFBFBF"/>
              <w:right w:val="single" w:sz="4" w:space="0" w:color="BFBFBF"/>
            </w:tcBorders>
            <w:shd w:val="clear" w:color="000000" w:fill="F2F2F2"/>
            <w:noWrap/>
            <w:vAlign w:val="center"/>
            <w:hideMark/>
          </w:tcPr>
          <w:p w14:paraId="27F82AF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89%</w:t>
            </w:r>
          </w:p>
        </w:tc>
        <w:tc>
          <w:tcPr>
            <w:tcW w:w="1199" w:type="dxa"/>
            <w:tcBorders>
              <w:top w:val="nil"/>
              <w:left w:val="nil"/>
              <w:bottom w:val="single" w:sz="4" w:space="0" w:color="BFBFBF"/>
              <w:right w:val="single" w:sz="4" w:space="0" w:color="BFBFBF"/>
            </w:tcBorders>
            <w:shd w:val="clear" w:color="000000" w:fill="F2F2F2"/>
            <w:noWrap/>
            <w:vAlign w:val="center"/>
            <w:hideMark/>
          </w:tcPr>
          <w:p w14:paraId="7693F3E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91%</w:t>
            </w:r>
          </w:p>
        </w:tc>
        <w:tc>
          <w:tcPr>
            <w:tcW w:w="1200" w:type="dxa"/>
            <w:tcBorders>
              <w:top w:val="nil"/>
              <w:left w:val="nil"/>
              <w:bottom w:val="single" w:sz="4" w:space="0" w:color="BFBFBF"/>
              <w:right w:val="single" w:sz="4" w:space="0" w:color="auto"/>
            </w:tcBorders>
            <w:shd w:val="clear" w:color="000000" w:fill="F2F2F2"/>
            <w:noWrap/>
            <w:vAlign w:val="center"/>
            <w:hideMark/>
          </w:tcPr>
          <w:p w14:paraId="2501DAE3"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100%</w:t>
            </w:r>
          </w:p>
        </w:tc>
      </w:tr>
      <w:tr w:rsidR="0040622D" w:rsidRPr="0040622D" w14:paraId="2A5125DB"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0000EE77"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Renters</w:t>
            </w:r>
          </w:p>
        </w:tc>
        <w:tc>
          <w:tcPr>
            <w:tcW w:w="1199" w:type="dxa"/>
            <w:tcBorders>
              <w:top w:val="nil"/>
              <w:left w:val="single" w:sz="4" w:space="0" w:color="auto"/>
              <w:bottom w:val="single" w:sz="4" w:space="0" w:color="auto"/>
              <w:right w:val="single" w:sz="4" w:space="0" w:color="auto"/>
            </w:tcBorders>
            <w:noWrap/>
            <w:vAlign w:val="center"/>
            <w:hideMark/>
          </w:tcPr>
          <w:p w14:paraId="3EC8F02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31%</w:t>
            </w:r>
          </w:p>
        </w:tc>
        <w:tc>
          <w:tcPr>
            <w:tcW w:w="1199" w:type="dxa"/>
            <w:tcBorders>
              <w:top w:val="nil"/>
              <w:left w:val="single" w:sz="4" w:space="0" w:color="auto"/>
              <w:bottom w:val="single" w:sz="4" w:space="0" w:color="BFBFBF"/>
              <w:right w:val="single" w:sz="4" w:space="0" w:color="BFBFBF"/>
            </w:tcBorders>
            <w:noWrap/>
            <w:vAlign w:val="center"/>
            <w:hideMark/>
          </w:tcPr>
          <w:p w14:paraId="3DB2908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49%</w:t>
            </w:r>
          </w:p>
        </w:tc>
        <w:tc>
          <w:tcPr>
            <w:tcW w:w="1199" w:type="dxa"/>
            <w:tcBorders>
              <w:top w:val="nil"/>
              <w:left w:val="nil"/>
              <w:bottom w:val="single" w:sz="4" w:space="0" w:color="BFBFBF"/>
              <w:right w:val="single" w:sz="4" w:space="0" w:color="BFBFBF"/>
            </w:tcBorders>
            <w:noWrap/>
            <w:vAlign w:val="center"/>
            <w:hideMark/>
          </w:tcPr>
          <w:p w14:paraId="065EF8F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w:t>
            </w:r>
          </w:p>
        </w:tc>
        <w:tc>
          <w:tcPr>
            <w:tcW w:w="1199" w:type="dxa"/>
            <w:tcBorders>
              <w:top w:val="nil"/>
              <w:left w:val="nil"/>
              <w:bottom w:val="single" w:sz="4" w:space="0" w:color="BFBFBF"/>
              <w:right w:val="single" w:sz="4" w:space="0" w:color="BFBFBF"/>
            </w:tcBorders>
            <w:noWrap/>
            <w:vAlign w:val="center"/>
            <w:hideMark/>
          </w:tcPr>
          <w:p w14:paraId="0482BE0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199" w:type="dxa"/>
            <w:tcBorders>
              <w:top w:val="nil"/>
              <w:left w:val="nil"/>
              <w:bottom w:val="single" w:sz="4" w:space="0" w:color="BFBFBF"/>
              <w:right w:val="single" w:sz="4" w:space="0" w:color="BFBFBF"/>
            </w:tcBorders>
            <w:noWrap/>
            <w:vAlign w:val="center"/>
            <w:hideMark/>
          </w:tcPr>
          <w:p w14:paraId="26BFF9C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00" w:type="dxa"/>
            <w:tcBorders>
              <w:top w:val="nil"/>
              <w:left w:val="nil"/>
              <w:bottom w:val="single" w:sz="4" w:space="0" w:color="BFBFBF"/>
              <w:right w:val="single" w:sz="4" w:space="0" w:color="auto"/>
            </w:tcBorders>
            <w:noWrap/>
            <w:vAlign w:val="center"/>
            <w:hideMark/>
          </w:tcPr>
          <w:p w14:paraId="2DDDA00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40622D" w:rsidRPr="0040622D" w14:paraId="79E188AF" w14:textId="77777777" w:rsidTr="00557112">
        <w:trPr>
          <w:trHeight w:val="402"/>
        </w:trPr>
        <w:tc>
          <w:tcPr>
            <w:tcW w:w="9355" w:type="dxa"/>
            <w:gridSpan w:val="7"/>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709A71" w14:textId="38E9C4BD"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Age of primary household maintainer </w:t>
            </w:r>
          </w:p>
        </w:tc>
      </w:tr>
      <w:tr w:rsidR="0040622D" w:rsidRPr="0040622D" w14:paraId="6A15F001"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5C45A526"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15 to 24</w:t>
            </w:r>
          </w:p>
        </w:tc>
        <w:tc>
          <w:tcPr>
            <w:tcW w:w="1199" w:type="dxa"/>
            <w:tcBorders>
              <w:top w:val="single" w:sz="4" w:space="0" w:color="auto"/>
              <w:left w:val="single" w:sz="4" w:space="0" w:color="auto"/>
              <w:bottom w:val="single" w:sz="4" w:space="0" w:color="BFBFBF"/>
              <w:right w:val="single" w:sz="4" w:space="0" w:color="auto"/>
            </w:tcBorders>
            <w:shd w:val="clear" w:color="000000" w:fill="F2F2F2"/>
            <w:noWrap/>
            <w:vAlign w:val="center"/>
            <w:hideMark/>
          </w:tcPr>
          <w:p w14:paraId="76DD7B2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29CA1A3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1199" w:type="dxa"/>
            <w:tcBorders>
              <w:top w:val="nil"/>
              <w:left w:val="nil"/>
              <w:bottom w:val="single" w:sz="4" w:space="0" w:color="BFBFBF"/>
              <w:right w:val="single" w:sz="4" w:space="0" w:color="BFBFBF"/>
            </w:tcBorders>
            <w:shd w:val="clear" w:color="000000" w:fill="F2F2F2"/>
            <w:noWrap/>
            <w:vAlign w:val="center"/>
            <w:hideMark/>
          </w:tcPr>
          <w:p w14:paraId="495BF5C3"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199" w:type="dxa"/>
            <w:tcBorders>
              <w:top w:val="nil"/>
              <w:left w:val="nil"/>
              <w:bottom w:val="single" w:sz="4" w:space="0" w:color="BFBFBF"/>
              <w:right w:val="single" w:sz="4" w:space="0" w:color="BFBFBF"/>
            </w:tcBorders>
            <w:shd w:val="clear" w:color="000000" w:fill="F2F2F2"/>
            <w:noWrap/>
            <w:vAlign w:val="center"/>
            <w:hideMark/>
          </w:tcPr>
          <w:p w14:paraId="67F00E8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199" w:type="dxa"/>
            <w:tcBorders>
              <w:top w:val="nil"/>
              <w:left w:val="nil"/>
              <w:bottom w:val="single" w:sz="4" w:space="0" w:color="BFBFBF"/>
              <w:right w:val="single" w:sz="4" w:space="0" w:color="BFBFBF"/>
            </w:tcBorders>
            <w:shd w:val="clear" w:color="000000" w:fill="F2F2F2"/>
            <w:noWrap/>
            <w:vAlign w:val="center"/>
            <w:hideMark/>
          </w:tcPr>
          <w:p w14:paraId="7F6974C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200" w:type="dxa"/>
            <w:tcBorders>
              <w:top w:val="nil"/>
              <w:left w:val="nil"/>
              <w:bottom w:val="single" w:sz="4" w:space="0" w:color="BFBFBF"/>
              <w:right w:val="single" w:sz="4" w:space="0" w:color="auto"/>
            </w:tcBorders>
            <w:shd w:val="clear" w:color="000000" w:fill="F2F2F2"/>
            <w:noWrap/>
            <w:vAlign w:val="center"/>
            <w:hideMark/>
          </w:tcPr>
          <w:p w14:paraId="0BB2EC0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r>
      <w:tr w:rsidR="0040622D" w:rsidRPr="0040622D" w14:paraId="2D395E64"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66A5554A"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25 to 34</w:t>
            </w:r>
          </w:p>
        </w:tc>
        <w:tc>
          <w:tcPr>
            <w:tcW w:w="1199" w:type="dxa"/>
            <w:tcBorders>
              <w:top w:val="nil"/>
              <w:left w:val="single" w:sz="4" w:space="0" w:color="auto"/>
              <w:bottom w:val="single" w:sz="4" w:space="0" w:color="BFBFBF"/>
              <w:right w:val="single" w:sz="4" w:space="0" w:color="auto"/>
            </w:tcBorders>
            <w:noWrap/>
            <w:vAlign w:val="center"/>
            <w:hideMark/>
          </w:tcPr>
          <w:p w14:paraId="6FC5EC8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199" w:type="dxa"/>
            <w:tcBorders>
              <w:top w:val="nil"/>
              <w:left w:val="single" w:sz="4" w:space="0" w:color="auto"/>
              <w:bottom w:val="single" w:sz="4" w:space="0" w:color="BFBFBF"/>
              <w:right w:val="single" w:sz="4" w:space="0" w:color="BFBFBF"/>
            </w:tcBorders>
            <w:noWrap/>
            <w:vAlign w:val="center"/>
            <w:hideMark/>
          </w:tcPr>
          <w:p w14:paraId="17108995"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1199" w:type="dxa"/>
            <w:tcBorders>
              <w:top w:val="nil"/>
              <w:left w:val="nil"/>
              <w:bottom w:val="single" w:sz="4" w:space="0" w:color="BFBFBF"/>
              <w:right w:val="single" w:sz="4" w:space="0" w:color="BFBFBF"/>
            </w:tcBorders>
            <w:noWrap/>
            <w:vAlign w:val="center"/>
            <w:hideMark/>
          </w:tcPr>
          <w:p w14:paraId="707AE0F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199" w:type="dxa"/>
            <w:tcBorders>
              <w:top w:val="nil"/>
              <w:left w:val="nil"/>
              <w:bottom w:val="single" w:sz="4" w:space="0" w:color="BFBFBF"/>
              <w:right w:val="single" w:sz="4" w:space="0" w:color="BFBFBF"/>
            </w:tcBorders>
            <w:noWrap/>
            <w:vAlign w:val="center"/>
            <w:hideMark/>
          </w:tcPr>
          <w:p w14:paraId="351604C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199" w:type="dxa"/>
            <w:tcBorders>
              <w:top w:val="nil"/>
              <w:left w:val="nil"/>
              <w:bottom w:val="single" w:sz="4" w:space="0" w:color="BFBFBF"/>
              <w:right w:val="single" w:sz="4" w:space="0" w:color="BFBFBF"/>
            </w:tcBorders>
            <w:noWrap/>
            <w:vAlign w:val="center"/>
            <w:hideMark/>
          </w:tcPr>
          <w:p w14:paraId="28C323F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200" w:type="dxa"/>
            <w:tcBorders>
              <w:top w:val="nil"/>
              <w:left w:val="nil"/>
              <w:bottom w:val="single" w:sz="4" w:space="0" w:color="BFBFBF"/>
              <w:right w:val="single" w:sz="4" w:space="0" w:color="auto"/>
            </w:tcBorders>
            <w:noWrap/>
            <w:vAlign w:val="center"/>
            <w:hideMark/>
          </w:tcPr>
          <w:p w14:paraId="61484985"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r>
      <w:tr w:rsidR="0040622D" w:rsidRPr="0040622D" w14:paraId="49D8D049"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0CE6EB76"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35 to 44</w:t>
            </w:r>
          </w:p>
        </w:tc>
        <w:tc>
          <w:tcPr>
            <w:tcW w:w="1199" w:type="dxa"/>
            <w:tcBorders>
              <w:top w:val="nil"/>
              <w:left w:val="single" w:sz="4" w:space="0" w:color="auto"/>
              <w:bottom w:val="single" w:sz="4" w:space="0" w:color="BFBFBF"/>
              <w:right w:val="single" w:sz="4" w:space="0" w:color="auto"/>
            </w:tcBorders>
            <w:shd w:val="clear" w:color="000000" w:fill="F2F2F2"/>
            <w:noWrap/>
            <w:vAlign w:val="center"/>
            <w:hideMark/>
          </w:tcPr>
          <w:p w14:paraId="11E3CC23"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6B1B0C0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99" w:type="dxa"/>
            <w:tcBorders>
              <w:top w:val="nil"/>
              <w:left w:val="nil"/>
              <w:bottom w:val="single" w:sz="4" w:space="0" w:color="BFBFBF"/>
              <w:right w:val="single" w:sz="4" w:space="0" w:color="BFBFBF"/>
            </w:tcBorders>
            <w:shd w:val="clear" w:color="000000" w:fill="F2F2F2"/>
            <w:noWrap/>
            <w:vAlign w:val="center"/>
            <w:hideMark/>
          </w:tcPr>
          <w:p w14:paraId="07A8E33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99" w:type="dxa"/>
            <w:tcBorders>
              <w:top w:val="nil"/>
              <w:left w:val="nil"/>
              <w:bottom w:val="single" w:sz="4" w:space="0" w:color="BFBFBF"/>
              <w:right w:val="single" w:sz="4" w:space="0" w:color="BFBFBF"/>
            </w:tcBorders>
            <w:shd w:val="clear" w:color="000000" w:fill="F2F2F2"/>
            <w:noWrap/>
            <w:vAlign w:val="center"/>
            <w:hideMark/>
          </w:tcPr>
          <w:p w14:paraId="7521DF97"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99" w:type="dxa"/>
            <w:tcBorders>
              <w:top w:val="nil"/>
              <w:left w:val="nil"/>
              <w:bottom w:val="single" w:sz="4" w:space="0" w:color="BFBFBF"/>
              <w:right w:val="single" w:sz="4" w:space="0" w:color="BFBFBF"/>
            </w:tcBorders>
            <w:shd w:val="clear" w:color="000000" w:fill="F2F2F2"/>
            <w:noWrap/>
            <w:vAlign w:val="center"/>
            <w:hideMark/>
          </w:tcPr>
          <w:p w14:paraId="2F8B948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200" w:type="dxa"/>
            <w:tcBorders>
              <w:top w:val="nil"/>
              <w:left w:val="nil"/>
              <w:bottom w:val="single" w:sz="4" w:space="0" w:color="BFBFBF"/>
              <w:right w:val="single" w:sz="4" w:space="0" w:color="auto"/>
            </w:tcBorders>
            <w:shd w:val="clear" w:color="000000" w:fill="F2F2F2"/>
            <w:noWrap/>
            <w:vAlign w:val="center"/>
            <w:hideMark/>
          </w:tcPr>
          <w:p w14:paraId="18CE9FE5"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r>
      <w:tr w:rsidR="0040622D" w:rsidRPr="0040622D" w14:paraId="474D439C"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1DBB4DEC"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45 to 54</w:t>
            </w:r>
          </w:p>
        </w:tc>
        <w:tc>
          <w:tcPr>
            <w:tcW w:w="1199" w:type="dxa"/>
            <w:tcBorders>
              <w:top w:val="nil"/>
              <w:left w:val="single" w:sz="4" w:space="0" w:color="auto"/>
              <w:bottom w:val="single" w:sz="4" w:space="0" w:color="BFBFBF"/>
              <w:right w:val="single" w:sz="4" w:space="0" w:color="auto"/>
            </w:tcBorders>
            <w:noWrap/>
            <w:vAlign w:val="center"/>
            <w:hideMark/>
          </w:tcPr>
          <w:p w14:paraId="35A9229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c>
          <w:tcPr>
            <w:tcW w:w="1199" w:type="dxa"/>
            <w:tcBorders>
              <w:top w:val="nil"/>
              <w:left w:val="single" w:sz="4" w:space="0" w:color="auto"/>
              <w:bottom w:val="single" w:sz="4" w:space="0" w:color="BFBFBF"/>
              <w:right w:val="single" w:sz="4" w:space="0" w:color="BFBFBF"/>
            </w:tcBorders>
            <w:noWrap/>
            <w:vAlign w:val="center"/>
            <w:hideMark/>
          </w:tcPr>
          <w:p w14:paraId="349FC14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16%</w:t>
            </w:r>
          </w:p>
        </w:tc>
        <w:tc>
          <w:tcPr>
            <w:tcW w:w="1199" w:type="dxa"/>
            <w:tcBorders>
              <w:top w:val="nil"/>
              <w:left w:val="nil"/>
              <w:bottom w:val="single" w:sz="4" w:space="0" w:color="BFBFBF"/>
              <w:right w:val="single" w:sz="4" w:space="0" w:color="BFBFBF"/>
            </w:tcBorders>
            <w:noWrap/>
            <w:vAlign w:val="center"/>
            <w:hideMark/>
          </w:tcPr>
          <w:p w14:paraId="6FC5DDB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99" w:type="dxa"/>
            <w:tcBorders>
              <w:top w:val="nil"/>
              <w:left w:val="nil"/>
              <w:bottom w:val="single" w:sz="4" w:space="0" w:color="BFBFBF"/>
              <w:right w:val="single" w:sz="4" w:space="0" w:color="BFBFBF"/>
            </w:tcBorders>
            <w:noWrap/>
            <w:vAlign w:val="center"/>
            <w:hideMark/>
          </w:tcPr>
          <w:p w14:paraId="14D8708F"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199" w:type="dxa"/>
            <w:tcBorders>
              <w:top w:val="nil"/>
              <w:left w:val="nil"/>
              <w:bottom w:val="single" w:sz="4" w:space="0" w:color="BFBFBF"/>
              <w:right w:val="single" w:sz="4" w:space="0" w:color="BFBFBF"/>
            </w:tcBorders>
            <w:noWrap/>
            <w:vAlign w:val="center"/>
            <w:hideMark/>
          </w:tcPr>
          <w:p w14:paraId="4E62C9C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200" w:type="dxa"/>
            <w:tcBorders>
              <w:top w:val="nil"/>
              <w:left w:val="nil"/>
              <w:bottom w:val="single" w:sz="4" w:space="0" w:color="BFBFBF"/>
              <w:right w:val="single" w:sz="4" w:space="0" w:color="auto"/>
            </w:tcBorders>
            <w:noWrap/>
            <w:vAlign w:val="center"/>
            <w:hideMark/>
          </w:tcPr>
          <w:p w14:paraId="3EE3E176"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r>
      <w:tr w:rsidR="0040622D" w:rsidRPr="0040622D" w14:paraId="3DA433A4"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7A27860B"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55 to 64</w:t>
            </w:r>
          </w:p>
        </w:tc>
        <w:tc>
          <w:tcPr>
            <w:tcW w:w="1199" w:type="dxa"/>
            <w:tcBorders>
              <w:top w:val="nil"/>
              <w:left w:val="single" w:sz="4" w:space="0" w:color="auto"/>
              <w:bottom w:val="single" w:sz="4" w:space="0" w:color="BFBFBF"/>
              <w:right w:val="single" w:sz="4" w:space="0" w:color="auto"/>
            </w:tcBorders>
            <w:shd w:val="clear" w:color="000000" w:fill="F2F2F2"/>
            <w:noWrap/>
            <w:vAlign w:val="center"/>
            <w:hideMark/>
          </w:tcPr>
          <w:p w14:paraId="594E540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2CFB3A8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199" w:type="dxa"/>
            <w:tcBorders>
              <w:top w:val="nil"/>
              <w:left w:val="nil"/>
              <w:bottom w:val="single" w:sz="4" w:space="0" w:color="BFBFBF"/>
              <w:right w:val="single" w:sz="4" w:space="0" w:color="BFBFBF"/>
            </w:tcBorders>
            <w:shd w:val="clear" w:color="000000" w:fill="F2F2F2"/>
            <w:noWrap/>
            <w:vAlign w:val="center"/>
            <w:hideMark/>
          </w:tcPr>
          <w:p w14:paraId="3D015C0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19%</w:t>
            </w:r>
          </w:p>
        </w:tc>
        <w:tc>
          <w:tcPr>
            <w:tcW w:w="1199" w:type="dxa"/>
            <w:tcBorders>
              <w:top w:val="nil"/>
              <w:left w:val="nil"/>
              <w:bottom w:val="single" w:sz="4" w:space="0" w:color="BFBFBF"/>
              <w:right w:val="single" w:sz="4" w:space="0" w:color="BFBFBF"/>
            </w:tcBorders>
            <w:shd w:val="clear" w:color="000000" w:fill="F2F2F2"/>
            <w:noWrap/>
            <w:vAlign w:val="center"/>
            <w:hideMark/>
          </w:tcPr>
          <w:p w14:paraId="7833821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24%</w:t>
            </w:r>
          </w:p>
        </w:tc>
        <w:tc>
          <w:tcPr>
            <w:tcW w:w="1199" w:type="dxa"/>
            <w:tcBorders>
              <w:top w:val="nil"/>
              <w:left w:val="nil"/>
              <w:bottom w:val="single" w:sz="4" w:space="0" w:color="BFBFBF"/>
              <w:right w:val="single" w:sz="4" w:space="0" w:color="BFBFBF"/>
            </w:tcBorders>
            <w:shd w:val="clear" w:color="000000" w:fill="F2F2F2"/>
            <w:noWrap/>
            <w:vAlign w:val="center"/>
            <w:hideMark/>
          </w:tcPr>
          <w:p w14:paraId="6B1232C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24%</w:t>
            </w:r>
          </w:p>
        </w:tc>
        <w:tc>
          <w:tcPr>
            <w:tcW w:w="1200" w:type="dxa"/>
            <w:tcBorders>
              <w:top w:val="nil"/>
              <w:left w:val="nil"/>
              <w:bottom w:val="single" w:sz="4" w:space="0" w:color="BFBFBF"/>
              <w:right w:val="single" w:sz="4" w:space="0" w:color="auto"/>
            </w:tcBorders>
            <w:shd w:val="clear" w:color="000000" w:fill="F2F2F2"/>
            <w:noWrap/>
            <w:vAlign w:val="center"/>
            <w:hideMark/>
          </w:tcPr>
          <w:p w14:paraId="3433ADE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24%</w:t>
            </w:r>
          </w:p>
        </w:tc>
      </w:tr>
      <w:tr w:rsidR="0040622D" w:rsidRPr="0040622D" w14:paraId="3A245242"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5F5DEC8C"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65 to 74</w:t>
            </w:r>
          </w:p>
        </w:tc>
        <w:tc>
          <w:tcPr>
            <w:tcW w:w="1199" w:type="dxa"/>
            <w:tcBorders>
              <w:top w:val="nil"/>
              <w:left w:val="single" w:sz="4" w:space="0" w:color="auto"/>
              <w:bottom w:val="single" w:sz="4" w:space="0" w:color="BFBFBF"/>
              <w:right w:val="single" w:sz="4" w:space="0" w:color="auto"/>
            </w:tcBorders>
            <w:noWrap/>
            <w:vAlign w:val="center"/>
            <w:hideMark/>
          </w:tcPr>
          <w:p w14:paraId="3148AC2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19%</w:t>
            </w:r>
          </w:p>
        </w:tc>
        <w:tc>
          <w:tcPr>
            <w:tcW w:w="1199" w:type="dxa"/>
            <w:tcBorders>
              <w:top w:val="nil"/>
              <w:left w:val="single" w:sz="4" w:space="0" w:color="auto"/>
              <w:bottom w:val="single" w:sz="4" w:space="0" w:color="BFBFBF"/>
              <w:right w:val="single" w:sz="4" w:space="0" w:color="BFBFBF"/>
            </w:tcBorders>
            <w:noWrap/>
            <w:vAlign w:val="center"/>
            <w:hideMark/>
          </w:tcPr>
          <w:p w14:paraId="4C00055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c>
          <w:tcPr>
            <w:tcW w:w="1199" w:type="dxa"/>
            <w:tcBorders>
              <w:top w:val="nil"/>
              <w:left w:val="nil"/>
              <w:bottom w:val="single" w:sz="4" w:space="0" w:color="BFBFBF"/>
              <w:right w:val="single" w:sz="4" w:space="0" w:color="BFBFBF"/>
            </w:tcBorders>
            <w:noWrap/>
            <w:vAlign w:val="center"/>
            <w:hideMark/>
          </w:tcPr>
          <w:p w14:paraId="37DAB466"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c>
          <w:tcPr>
            <w:tcW w:w="1199" w:type="dxa"/>
            <w:tcBorders>
              <w:top w:val="nil"/>
              <w:left w:val="nil"/>
              <w:bottom w:val="single" w:sz="4" w:space="0" w:color="BFBFBF"/>
              <w:right w:val="single" w:sz="4" w:space="0" w:color="BFBFBF"/>
            </w:tcBorders>
            <w:noWrap/>
            <w:vAlign w:val="center"/>
            <w:hideMark/>
          </w:tcPr>
          <w:p w14:paraId="5C47914F"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19%</w:t>
            </w:r>
          </w:p>
        </w:tc>
        <w:tc>
          <w:tcPr>
            <w:tcW w:w="1199" w:type="dxa"/>
            <w:tcBorders>
              <w:top w:val="nil"/>
              <w:left w:val="nil"/>
              <w:bottom w:val="single" w:sz="4" w:space="0" w:color="BFBFBF"/>
              <w:right w:val="single" w:sz="4" w:space="0" w:color="BFBFBF"/>
            </w:tcBorders>
            <w:noWrap/>
            <w:vAlign w:val="center"/>
            <w:hideMark/>
          </w:tcPr>
          <w:p w14:paraId="409E5EE3"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1200" w:type="dxa"/>
            <w:tcBorders>
              <w:top w:val="nil"/>
              <w:left w:val="nil"/>
              <w:bottom w:val="single" w:sz="4" w:space="0" w:color="BFBFBF"/>
              <w:right w:val="single" w:sz="4" w:space="0" w:color="auto"/>
            </w:tcBorders>
            <w:noWrap/>
            <w:vAlign w:val="center"/>
            <w:hideMark/>
          </w:tcPr>
          <w:p w14:paraId="16AB067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r>
      <w:tr w:rsidR="0040622D" w:rsidRPr="0040622D" w14:paraId="21EDE88D"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1E7482F3"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75 to 84</w:t>
            </w:r>
          </w:p>
        </w:tc>
        <w:tc>
          <w:tcPr>
            <w:tcW w:w="1199" w:type="dxa"/>
            <w:tcBorders>
              <w:top w:val="nil"/>
              <w:left w:val="single" w:sz="4" w:space="0" w:color="auto"/>
              <w:bottom w:val="single" w:sz="4" w:space="0" w:color="BFBFBF"/>
              <w:right w:val="single" w:sz="4" w:space="0" w:color="auto"/>
            </w:tcBorders>
            <w:shd w:val="clear" w:color="000000" w:fill="F2F2F2"/>
            <w:noWrap/>
            <w:vAlign w:val="center"/>
            <w:hideMark/>
          </w:tcPr>
          <w:p w14:paraId="76D0570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31A69A1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199" w:type="dxa"/>
            <w:tcBorders>
              <w:top w:val="nil"/>
              <w:left w:val="nil"/>
              <w:bottom w:val="single" w:sz="4" w:space="0" w:color="BFBFBF"/>
              <w:right w:val="single" w:sz="4" w:space="0" w:color="BFBFBF"/>
            </w:tcBorders>
            <w:shd w:val="clear" w:color="000000" w:fill="F2F2F2"/>
            <w:noWrap/>
            <w:vAlign w:val="center"/>
            <w:hideMark/>
          </w:tcPr>
          <w:p w14:paraId="5F71CD8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w:t>
            </w:r>
          </w:p>
        </w:tc>
        <w:tc>
          <w:tcPr>
            <w:tcW w:w="1199" w:type="dxa"/>
            <w:tcBorders>
              <w:top w:val="nil"/>
              <w:left w:val="nil"/>
              <w:bottom w:val="single" w:sz="4" w:space="0" w:color="BFBFBF"/>
              <w:right w:val="single" w:sz="4" w:space="0" w:color="BFBFBF"/>
            </w:tcBorders>
            <w:shd w:val="clear" w:color="000000" w:fill="F2F2F2"/>
            <w:noWrap/>
            <w:vAlign w:val="center"/>
            <w:hideMark/>
          </w:tcPr>
          <w:p w14:paraId="2BE5985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w:t>
            </w:r>
          </w:p>
        </w:tc>
        <w:tc>
          <w:tcPr>
            <w:tcW w:w="1199" w:type="dxa"/>
            <w:tcBorders>
              <w:top w:val="nil"/>
              <w:left w:val="nil"/>
              <w:bottom w:val="single" w:sz="4" w:space="0" w:color="BFBFBF"/>
              <w:right w:val="single" w:sz="4" w:space="0" w:color="BFBFBF"/>
            </w:tcBorders>
            <w:shd w:val="clear" w:color="000000" w:fill="F2F2F2"/>
            <w:noWrap/>
            <w:vAlign w:val="center"/>
            <w:hideMark/>
          </w:tcPr>
          <w:p w14:paraId="2212309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00" w:type="dxa"/>
            <w:tcBorders>
              <w:top w:val="nil"/>
              <w:left w:val="nil"/>
              <w:bottom w:val="single" w:sz="4" w:space="0" w:color="BFBFBF"/>
              <w:right w:val="single" w:sz="4" w:space="0" w:color="auto"/>
            </w:tcBorders>
            <w:shd w:val="clear" w:color="000000" w:fill="F2F2F2"/>
            <w:noWrap/>
            <w:vAlign w:val="center"/>
            <w:hideMark/>
          </w:tcPr>
          <w:p w14:paraId="2EDE519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40622D" w:rsidRPr="0040622D" w14:paraId="7E5DCE53" w14:textId="77777777" w:rsidTr="00CA4B7B">
        <w:trPr>
          <w:trHeight w:val="402"/>
        </w:trPr>
        <w:tc>
          <w:tcPr>
            <w:tcW w:w="2160" w:type="dxa"/>
            <w:tcBorders>
              <w:top w:val="nil"/>
              <w:left w:val="single" w:sz="4" w:space="0" w:color="auto"/>
              <w:bottom w:val="single" w:sz="4" w:space="0" w:color="auto"/>
              <w:right w:val="nil"/>
            </w:tcBorders>
            <w:noWrap/>
            <w:vAlign w:val="center"/>
            <w:hideMark/>
          </w:tcPr>
          <w:p w14:paraId="3EFF2E02"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85+</w:t>
            </w:r>
          </w:p>
        </w:tc>
        <w:tc>
          <w:tcPr>
            <w:tcW w:w="1199" w:type="dxa"/>
            <w:tcBorders>
              <w:top w:val="nil"/>
              <w:left w:val="single" w:sz="4" w:space="0" w:color="auto"/>
              <w:bottom w:val="single" w:sz="4" w:space="0" w:color="auto"/>
              <w:right w:val="single" w:sz="4" w:space="0" w:color="auto"/>
            </w:tcBorders>
            <w:noWrap/>
            <w:vAlign w:val="center"/>
            <w:hideMark/>
          </w:tcPr>
          <w:p w14:paraId="5E94D2D3"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199" w:type="dxa"/>
            <w:tcBorders>
              <w:top w:val="nil"/>
              <w:left w:val="single" w:sz="4" w:space="0" w:color="auto"/>
              <w:bottom w:val="single" w:sz="4" w:space="0" w:color="auto"/>
              <w:right w:val="single" w:sz="4" w:space="0" w:color="BFBFBF"/>
            </w:tcBorders>
            <w:noWrap/>
            <w:vAlign w:val="center"/>
            <w:hideMark/>
          </w:tcPr>
          <w:p w14:paraId="0E68C92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199" w:type="dxa"/>
            <w:tcBorders>
              <w:top w:val="nil"/>
              <w:left w:val="nil"/>
              <w:bottom w:val="single" w:sz="4" w:space="0" w:color="auto"/>
              <w:right w:val="single" w:sz="4" w:space="0" w:color="BFBFBF"/>
            </w:tcBorders>
            <w:noWrap/>
            <w:vAlign w:val="center"/>
            <w:hideMark/>
          </w:tcPr>
          <w:p w14:paraId="64FA01EF"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99" w:type="dxa"/>
            <w:tcBorders>
              <w:top w:val="nil"/>
              <w:left w:val="nil"/>
              <w:bottom w:val="single" w:sz="4" w:space="0" w:color="auto"/>
              <w:right w:val="single" w:sz="4" w:space="0" w:color="BFBFBF"/>
            </w:tcBorders>
            <w:noWrap/>
            <w:vAlign w:val="center"/>
            <w:hideMark/>
          </w:tcPr>
          <w:p w14:paraId="6629181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199" w:type="dxa"/>
            <w:tcBorders>
              <w:top w:val="nil"/>
              <w:left w:val="nil"/>
              <w:bottom w:val="single" w:sz="4" w:space="0" w:color="auto"/>
              <w:right w:val="single" w:sz="4" w:space="0" w:color="BFBFBF"/>
            </w:tcBorders>
            <w:noWrap/>
            <w:vAlign w:val="center"/>
            <w:hideMark/>
          </w:tcPr>
          <w:p w14:paraId="518D5A1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00" w:type="dxa"/>
            <w:tcBorders>
              <w:top w:val="nil"/>
              <w:left w:val="nil"/>
              <w:bottom w:val="single" w:sz="4" w:space="0" w:color="auto"/>
              <w:right w:val="single" w:sz="4" w:space="0" w:color="auto"/>
            </w:tcBorders>
            <w:noWrap/>
            <w:vAlign w:val="center"/>
            <w:hideMark/>
          </w:tcPr>
          <w:p w14:paraId="36C6A96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40622D" w:rsidRPr="0040622D" w14:paraId="69084F16" w14:textId="77777777" w:rsidTr="00832A6A">
        <w:trPr>
          <w:trHeight w:val="402"/>
        </w:trPr>
        <w:tc>
          <w:tcPr>
            <w:tcW w:w="9355" w:type="dxa"/>
            <w:gridSpan w:val="7"/>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817EDBE" w14:textId="2A92F99E"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Census family household type </w:t>
            </w:r>
          </w:p>
        </w:tc>
      </w:tr>
      <w:tr w:rsidR="0040622D" w:rsidRPr="0040622D" w14:paraId="05820CD9"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7ECF009D"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Couple w/o child(ren)</w:t>
            </w:r>
          </w:p>
        </w:tc>
        <w:tc>
          <w:tcPr>
            <w:tcW w:w="1199" w:type="dxa"/>
            <w:tcBorders>
              <w:top w:val="single" w:sz="4" w:space="0" w:color="auto"/>
              <w:left w:val="single" w:sz="4" w:space="0" w:color="auto"/>
              <w:bottom w:val="single" w:sz="4" w:space="0" w:color="BFBFBF"/>
              <w:right w:val="single" w:sz="4" w:space="0" w:color="auto"/>
            </w:tcBorders>
            <w:shd w:val="clear" w:color="000000" w:fill="F2F2F2"/>
            <w:noWrap/>
            <w:vAlign w:val="center"/>
            <w:hideMark/>
          </w:tcPr>
          <w:p w14:paraId="6657906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484AB12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1199" w:type="dxa"/>
            <w:tcBorders>
              <w:top w:val="nil"/>
              <w:left w:val="nil"/>
              <w:bottom w:val="single" w:sz="4" w:space="0" w:color="BFBFBF"/>
              <w:right w:val="single" w:sz="4" w:space="0" w:color="BFBFBF"/>
            </w:tcBorders>
            <w:shd w:val="clear" w:color="000000" w:fill="F2F2F2"/>
            <w:noWrap/>
            <w:vAlign w:val="center"/>
            <w:hideMark/>
          </w:tcPr>
          <w:p w14:paraId="747A1B4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1199" w:type="dxa"/>
            <w:tcBorders>
              <w:top w:val="nil"/>
              <w:left w:val="nil"/>
              <w:bottom w:val="single" w:sz="4" w:space="0" w:color="BFBFBF"/>
              <w:right w:val="single" w:sz="4" w:space="0" w:color="BFBFBF"/>
            </w:tcBorders>
            <w:shd w:val="clear" w:color="000000" w:fill="F2F2F2"/>
            <w:noWrap/>
            <w:vAlign w:val="center"/>
            <w:hideMark/>
          </w:tcPr>
          <w:p w14:paraId="0B762A6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w:t>
            </w:r>
          </w:p>
        </w:tc>
        <w:tc>
          <w:tcPr>
            <w:tcW w:w="1199" w:type="dxa"/>
            <w:tcBorders>
              <w:top w:val="nil"/>
              <w:left w:val="nil"/>
              <w:bottom w:val="single" w:sz="4" w:space="0" w:color="BFBFBF"/>
              <w:right w:val="single" w:sz="4" w:space="0" w:color="BFBFBF"/>
            </w:tcBorders>
            <w:shd w:val="clear" w:color="000000" w:fill="F2F2F2"/>
            <w:noWrap/>
            <w:vAlign w:val="center"/>
            <w:hideMark/>
          </w:tcPr>
          <w:p w14:paraId="4F4635C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w:t>
            </w:r>
          </w:p>
        </w:tc>
        <w:tc>
          <w:tcPr>
            <w:tcW w:w="1200" w:type="dxa"/>
            <w:tcBorders>
              <w:top w:val="nil"/>
              <w:left w:val="nil"/>
              <w:bottom w:val="single" w:sz="4" w:space="0" w:color="BFBFBF"/>
              <w:right w:val="single" w:sz="4" w:space="0" w:color="auto"/>
            </w:tcBorders>
            <w:shd w:val="clear" w:color="000000" w:fill="F2F2F2"/>
            <w:noWrap/>
            <w:vAlign w:val="center"/>
            <w:hideMark/>
          </w:tcPr>
          <w:p w14:paraId="538A8E4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r>
      <w:tr w:rsidR="0040622D" w:rsidRPr="0040622D" w14:paraId="524E0F9F"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69339162"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Couple w/ child(ren)</w:t>
            </w:r>
          </w:p>
        </w:tc>
        <w:tc>
          <w:tcPr>
            <w:tcW w:w="1199" w:type="dxa"/>
            <w:tcBorders>
              <w:top w:val="nil"/>
              <w:left w:val="single" w:sz="4" w:space="0" w:color="auto"/>
              <w:bottom w:val="single" w:sz="4" w:space="0" w:color="BFBFBF"/>
              <w:right w:val="single" w:sz="4" w:space="0" w:color="auto"/>
            </w:tcBorders>
            <w:noWrap/>
            <w:vAlign w:val="center"/>
            <w:hideMark/>
          </w:tcPr>
          <w:p w14:paraId="7A5D516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24%</w:t>
            </w:r>
          </w:p>
        </w:tc>
        <w:tc>
          <w:tcPr>
            <w:tcW w:w="1199" w:type="dxa"/>
            <w:tcBorders>
              <w:top w:val="nil"/>
              <w:left w:val="single" w:sz="4" w:space="0" w:color="auto"/>
              <w:bottom w:val="single" w:sz="4" w:space="0" w:color="BFBFBF"/>
              <w:right w:val="single" w:sz="4" w:space="0" w:color="BFBFBF"/>
            </w:tcBorders>
            <w:noWrap/>
            <w:vAlign w:val="center"/>
            <w:hideMark/>
          </w:tcPr>
          <w:p w14:paraId="6909302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1199" w:type="dxa"/>
            <w:tcBorders>
              <w:top w:val="nil"/>
              <w:left w:val="nil"/>
              <w:bottom w:val="single" w:sz="4" w:space="0" w:color="BFBFBF"/>
              <w:right w:val="single" w:sz="4" w:space="0" w:color="BFBFBF"/>
            </w:tcBorders>
            <w:noWrap/>
            <w:vAlign w:val="center"/>
            <w:hideMark/>
          </w:tcPr>
          <w:p w14:paraId="2089A163"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c>
          <w:tcPr>
            <w:tcW w:w="1199" w:type="dxa"/>
            <w:tcBorders>
              <w:top w:val="nil"/>
              <w:left w:val="nil"/>
              <w:bottom w:val="single" w:sz="4" w:space="0" w:color="BFBFBF"/>
              <w:right w:val="single" w:sz="4" w:space="0" w:color="BFBFBF"/>
            </w:tcBorders>
            <w:noWrap/>
            <w:vAlign w:val="center"/>
            <w:hideMark/>
          </w:tcPr>
          <w:p w14:paraId="5B011C8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w:t>
            </w:r>
          </w:p>
        </w:tc>
        <w:tc>
          <w:tcPr>
            <w:tcW w:w="1199" w:type="dxa"/>
            <w:tcBorders>
              <w:top w:val="nil"/>
              <w:left w:val="nil"/>
              <w:bottom w:val="single" w:sz="4" w:space="0" w:color="BFBFBF"/>
              <w:right w:val="single" w:sz="4" w:space="0" w:color="BFBFBF"/>
            </w:tcBorders>
            <w:noWrap/>
            <w:vAlign w:val="center"/>
            <w:hideMark/>
          </w:tcPr>
          <w:p w14:paraId="54B0E89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1200" w:type="dxa"/>
            <w:tcBorders>
              <w:top w:val="nil"/>
              <w:left w:val="nil"/>
              <w:bottom w:val="single" w:sz="4" w:space="0" w:color="BFBFBF"/>
              <w:right w:val="single" w:sz="4" w:space="0" w:color="auto"/>
            </w:tcBorders>
            <w:noWrap/>
            <w:vAlign w:val="center"/>
            <w:hideMark/>
          </w:tcPr>
          <w:p w14:paraId="21D70E5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w:t>
            </w:r>
          </w:p>
        </w:tc>
      </w:tr>
      <w:tr w:rsidR="0040622D" w:rsidRPr="0040622D" w14:paraId="0A255D10"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17BA35CF"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Lone parent</w:t>
            </w:r>
          </w:p>
        </w:tc>
        <w:tc>
          <w:tcPr>
            <w:tcW w:w="1199" w:type="dxa"/>
            <w:tcBorders>
              <w:top w:val="nil"/>
              <w:left w:val="single" w:sz="4" w:space="0" w:color="auto"/>
              <w:bottom w:val="single" w:sz="4" w:space="0" w:color="BFBFBF"/>
              <w:right w:val="single" w:sz="4" w:space="0" w:color="auto"/>
            </w:tcBorders>
            <w:shd w:val="clear" w:color="000000" w:fill="F2F2F2"/>
            <w:noWrap/>
            <w:vAlign w:val="center"/>
            <w:hideMark/>
          </w:tcPr>
          <w:p w14:paraId="5DAF010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1DC6E6D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199" w:type="dxa"/>
            <w:tcBorders>
              <w:top w:val="nil"/>
              <w:left w:val="nil"/>
              <w:bottom w:val="single" w:sz="4" w:space="0" w:color="BFBFBF"/>
              <w:right w:val="single" w:sz="4" w:space="0" w:color="BFBFBF"/>
            </w:tcBorders>
            <w:shd w:val="clear" w:color="000000" w:fill="F2F2F2"/>
            <w:noWrap/>
            <w:vAlign w:val="center"/>
            <w:hideMark/>
          </w:tcPr>
          <w:p w14:paraId="7292D7F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199" w:type="dxa"/>
            <w:tcBorders>
              <w:top w:val="nil"/>
              <w:left w:val="nil"/>
              <w:bottom w:val="single" w:sz="4" w:space="0" w:color="BFBFBF"/>
              <w:right w:val="single" w:sz="4" w:space="0" w:color="BFBFBF"/>
            </w:tcBorders>
            <w:shd w:val="clear" w:color="000000" w:fill="F2F2F2"/>
            <w:noWrap/>
            <w:vAlign w:val="center"/>
            <w:hideMark/>
          </w:tcPr>
          <w:p w14:paraId="0674F7D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1199" w:type="dxa"/>
            <w:tcBorders>
              <w:top w:val="nil"/>
              <w:left w:val="nil"/>
              <w:bottom w:val="single" w:sz="4" w:space="0" w:color="BFBFBF"/>
              <w:right w:val="single" w:sz="4" w:space="0" w:color="BFBFBF"/>
            </w:tcBorders>
            <w:shd w:val="clear" w:color="000000" w:fill="F2F2F2"/>
            <w:noWrap/>
            <w:vAlign w:val="center"/>
            <w:hideMark/>
          </w:tcPr>
          <w:p w14:paraId="5055323F"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1200" w:type="dxa"/>
            <w:tcBorders>
              <w:top w:val="nil"/>
              <w:left w:val="nil"/>
              <w:bottom w:val="single" w:sz="4" w:space="0" w:color="BFBFBF"/>
              <w:right w:val="single" w:sz="4" w:space="0" w:color="auto"/>
            </w:tcBorders>
            <w:shd w:val="clear" w:color="000000" w:fill="F2F2F2"/>
            <w:noWrap/>
            <w:vAlign w:val="center"/>
            <w:hideMark/>
          </w:tcPr>
          <w:p w14:paraId="6F7582BC"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r>
      <w:tr w:rsidR="0040622D" w:rsidRPr="0040622D" w14:paraId="4DE2CD52"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566FDE8A"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Other census family</w:t>
            </w:r>
          </w:p>
        </w:tc>
        <w:tc>
          <w:tcPr>
            <w:tcW w:w="1199" w:type="dxa"/>
            <w:tcBorders>
              <w:top w:val="nil"/>
              <w:left w:val="single" w:sz="4" w:space="0" w:color="auto"/>
              <w:bottom w:val="single" w:sz="4" w:space="0" w:color="BFBFBF"/>
              <w:right w:val="single" w:sz="4" w:space="0" w:color="auto"/>
            </w:tcBorders>
            <w:noWrap/>
            <w:vAlign w:val="center"/>
            <w:hideMark/>
          </w:tcPr>
          <w:p w14:paraId="1CB94906"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99" w:type="dxa"/>
            <w:tcBorders>
              <w:top w:val="nil"/>
              <w:left w:val="single" w:sz="4" w:space="0" w:color="auto"/>
              <w:bottom w:val="single" w:sz="4" w:space="0" w:color="BFBFBF"/>
              <w:right w:val="single" w:sz="4" w:space="0" w:color="BFBFBF"/>
            </w:tcBorders>
            <w:noWrap/>
            <w:vAlign w:val="center"/>
            <w:hideMark/>
          </w:tcPr>
          <w:p w14:paraId="0B332C7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99" w:type="dxa"/>
            <w:tcBorders>
              <w:top w:val="nil"/>
              <w:left w:val="nil"/>
              <w:bottom w:val="single" w:sz="4" w:space="0" w:color="BFBFBF"/>
              <w:right w:val="single" w:sz="4" w:space="0" w:color="BFBFBF"/>
            </w:tcBorders>
            <w:noWrap/>
            <w:vAlign w:val="center"/>
            <w:hideMark/>
          </w:tcPr>
          <w:p w14:paraId="453CCCE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99" w:type="dxa"/>
            <w:tcBorders>
              <w:top w:val="nil"/>
              <w:left w:val="nil"/>
              <w:bottom w:val="single" w:sz="4" w:space="0" w:color="BFBFBF"/>
              <w:right w:val="single" w:sz="4" w:space="0" w:color="BFBFBF"/>
            </w:tcBorders>
            <w:noWrap/>
            <w:vAlign w:val="center"/>
            <w:hideMark/>
          </w:tcPr>
          <w:p w14:paraId="488DC2A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99" w:type="dxa"/>
            <w:tcBorders>
              <w:top w:val="nil"/>
              <w:left w:val="nil"/>
              <w:bottom w:val="single" w:sz="4" w:space="0" w:color="BFBFBF"/>
              <w:right w:val="single" w:sz="4" w:space="0" w:color="BFBFBF"/>
            </w:tcBorders>
            <w:noWrap/>
            <w:vAlign w:val="center"/>
            <w:hideMark/>
          </w:tcPr>
          <w:p w14:paraId="0171BA3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200" w:type="dxa"/>
            <w:tcBorders>
              <w:top w:val="nil"/>
              <w:left w:val="nil"/>
              <w:bottom w:val="single" w:sz="4" w:space="0" w:color="BFBFBF"/>
              <w:right w:val="single" w:sz="4" w:space="0" w:color="auto"/>
            </w:tcBorders>
            <w:noWrap/>
            <w:vAlign w:val="center"/>
            <w:hideMark/>
          </w:tcPr>
          <w:p w14:paraId="0300B9C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r>
      <w:tr w:rsidR="0040622D" w:rsidRPr="0040622D" w14:paraId="28EBED5B" w14:textId="77777777" w:rsidTr="00CA4B7B">
        <w:trPr>
          <w:trHeight w:val="402"/>
        </w:trPr>
        <w:tc>
          <w:tcPr>
            <w:tcW w:w="2160" w:type="dxa"/>
            <w:tcBorders>
              <w:top w:val="nil"/>
              <w:left w:val="single" w:sz="4" w:space="0" w:color="auto"/>
              <w:bottom w:val="single" w:sz="4" w:space="0" w:color="auto"/>
              <w:right w:val="nil"/>
            </w:tcBorders>
            <w:shd w:val="clear" w:color="000000" w:fill="F2F2F2"/>
            <w:noWrap/>
            <w:vAlign w:val="center"/>
            <w:hideMark/>
          </w:tcPr>
          <w:p w14:paraId="10EBAE93"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Non-census family</w:t>
            </w:r>
          </w:p>
        </w:tc>
        <w:tc>
          <w:tcPr>
            <w:tcW w:w="1199" w:type="dxa"/>
            <w:tcBorders>
              <w:top w:val="nil"/>
              <w:left w:val="single" w:sz="4" w:space="0" w:color="auto"/>
              <w:bottom w:val="single" w:sz="4" w:space="0" w:color="auto"/>
              <w:right w:val="single" w:sz="4" w:space="0" w:color="auto"/>
            </w:tcBorders>
            <w:shd w:val="clear" w:color="000000" w:fill="F2F2F2"/>
            <w:noWrap/>
            <w:vAlign w:val="center"/>
            <w:hideMark/>
          </w:tcPr>
          <w:p w14:paraId="3C94F83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34%</w:t>
            </w:r>
          </w:p>
        </w:tc>
        <w:tc>
          <w:tcPr>
            <w:tcW w:w="1199" w:type="dxa"/>
            <w:tcBorders>
              <w:top w:val="nil"/>
              <w:left w:val="single" w:sz="4" w:space="0" w:color="auto"/>
              <w:bottom w:val="single" w:sz="4" w:space="0" w:color="auto"/>
              <w:right w:val="single" w:sz="4" w:space="0" w:color="BFBFBF"/>
            </w:tcBorders>
            <w:shd w:val="clear" w:color="000000" w:fill="F2F2F2"/>
            <w:noWrap/>
            <w:vAlign w:val="center"/>
            <w:hideMark/>
          </w:tcPr>
          <w:p w14:paraId="3A036CB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41%</w:t>
            </w:r>
          </w:p>
        </w:tc>
        <w:tc>
          <w:tcPr>
            <w:tcW w:w="1199" w:type="dxa"/>
            <w:tcBorders>
              <w:top w:val="nil"/>
              <w:left w:val="nil"/>
              <w:bottom w:val="single" w:sz="4" w:space="0" w:color="auto"/>
              <w:right w:val="single" w:sz="4" w:space="0" w:color="BFBFBF"/>
            </w:tcBorders>
            <w:shd w:val="clear" w:color="000000" w:fill="F2F2F2"/>
            <w:noWrap/>
            <w:vAlign w:val="center"/>
            <w:hideMark/>
          </w:tcPr>
          <w:p w14:paraId="306F53D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37%</w:t>
            </w:r>
          </w:p>
        </w:tc>
        <w:tc>
          <w:tcPr>
            <w:tcW w:w="1199" w:type="dxa"/>
            <w:tcBorders>
              <w:top w:val="nil"/>
              <w:left w:val="nil"/>
              <w:bottom w:val="single" w:sz="4" w:space="0" w:color="auto"/>
              <w:right w:val="single" w:sz="4" w:space="0" w:color="BFBFBF"/>
            </w:tcBorders>
            <w:shd w:val="clear" w:color="000000" w:fill="F2F2F2"/>
            <w:noWrap/>
            <w:vAlign w:val="center"/>
            <w:hideMark/>
          </w:tcPr>
          <w:p w14:paraId="39EF6BD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1199" w:type="dxa"/>
            <w:tcBorders>
              <w:top w:val="nil"/>
              <w:left w:val="nil"/>
              <w:bottom w:val="single" w:sz="4" w:space="0" w:color="auto"/>
              <w:right w:val="single" w:sz="4" w:space="0" w:color="BFBFBF"/>
            </w:tcBorders>
            <w:shd w:val="clear" w:color="000000" w:fill="F2F2F2"/>
            <w:noWrap/>
            <w:vAlign w:val="center"/>
            <w:hideMark/>
          </w:tcPr>
          <w:p w14:paraId="3109EF8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1200" w:type="dxa"/>
            <w:tcBorders>
              <w:top w:val="nil"/>
              <w:left w:val="nil"/>
              <w:bottom w:val="single" w:sz="4" w:space="0" w:color="auto"/>
              <w:right w:val="single" w:sz="4" w:space="0" w:color="auto"/>
            </w:tcBorders>
            <w:shd w:val="clear" w:color="000000" w:fill="F2F2F2"/>
            <w:noWrap/>
            <w:vAlign w:val="center"/>
            <w:hideMark/>
          </w:tcPr>
          <w:p w14:paraId="6537CE22"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r>
      <w:tr w:rsidR="0040622D" w:rsidRPr="0040622D" w14:paraId="5E917986" w14:textId="77777777" w:rsidTr="009C3F80">
        <w:trPr>
          <w:trHeight w:val="402"/>
        </w:trPr>
        <w:tc>
          <w:tcPr>
            <w:tcW w:w="9355" w:type="dxa"/>
            <w:gridSpan w:val="7"/>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7701EB" w14:textId="62221A6D"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Household size</w:t>
            </w:r>
          </w:p>
        </w:tc>
      </w:tr>
      <w:tr w:rsidR="0040622D" w:rsidRPr="0040622D" w14:paraId="56102FEE"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0DEFEBC4"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1 person</w:t>
            </w:r>
          </w:p>
        </w:tc>
        <w:tc>
          <w:tcPr>
            <w:tcW w:w="1199" w:type="dxa"/>
            <w:tcBorders>
              <w:top w:val="single" w:sz="4" w:space="0" w:color="auto"/>
              <w:left w:val="single" w:sz="4" w:space="0" w:color="auto"/>
              <w:bottom w:val="single" w:sz="4" w:space="0" w:color="BFBFBF"/>
              <w:right w:val="single" w:sz="4" w:space="0" w:color="auto"/>
            </w:tcBorders>
            <w:shd w:val="clear" w:color="000000" w:fill="F2F2F2"/>
            <w:noWrap/>
            <w:vAlign w:val="center"/>
            <w:hideMark/>
          </w:tcPr>
          <w:p w14:paraId="483468C3"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1DA3E146"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33%</w:t>
            </w:r>
          </w:p>
        </w:tc>
        <w:tc>
          <w:tcPr>
            <w:tcW w:w="1199" w:type="dxa"/>
            <w:tcBorders>
              <w:top w:val="nil"/>
              <w:left w:val="nil"/>
              <w:bottom w:val="single" w:sz="4" w:space="0" w:color="BFBFBF"/>
              <w:right w:val="single" w:sz="4" w:space="0" w:color="BFBFBF"/>
            </w:tcBorders>
            <w:shd w:val="clear" w:color="000000" w:fill="F2F2F2"/>
            <w:noWrap/>
            <w:vAlign w:val="center"/>
            <w:hideMark/>
          </w:tcPr>
          <w:p w14:paraId="33060B8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32%</w:t>
            </w:r>
          </w:p>
        </w:tc>
        <w:tc>
          <w:tcPr>
            <w:tcW w:w="1199" w:type="dxa"/>
            <w:tcBorders>
              <w:top w:val="nil"/>
              <w:left w:val="nil"/>
              <w:bottom w:val="single" w:sz="4" w:space="0" w:color="BFBFBF"/>
              <w:right w:val="single" w:sz="4" w:space="0" w:color="BFBFBF"/>
            </w:tcBorders>
            <w:shd w:val="clear" w:color="000000" w:fill="F2F2F2"/>
            <w:noWrap/>
            <w:vAlign w:val="center"/>
            <w:hideMark/>
          </w:tcPr>
          <w:p w14:paraId="09F41BDF"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c>
          <w:tcPr>
            <w:tcW w:w="1199" w:type="dxa"/>
            <w:tcBorders>
              <w:top w:val="nil"/>
              <w:left w:val="nil"/>
              <w:bottom w:val="single" w:sz="4" w:space="0" w:color="BFBFBF"/>
              <w:right w:val="single" w:sz="4" w:space="0" w:color="BFBFBF"/>
            </w:tcBorders>
            <w:shd w:val="clear" w:color="000000" w:fill="F2F2F2"/>
            <w:noWrap/>
            <w:vAlign w:val="center"/>
            <w:hideMark/>
          </w:tcPr>
          <w:p w14:paraId="74DE02D7"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1200" w:type="dxa"/>
            <w:tcBorders>
              <w:top w:val="nil"/>
              <w:left w:val="nil"/>
              <w:bottom w:val="single" w:sz="4" w:space="0" w:color="BFBFBF"/>
              <w:right w:val="single" w:sz="4" w:space="0" w:color="auto"/>
            </w:tcBorders>
            <w:shd w:val="clear" w:color="000000" w:fill="F2F2F2"/>
            <w:noWrap/>
            <w:vAlign w:val="center"/>
            <w:hideMark/>
          </w:tcPr>
          <w:p w14:paraId="041FE13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24%</w:t>
            </w:r>
          </w:p>
        </w:tc>
      </w:tr>
      <w:tr w:rsidR="0040622D" w:rsidRPr="0040622D" w14:paraId="6A632A95"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460BB0B3"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2 persons</w:t>
            </w:r>
          </w:p>
        </w:tc>
        <w:tc>
          <w:tcPr>
            <w:tcW w:w="1199" w:type="dxa"/>
            <w:tcBorders>
              <w:top w:val="nil"/>
              <w:left w:val="single" w:sz="4" w:space="0" w:color="auto"/>
              <w:bottom w:val="single" w:sz="4" w:space="0" w:color="BFBFBF"/>
              <w:right w:val="single" w:sz="4" w:space="0" w:color="auto"/>
            </w:tcBorders>
            <w:noWrap/>
            <w:vAlign w:val="center"/>
            <w:hideMark/>
          </w:tcPr>
          <w:p w14:paraId="4986AAC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38%</w:t>
            </w:r>
          </w:p>
        </w:tc>
        <w:tc>
          <w:tcPr>
            <w:tcW w:w="1199" w:type="dxa"/>
            <w:tcBorders>
              <w:top w:val="nil"/>
              <w:left w:val="single" w:sz="4" w:space="0" w:color="auto"/>
              <w:bottom w:val="single" w:sz="4" w:space="0" w:color="BFBFBF"/>
              <w:right w:val="single" w:sz="4" w:space="0" w:color="BFBFBF"/>
            </w:tcBorders>
            <w:noWrap/>
            <w:vAlign w:val="center"/>
            <w:hideMark/>
          </w:tcPr>
          <w:p w14:paraId="4E536A4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w:t>
            </w:r>
          </w:p>
        </w:tc>
        <w:tc>
          <w:tcPr>
            <w:tcW w:w="1199" w:type="dxa"/>
            <w:tcBorders>
              <w:top w:val="nil"/>
              <w:left w:val="nil"/>
              <w:bottom w:val="single" w:sz="4" w:space="0" w:color="BFBFBF"/>
              <w:right w:val="single" w:sz="4" w:space="0" w:color="BFBFBF"/>
            </w:tcBorders>
            <w:noWrap/>
            <w:vAlign w:val="center"/>
            <w:hideMark/>
          </w:tcPr>
          <w:p w14:paraId="71208CD7"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37%</w:t>
            </w:r>
          </w:p>
        </w:tc>
        <w:tc>
          <w:tcPr>
            <w:tcW w:w="1199" w:type="dxa"/>
            <w:tcBorders>
              <w:top w:val="nil"/>
              <w:left w:val="nil"/>
              <w:bottom w:val="single" w:sz="4" w:space="0" w:color="BFBFBF"/>
              <w:right w:val="single" w:sz="4" w:space="0" w:color="BFBFBF"/>
            </w:tcBorders>
            <w:noWrap/>
            <w:vAlign w:val="center"/>
            <w:hideMark/>
          </w:tcPr>
          <w:p w14:paraId="08C801A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41%</w:t>
            </w:r>
          </w:p>
        </w:tc>
        <w:tc>
          <w:tcPr>
            <w:tcW w:w="1199" w:type="dxa"/>
            <w:tcBorders>
              <w:top w:val="nil"/>
              <w:left w:val="nil"/>
              <w:bottom w:val="single" w:sz="4" w:space="0" w:color="BFBFBF"/>
              <w:right w:val="single" w:sz="4" w:space="0" w:color="BFBFBF"/>
            </w:tcBorders>
            <w:noWrap/>
            <w:vAlign w:val="center"/>
            <w:hideMark/>
          </w:tcPr>
          <w:p w14:paraId="7BF42CB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42%</w:t>
            </w:r>
          </w:p>
        </w:tc>
        <w:tc>
          <w:tcPr>
            <w:tcW w:w="1200" w:type="dxa"/>
            <w:tcBorders>
              <w:top w:val="nil"/>
              <w:left w:val="nil"/>
              <w:bottom w:val="single" w:sz="4" w:space="0" w:color="BFBFBF"/>
              <w:right w:val="single" w:sz="4" w:space="0" w:color="auto"/>
            </w:tcBorders>
            <w:noWrap/>
            <w:vAlign w:val="center"/>
            <w:hideMark/>
          </w:tcPr>
          <w:p w14:paraId="616492DE"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w:t>
            </w:r>
          </w:p>
        </w:tc>
      </w:tr>
      <w:tr w:rsidR="0040622D" w:rsidRPr="0040622D" w14:paraId="29951849" w14:textId="77777777" w:rsidTr="00CA4B7B">
        <w:trPr>
          <w:trHeight w:val="402"/>
        </w:trPr>
        <w:tc>
          <w:tcPr>
            <w:tcW w:w="2160" w:type="dxa"/>
            <w:tcBorders>
              <w:top w:val="nil"/>
              <w:left w:val="single" w:sz="4" w:space="0" w:color="auto"/>
              <w:bottom w:val="single" w:sz="4" w:space="0" w:color="BFBFBF"/>
              <w:right w:val="nil"/>
            </w:tcBorders>
            <w:shd w:val="clear" w:color="000000" w:fill="F2F2F2"/>
            <w:noWrap/>
            <w:vAlign w:val="center"/>
            <w:hideMark/>
          </w:tcPr>
          <w:p w14:paraId="79659175"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3 persons</w:t>
            </w:r>
          </w:p>
        </w:tc>
        <w:tc>
          <w:tcPr>
            <w:tcW w:w="1199" w:type="dxa"/>
            <w:tcBorders>
              <w:top w:val="nil"/>
              <w:left w:val="single" w:sz="4" w:space="0" w:color="auto"/>
              <w:bottom w:val="single" w:sz="4" w:space="0" w:color="BFBFBF"/>
              <w:right w:val="single" w:sz="4" w:space="0" w:color="auto"/>
            </w:tcBorders>
            <w:shd w:val="clear" w:color="000000" w:fill="F2F2F2"/>
            <w:noWrap/>
            <w:vAlign w:val="center"/>
            <w:hideMark/>
          </w:tcPr>
          <w:p w14:paraId="488A34F5"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99" w:type="dxa"/>
            <w:tcBorders>
              <w:top w:val="nil"/>
              <w:left w:val="single" w:sz="4" w:space="0" w:color="auto"/>
              <w:bottom w:val="single" w:sz="4" w:space="0" w:color="BFBFBF"/>
              <w:right w:val="single" w:sz="4" w:space="0" w:color="BFBFBF"/>
            </w:tcBorders>
            <w:shd w:val="clear" w:color="000000" w:fill="F2F2F2"/>
            <w:noWrap/>
            <w:vAlign w:val="center"/>
            <w:hideMark/>
          </w:tcPr>
          <w:p w14:paraId="791E73C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1199" w:type="dxa"/>
            <w:tcBorders>
              <w:top w:val="nil"/>
              <w:left w:val="nil"/>
              <w:bottom w:val="single" w:sz="4" w:space="0" w:color="BFBFBF"/>
              <w:right w:val="single" w:sz="4" w:space="0" w:color="BFBFBF"/>
            </w:tcBorders>
            <w:shd w:val="clear" w:color="000000" w:fill="F2F2F2"/>
            <w:noWrap/>
            <w:vAlign w:val="center"/>
            <w:hideMark/>
          </w:tcPr>
          <w:p w14:paraId="204D15F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1199" w:type="dxa"/>
            <w:tcBorders>
              <w:top w:val="nil"/>
              <w:left w:val="nil"/>
              <w:bottom w:val="single" w:sz="4" w:space="0" w:color="BFBFBF"/>
              <w:right w:val="single" w:sz="4" w:space="0" w:color="BFBFBF"/>
            </w:tcBorders>
            <w:shd w:val="clear" w:color="000000" w:fill="F2F2F2"/>
            <w:noWrap/>
            <w:vAlign w:val="center"/>
            <w:hideMark/>
          </w:tcPr>
          <w:p w14:paraId="484FF80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16%</w:t>
            </w:r>
          </w:p>
        </w:tc>
        <w:tc>
          <w:tcPr>
            <w:tcW w:w="1199" w:type="dxa"/>
            <w:tcBorders>
              <w:top w:val="nil"/>
              <w:left w:val="nil"/>
              <w:bottom w:val="single" w:sz="4" w:space="0" w:color="BFBFBF"/>
              <w:right w:val="single" w:sz="4" w:space="0" w:color="BFBFBF"/>
            </w:tcBorders>
            <w:shd w:val="clear" w:color="000000" w:fill="F2F2F2"/>
            <w:noWrap/>
            <w:vAlign w:val="center"/>
            <w:hideMark/>
          </w:tcPr>
          <w:p w14:paraId="3EE9E0F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1200" w:type="dxa"/>
            <w:tcBorders>
              <w:top w:val="nil"/>
              <w:left w:val="nil"/>
              <w:bottom w:val="single" w:sz="4" w:space="0" w:color="BFBFBF"/>
              <w:right w:val="single" w:sz="4" w:space="0" w:color="auto"/>
            </w:tcBorders>
            <w:shd w:val="clear" w:color="000000" w:fill="F2F2F2"/>
            <w:noWrap/>
            <w:vAlign w:val="center"/>
            <w:hideMark/>
          </w:tcPr>
          <w:p w14:paraId="2D68D3E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r>
      <w:tr w:rsidR="0040622D" w:rsidRPr="0040622D" w14:paraId="0FAD56A4" w14:textId="77777777" w:rsidTr="00CA4B7B">
        <w:trPr>
          <w:trHeight w:val="402"/>
        </w:trPr>
        <w:tc>
          <w:tcPr>
            <w:tcW w:w="2160" w:type="dxa"/>
            <w:tcBorders>
              <w:top w:val="nil"/>
              <w:left w:val="single" w:sz="4" w:space="0" w:color="auto"/>
              <w:bottom w:val="single" w:sz="4" w:space="0" w:color="BFBFBF"/>
              <w:right w:val="nil"/>
            </w:tcBorders>
            <w:noWrap/>
            <w:vAlign w:val="center"/>
            <w:hideMark/>
          </w:tcPr>
          <w:p w14:paraId="57D16F2D"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4 persons</w:t>
            </w:r>
          </w:p>
        </w:tc>
        <w:tc>
          <w:tcPr>
            <w:tcW w:w="1199" w:type="dxa"/>
            <w:tcBorders>
              <w:top w:val="nil"/>
              <w:left w:val="single" w:sz="4" w:space="0" w:color="auto"/>
              <w:bottom w:val="single" w:sz="4" w:space="0" w:color="BFBFBF"/>
              <w:right w:val="single" w:sz="4" w:space="0" w:color="auto"/>
            </w:tcBorders>
            <w:noWrap/>
            <w:vAlign w:val="center"/>
            <w:hideMark/>
          </w:tcPr>
          <w:p w14:paraId="18A2F63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199" w:type="dxa"/>
            <w:tcBorders>
              <w:top w:val="nil"/>
              <w:left w:val="single" w:sz="4" w:space="0" w:color="auto"/>
              <w:bottom w:val="single" w:sz="4" w:space="0" w:color="BFBFBF"/>
              <w:right w:val="single" w:sz="4" w:space="0" w:color="BFBFBF"/>
            </w:tcBorders>
            <w:noWrap/>
            <w:vAlign w:val="center"/>
            <w:hideMark/>
          </w:tcPr>
          <w:p w14:paraId="3ECBEF1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199" w:type="dxa"/>
            <w:tcBorders>
              <w:top w:val="nil"/>
              <w:left w:val="nil"/>
              <w:bottom w:val="single" w:sz="4" w:space="0" w:color="BFBFBF"/>
              <w:right w:val="single" w:sz="4" w:space="0" w:color="BFBFBF"/>
            </w:tcBorders>
            <w:noWrap/>
            <w:vAlign w:val="center"/>
            <w:hideMark/>
          </w:tcPr>
          <w:p w14:paraId="30A0737D"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199" w:type="dxa"/>
            <w:tcBorders>
              <w:top w:val="nil"/>
              <w:left w:val="nil"/>
              <w:bottom w:val="single" w:sz="4" w:space="0" w:color="BFBFBF"/>
              <w:right w:val="single" w:sz="4" w:space="0" w:color="BFBFBF"/>
            </w:tcBorders>
            <w:noWrap/>
            <w:vAlign w:val="center"/>
            <w:hideMark/>
          </w:tcPr>
          <w:p w14:paraId="167B615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w:t>
            </w:r>
          </w:p>
        </w:tc>
        <w:tc>
          <w:tcPr>
            <w:tcW w:w="1199" w:type="dxa"/>
            <w:tcBorders>
              <w:top w:val="nil"/>
              <w:left w:val="nil"/>
              <w:bottom w:val="single" w:sz="4" w:space="0" w:color="BFBFBF"/>
              <w:right w:val="single" w:sz="4" w:space="0" w:color="BFBFBF"/>
            </w:tcBorders>
            <w:noWrap/>
            <w:vAlign w:val="center"/>
            <w:hideMark/>
          </w:tcPr>
          <w:p w14:paraId="16524C2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200" w:type="dxa"/>
            <w:tcBorders>
              <w:top w:val="nil"/>
              <w:left w:val="nil"/>
              <w:bottom w:val="single" w:sz="4" w:space="0" w:color="BFBFBF"/>
              <w:right w:val="single" w:sz="4" w:space="0" w:color="auto"/>
            </w:tcBorders>
            <w:noWrap/>
            <w:vAlign w:val="center"/>
            <w:hideMark/>
          </w:tcPr>
          <w:p w14:paraId="6E3F5BB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r>
      <w:tr w:rsidR="0040622D" w:rsidRPr="0040622D" w14:paraId="0762396B" w14:textId="77777777" w:rsidTr="00CA4B7B">
        <w:trPr>
          <w:trHeight w:val="402"/>
        </w:trPr>
        <w:tc>
          <w:tcPr>
            <w:tcW w:w="2160" w:type="dxa"/>
            <w:tcBorders>
              <w:top w:val="nil"/>
              <w:left w:val="single" w:sz="4" w:space="0" w:color="auto"/>
              <w:bottom w:val="nil"/>
              <w:right w:val="nil"/>
            </w:tcBorders>
            <w:shd w:val="clear" w:color="000000" w:fill="F2F2F2"/>
            <w:noWrap/>
            <w:vAlign w:val="center"/>
            <w:hideMark/>
          </w:tcPr>
          <w:p w14:paraId="07E1940B"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5+ person</w:t>
            </w:r>
          </w:p>
        </w:tc>
        <w:tc>
          <w:tcPr>
            <w:tcW w:w="1199" w:type="dxa"/>
            <w:tcBorders>
              <w:top w:val="nil"/>
              <w:left w:val="single" w:sz="4" w:space="0" w:color="auto"/>
              <w:bottom w:val="nil"/>
              <w:right w:val="single" w:sz="4" w:space="0" w:color="auto"/>
            </w:tcBorders>
            <w:shd w:val="clear" w:color="000000" w:fill="F2F2F2"/>
            <w:noWrap/>
            <w:vAlign w:val="center"/>
            <w:hideMark/>
          </w:tcPr>
          <w:p w14:paraId="73F921E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1199" w:type="dxa"/>
            <w:tcBorders>
              <w:top w:val="nil"/>
              <w:left w:val="single" w:sz="4" w:space="0" w:color="auto"/>
              <w:bottom w:val="nil"/>
              <w:right w:val="single" w:sz="4" w:space="0" w:color="BFBFBF"/>
            </w:tcBorders>
            <w:shd w:val="clear" w:color="000000" w:fill="F2F2F2"/>
            <w:noWrap/>
            <w:vAlign w:val="center"/>
            <w:hideMark/>
          </w:tcPr>
          <w:p w14:paraId="3796150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1199" w:type="dxa"/>
            <w:tcBorders>
              <w:top w:val="nil"/>
              <w:left w:val="nil"/>
              <w:bottom w:val="nil"/>
              <w:right w:val="single" w:sz="4" w:space="0" w:color="BFBFBF"/>
            </w:tcBorders>
            <w:shd w:val="clear" w:color="000000" w:fill="F2F2F2"/>
            <w:noWrap/>
            <w:vAlign w:val="center"/>
            <w:hideMark/>
          </w:tcPr>
          <w:p w14:paraId="13B06D8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1199" w:type="dxa"/>
            <w:tcBorders>
              <w:top w:val="nil"/>
              <w:left w:val="nil"/>
              <w:bottom w:val="nil"/>
              <w:right w:val="single" w:sz="4" w:space="0" w:color="BFBFBF"/>
            </w:tcBorders>
            <w:shd w:val="clear" w:color="000000" w:fill="F2F2F2"/>
            <w:noWrap/>
            <w:vAlign w:val="center"/>
            <w:hideMark/>
          </w:tcPr>
          <w:p w14:paraId="7265B2CB"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w:t>
            </w:r>
          </w:p>
        </w:tc>
        <w:tc>
          <w:tcPr>
            <w:tcW w:w="1199" w:type="dxa"/>
            <w:tcBorders>
              <w:top w:val="nil"/>
              <w:left w:val="nil"/>
              <w:bottom w:val="nil"/>
              <w:right w:val="single" w:sz="4" w:space="0" w:color="BFBFBF"/>
            </w:tcBorders>
            <w:shd w:val="clear" w:color="000000" w:fill="F2F2F2"/>
            <w:noWrap/>
            <w:vAlign w:val="center"/>
            <w:hideMark/>
          </w:tcPr>
          <w:p w14:paraId="42891A25"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1200" w:type="dxa"/>
            <w:tcBorders>
              <w:top w:val="nil"/>
              <w:left w:val="nil"/>
              <w:bottom w:val="nil"/>
              <w:right w:val="single" w:sz="4" w:space="0" w:color="auto"/>
            </w:tcBorders>
            <w:shd w:val="clear" w:color="000000" w:fill="F2F2F2"/>
            <w:noWrap/>
            <w:vAlign w:val="center"/>
            <w:hideMark/>
          </w:tcPr>
          <w:p w14:paraId="20BCD5C9"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r>
      <w:tr w:rsidR="0040622D" w:rsidRPr="0040622D" w14:paraId="3B123953" w14:textId="77777777" w:rsidTr="00CA4B7B">
        <w:trPr>
          <w:trHeight w:val="402"/>
        </w:trPr>
        <w:tc>
          <w:tcPr>
            <w:tcW w:w="2160" w:type="dxa"/>
            <w:tcBorders>
              <w:top w:val="single" w:sz="4" w:space="0" w:color="auto"/>
              <w:left w:val="single" w:sz="4" w:space="0" w:color="auto"/>
              <w:bottom w:val="single" w:sz="4" w:space="0" w:color="auto"/>
              <w:right w:val="nil"/>
            </w:tcBorders>
            <w:noWrap/>
            <w:vAlign w:val="center"/>
            <w:hideMark/>
          </w:tcPr>
          <w:p w14:paraId="5E417697" w14:textId="77777777" w:rsidR="0040622D" w:rsidRPr="0040622D" w:rsidRDefault="0040622D" w:rsidP="0040622D">
            <w:pPr>
              <w:spacing w:line="240" w:lineRule="auto"/>
              <w:jc w:val="left"/>
              <w:rPr>
                <w:rFonts w:eastAsia="Times New Roman" w:cs="Arial"/>
                <w:color w:val="0D0D0D"/>
                <w:kern w:val="0"/>
                <w:sz w:val="18"/>
                <w:szCs w:val="18"/>
                <w:lang w:eastAsia="en-CA"/>
                <w14:ligatures w14:val="none"/>
              </w:rPr>
            </w:pPr>
            <w:r w:rsidRPr="0040622D">
              <w:rPr>
                <w:rFonts w:eastAsia="Times New Roman" w:cs="Arial"/>
                <w:color w:val="0D0D0D"/>
                <w:kern w:val="0"/>
                <w:sz w:val="18"/>
                <w:szCs w:val="18"/>
                <w:lang w:eastAsia="en-CA"/>
                <w14:ligatures w14:val="none"/>
              </w:rPr>
              <w:t>Average household size</w:t>
            </w:r>
          </w:p>
        </w:tc>
        <w:tc>
          <w:tcPr>
            <w:tcW w:w="1199" w:type="dxa"/>
            <w:tcBorders>
              <w:top w:val="single" w:sz="4" w:space="0" w:color="auto"/>
              <w:left w:val="single" w:sz="4" w:space="0" w:color="auto"/>
              <w:bottom w:val="single" w:sz="4" w:space="0" w:color="auto"/>
              <w:right w:val="single" w:sz="4" w:space="0" w:color="auto"/>
            </w:tcBorders>
            <w:noWrap/>
            <w:vAlign w:val="center"/>
            <w:hideMark/>
          </w:tcPr>
          <w:p w14:paraId="106F6BF4"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w:t>
            </w:r>
          </w:p>
        </w:tc>
        <w:tc>
          <w:tcPr>
            <w:tcW w:w="1199" w:type="dxa"/>
            <w:tcBorders>
              <w:top w:val="single" w:sz="4" w:space="0" w:color="auto"/>
              <w:left w:val="single" w:sz="4" w:space="0" w:color="auto"/>
              <w:bottom w:val="single" w:sz="4" w:space="0" w:color="auto"/>
              <w:right w:val="single" w:sz="4" w:space="0" w:color="BFBFBF"/>
            </w:tcBorders>
            <w:noWrap/>
            <w:vAlign w:val="center"/>
            <w:hideMark/>
          </w:tcPr>
          <w:p w14:paraId="1D8D351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c>
          <w:tcPr>
            <w:tcW w:w="1199" w:type="dxa"/>
            <w:tcBorders>
              <w:top w:val="single" w:sz="4" w:space="0" w:color="auto"/>
              <w:left w:val="nil"/>
              <w:bottom w:val="single" w:sz="4" w:space="0" w:color="auto"/>
              <w:right w:val="single" w:sz="4" w:space="0" w:color="BFBFBF"/>
            </w:tcBorders>
            <w:noWrap/>
            <w:vAlign w:val="center"/>
            <w:hideMark/>
          </w:tcPr>
          <w:p w14:paraId="4D3AE888"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w:t>
            </w:r>
          </w:p>
        </w:tc>
        <w:tc>
          <w:tcPr>
            <w:tcW w:w="1199" w:type="dxa"/>
            <w:tcBorders>
              <w:top w:val="single" w:sz="4" w:space="0" w:color="auto"/>
              <w:left w:val="nil"/>
              <w:bottom w:val="single" w:sz="4" w:space="0" w:color="auto"/>
              <w:right w:val="single" w:sz="4" w:space="0" w:color="BFBFBF"/>
            </w:tcBorders>
            <w:noWrap/>
            <w:vAlign w:val="center"/>
            <w:hideMark/>
          </w:tcPr>
          <w:p w14:paraId="67F78B30"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1199" w:type="dxa"/>
            <w:tcBorders>
              <w:top w:val="single" w:sz="4" w:space="0" w:color="auto"/>
              <w:left w:val="nil"/>
              <w:bottom w:val="single" w:sz="4" w:space="0" w:color="auto"/>
              <w:right w:val="single" w:sz="4" w:space="0" w:color="BFBFBF"/>
            </w:tcBorders>
            <w:noWrap/>
            <w:vAlign w:val="center"/>
            <w:hideMark/>
          </w:tcPr>
          <w:p w14:paraId="1EA38BDA"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2.4</w:t>
            </w:r>
          </w:p>
        </w:tc>
        <w:tc>
          <w:tcPr>
            <w:tcW w:w="1200" w:type="dxa"/>
            <w:tcBorders>
              <w:top w:val="single" w:sz="4" w:space="0" w:color="auto"/>
              <w:left w:val="nil"/>
              <w:bottom w:val="single" w:sz="4" w:space="0" w:color="auto"/>
              <w:right w:val="single" w:sz="4" w:space="0" w:color="auto"/>
            </w:tcBorders>
            <w:noWrap/>
            <w:vAlign w:val="center"/>
            <w:hideMark/>
          </w:tcPr>
          <w:p w14:paraId="0338F4C1" w14:textId="77777777" w:rsidR="0040622D" w:rsidRPr="002E10EB" w:rsidRDefault="0040622D" w:rsidP="0040622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w:t>
            </w:r>
          </w:p>
        </w:tc>
      </w:tr>
    </w:tbl>
    <w:p w14:paraId="591F4C1D" w14:textId="68F1314C" w:rsidR="00716ABA" w:rsidRPr="00887119" w:rsidRDefault="00716ABA" w:rsidP="00E51967">
      <w:pPr>
        <w:pStyle w:val="Source"/>
      </w:pPr>
      <w:r w:rsidRPr="00887119">
        <w:t xml:space="preserve">Source: </w:t>
      </w:r>
      <w:r w:rsidR="00E51967" w:rsidRPr="00887119">
        <w:t xml:space="preserve">derived from </w:t>
      </w:r>
      <w:r w:rsidRPr="00887119">
        <w:t>Statistics Canada Tables 98-10-0240 and 98-10-0232</w:t>
      </w:r>
    </w:p>
    <w:p w14:paraId="20B7C828" w14:textId="77777777" w:rsidR="00716ABA" w:rsidRPr="00887119" w:rsidRDefault="00716ABA" w:rsidP="00716ABA"/>
    <w:p w14:paraId="0D506C0F" w14:textId="2A856A32" w:rsidR="00137FF5" w:rsidRPr="00887119" w:rsidRDefault="00137FF5" w:rsidP="00137FF5">
      <w:r w:rsidRPr="00887119">
        <w:lastRenderedPageBreak/>
        <w:t xml:space="preserve">Household composition varies across </w:t>
      </w:r>
      <w:r w:rsidR="00402288" w:rsidRPr="00402288">
        <w:rPr>
          <w:color w:val="C00000"/>
        </w:rPr>
        <w:t>PEI</w:t>
      </w:r>
      <w:r w:rsidRPr="00887119">
        <w:t>’s geographic categories. Urban areas have the highest share of non-census family households (41%), reflecting the concentration of single-person and non-family households among younger residents and recent migrants</w:t>
      </w:r>
      <w:r w:rsidR="008A5AEA" w:rsidRPr="00887119">
        <w:t xml:space="preserve">. These </w:t>
      </w:r>
      <w:r w:rsidRPr="00887119">
        <w:t>populations are disproportionately concentrated in the rental market and most sensitive to affordability pressures. Urban areas also have the youngest primary household maintainer profile, with 20% of households headed by someone under 35, compared to 11</w:t>
      </w:r>
      <w:r w:rsidR="008A5AEA" w:rsidRPr="00887119">
        <w:t>%</w:t>
      </w:r>
      <w:r w:rsidRPr="00887119">
        <w:t>–13% in rural categories. Younger primary household maintainers are the cohort most likely to rely on rental housing, and their elevated urban share signals a structural need for affordable, smaller-unit rental supply in those communities.</w:t>
      </w:r>
    </w:p>
    <w:p w14:paraId="614E3AB0" w14:textId="77777777" w:rsidR="00137FF5" w:rsidRPr="00887119" w:rsidRDefault="00137FF5" w:rsidP="00137FF5"/>
    <w:p w14:paraId="112E5778" w14:textId="49CAB392" w:rsidR="00137FF5" w:rsidRPr="00887119" w:rsidRDefault="00137FF5" w:rsidP="00137FF5">
      <w:r w:rsidRPr="00887119">
        <w:t>Single-person households make up 33% of all households in urban areas and 32% in small urban, compared to 22</w:t>
      </w:r>
      <w:r w:rsidR="008A5AEA" w:rsidRPr="00887119">
        <w:t>%</w:t>
      </w:r>
      <w:r w:rsidRPr="00887119">
        <w:t>–25% in rural categories. This concentration of smaller household types in urban areas is consistent with the demographic mix of students, young professionals, and single adults who tend to locate near employment and services. For housing supply planning purposes, it points to strong</w:t>
      </w:r>
      <w:r w:rsidR="008A5AEA" w:rsidRPr="00887119">
        <w:t>er</w:t>
      </w:r>
      <w:r w:rsidRPr="00887119">
        <w:t xml:space="preserve"> near-term demand for studio and one-bedroom apartments in urban and small urban communities.</w:t>
      </w:r>
    </w:p>
    <w:p w14:paraId="39DE4ECA" w14:textId="77777777" w:rsidR="00137FF5" w:rsidRPr="00887119" w:rsidRDefault="00137FF5" w:rsidP="00137FF5"/>
    <w:p w14:paraId="20817E11" w14:textId="5E857C62" w:rsidR="00137FF5" w:rsidRPr="00887119" w:rsidRDefault="00137FF5" w:rsidP="00137FF5">
      <w:r w:rsidRPr="00887119">
        <w:t>Rural areas show higher shares of couple households (with and without children) and larger average household sizes</w:t>
      </w:r>
      <w:r w:rsidR="008A5AEA" w:rsidRPr="00887119">
        <w:t>,</w:t>
      </w:r>
      <w:r w:rsidRPr="00887119">
        <w:t xml:space="preserve"> patterns consistent with a more ownership-oriented, family-sized housing stock. Lone-parent households are most prevalent in small urban areas (11%) and urban areas (9%)</w:t>
      </w:r>
      <w:r w:rsidR="00483FD3" w:rsidRPr="00887119">
        <w:t>. Those living</w:t>
      </w:r>
      <w:r w:rsidRPr="00887119">
        <w:t xml:space="preserve"> in the rental market face compounding challenges of affordability and suitability</w:t>
      </w:r>
      <w:r w:rsidR="002B7095" w:rsidRPr="00887119">
        <w:t xml:space="preserve">; specifically, </w:t>
      </w:r>
      <w:r w:rsidRPr="00887119">
        <w:t xml:space="preserve">the need for multi-bedroom </w:t>
      </w:r>
      <w:r w:rsidR="002B7095" w:rsidRPr="00887119">
        <w:t xml:space="preserve">rental </w:t>
      </w:r>
      <w:r w:rsidRPr="00887119">
        <w:t xml:space="preserve">units at price points the market does not </w:t>
      </w:r>
      <w:r w:rsidR="002B7095" w:rsidRPr="00887119">
        <w:t xml:space="preserve">typically </w:t>
      </w:r>
      <w:r w:rsidRPr="00887119">
        <w:t xml:space="preserve">reliably supply without subsidy. On-reserve households show distinctly different characteristics, including a much higher share of family households, younger maintainer age profiles, and larger average household size (2.9 persons versus the provincial average of 2.3), pointing to specific suitability and adequacy </w:t>
      </w:r>
      <w:r w:rsidR="00AC0991" w:rsidRPr="00887119">
        <w:t>needs.</w:t>
      </w:r>
    </w:p>
    <w:p w14:paraId="4B5B2889" w14:textId="77777777" w:rsidR="00D34E14" w:rsidRPr="00887119" w:rsidRDefault="00D34E14" w:rsidP="00D34E14">
      <w:pPr>
        <w:rPr>
          <w:lang w:eastAsia="en-CA"/>
        </w:rPr>
      </w:pPr>
    </w:p>
    <w:p w14:paraId="474A0688" w14:textId="77777777" w:rsidR="00CA47D9" w:rsidRPr="00887119" w:rsidRDefault="00CA47D9">
      <w:pPr>
        <w:spacing w:after="160"/>
        <w:jc w:val="left"/>
        <w:rPr>
          <w:rFonts w:eastAsiaTheme="majorEastAsia" w:cstheme="majorBidi"/>
          <w:b/>
          <w:color w:val="8AA2BA" w:themeColor="accent1" w:themeShade="BF"/>
          <w:sz w:val="56"/>
          <w:szCs w:val="32"/>
        </w:rPr>
      </w:pPr>
      <w:bookmarkStart w:id="55" w:name="_Toc226970612"/>
      <w:r w:rsidRPr="00887119">
        <w:br w:type="page"/>
      </w:r>
    </w:p>
    <w:p w14:paraId="46E90CCD" w14:textId="77777777" w:rsidR="00952F0E" w:rsidRPr="00887119" w:rsidRDefault="00952F0E" w:rsidP="00842B20">
      <w:pPr>
        <w:pStyle w:val="Heading1"/>
      </w:pPr>
      <w:bookmarkStart w:id="56" w:name="_Toc225869004"/>
      <w:bookmarkStart w:id="57" w:name="_Toc229051951"/>
      <w:bookmarkStart w:id="58" w:name="_Toc237957434"/>
      <w:bookmarkEnd w:id="55"/>
      <w:r w:rsidRPr="00887119">
        <w:lastRenderedPageBreak/>
        <w:t>ECONOMIC PROFILE</w:t>
      </w:r>
      <w:bookmarkEnd w:id="56"/>
      <w:bookmarkEnd w:id="57"/>
      <w:bookmarkEnd w:id="58"/>
    </w:p>
    <w:p w14:paraId="759CF98C" w14:textId="77777777" w:rsidR="00952F0E" w:rsidRPr="00887119" w:rsidRDefault="00952F0E" w:rsidP="00952F0E"/>
    <w:p w14:paraId="04EEC54A" w14:textId="6BFC6722" w:rsidR="00952F0E" w:rsidRPr="00887119" w:rsidRDefault="009E6DC9" w:rsidP="00952F0E">
      <w:r w:rsidRPr="00887119">
        <w:t xml:space="preserve">Housing affordability is ultimately a relationship between earnings and housing costs. This section provides context for the earnings side of that equation across </w:t>
      </w:r>
      <w:r w:rsidR="00402288" w:rsidRPr="00402288">
        <w:rPr>
          <w:color w:val="C00000"/>
        </w:rPr>
        <w:t>PEI</w:t>
      </w:r>
      <w:r w:rsidRPr="00887119">
        <w:t>’s geographic categories. Communities dominated by seasonal, casual, or lower-wage industries face structurally different housing challenges than those with diverse, well-paying employment bases</w:t>
      </w:r>
      <w:r w:rsidR="00951611" w:rsidRPr="00887119">
        <w:t>. This is</w:t>
      </w:r>
      <w:r w:rsidRPr="00887119">
        <w:t xml:space="preserve"> a distinction that is particularly relevant in a province where employment composition varies considerably between urban centres and rural communities.</w:t>
      </w:r>
    </w:p>
    <w:p w14:paraId="4D282038" w14:textId="77777777" w:rsidR="009E6DC9" w:rsidRPr="00887119" w:rsidRDefault="009E6DC9" w:rsidP="00952F0E"/>
    <w:p w14:paraId="57136194" w14:textId="77777777" w:rsidR="00952F0E" w:rsidRPr="00887119" w:rsidRDefault="00952F0E" w:rsidP="00842B20">
      <w:pPr>
        <w:pStyle w:val="Heading2"/>
      </w:pPr>
      <w:bookmarkStart w:id="59" w:name="_Toc223686639"/>
      <w:bookmarkStart w:id="60" w:name="_Toc225869005"/>
      <w:bookmarkStart w:id="61" w:name="_Toc229051952"/>
      <w:bookmarkStart w:id="62" w:name="_Toc237957435"/>
      <w:r w:rsidRPr="00887119">
        <w:t>ECONOMY</w:t>
      </w:r>
      <w:bookmarkEnd w:id="59"/>
      <w:bookmarkEnd w:id="60"/>
      <w:bookmarkEnd w:id="61"/>
      <w:bookmarkEnd w:id="62"/>
    </w:p>
    <w:p w14:paraId="1D933F5D" w14:textId="77777777" w:rsidR="00952F0E" w:rsidRPr="00887119" w:rsidRDefault="00952F0E" w:rsidP="00952F0E">
      <w:pPr>
        <w:pStyle w:val="Heading3"/>
      </w:pPr>
      <w:r w:rsidRPr="00887119">
        <w:t>Labour Force Statistics</w:t>
      </w:r>
    </w:p>
    <w:p w14:paraId="34F28909" w14:textId="5DCA280D" w:rsidR="00952F0E" w:rsidRPr="00887119" w:rsidRDefault="00952F0E" w:rsidP="00952F0E">
      <w:r w:rsidRPr="00887119">
        <w:rPr>
          <w:rStyle w:val="Figure-textChar"/>
        </w:rPr>
        <w:fldChar w:fldCharType="begin"/>
      </w:r>
      <w:r w:rsidRPr="00887119">
        <w:rPr>
          <w:rStyle w:val="Figure-textChar"/>
        </w:rPr>
        <w:instrText xml:space="preserve"> REF _Ref223274752 \h  \* MERGEFORMAT </w:instrText>
      </w:r>
      <w:r w:rsidRPr="00887119">
        <w:rPr>
          <w:rStyle w:val="Figure-textChar"/>
        </w:rPr>
      </w:r>
      <w:r w:rsidRPr="00887119">
        <w:rPr>
          <w:rStyle w:val="Figure-textChar"/>
        </w:rPr>
        <w:fldChar w:fldCharType="separate"/>
      </w:r>
      <w:r w:rsidR="008D4BDE" w:rsidRPr="008D4BDE">
        <w:rPr>
          <w:rStyle w:val="Figure-textChar"/>
        </w:rPr>
        <w:t>Table 7.1</w:t>
      </w:r>
      <w:r w:rsidRPr="00887119">
        <w:rPr>
          <w:rStyle w:val="Figure-textChar"/>
        </w:rPr>
        <w:fldChar w:fldCharType="end"/>
      </w:r>
      <w:r w:rsidRPr="00887119">
        <w:t xml:space="preserve"> </w:t>
      </w:r>
      <w:r w:rsidR="006749A7" w:rsidRPr="00887119">
        <w:t>presents key labour force participation, employment, and unemployment metrics by geographic category, establishing the economic context within which housing affordability can be better understood across the province.</w:t>
      </w:r>
    </w:p>
    <w:p w14:paraId="577FE53A" w14:textId="77777777" w:rsidR="00952F0E" w:rsidRPr="00887119" w:rsidRDefault="00952F0E" w:rsidP="00952F0E"/>
    <w:p w14:paraId="6089BC6F" w14:textId="3A223620" w:rsidR="00952F0E" w:rsidRPr="00887119" w:rsidRDefault="00952F0E" w:rsidP="00952F0E">
      <w:pPr>
        <w:pStyle w:val="Caption"/>
      </w:pPr>
      <w:bookmarkStart w:id="63" w:name="_Ref223274752"/>
      <w:r w:rsidRPr="00887119">
        <w:t xml:space="preserve">Table </w:t>
      </w:r>
      <w:fldSimple w:instr=" STYLEREF 1 \s ">
        <w:r w:rsidR="008D4BDE">
          <w:rPr>
            <w:noProof/>
          </w:rPr>
          <w:t>7</w:t>
        </w:r>
      </w:fldSimple>
      <w:r w:rsidR="00EE1FE9">
        <w:t>.</w:t>
      </w:r>
      <w:fldSimple w:instr=" SEQ Table \* ARABIC \s 1 ">
        <w:r w:rsidR="008D4BDE">
          <w:rPr>
            <w:noProof/>
          </w:rPr>
          <w:t>1</w:t>
        </w:r>
      </w:fldSimple>
      <w:bookmarkEnd w:id="63"/>
      <w:r w:rsidRPr="00887119">
        <w:t>: Labour force metrics by geograph</w:t>
      </w:r>
      <w:r w:rsidR="0028321F" w:rsidRPr="00887119">
        <w:t>ic category</w:t>
      </w:r>
      <w:r w:rsidRPr="00887119">
        <w:t>, 2021</w:t>
      </w:r>
    </w:p>
    <w:tbl>
      <w:tblPr>
        <w:tblW w:w="9355" w:type="dxa"/>
        <w:tblLayout w:type="fixed"/>
        <w:tblLook w:val="04A0" w:firstRow="1" w:lastRow="0" w:firstColumn="1" w:lastColumn="0" w:noHBand="0" w:noVBand="1"/>
      </w:tblPr>
      <w:tblGrid>
        <w:gridCol w:w="1975"/>
        <w:gridCol w:w="1230"/>
        <w:gridCol w:w="1230"/>
        <w:gridCol w:w="1230"/>
        <w:gridCol w:w="1230"/>
        <w:gridCol w:w="1230"/>
        <w:gridCol w:w="1230"/>
      </w:tblGrid>
      <w:tr w:rsidR="004D3DF3" w:rsidRPr="00887119" w14:paraId="47FC45ED" w14:textId="77777777" w:rsidTr="00366B95">
        <w:trPr>
          <w:trHeight w:val="494"/>
        </w:trPr>
        <w:tc>
          <w:tcPr>
            <w:tcW w:w="197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17FA310C" w14:textId="77777777" w:rsidR="004D3DF3" w:rsidRPr="00887119" w:rsidRDefault="004D3DF3" w:rsidP="004D3DF3">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Labour force metric</w:t>
            </w:r>
          </w:p>
        </w:tc>
        <w:tc>
          <w:tcPr>
            <w:tcW w:w="123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743851A1" w14:textId="43B36CB5" w:rsidR="004D3DF3" w:rsidRPr="00887119" w:rsidRDefault="004D3DF3" w:rsidP="004D3DF3">
            <w:pPr>
              <w:spacing w:line="240" w:lineRule="auto"/>
              <w:jc w:val="right"/>
              <w:rPr>
                <w:rFonts w:eastAsia="Times New Roman" w:cs="Arial"/>
                <w:color w:val="FFFFFF"/>
                <w:kern w:val="0"/>
                <w:sz w:val="18"/>
                <w:szCs w:val="18"/>
                <w:lang w:eastAsia="en-CA"/>
                <w14:ligatures w14:val="none"/>
              </w:rPr>
            </w:pPr>
            <w:r w:rsidRPr="00887119">
              <w:rPr>
                <w:rFonts w:cs="Arial"/>
                <w:color w:val="FFFFFF"/>
                <w:sz w:val="18"/>
                <w:szCs w:val="18"/>
              </w:rPr>
              <w:t>Province</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A07580D" w14:textId="5D4079EB" w:rsidR="004D3DF3" w:rsidRPr="00887119" w:rsidRDefault="004D3DF3" w:rsidP="004D3DF3">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Urban</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6C9B880" w14:textId="3A5D853E" w:rsidR="004D3DF3" w:rsidRPr="00887119" w:rsidRDefault="004D3DF3" w:rsidP="004D3DF3">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Small urban</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3B7CECE" w14:textId="51C0C920" w:rsidR="004D3DF3" w:rsidRPr="00887119" w:rsidRDefault="004D3DF3" w:rsidP="004D3DF3">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Rural (urban adjacent)</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D859989" w14:textId="0B6681CB" w:rsidR="004D3DF3" w:rsidRPr="00887119" w:rsidRDefault="004D3DF3" w:rsidP="004D3DF3">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Rural (remote)</w:t>
            </w:r>
          </w:p>
        </w:tc>
        <w:tc>
          <w:tcPr>
            <w:tcW w:w="123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096021C5" w14:textId="130D9271" w:rsidR="004D3DF3" w:rsidRPr="00887119" w:rsidRDefault="007735C6" w:rsidP="004D3DF3">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On-reserve</w:t>
            </w:r>
          </w:p>
        </w:tc>
      </w:tr>
      <w:tr w:rsidR="00930D5A" w:rsidRPr="00887119" w14:paraId="141994D6" w14:textId="77777777" w:rsidTr="00930D5A">
        <w:trPr>
          <w:trHeight w:val="402"/>
        </w:trPr>
        <w:tc>
          <w:tcPr>
            <w:tcW w:w="1975" w:type="dxa"/>
            <w:tcBorders>
              <w:top w:val="nil"/>
              <w:left w:val="single" w:sz="4" w:space="0" w:color="auto"/>
              <w:bottom w:val="single" w:sz="4" w:space="0" w:color="BFBFBF"/>
              <w:right w:val="nil"/>
            </w:tcBorders>
            <w:shd w:val="clear" w:color="000000" w:fill="F2F2F2"/>
            <w:noWrap/>
            <w:vAlign w:val="center"/>
            <w:hideMark/>
          </w:tcPr>
          <w:p w14:paraId="34137A40" w14:textId="77777777" w:rsidR="00930D5A" w:rsidRPr="00887119" w:rsidRDefault="00930D5A" w:rsidP="00930D5A">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Participation rate</w:t>
            </w:r>
          </w:p>
        </w:tc>
        <w:tc>
          <w:tcPr>
            <w:tcW w:w="1230" w:type="dxa"/>
            <w:tcBorders>
              <w:top w:val="nil"/>
              <w:left w:val="single" w:sz="4" w:space="0" w:color="auto"/>
              <w:bottom w:val="single" w:sz="4" w:space="0" w:color="BFBFBF"/>
              <w:right w:val="single" w:sz="4" w:space="0" w:color="auto"/>
            </w:tcBorders>
            <w:shd w:val="clear" w:color="000000" w:fill="F2F2F2"/>
            <w:noWrap/>
            <w:vAlign w:val="center"/>
            <w:hideMark/>
          </w:tcPr>
          <w:p w14:paraId="6A45CB54"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65.8%</w:t>
            </w:r>
          </w:p>
        </w:tc>
        <w:tc>
          <w:tcPr>
            <w:tcW w:w="1230" w:type="dxa"/>
            <w:tcBorders>
              <w:top w:val="nil"/>
              <w:left w:val="nil"/>
              <w:bottom w:val="single" w:sz="4" w:space="0" w:color="BFBFBF"/>
              <w:right w:val="single" w:sz="4" w:space="0" w:color="BFBFBF"/>
            </w:tcBorders>
            <w:shd w:val="clear" w:color="000000" w:fill="F2F2F2"/>
            <w:noWrap/>
            <w:vAlign w:val="center"/>
            <w:hideMark/>
          </w:tcPr>
          <w:p w14:paraId="2B0D34E8"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64.6%</w:t>
            </w:r>
          </w:p>
        </w:tc>
        <w:tc>
          <w:tcPr>
            <w:tcW w:w="1230" w:type="dxa"/>
            <w:tcBorders>
              <w:top w:val="nil"/>
              <w:left w:val="nil"/>
              <w:bottom w:val="single" w:sz="4" w:space="0" w:color="BFBFBF"/>
              <w:right w:val="single" w:sz="4" w:space="0" w:color="BFBFBF"/>
            </w:tcBorders>
            <w:shd w:val="clear" w:color="000000" w:fill="F2F2F2"/>
            <w:noWrap/>
            <w:vAlign w:val="center"/>
            <w:hideMark/>
          </w:tcPr>
          <w:p w14:paraId="34B3795B"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62.8%</w:t>
            </w:r>
          </w:p>
        </w:tc>
        <w:tc>
          <w:tcPr>
            <w:tcW w:w="1230" w:type="dxa"/>
            <w:tcBorders>
              <w:top w:val="nil"/>
              <w:left w:val="nil"/>
              <w:bottom w:val="single" w:sz="4" w:space="0" w:color="BFBFBF"/>
              <w:right w:val="single" w:sz="4" w:space="0" w:color="BFBFBF"/>
            </w:tcBorders>
            <w:shd w:val="clear" w:color="000000" w:fill="F2F2F2"/>
            <w:noWrap/>
            <w:vAlign w:val="center"/>
            <w:hideMark/>
          </w:tcPr>
          <w:p w14:paraId="64436010"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68.7%</w:t>
            </w:r>
          </w:p>
        </w:tc>
        <w:tc>
          <w:tcPr>
            <w:tcW w:w="1230" w:type="dxa"/>
            <w:tcBorders>
              <w:top w:val="nil"/>
              <w:left w:val="nil"/>
              <w:bottom w:val="single" w:sz="4" w:space="0" w:color="BFBFBF"/>
              <w:right w:val="single" w:sz="4" w:space="0" w:color="BFBFBF"/>
            </w:tcBorders>
            <w:shd w:val="clear" w:color="000000" w:fill="F2F2F2"/>
            <w:noWrap/>
            <w:vAlign w:val="center"/>
            <w:hideMark/>
          </w:tcPr>
          <w:p w14:paraId="07C93503"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66.1%</w:t>
            </w:r>
          </w:p>
        </w:tc>
        <w:tc>
          <w:tcPr>
            <w:tcW w:w="1230" w:type="dxa"/>
            <w:tcBorders>
              <w:top w:val="nil"/>
              <w:left w:val="nil"/>
              <w:bottom w:val="single" w:sz="4" w:space="0" w:color="BFBFBF"/>
              <w:right w:val="single" w:sz="4" w:space="0" w:color="auto"/>
            </w:tcBorders>
            <w:shd w:val="clear" w:color="000000" w:fill="F2F2F2"/>
            <w:noWrap/>
            <w:vAlign w:val="center"/>
            <w:hideMark/>
          </w:tcPr>
          <w:p w14:paraId="4D03567B"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63.2%</w:t>
            </w:r>
          </w:p>
        </w:tc>
      </w:tr>
      <w:tr w:rsidR="00930D5A" w:rsidRPr="00887119" w14:paraId="69B422E8" w14:textId="77777777" w:rsidTr="00930D5A">
        <w:trPr>
          <w:trHeight w:val="402"/>
        </w:trPr>
        <w:tc>
          <w:tcPr>
            <w:tcW w:w="1975" w:type="dxa"/>
            <w:tcBorders>
              <w:top w:val="nil"/>
              <w:left w:val="single" w:sz="4" w:space="0" w:color="auto"/>
              <w:bottom w:val="single" w:sz="4" w:space="0" w:color="BFBFBF"/>
              <w:right w:val="nil"/>
            </w:tcBorders>
            <w:noWrap/>
            <w:vAlign w:val="center"/>
            <w:hideMark/>
          </w:tcPr>
          <w:p w14:paraId="346F9BA7" w14:textId="77777777" w:rsidR="00930D5A" w:rsidRPr="00887119" w:rsidRDefault="00930D5A" w:rsidP="00930D5A">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Employment rate</w:t>
            </w:r>
          </w:p>
        </w:tc>
        <w:tc>
          <w:tcPr>
            <w:tcW w:w="1230" w:type="dxa"/>
            <w:tcBorders>
              <w:top w:val="nil"/>
              <w:left w:val="single" w:sz="4" w:space="0" w:color="auto"/>
              <w:bottom w:val="single" w:sz="4" w:space="0" w:color="BFBFBF"/>
              <w:right w:val="single" w:sz="4" w:space="0" w:color="auto"/>
            </w:tcBorders>
            <w:noWrap/>
            <w:vAlign w:val="center"/>
            <w:hideMark/>
          </w:tcPr>
          <w:p w14:paraId="38B31B34"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89.7%</w:t>
            </w:r>
          </w:p>
        </w:tc>
        <w:tc>
          <w:tcPr>
            <w:tcW w:w="1230" w:type="dxa"/>
            <w:tcBorders>
              <w:top w:val="nil"/>
              <w:left w:val="nil"/>
              <w:bottom w:val="single" w:sz="4" w:space="0" w:color="BFBFBF"/>
              <w:right w:val="single" w:sz="4" w:space="0" w:color="BFBFBF"/>
            </w:tcBorders>
            <w:noWrap/>
            <w:vAlign w:val="center"/>
            <w:hideMark/>
          </w:tcPr>
          <w:p w14:paraId="640BBB93"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90.5%</w:t>
            </w:r>
          </w:p>
        </w:tc>
        <w:tc>
          <w:tcPr>
            <w:tcW w:w="1230" w:type="dxa"/>
            <w:tcBorders>
              <w:top w:val="nil"/>
              <w:left w:val="nil"/>
              <w:bottom w:val="single" w:sz="4" w:space="0" w:color="BFBFBF"/>
              <w:right w:val="single" w:sz="4" w:space="0" w:color="BFBFBF"/>
            </w:tcBorders>
            <w:noWrap/>
            <w:vAlign w:val="center"/>
            <w:hideMark/>
          </w:tcPr>
          <w:p w14:paraId="3127D231"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89.3%</w:t>
            </w:r>
          </w:p>
        </w:tc>
        <w:tc>
          <w:tcPr>
            <w:tcW w:w="1230" w:type="dxa"/>
            <w:tcBorders>
              <w:top w:val="nil"/>
              <w:left w:val="nil"/>
              <w:bottom w:val="single" w:sz="4" w:space="0" w:color="BFBFBF"/>
              <w:right w:val="single" w:sz="4" w:space="0" w:color="BFBFBF"/>
            </w:tcBorders>
            <w:noWrap/>
            <w:vAlign w:val="center"/>
            <w:hideMark/>
          </w:tcPr>
          <w:p w14:paraId="5FB768D5"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90.6%</w:t>
            </w:r>
          </w:p>
        </w:tc>
        <w:tc>
          <w:tcPr>
            <w:tcW w:w="1230" w:type="dxa"/>
            <w:tcBorders>
              <w:top w:val="nil"/>
              <w:left w:val="nil"/>
              <w:bottom w:val="single" w:sz="4" w:space="0" w:color="BFBFBF"/>
              <w:right w:val="single" w:sz="4" w:space="0" w:color="BFBFBF"/>
            </w:tcBorders>
            <w:noWrap/>
            <w:vAlign w:val="center"/>
            <w:hideMark/>
          </w:tcPr>
          <w:p w14:paraId="1A3D94B7"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85.5%</w:t>
            </w:r>
          </w:p>
        </w:tc>
        <w:tc>
          <w:tcPr>
            <w:tcW w:w="1230" w:type="dxa"/>
            <w:tcBorders>
              <w:top w:val="nil"/>
              <w:left w:val="nil"/>
              <w:bottom w:val="single" w:sz="4" w:space="0" w:color="BFBFBF"/>
              <w:right w:val="single" w:sz="4" w:space="0" w:color="auto"/>
            </w:tcBorders>
            <w:noWrap/>
            <w:vAlign w:val="center"/>
            <w:hideMark/>
          </w:tcPr>
          <w:p w14:paraId="477EE215"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83.6%</w:t>
            </w:r>
          </w:p>
        </w:tc>
      </w:tr>
      <w:tr w:rsidR="00930D5A" w:rsidRPr="00887119" w14:paraId="4A84A83F" w14:textId="77777777" w:rsidTr="00930D5A">
        <w:trPr>
          <w:trHeight w:val="402"/>
        </w:trPr>
        <w:tc>
          <w:tcPr>
            <w:tcW w:w="1975" w:type="dxa"/>
            <w:tcBorders>
              <w:top w:val="nil"/>
              <w:left w:val="single" w:sz="4" w:space="0" w:color="auto"/>
              <w:bottom w:val="single" w:sz="4" w:space="0" w:color="auto"/>
              <w:right w:val="nil"/>
            </w:tcBorders>
            <w:shd w:val="clear" w:color="000000" w:fill="F2F2F2"/>
            <w:noWrap/>
            <w:vAlign w:val="center"/>
            <w:hideMark/>
          </w:tcPr>
          <w:p w14:paraId="3EAC11F9" w14:textId="77777777" w:rsidR="00930D5A" w:rsidRPr="00887119" w:rsidRDefault="00930D5A" w:rsidP="00930D5A">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Unemployment rate</w:t>
            </w:r>
          </w:p>
        </w:tc>
        <w:tc>
          <w:tcPr>
            <w:tcW w:w="1230" w:type="dxa"/>
            <w:tcBorders>
              <w:top w:val="nil"/>
              <w:left w:val="single" w:sz="4" w:space="0" w:color="auto"/>
              <w:bottom w:val="single" w:sz="4" w:space="0" w:color="auto"/>
              <w:right w:val="single" w:sz="4" w:space="0" w:color="auto"/>
            </w:tcBorders>
            <w:shd w:val="clear" w:color="000000" w:fill="F2F2F2"/>
            <w:noWrap/>
            <w:vAlign w:val="center"/>
            <w:hideMark/>
          </w:tcPr>
          <w:p w14:paraId="6A3A4250"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6.8%</w:t>
            </w:r>
          </w:p>
        </w:tc>
        <w:tc>
          <w:tcPr>
            <w:tcW w:w="1230" w:type="dxa"/>
            <w:tcBorders>
              <w:top w:val="nil"/>
              <w:left w:val="nil"/>
              <w:bottom w:val="single" w:sz="4" w:space="0" w:color="auto"/>
              <w:right w:val="single" w:sz="4" w:space="0" w:color="BFBFBF"/>
            </w:tcBorders>
            <w:shd w:val="clear" w:color="000000" w:fill="F2F2F2"/>
            <w:noWrap/>
            <w:vAlign w:val="center"/>
            <w:hideMark/>
          </w:tcPr>
          <w:p w14:paraId="50C66229"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6.2%</w:t>
            </w:r>
          </w:p>
        </w:tc>
        <w:tc>
          <w:tcPr>
            <w:tcW w:w="1230" w:type="dxa"/>
            <w:tcBorders>
              <w:top w:val="nil"/>
              <w:left w:val="nil"/>
              <w:bottom w:val="single" w:sz="4" w:space="0" w:color="auto"/>
              <w:right w:val="single" w:sz="4" w:space="0" w:color="BFBFBF"/>
            </w:tcBorders>
            <w:shd w:val="clear" w:color="000000" w:fill="F2F2F2"/>
            <w:noWrap/>
            <w:vAlign w:val="center"/>
            <w:hideMark/>
          </w:tcPr>
          <w:p w14:paraId="65B0974F"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6.7%</w:t>
            </w:r>
          </w:p>
        </w:tc>
        <w:tc>
          <w:tcPr>
            <w:tcW w:w="1230" w:type="dxa"/>
            <w:tcBorders>
              <w:top w:val="nil"/>
              <w:left w:val="nil"/>
              <w:bottom w:val="single" w:sz="4" w:space="0" w:color="auto"/>
              <w:right w:val="single" w:sz="4" w:space="0" w:color="BFBFBF"/>
            </w:tcBorders>
            <w:shd w:val="clear" w:color="000000" w:fill="F2F2F2"/>
            <w:noWrap/>
            <w:vAlign w:val="center"/>
            <w:hideMark/>
          </w:tcPr>
          <w:p w14:paraId="42A9986D"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6.5%</w:t>
            </w:r>
          </w:p>
        </w:tc>
        <w:tc>
          <w:tcPr>
            <w:tcW w:w="1230" w:type="dxa"/>
            <w:tcBorders>
              <w:top w:val="nil"/>
              <w:left w:val="nil"/>
              <w:bottom w:val="single" w:sz="4" w:space="0" w:color="auto"/>
              <w:right w:val="single" w:sz="4" w:space="0" w:color="BFBFBF"/>
            </w:tcBorders>
            <w:shd w:val="clear" w:color="000000" w:fill="F2F2F2"/>
            <w:noWrap/>
            <w:vAlign w:val="center"/>
            <w:hideMark/>
          </w:tcPr>
          <w:p w14:paraId="7F49688F"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9.4%</w:t>
            </w:r>
          </w:p>
        </w:tc>
        <w:tc>
          <w:tcPr>
            <w:tcW w:w="1230" w:type="dxa"/>
            <w:tcBorders>
              <w:top w:val="nil"/>
              <w:left w:val="nil"/>
              <w:bottom w:val="single" w:sz="4" w:space="0" w:color="auto"/>
              <w:right w:val="single" w:sz="4" w:space="0" w:color="auto"/>
            </w:tcBorders>
            <w:shd w:val="clear" w:color="000000" w:fill="F2F2F2"/>
            <w:noWrap/>
            <w:vAlign w:val="center"/>
            <w:hideMark/>
          </w:tcPr>
          <w:p w14:paraId="3E3D236B" w14:textId="77777777" w:rsidR="00930D5A" w:rsidRPr="002E10EB" w:rsidRDefault="00930D5A" w:rsidP="00930D5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11.5%</w:t>
            </w:r>
          </w:p>
        </w:tc>
      </w:tr>
    </w:tbl>
    <w:p w14:paraId="38B74FE9" w14:textId="74AC42FC" w:rsidR="00952F0E" w:rsidRPr="00887119" w:rsidRDefault="00952F0E" w:rsidP="00952F0E">
      <w:pPr>
        <w:pStyle w:val="Source"/>
      </w:pPr>
      <w:r w:rsidRPr="00887119">
        <w:t xml:space="preserve">Source: </w:t>
      </w:r>
      <w:r w:rsidR="004968F8" w:rsidRPr="00887119">
        <w:t xml:space="preserve">derived from </w:t>
      </w:r>
      <w:r w:rsidRPr="00887119">
        <w:t>Statistics Canada 2021 Census Profile</w:t>
      </w:r>
    </w:p>
    <w:p w14:paraId="6B818112" w14:textId="77777777" w:rsidR="00952F0E" w:rsidRPr="00887119" w:rsidRDefault="00952F0E" w:rsidP="00952F0E"/>
    <w:p w14:paraId="31185597" w14:textId="15A5C800" w:rsidR="00C51CC1" w:rsidRPr="00887119" w:rsidRDefault="00C51CC1" w:rsidP="00C51CC1">
      <w:r w:rsidRPr="00887119">
        <w:t xml:space="preserve">Labour market conditions differ across </w:t>
      </w:r>
      <w:r w:rsidR="00402288" w:rsidRPr="00402288">
        <w:rPr>
          <w:color w:val="C00000"/>
        </w:rPr>
        <w:t>PEI</w:t>
      </w:r>
      <w:r w:rsidRPr="00887119">
        <w:t xml:space="preserve">’s geographic categories. Urban areas show the lowest unemployment rate (6.2%) alongside moderate participation, reflecting a more diverse and stable employment base. Rural remote communities, by contrast, show the lowest employment rate (83.6%) and highest unemployment (11.5%), consistent with greater reliance on seasonal and resource-based industries. </w:t>
      </w:r>
      <w:r w:rsidR="001F0F72" w:rsidRPr="00887119">
        <w:t>Participation rates in rural categories slightly exceed those in urban areas</w:t>
      </w:r>
      <w:r w:rsidR="001D5A74" w:rsidRPr="00887119">
        <w:t>. In other words, r</w:t>
      </w:r>
      <w:r w:rsidR="001F0F72" w:rsidRPr="00887119">
        <w:t xml:space="preserve">ural residents are not withdrawing from the labour market in large numbers; they are actively seeking work at rates comparable to or slightly above urban residents. The problem </w:t>
      </w:r>
      <w:r w:rsidR="009A6FB3" w:rsidRPr="00887119">
        <w:t>may be</w:t>
      </w:r>
      <w:r w:rsidR="001F0F72" w:rsidRPr="00887119">
        <w:t xml:space="preserve"> that the rural labour market is not delivering stable, </w:t>
      </w:r>
      <w:r w:rsidR="009A6FB3" w:rsidRPr="00887119">
        <w:t>higher</w:t>
      </w:r>
      <w:r w:rsidR="001F0F72" w:rsidRPr="00887119">
        <w:t>-paying employment for all of them</w:t>
      </w:r>
      <w:r w:rsidR="009A6FB3" w:rsidRPr="00887119">
        <w:t>, such as seasonal work</w:t>
      </w:r>
      <w:r w:rsidR="001F0F72" w:rsidRPr="00887119">
        <w:t xml:space="preserve">. </w:t>
      </w:r>
    </w:p>
    <w:p w14:paraId="0D986271" w14:textId="77777777" w:rsidR="00C51CC1" w:rsidRPr="00887119" w:rsidRDefault="00C51CC1" w:rsidP="00C51CC1"/>
    <w:p w14:paraId="769241F1" w14:textId="30BE539A" w:rsidR="00952F0E" w:rsidRPr="00887119" w:rsidRDefault="00C51CC1" w:rsidP="00C51CC1">
      <w:r w:rsidRPr="00887119">
        <w:t xml:space="preserve">The elevated unemployment and lower employment rates in rural remote areas translate directly into reduced household earnings capacity and greater exposure to housing affordability risk. Communities with structurally weaker labour markets tend to have a larger share of households unable to afford market-rate housing, increasing demand for subsidized and non-market supply. </w:t>
      </w:r>
    </w:p>
    <w:p w14:paraId="3B60AD61" w14:textId="77777777" w:rsidR="00C51CC1" w:rsidRPr="00887119" w:rsidRDefault="00C51CC1" w:rsidP="00C51CC1"/>
    <w:p w14:paraId="63F8B73B" w14:textId="77777777" w:rsidR="00952F0E" w:rsidRPr="00887119" w:rsidRDefault="00952F0E" w:rsidP="00952F0E">
      <w:pPr>
        <w:pStyle w:val="Heading3"/>
      </w:pPr>
      <w:r w:rsidRPr="00887119">
        <w:lastRenderedPageBreak/>
        <w:t>Key Industries of Employment</w:t>
      </w:r>
    </w:p>
    <w:p w14:paraId="579A35DD" w14:textId="7A8B01DD" w:rsidR="00952F0E" w:rsidRPr="00887119" w:rsidRDefault="00952F0E" w:rsidP="00952F0E">
      <w:r w:rsidRPr="00887119">
        <w:rPr>
          <w:rStyle w:val="Figure-textChar"/>
        </w:rPr>
        <w:fldChar w:fldCharType="begin"/>
      </w:r>
      <w:r w:rsidRPr="00887119">
        <w:rPr>
          <w:rStyle w:val="Figure-textChar"/>
        </w:rPr>
        <w:instrText xml:space="preserve"> REF _Ref223274802 \h  \* MERGEFORMAT </w:instrText>
      </w:r>
      <w:r w:rsidRPr="00887119">
        <w:rPr>
          <w:rStyle w:val="Figure-textChar"/>
        </w:rPr>
      </w:r>
      <w:r w:rsidRPr="00887119">
        <w:rPr>
          <w:rStyle w:val="Figure-textChar"/>
        </w:rPr>
        <w:fldChar w:fldCharType="separate"/>
      </w:r>
      <w:r w:rsidR="008D4BDE" w:rsidRPr="008D4BDE">
        <w:rPr>
          <w:rStyle w:val="Figure-textChar"/>
        </w:rPr>
        <w:t>Table 7.2</w:t>
      </w:r>
      <w:r w:rsidRPr="00887119">
        <w:rPr>
          <w:rStyle w:val="Figure-textChar"/>
        </w:rPr>
        <w:fldChar w:fldCharType="end"/>
      </w:r>
      <w:r w:rsidRPr="00887119">
        <w:t xml:space="preserve"> </w:t>
      </w:r>
      <w:r w:rsidR="00A04E67" w:rsidRPr="00887119">
        <w:t>identifies the top three industries of employment for residents in each geographic category, enabling comparison of economic bases across the province and revealing the sectors that most directly shape household incomes and affordability conditions.</w:t>
      </w:r>
    </w:p>
    <w:p w14:paraId="52113A8C" w14:textId="77777777" w:rsidR="00952F0E" w:rsidRPr="00887119" w:rsidRDefault="00952F0E" w:rsidP="00952F0E"/>
    <w:p w14:paraId="79FFEFD6" w14:textId="4F54EF29" w:rsidR="00952F0E" w:rsidRPr="00887119" w:rsidRDefault="00952F0E" w:rsidP="00952F0E">
      <w:pPr>
        <w:pStyle w:val="Caption"/>
      </w:pPr>
      <w:bookmarkStart w:id="64" w:name="_Ref223274802"/>
      <w:r w:rsidRPr="00887119">
        <w:t xml:space="preserve">Table </w:t>
      </w:r>
      <w:fldSimple w:instr=" STYLEREF 1 \s ">
        <w:r w:rsidR="008D4BDE">
          <w:rPr>
            <w:noProof/>
          </w:rPr>
          <w:t>7</w:t>
        </w:r>
      </w:fldSimple>
      <w:r w:rsidR="00EE1FE9">
        <w:t>.</w:t>
      </w:r>
      <w:fldSimple w:instr=" SEQ Table \* ARABIC \s 1 ">
        <w:r w:rsidR="008D4BDE">
          <w:rPr>
            <w:noProof/>
          </w:rPr>
          <w:t>2</w:t>
        </w:r>
      </w:fldSimple>
      <w:bookmarkEnd w:id="64"/>
      <w:r w:rsidRPr="00887119">
        <w:t xml:space="preserve">: Top </w:t>
      </w:r>
      <w:r w:rsidR="00187953" w:rsidRPr="00887119">
        <w:t>3</w:t>
      </w:r>
      <w:r w:rsidRPr="00887119">
        <w:t xml:space="preserve"> local NAICS industries of employment </w:t>
      </w:r>
      <w:r w:rsidR="00187953" w:rsidRPr="00887119">
        <w:t>by geographic category</w:t>
      </w:r>
      <w:r w:rsidRPr="00887119">
        <w:t>, 2021</w:t>
      </w:r>
    </w:p>
    <w:tbl>
      <w:tblPr>
        <w:tblW w:w="9350" w:type="dxa"/>
        <w:tblLayout w:type="fixed"/>
        <w:tblLook w:val="04A0" w:firstRow="1" w:lastRow="0" w:firstColumn="1" w:lastColumn="0" w:noHBand="0" w:noVBand="1"/>
      </w:tblPr>
      <w:tblGrid>
        <w:gridCol w:w="2245"/>
        <w:gridCol w:w="2368"/>
        <w:gridCol w:w="2368"/>
        <w:gridCol w:w="2369"/>
      </w:tblGrid>
      <w:tr w:rsidR="001656B9" w:rsidRPr="00887119" w14:paraId="00096D28" w14:textId="77777777" w:rsidTr="00366B95">
        <w:trPr>
          <w:trHeight w:val="530"/>
          <w:tblHeader/>
        </w:trPr>
        <w:tc>
          <w:tcPr>
            <w:tcW w:w="224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1B4EA4E7" w14:textId="664D0194" w:rsidR="001656B9" w:rsidRPr="00887119" w:rsidRDefault="00A30DDB" w:rsidP="001656B9">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Geography</w:t>
            </w:r>
          </w:p>
        </w:tc>
        <w:tc>
          <w:tcPr>
            <w:tcW w:w="2368" w:type="dxa"/>
            <w:tcBorders>
              <w:top w:val="single" w:sz="4" w:space="0" w:color="auto"/>
              <w:left w:val="single" w:sz="4" w:space="0" w:color="auto"/>
              <w:bottom w:val="single" w:sz="4" w:space="0" w:color="auto"/>
              <w:right w:val="single" w:sz="4" w:space="0" w:color="BFBFBF"/>
            </w:tcBorders>
            <w:shd w:val="clear" w:color="auto" w:fill="42618C" w:themeFill="accent3"/>
            <w:noWrap/>
            <w:vAlign w:val="center"/>
            <w:hideMark/>
          </w:tcPr>
          <w:p w14:paraId="3318E4DF" w14:textId="7D658CDF" w:rsidR="001656B9" w:rsidRPr="00887119" w:rsidRDefault="001304AD" w:rsidP="00507F54">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Most prevalent industry</w:t>
            </w:r>
            <w:r w:rsidR="0035280B" w:rsidRPr="00887119">
              <w:rPr>
                <w:rFonts w:eastAsia="Times New Roman" w:cs="Arial"/>
                <w:color w:val="FFFFFF"/>
                <w:kern w:val="0"/>
                <w:sz w:val="18"/>
                <w:szCs w:val="18"/>
                <w:lang w:eastAsia="en-CA"/>
                <w14:ligatures w14:val="none"/>
              </w:rPr>
              <w:t xml:space="preserve"> of employment</w:t>
            </w:r>
          </w:p>
        </w:tc>
        <w:tc>
          <w:tcPr>
            <w:tcW w:w="236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D110644" w14:textId="59981B47" w:rsidR="001656B9" w:rsidRPr="00887119" w:rsidRDefault="001304AD" w:rsidP="00507F54">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Second most prevalent industry</w:t>
            </w:r>
            <w:r w:rsidR="0035280B" w:rsidRPr="00887119">
              <w:rPr>
                <w:rFonts w:eastAsia="Times New Roman" w:cs="Arial"/>
                <w:color w:val="FFFFFF"/>
                <w:kern w:val="0"/>
                <w:sz w:val="18"/>
                <w:szCs w:val="18"/>
                <w:lang w:eastAsia="en-CA"/>
                <w14:ligatures w14:val="none"/>
              </w:rPr>
              <w:t xml:space="preserve"> of employment</w:t>
            </w:r>
          </w:p>
        </w:tc>
        <w:tc>
          <w:tcPr>
            <w:tcW w:w="2369"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12A54F0" w14:textId="15E06C69" w:rsidR="001656B9" w:rsidRPr="00887119" w:rsidRDefault="001304AD" w:rsidP="00507F54">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Third most prevalent industry</w:t>
            </w:r>
            <w:r w:rsidR="0035280B" w:rsidRPr="00887119">
              <w:rPr>
                <w:rFonts w:eastAsia="Times New Roman" w:cs="Arial"/>
                <w:color w:val="FFFFFF"/>
                <w:kern w:val="0"/>
                <w:sz w:val="18"/>
                <w:szCs w:val="18"/>
                <w:lang w:eastAsia="en-CA"/>
                <w14:ligatures w14:val="none"/>
              </w:rPr>
              <w:t xml:space="preserve"> of employment</w:t>
            </w:r>
          </w:p>
        </w:tc>
      </w:tr>
      <w:tr w:rsidR="001656B9" w:rsidRPr="00887119" w14:paraId="6B14B248" w14:textId="77777777" w:rsidTr="00507F54">
        <w:trPr>
          <w:trHeight w:val="566"/>
        </w:trPr>
        <w:tc>
          <w:tcPr>
            <w:tcW w:w="2245" w:type="dxa"/>
            <w:tcBorders>
              <w:top w:val="nil"/>
              <w:left w:val="single" w:sz="4" w:space="0" w:color="auto"/>
              <w:bottom w:val="single" w:sz="4" w:space="0" w:color="auto"/>
              <w:right w:val="nil"/>
            </w:tcBorders>
            <w:shd w:val="clear" w:color="000000" w:fill="F2F2F2"/>
            <w:noWrap/>
            <w:vAlign w:val="center"/>
            <w:hideMark/>
          </w:tcPr>
          <w:p w14:paraId="04AD55A7" w14:textId="77777777" w:rsidR="001656B9" w:rsidRPr="00887119" w:rsidRDefault="001656B9" w:rsidP="001656B9">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Province</w:t>
            </w:r>
          </w:p>
        </w:tc>
        <w:tc>
          <w:tcPr>
            <w:tcW w:w="2368" w:type="dxa"/>
            <w:tcBorders>
              <w:top w:val="nil"/>
              <w:left w:val="single" w:sz="4" w:space="0" w:color="auto"/>
              <w:bottom w:val="single" w:sz="4" w:space="0" w:color="auto"/>
              <w:right w:val="single" w:sz="4" w:space="0" w:color="BFBFBF"/>
            </w:tcBorders>
            <w:shd w:val="clear" w:color="000000" w:fill="F2F2F2"/>
            <w:noWrap/>
            <w:vAlign w:val="center"/>
            <w:hideMark/>
          </w:tcPr>
          <w:p w14:paraId="08BB8B0A"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Health care and social assistance [62]</w:t>
            </w:r>
          </w:p>
        </w:tc>
        <w:tc>
          <w:tcPr>
            <w:tcW w:w="2368" w:type="dxa"/>
            <w:tcBorders>
              <w:top w:val="nil"/>
              <w:left w:val="nil"/>
              <w:bottom w:val="single" w:sz="4" w:space="0" w:color="auto"/>
              <w:right w:val="single" w:sz="4" w:space="0" w:color="BFBFBF"/>
            </w:tcBorders>
            <w:shd w:val="clear" w:color="000000" w:fill="F2F2F2"/>
            <w:noWrap/>
            <w:vAlign w:val="center"/>
            <w:hideMark/>
          </w:tcPr>
          <w:p w14:paraId="1DD1B594"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Public administration [91]</w:t>
            </w:r>
          </w:p>
        </w:tc>
        <w:tc>
          <w:tcPr>
            <w:tcW w:w="2369" w:type="dxa"/>
            <w:tcBorders>
              <w:top w:val="nil"/>
              <w:left w:val="nil"/>
              <w:bottom w:val="single" w:sz="4" w:space="0" w:color="auto"/>
              <w:right w:val="single" w:sz="4" w:space="0" w:color="auto"/>
            </w:tcBorders>
            <w:shd w:val="clear" w:color="000000" w:fill="F2F2F2"/>
            <w:noWrap/>
            <w:vAlign w:val="center"/>
            <w:hideMark/>
          </w:tcPr>
          <w:p w14:paraId="112F9FDE"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Retail trade [44-45]</w:t>
            </w:r>
          </w:p>
        </w:tc>
      </w:tr>
      <w:tr w:rsidR="001656B9" w:rsidRPr="00887119" w14:paraId="3BA5382B" w14:textId="77777777" w:rsidTr="00507F54">
        <w:trPr>
          <w:trHeight w:val="530"/>
        </w:trPr>
        <w:tc>
          <w:tcPr>
            <w:tcW w:w="2245" w:type="dxa"/>
            <w:tcBorders>
              <w:top w:val="nil"/>
              <w:left w:val="single" w:sz="4" w:space="0" w:color="auto"/>
              <w:bottom w:val="single" w:sz="4" w:space="0" w:color="BFBFBF"/>
              <w:right w:val="nil"/>
            </w:tcBorders>
            <w:noWrap/>
            <w:vAlign w:val="center"/>
            <w:hideMark/>
          </w:tcPr>
          <w:p w14:paraId="74F2BC24" w14:textId="77777777" w:rsidR="001656B9" w:rsidRPr="00887119" w:rsidRDefault="001656B9" w:rsidP="001656B9">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Urban</w:t>
            </w:r>
          </w:p>
        </w:tc>
        <w:tc>
          <w:tcPr>
            <w:tcW w:w="2368" w:type="dxa"/>
            <w:tcBorders>
              <w:top w:val="nil"/>
              <w:left w:val="single" w:sz="4" w:space="0" w:color="auto"/>
              <w:bottom w:val="single" w:sz="4" w:space="0" w:color="BFBFBF"/>
              <w:right w:val="single" w:sz="4" w:space="0" w:color="BFBFBF"/>
            </w:tcBorders>
            <w:noWrap/>
            <w:vAlign w:val="center"/>
            <w:hideMark/>
          </w:tcPr>
          <w:p w14:paraId="1F28B21B"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Health care and social assistance [62]</w:t>
            </w:r>
          </w:p>
        </w:tc>
        <w:tc>
          <w:tcPr>
            <w:tcW w:w="2368" w:type="dxa"/>
            <w:tcBorders>
              <w:top w:val="nil"/>
              <w:left w:val="nil"/>
              <w:bottom w:val="single" w:sz="4" w:space="0" w:color="BFBFBF"/>
              <w:right w:val="single" w:sz="4" w:space="0" w:color="BFBFBF"/>
            </w:tcBorders>
            <w:noWrap/>
            <w:vAlign w:val="center"/>
            <w:hideMark/>
          </w:tcPr>
          <w:p w14:paraId="7745878D"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Retail trade [44-45]</w:t>
            </w:r>
          </w:p>
        </w:tc>
        <w:tc>
          <w:tcPr>
            <w:tcW w:w="2369" w:type="dxa"/>
            <w:tcBorders>
              <w:top w:val="nil"/>
              <w:left w:val="nil"/>
              <w:bottom w:val="single" w:sz="4" w:space="0" w:color="BFBFBF"/>
              <w:right w:val="single" w:sz="4" w:space="0" w:color="auto"/>
            </w:tcBorders>
            <w:noWrap/>
            <w:vAlign w:val="center"/>
            <w:hideMark/>
          </w:tcPr>
          <w:p w14:paraId="416E32F2"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Public administration [91]</w:t>
            </w:r>
          </w:p>
        </w:tc>
      </w:tr>
      <w:tr w:rsidR="001656B9" w:rsidRPr="00887119" w14:paraId="6928C223" w14:textId="77777777" w:rsidTr="00507F54">
        <w:trPr>
          <w:trHeight w:val="530"/>
        </w:trPr>
        <w:tc>
          <w:tcPr>
            <w:tcW w:w="2245" w:type="dxa"/>
            <w:tcBorders>
              <w:top w:val="nil"/>
              <w:left w:val="single" w:sz="4" w:space="0" w:color="auto"/>
              <w:bottom w:val="single" w:sz="4" w:space="0" w:color="BFBFBF"/>
              <w:right w:val="nil"/>
            </w:tcBorders>
            <w:shd w:val="clear" w:color="auto" w:fill="F2F2F2" w:themeFill="background1" w:themeFillShade="F2"/>
            <w:noWrap/>
            <w:vAlign w:val="center"/>
            <w:hideMark/>
          </w:tcPr>
          <w:p w14:paraId="4C68A3AF" w14:textId="77777777" w:rsidR="001656B9" w:rsidRPr="00887119" w:rsidRDefault="001656B9" w:rsidP="001656B9">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Small urban</w:t>
            </w:r>
          </w:p>
        </w:tc>
        <w:tc>
          <w:tcPr>
            <w:tcW w:w="2368" w:type="dxa"/>
            <w:tcBorders>
              <w:top w:val="nil"/>
              <w:left w:val="single" w:sz="4" w:space="0" w:color="auto"/>
              <w:bottom w:val="single" w:sz="4" w:space="0" w:color="BFBFBF"/>
              <w:right w:val="single" w:sz="4" w:space="0" w:color="BFBFBF"/>
            </w:tcBorders>
            <w:shd w:val="clear" w:color="auto" w:fill="F2F2F2" w:themeFill="background1" w:themeFillShade="F2"/>
            <w:noWrap/>
            <w:vAlign w:val="center"/>
            <w:hideMark/>
          </w:tcPr>
          <w:p w14:paraId="655C5726"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Health care and social assistance [62]</w:t>
            </w:r>
          </w:p>
        </w:tc>
        <w:tc>
          <w:tcPr>
            <w:tcW w:w="2368"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22884032"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Manufacturing [31-33]</w:t>
            </w:r>
          </w:p>
        </w:tc>
        <w:tc>
          <w:tcPr>
            <w:tcW w:w="2369" w:type="dxa"/>
            <w:tcBorders>
              <w:top w:val="nil"/>
              <w:left w:val="nil"/>
              <w:bottom w:val="single" w:sz="4" w:space="0" w:color="BFBFBF"/>
              <w:right w:val="single" w:sz="4" w:space="0" w:color="auto"/>
            </w:tcBorders>
            <w:shd w:val="clear" w:color="auto" w:fill="F2F2F2" w:themeFill="background1" w:themeFillShade="F2"/>
            <w:noWrap/>
            <w:vAlign w:val="center"/>
            <w:hideMark/>
          </w:tcPr>
          <w:p w14:paraId="60138D83"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Retail trade [44-45]</w:t>
            </w:r>
          </w:p>
        </w:tc>
      </w:tr>
      <w:tr w:rsidR="001656B9" w:rsidRPr="00887119" w14:paraId="6E699ADE" w14:textId="77777777" w:rsidTr="00507F54">
        <w:trPr>
          <w:trHeight w:val="530"/>
        </w:trPr>
        <w:tc>
          <w:tcPr>
            <w:tcW w:w="2245" w:type="dxa"/>
            <w:tcBorders>
              <w:top w:val="nil"/>
              <w:left w:val="single" w:sz="4" w:space="0" w:color="auto"/>
              <w:bottom w:val="single" w:sz="4" w:space="0" w:color="BFBFBF"/>
              <w:right w:val="nil"/>
            </w:tcBorders>
            <w:noWrap/>
            <w:vAlign w:val="center"/>
            <w:hideMark/>
          </w:tcPr>
          <w:p w14:paraId="5BACB9F7" w14:textId="77777777" w:rsidR="001656B9" w:rsidRPr="00887119" w:rsidRDefault="001656B9" w:rsidP="001656B9">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Rural (urban adjacent)</w:t>
            </w:r>
          </w:p>
        </w:tc>
        <w:tc>
          <w:tcPr>
            <w:tcW w:w="2368" w:type="dxa"/>
            <w:tcBorders>
              <w:top w:val="nil"/>
              <w:left w:val="single" w:sz="4" w:space="0" w:color="auto"/>
              <w:bottom w:val="single" w:sz="4" w:space="0" w:color="BFBFBF"/>
              <w:right w:val="single" w:sz="4" w:space="0" w:color="BFBFBF"/>
            </w:tcBorders>
            <w:noWrap/>
            <w:vAlign w:val="center"/>
            <w:hideMark/>
          </w:tcPr>
          <w:p w14:paraId="0C671F3C"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Health care and social assistance [62]</w:t>
            </w:r>
          </w:p>
        </w:tc>
        <w:tc>
          <w:tcPr>
            <w:tcW w:w="2368" w:type="dxa"/>
            <w:tcBorders>
              <w:top w:val="nil"/>
              <w:left w:val="nil"/>
              <w:bottom w:val="single" w:sz="4" w:space="0" w:color="BFBFBF"/>
              <w:right w:val="single" w:sz="4" w:space="0" w:color="BFBFBF"/>
            </w:tcBorders>
            <w:noWrap/>
            <w:vAlign w:val="center"/>
            <w:hideMark/>
          </w:tcPr>
          <w:p w14:paraId="6B2606DA"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Public administration [91]</w:t>
            </w:r>
          </w:p>
        </w:tc>
        <w:tc>
          <w:tcPr>
            <w:tcW w:w="2369" w:type="dxa"/>
            <w:tcBorders>
              <w:top w:val="nil"/>
              <w:left w:val="nil"/>
              <w:bottom w:val="single" w:sz="4" w:space="0" w:color="BFBFBF"/>
              <w:right w:val="single" w:sz="4" w:space="0" w:color="auto"/>
            </w:tcBorders>
            <w:noWrap/>
            <w:vAlign w:val="center"/>
            <w:hideMark/>
          </w:tcPr>
          <w:p w14:paraId="2CE1D308"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Construction [23]</w:t>
            </w:r>
          </w:p>
        </w:tc>
      </w:tr>
      <w:tr w:rsidR="001656B9" w:rsidRPr="00887119" w14:paraId="02037C4D" w14:textId="77777777" w:rsidTr="00507F54">
        <w:trPr>
          <w:trHeight w:val="539"/>
        </w:trPr>
        <w:tc>
          <w:tcPr>
            <w:tcW w:w="2245" w:type="dxa"/>
            <w:tcBorders>
              <w:top w:val="nil"/>
              <w:left w:val="single" w:sz="4" w:space="0" w:color="auto"/>
              <w:bottom w:val="single" w:sz="4" w:space="0" w:color="BFBFBF"/>
              <w:right w:val="nil"/>
            </w:tcBorders>
            <w:shd w:val="clear" w:color="auto" w:fill="F2F2F2" w:themeFill="background1" w:themeFillShade="F2"/>
            <w:noWrap/>
            <w:vAlign w:val="center"/>
            <w:hideMark/>
          </w:tcPr>
          <w:p w14:paraId="646722FE" w14:textId="77777777" w:rsidR="001656B9" w:rsidRPr="00887119" w:rsidRDefault="001656B9" w:rsidP="001656B9">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Rural (remote)</w:t>
            </w:r>
          </w:p>
        </w:tc>
        <w:tc>
          <w:tcPr>
            <w:tcW w:w="2368" w:type="dxa"/>
            <w:tcBorders>
              <w:top w:val="nil"/>
              <w:left w:val="single" w:sz="4" w:space="0" w:color="auto"/>
              <w:bottom w:val="single" w:sz="4" w:space="0" w:color="BFBFBF"/>
              <w:right w:val="single" w:sz="4" w:space="0" w:color="BFBFBF"/>
            </w:tcBorders>
            <w:shd w:val="clear" w:color="auto" w:fill="F2F2F2" w:themeFill="background1" w:themeFillShade="F2"/>
            <w:noWrap/>
            <w:vAlign w:val="center"/>
            <w:hideMark/>
          </w:tcPr>
          <w:p w14:paraId="63B65D49"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Agriculture, forestry, fishing and hunting [11]</w:t>
            </w:r>
          </w:p>
        </w:tc>
        <w:tc>
          <w:tcPr>
            <w:tcW w:w="2368"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6625B2C0"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Manufacturing [31-33]</w:t>
            </w:r>
          </w:p>
        </w:tc>
        <w:tc>
          <w:tcPr>
            <w:tcW w:w="2369" w:type="dxa"/>
            <w:tcBorders>
              <w:top w:val="nil"/>
              <w:left w:val="nil"/>
              <w:bottom w:val="single" w:sz="4" w:space="0" w:color="BFBFBF"/>
              <w:right w:val="single" w:sz="4" w:space="0" w:color="auto"/>
            </w:tcBorders>
            <w:shd w:val="clear" w:color="auto" w:fill="F2F2F2" w:themeFill="background1" w:themeFillShade="F2"/>
            <w:noWrap/>
            <w:vAlign w:val="center"/>
            <w:hideMark/>
          </w:tcPr>
          <w:p w14:paraId="4F476BE8"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Health care and social assistance [62]</w:t>
            </w:r>
          </w:p>
        </w:tc>
      </w:tr>
      <w:tr w:rsidR="001656B9" w:rsidRPr="00887119" w14:paraId="5697AB2A" w14:textId="77777777" w:rsidTr="00507F54">
        <w:trPr>
          <w:trHeight w:val="521"/>
        </w:trPr>
        <w:tc>
          <w:tcPr>
            <w:tcW w:w="2245" w:type="dxa"/>
            <w:tcBorders>
              <w:top w:val="nil"/>
              <w:left w:val="single" w:sz="4" w:space="0" w:color="auto"/>
              <w:bottom w:val="single" w:sz="4" w:space="0" w:color="auto"/>
              <w:right w:val="nil"/>
            </w:tcBorders>
            <w:noWrap/>
            <w:vAlign w:val="center"/>
            <w:hideMark/>
          </w:tcPr>
          <w:p w14:paraId="5AC4415B" w14:textId="55E38E19" w:rsidR="001656B9" w:rsidRPr="00887119" w:rsidRDefault="00FB7A1C" w:rsidP="001656B9">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On-reserve</w:t>
            </w:r>
          </w:p>
        </w:tc>
        <w:tc>
          <w:tcPr>
            <w:tcW w:w="2368" w:type="dxa"/>
            <w:tcBorders>
              <w:top w:val="nil"/>
              <w:left w:val="single" w:sz="4" w:space="0" w:color="auto"/>
              <w:bottom w:val="single" w:sz="4" w:space="0" w:color="auto"/>
              <w:right w:val="single" w:sz="4" w:space="0" w:color="BFBFBF"/>
            </w:tcBorders>
            <w:noWrap/>
            <w:vAlign w:val="center"/>
            <w:hideMark/>
          </w:tcPr>
          <w:p w14:paraId="360C206B"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Agriculture, forestry, fishing and hunting [11]</w:t>
            </w:r>
          </w:p>
        </w:tc>
        <w:tc>
          <w:tcPr>
            <w:tcW w:w="2368" w:type="dxa"/>
            <w:tcBorders>
              <w:top w:val="nil"/>
              <w:left w:val="nil"/>
              <w:bottom w:val="single" w:sz="4" w:space="0" w:color="auto"/>
              <w:right w:val="single" w:sz="4" w:space="0" w:color="BFBFBF"/>
            </w:tcBorders>
            <w:noWrap/>
            <w:vAlign w:val="center"/>
            <w:hideMark/>
          </w:tcPr>
          <w:p w14:paraId="0A4489FB"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Public administration [91]</w:t>
            </w:r>
          </w:p>
        </w:tc>
        <w:tc>
          <w:tcPr>
            <w:tcW w:w="2369" w:type="dxa"/>
            <w:tcBorders>
              <w:top w:val="nil"/>
              <w:left w:val="nil"/>
              <w:bottom w:val="single" w:sz="4" w:space="0" w:color="auto"/>
              <w:right w:val="single" w:sz="4" w:space="0" w:color="auto"/>
            </w:tcBorders>
            <w:noWrap/>
            <w:vAlign w:val="center"/>
            <w:hideMark/>
          </w:tcPr>
          <w:p w14:paraId="026E2540" w14:textId="77777777" w:rsidR="001656B9" w:rsidRPr="002E10EB" w:rsidRDefault="001656B9" w:rsidP="00507F54">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Health care and social assistance [62]</w:t>
            </w:r>
          </w:p>
        </w:tc>
      </w:tr>
    </w:tbl>
    <w:p w14:paraId="069A5AD0" w14:textId="0F92BAFB" w:rsidR="00952F0E" w:rsidRPr="00887119" w:rsidRDefault="00952F0E" w:rsidP="00952F0E">
      <w:pPr>
        <w:pStyle w:val="Source"/>
      </w:pPr>
      <w:r w:rsidRPr="00887119">
        <w:t xml:space="preserve">Source: </w:t>
      </w:r>
      <w:r w:rsidR="004968F8" w:rsidRPr="00887119">
        <w:t xml:space="preserve">derived from </w:t>
      </w:r>
      <w:r w:rsidRPr="00887119">
        <w:t>Statistics Canada 2021 Census Profile</w:t>
      </w:r>
    </w:p>
    <w:p w14:paraId="6A9A92FC" w14:textId="77777777" w:rsidR="00952F0E" w:rsidRPr="00887119" w:rsidRDefault="00952F0E" w:rsidP="00952F0E"/>
    <w:p w14:paraId="63E99086" w14:textId="6EC6B5FB" w:rsidR="00EE72E7" w:rsidRPr="00887119" w:rsidRDefault="00EE72E7" w:rsidP="00EE72E7">
      <w:r w:rsidRPr="00887119">
        <w:t xml:space="preserve">Health care and social assistance is the most prevalent industry across all geographic categories except rural remote and on-reserve, reflecting its role as a foundational employment sector throughout </w:t>
      </w:r>
      <w:r w:rsidR="00402288" w:rsidRPr="00402288">
        <w:rPr>
          <w:color w:val="C00000"/>
        </w:rPr>
        <w:t>PEI</w:t>
      </w:r>
      <w:r w:rsidRPr="00887119">
        <w:t>. In rural remote areas and on-reserve communities, agriculture, forestry, fishing, and hunting is the dominant industry</w:t>
      </w:r>
      <w:r w:rsidR="00882C49" w:rsidRPr="00887119">
        <w:t>,</w:t>
      </w:r>
      <w:r w:rsidRPr="00887119">
        <w:t xml:space="preserve"> a sector characterized by seasonal employment and income volatility that compounds affordability risk for affected households. Manufacturing appears in the top three for both small urban and rural remote areas, while public administration is prominent in urban and rural urban-adjacent categories, consistent with the distribution of government services. Retail trade features prominently in urban and small urban areas, a sector that tends to produce lower hourly wages and irregular hours relative to public sector employment, contributing to the affordability pressures concentrated in those markets.</w:t>
      </w:r>
    </w:p>
    <w:p w14:paraId="125A5C1E" w14:textId="77777777" w:rsidR="00EE72E7" w:rsidRPr="00887119" w:rsidRDefault="00EE72E7" w:rsidP="00EE72E7"/>
    <w:p w14:paraId="2F8CB2E8" w14:textId="77777777" w:rsidR="00EE72E7" w:rsidRPr="00887119" w:rsidRDefault="00EE72E7" w:rsidP="00EE72E7">
      <w:r w:rsidRPr="00887119">
        <w:t>The prominence of seasonal and resource-dependent employment in rural remote areas and on-reserve communities has direct implications for housing affordability. Income volatility associated with agriculture, fisheries, and forestry makes it difficult for households to sustain consistent shelter costs, increasing both the risk of housing precarity and reliance on Employment Insurance as a supplementary income source. This structural employment pattern reinforces why even lower nominal rent levels in rural remote areas do not necessarily translate into greater affordability for residents whose annual household incomes are subject to substantial seasonal variation.</w:t>
      </w:r>
    </w:p>
    <w:p w14:paraId="3DE29C5C" w14:textId="77777777" w:rsidR="00EE72E7" w:rsidRPr="00887119" w:rsidRDefault="00EE72E7" w:rsidP="00EE72E7"/>
    <w:p w14:paraId="09F7B93B" w14:textId="77777777" w:rsidR="00952F0E" w:rsidRPr="00887119" w:rsidRDefault="00952F0E" w:rsidP="00952F0E">
      <w:pPr>
        <w:pStyle w:val="Heading3"/>
      </w:pPr>
      <w:r w:rsidRPr="00887119">
        <w:t>Commuting</w:t>
      </w:r>
    </w:p>
    <w:p w14:paraId="7F89C29A" w14:textId="2A316698" w:rsidR="00952F0E" w:rsidRPr="00887119" w:rsidRDefault="00952F0E" w:rsidP="00952F0E">
      <w:r w:rsidRPr="00887119">
        <w:rPr>
          <w:rStyle w:val="Figure-textChar"/>
        </w:rPr>
        <w:fldChar w:fldCharType="begin"/>
      </w:r>
      <w:r w:rsidRPr="00887119">
        <w:rPr>
          <w:rStyle w:val="Figure-textChar"/>
        </w:rPr>
        <w:instrText xml:space="preserve"> REF _Ref223274819 \h  \* MERGEFORMAT </w:instrText>
      </w:r>
      <w:r w:rsidRPr="00887119">
        <w:rPr>
          <w:rStyle w:val="Figure-textChar"/>
        </w:rPr>
      </w:r>
      <w:r w:rsidRPr="00887119">
        <w:rPr>
          <w:rStyle w:val="Figure-textChar"/>
        </w:rPr>
        <w:fldChar w:fldCharType="separate"/>
      </w:r>
      <w:r w:rsidR="008D4BDE" w:rsidRPr="008D4BDE">
        <w:rPr>
          <w:rStyle w:val="Figure-textChar"/>
        </w:rPr>
        <w:t>Table 7.3</w:t>
      </w:r>
      <w:r w:rsidRPr="00887119">
        <w:rPr>
          <w:rStyle w:val="Figure-textChar"/>
        </w:rPr>
        <w:fldChar w:fldCharType="end"/>
      </w:r>
      <w:r w:rsidRPr="00887119">
        <w:t xml:space="preserve"> </w:t>
      </w:r>
      <w:r w:rsidR="00910AC8" w:rsidRPr="00887119">
        <w:t xml:space="preserve">presents commuting destinations by geographic category of residence, revealing the relationship between where people live and where they work across </w:t>
      </w:r>
      <w:r w:rsidR="00402288" w:rsidRPr="00402288">
        <w:rPr>
          <w:color w:val="C00000"/>
        </w:rPr>
        <w:t>PEI</w:t>
      </w:r>
      <w:r w:rsidR="00910AC8" w:rsidRPr="00887119">
        <w:t xml:space="preserve">’s urban-rural spectrum, </w:t>
      </w:r>
      <w:r w:rsidR="00910AC8" w:rsidRPr="00887119">
        <w:lastRenderedPageBreak/>
        <w:t>and highlighting the degree to which different communities function as employment hubs, bedroom communities, or self-contained labour markets.</w:t>
      </w:r>
    </w:p>
    <w:p w14:paraId="62FB9AA9" w14:textId="77777777" w:rsidR="00952F0E" w:rsidRPr="00887119" w:rsidRDefault="00952F0E" w:rsidP="00952F0E"/>
    <w:p w14:paraId="69692407" w14:textId="50B0CE67" w:rsidR="00952F0E" w:rsidRPr="00887119" w:rsidRDefault="00952F0E" w:rsidP="00952F0E">
      <w:pPr>
        <w:pStyle w:val="Caption"/>
      </w:pPr>
      <w:bookmarkStart w:id="65" w:name="_Ref223274819"/>
      <w:r w:rsidRPr="00887119">
        <w:t xml:space="preserve">Table </w:t>
      </w:r>
      <w:fldSimple w:instr=" STYLEREF 1 \s ">
        <w:r w:rsidR="008D4BDE">
          <w:rPr>
            <w:noProof/>
          </w:rPr>
          <w:t>7</w:t>
        </w:r>
      </w:fldSimple>
      <w:r w:rsidR="00EE1FE9">
        <w:t>.</w:t>
      </w:r>
      <w:fldSimple w:instr=" SEQ Table \* ARABIC \s 1 ">
        <w:r w:rsidR="008D4BDE">
          <w:rPr>
            <w:noProof/>
          </w:rPr>
          <w:t>3</w:t>
        </w:r>
      </w:fldSimple>
      <w:bookmarkEnd w:id="65"/>
      <w:r w:rsidRPr="00887119">
        <w:t xml:space="preserve">: </w:t>
      </w:r>
      <w:r w:rsidR="00B62FE2" w:rsidRPr="00887119">
        <w:t>Commuting destinations by geographic category of residence</w:t>
      </w:r>
      <w:r w:rsidRPr="00887119">
        <w:t>, 2021</w:t>
      </w:r>
    </w:p>
    <w:tbl>
      <w:tblPr>
        <w:tblW w:w="9355" w:type="dxa"/>
        <w:tblLayout w:type="fixed"/>
        <w:tblLook w:val="04A0" w:firstRow="1" w:lastRow="0" w:firstColumn="1" w:lastColumn="0" w:noHBand="0" w:noVBand="1"/>
      </w:tblPr>
      <w:tblGrid>
        <w:gridCol w:w="3145"/>
        <w:gridCol w:w="1035"/>
        <w:gridCol w:w="1035"/>
        <w:gridCol w:w="1035"/>
        <w:gridCol w:w="1035"/>
        <w:gridCol w:w="1035"/>
        <w:gridCol w:w="1035"/>
      </w:tblGrid>
      <w:tr w:rsidR="00621D02" w:rsidRPr="00887119" w14:paraId="34A9EE67" w14:textId="77777777" w:rsidTr="00353775">
        <w:trPr>
          <w:trHeight w:val="494"/>
          <w:tblHeader/>
        </w:trPr>
        <w:tc>
          <w:tcPr>
            <w:tcW w:w="314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026F7786" w14:textId="77777777" w:rsidR="00621D02" w:rsidRPr="00887119" w:rsidRDefault="00621D02" w:rsidP="00621D02">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Population category</w:t>
            </w:r>
          </w:p>
        </w:tc>
        <w:tc>
          <w:tcPr>
            <w:tcW w:w="103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09490183" w14:textId="77777777" w:rsidR="00621D02" w:rsidRPr="00887119" w:rsidRDefault="00621D02" w:rsidP="00621D0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03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0478CAE" w14:textId="77777777" w:rsidR="00621D02" w:rsidRPr="00887119" w:rsidRDefault="00621D02" w:rsidP="00621D0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03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3ECC335" w14:textId="77777777" w:rsidR="00621D02" w:rsidRPr="00887119" w:rsidRDefault="00621D02" w:rsidP="00621D0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03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D09937B" w14:textId="77777777" w:rsidR="00621D02" w:rsidRPr="00887119" w:rsidRDefault="00621D02" w:rsidP="00621D0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035"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36BBD9C" w14:textId="77777777" w:rsidR="00621D02" w:rsidRPr="00887119" w:rsidRDefault="00621D02" w:rsidP="00621D0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c>
          <w:tcPr>
            <w:tcW w:w="1035"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755E11C" w14:textId="42C1B1BA" w:rsidR="00621D02" w:rsidRPr="00887119" w:rsidRDefault="00FB7A1C" w:rsidP="00621D02">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On-reserve</w:t>
            </w:r>
          </w:p>
        </w:tc>
      </w:tr>
      <w:tr w:rsidR="00621D02" w:rsidRPr="00887119" w14:paraId="51132046" w14:textId="77777777" w:rsidTr="00F5708A">
        <w:trPr>
          <w:trHeight w:val="402"/>
        </w:trPr>
        <w:tc>
          <w:tcPr>
            <w:tcW w:w="3145" w:type="dxa"/>
            <w:tcBorders>
              <w:top w:val="nil"/>
              <w:left w:val="single" w:sz="4" w:space="0" w:color="auto"/>
              <w:bottom w:val="single" w:sz="4" w:space="0" w:color="BFBFBF"/>
              <w:right w:val="nil"/>
            </w:tcBorders>
            <w:shd w:val="clear" w:color="000000" w:fill="F2F2F2"/>
            <w:noWrap/>
            <w:vAlign w:val="center"/>
            <w:hideMark/>
          </w:tcPr>
          <w:p w14:paraId="762BA960" w14:textId="77777777" w:rsidR="00621D02" w:rsidRPr="00887119" w:rsidRDefault="00621D02" w:rsidP="00621D02">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Within community</w:t>
            </w:r>
          </w:p>
        </w:tc>
        <w:tc>
          <w:tcPr>
            <w:tcW w:w="1035" w:type="dxa"/>
            <w:tcBorders>
              <w:top w:val="nil"/>
              <w:left w:val="single" w:sz="4" w:space="0" w:color="auto"/>
              <w:bottom w:val="single" w:sz="4" w:space="0" w:color="BFBFBF"/>
              <w:right w:val="single" w:sz="4" w:space="0" w:color="auto"/>
            </w:tcBorders>
            <w:shd w:val="clear" w:color="000000" w:fill="F2F2F2"/>
            <w:noWrap/>
            <w:vAlign w:val="center"/>
            <w:hideMark/>
          </w:tcPr>
          <w:p w14:paraId="040DBE6A"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41%</w:t>
            </w:r>
          </w:p>
        </w:tc>
        <w:tc>
          <w:tcPr>
            <w:tcW w:w="1035" w:type="dxa"/>
            <w:tcBorders>
              <w:top w:val="nil"/>
              <w:left w:val="nil"/>
              <w:bottom w:val="single" w:sz="4" w:space="0" w:color="BFBFBF"/>
              <w:right w:val="single" w:sz="4" w:space="0" w:color="BFBFBF"/>
            </w:tcBorders>
            <w:shd w:val="clear" w:color="000000" w:fill="F2F2F2"/>
            <w:noWrap/>
            <w:vAlign w:val="center"/>
            <w:hideMark/>
          </w:tcPr>
          <w:p w14:paraId="4AD3CC6C"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69%</w:t>
            </w:r>
          </w:p>
        </w:tc>
        <w:tc>
          <w:tcPr>
            <w:tcW w:w="1035" w:type="dxa"/>
            <w:tcBorders>
              <w:top w:val="nil"/>
              <w:left w:val="nil"/>
              <w:bottom w:val="single" w:sz="4" w:space="0" w:color="BFBFBF"/>
              <w:right w:val="single" w:sz="4" w:space="0" w:color="BFBFBF"/>
            </w:tcBorders>
            <w:shd w:val="clear" w:color="000000" w:fill="F2F2F2"/>
            <w:noWrap/>
            <w:vAlign w:val="center"/>
            <w:hideMark/>
          </w:tcPr>
          <w:p w14:paraId="3A562D9E"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w:t>
            </w:r>
          </w:p>
        </w:tc>
        <w:tc>
          <w:tcPr>
            <w:tcW w:w="1035" w:type="dxa"/>
            <w:tcBorders>
              <w:top w:val="nil"/>
              <w:left w:val="nil"/>
              <w:bottom w:val="single" w:sz="4" w:space="0" w:color="BFBFBF"/>
              <w:right w:val="single" w:sz="4" w:space="0" w:color="BFBFBF"/>
            </w:tcBorders>
            <w:shd w:val="clear" w:color="000000" w:fill="F2F2F2"/>
            <w:noWrap/>
            <w:vAlign w:val="center"/>
            <w:hideMark/>
          </w:tcPr>
          <w:p w14:paraId="1720CCD5"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035" w:type="dxa"/>
            <w:tcBorders>
              <w:top w:val="nil"/>
              <w:left w:val="nil"/>
              <w:bottom w:val="single" w:sz="4" w:space="0" w:color="BFBFBF"/>
              <w:right w:val="single" w:sz="4" w:space="0" w:color="BFBFBF"/>
            </w:tcBorders>
            <w:shd w:val="clear" w:color="000000" w:fill="F2F2F2"/>
            <w:noWrap/>
            <w:vAlign w:val="center"/>
            <w:hideMark/>
          </w:tcPr>
          <w:p w14:paraId="605ED753"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19%</w:t>
            </w:r>
          </w:p>
        </w:tc>
        <w:tc>
          <w:tcPr>
            <w:tcW w:w="1035" w:type="dxa"/>
            <w:tcBorders>
              <w:top w:val="nil"/>
              <w:left w:val="nil"/>
              <w:bottom w:val="single" w:sz="4" w:space="0" w:color="BFBFBF"/>
              <w:right w:val="single" w:sz="4" w:space="0" w:color="auto"/>
            </w:tcBorders>
            <w:shd w:val="clear" w:color="000000" w:fill="F2F2F2"/>
            <w:noWrap/>
            <w:vAlign w:val="center"/>
            <w:hideMark/>
          </w:tcPr>
          <w:p w14:paraId="31778416"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68%</w:t>
            </w:r>
          </w:p>
        </w:tc>
      </w:tr>
      <w:tr w:rsidR="00621D02" w:rsidRPr="00887119" w14:paraId="10861A91" w14:textId="77777777" w:rsidTr="00F5708A">
        <w:trPr>
          <w:trHeight w:val="402"/>
        </w:trPr>
        <w:tc>
          <w:tcPr>
            <w:tcW w:w="3145" w:type="dxa"/>
            <w:tcBorders>
              <w:top w:val="nil"/>
              <w:left w:val="single" w:sz="4" w:space="0" w:color="auto"/>
              <w:bottom w:val="single" w:sz="4" w:space="0" w:color="BFBFBF"/>
              <w:right w:val="nil"/>
            </w:tcBorders>
            <w:noWrap/>
            <w:vAlign w:val="center"/>
            <w:hideMark/>
          </w:tcPr>
          <w:p w14:paraId="65CA06ED" w14:textId="77777777" w:rsidR="00621D02" w:rsidRPr="00887119" w:rsidRDefault="00621D02" w:rsidP="00621D02">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Outside community but within region</w:t>
            </w:r>
          </w:p>
        </w:tc>
        <w:tc>
          <w:tcPr>
            <w:tcW w:w="1035" w:type="dxa"/>
            <w:tcBorders>
              <w:top w:val="nil"/>
              <w:left w:val="single" w:sz="4" w:space="0" w:color="auto"/>
              <w:bottom w:val="single" w:sz="4" w:space="0" w:color="BFBFBF"/>
              <w:right w:val="single" w:sz="4" w:space="0" w:color="auto"/>
            </w:tcBorders>
            <w:noWrap/>
            <w:vAlign w:val="center"/>
            <w:hideMark/>
          </w:tcPr>
          <w:p w14:paraId="1278A8B6"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47%</w:t>
            </w:r>
          </w:p>
        </w:tc>
        <w:tc>
          <w:tcPr>
            <w:tcW w:w="1035" w:type="dxa"/>
            <w:tcBorders>
              <w:top w:val="nil"/>
              <w:left w:val="nil"/>
              <w:bottom w:val="single" w:sz="4" w:space="0" w:color="BFBFBF"/>
              <w:right w:val="single" w:sz="4" w:space="0" w:color="BFBFBF"/>
            </w:tcBorders>
            <w:noWrap/>
            <w:vAlign w:val="center"/>
            <w:hideMark/>
          </w:tcPr>
          <w:p w14:paraId="57797253"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w:t>
            </w:r>
          </w:p>
        </w:tc>
        <w:tc>
          <w:tcPr>
            <w:tcW w:w="1035" w:type="dxa"/>
            <w:tcBorders>
              <w:top w:val="nil"/>
              <w:left w:val="nil"/>
              <w:bottom w:val="single" w:sz="4" w:space="0" w:color="BFBFBF"/>
              <w:right w:val="single" w:sz="4" w:space="0" w:color="BFBFBF"/>
            </w:tcBorders>
            <w:noWrap/>
            <w:vAlign w:val="center"/>
            <w:hideMark/>
          </w:tcPr>
          <w:p w14:paraId="6923C526"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49%</w:t>
            </w:r>
          </w:p>
        </w:tc>
        <w:tc>
          <w:tcPr>
            <w:tcW w:w="1035" w:type="dxa"/>
            <w:tcBorders>
              <w:top w:val="nil"/>
              <w:left w:val="nil"/>
              <w:bottom w:val="single" w:sz="4" w:space="0" w:color="BFBFBF"/>
              <w:right w:val="single" w:sz="4" w:space="0" w:color="BFBFBF"/>
            </w:tcBorders>
            <w:noWrap/>
            <w:vAlign w:val="center"/>
            <w:hideMark/>
          </w:tcPr>
          <w:p w14:paraId="1C4F2B55"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72%</w:t>
            </w:r>
          </w:p>
        </w:tc>
        <w:tc>
          <w:tcPr>
            <w:tcW w:w="1035" w:type="dxa"/>
            <w:tcBorders>
              <w:top w:val="nil"/>
              <w:left w:val="nil"/>
              <w:bottom w:val="single" w:sz="4" w:space="0" w:color="BFBFBF"/>
              <w:right w:val="single" w:sz="4" w:space="0" w:color="BFBFBF"/>
            </w:tcBorders>
            <w:noWrap/>
            <w:vAlign w:val="center"/>
            <w:hideMark/>
          </w:tcPr>
          <w:p w14:paraId="243E1E44"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68%</w:t>
            </w:r>
          </w:p>
        </w:tc>
        <w:tc>
          <w:tcPr>
            <w:tcW w:w="1035" w:type="dxa"/>
            <w:tcBorders>
              <w:top w:val="nil"/>
              <w:left w:val="nil"/>
              <w:bottom w:val="single" w:sz="4" w:space="0" w:color="BFBFBF"/>
              <w:right w:val="single" w:sz="4" w:space="0" w:color="auto"/>
            </w:tcBorders>
            <w:noWrap/>
            <w:vAlign w:val="center"/>
            <w:hideMark/>
          </w:tcPr>
          <w:p w14:paraId="7E1BEDFE"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32%</w:t>
            </w:r>
          </w:p>
        </w:tc>
      </w:tr>
      <w:tr w:rsidR="00621D02" w:rsidRPr="00887119" w14:paraId="5E89558B" w14:textId="77777777" w:rsidTr="00F5708A">
        <w:trPr>
          <w:trHeight w:val="402"/>
        </w:trPr>
        <w:tc>
          <w:tcPr>
            <w:tcW w:w="3145" w:type="dxa"/>
            <w:tcBorders>
              <w:top w:val="nil"/>
              <w:left w:val="single" w:sz="4" w:space="0" w:color="auto"/>
              <w:bottom w:val="single" w:sz="4" w:space="0" w:color="BFBFBF"/>
              <w:right w:val="nil"/>
            </w:tcBorders>
            <w:shd w:val="clear" w:color="000000" w:fill="F2F2F2"/>
            <w:noWrap/>
            <w:vAlign w:val="center"/>
            <w:hideMark/>
          </w:tcPr>
          <w:p w14:paraId="03B5F8BB" w14:textId="77777777" w:rsidR="00621D02" w:rsidRPr="00887119" w:rsidRDefault="00621D02" w:rsidP="00621D02">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Outside region but within province</w:t>
            </w:r>
          </w:p>
        </w:tc>
        <w:tc>
          <w:tcPr>
            <w:tcW w:w="1035" w:type="dxa"/>
            <w:tcBorders>
              <w:top w:val="nil"/>
              <w:left w:val="single" w:sz="4" w:space="0" w:color="auto"/>
              <w:bottom w:val="single" w:sz="4" w:space="0" w:color="BFBFBF"/>
              <w:right w:val="single" w:sz="4" w:space="0" w:color="auto"/>
            </w:tcBorders>
            <w:shd w:val="clear" w:color="000000" w:fill="F2F2F2"/>
            <w:noWrap/>
            <w:vAlign w:val="center"/>
            <w:hideMark/>
          </w:tcPr>
          <w:p w14:paraId="7713DF6B"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035" w:type="dxa"/>
            <w:tcBorders>
              <w:top w:val="nil"/>
              <w:left w:val="nil"/>
              <w:bottom w:val="single" w:sz="4" w:space="0" w:color="BFBFBF"/>
              <w:right w:val="single" w:sz="4" w:space="0" w:color="BFBFBF"/>
            </w:tcBorders>
            <w:shd w:val="clear" w:color="000000" w:fill="F2F2F2"/>
            <w:noWrap/>
            <w:vAlign w:val="center"/>
            <w:hideMark/>
          </w:tcPr>
          <w:p w14:paraId="4DC4D6F2"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035" w:type="dxa"/>
            <w:tcBorders>
              <w:top w:val="nil"/>
              <w:left w:val="nil"/>
              <w:bottom w:val="single" w:sz="4" w:space="0" w:color="BFBFBF"/>
              <w:right w:val="single" w:sz="4" w:space="0" w:color="BFBFBF"/>
            </w:tcBorders>
            <w:shd w:val="clear" w:color="000000" w:fill="F2F2F2"/>
            <w:noWrap/>
            <w:vAlign w:val="center"/>
            <w:hideMark/>
          </w:tcPr>
          <w:p w14:paraId="1376D071"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1035" w:type="dxa"/>
            <w:tcBorders>
              <w:top w:val="nil"/>
              <w:left w:val="nil"/>
              <w:bottom w:val="single" w:sz="4" w:space="0" w:color="BFBFBF"/>
              <w:right w:val="single" w:sz="4" w:space="0" w:color="BFBFBF"/>
            </w:tcBorders>
            <w:shd w:val="clear" w:color="000000" w:fill="F2F2F2"/>
            <w:noWrap/>
            <w:vAlign w:val="center"/>
            <w:hideMark/>
          </w:tcPr>
          <w:p w14:paraId="50274050"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1035" w:type="dxa"/>
            <w:tcBorders>
              <w:top w:val="nil"/>
              <w:left w:val="nil"/>
              <w:bottom w:val="single" w:sz="4" w:space="0" w:color="BFBFBF"/>
              <w:right w:val="single" w:sz="4" w:space="0" w:color="BFBFBF"/>
            </w:tcBorders>
            <w:shd w:val="clear" w:color="000000" w:fill="F2F2F2"/>
            <w:noWrap/>
            <w:vAlign w:val="center"/>
            <w:hideMark/>
          </w:tcPr>
          <w:p w14:paraId="0CDB1EEC"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035" w:type="dxa"/>
            <w:tcBorders>
              <w:top w:val="nil"/>
              <w:left w:val="nil"/>
              <w:bottom w:val="single" w:sz="4" w:space="0" w:color="BFBFBF"/>
              <w:right w:val="single" w:sz="4" w:space="0" w:color="auto"/>
            </w:tcBorders>
            <w:shd w:val="clear" w:color="000000" w:fill="F2F2F2"/>
            <w:noWrap/>
            <w:vAlign w:val="center"/>
            <w:hideMark/>
          </w:tcPr>
          <w:p w14:paraId="4D3DFFC0"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r w:rsidR="00621D02" w:rsidRPr="00887119" w14:paraId="2685E66F" w14:textId="77777777" w:rsidTr="00F5708A">
        <w:trPr>
          <w:trHeight w:val="402"/>
        </w:trPr>
        <w:tc>
          <w:tcPr>
            <w:tcW w:w="3145" w:type="dxa"/>
            <w:tcBorders>
              <w:top w:val="nil"/>
              <w:left w:val="single" w:sz="4" w:space="0" w:color="auto"/>
              <w:bottom w:val="single" w:sz="4" w:space="0" w:color="auto"/>
              <w:right w:val="nil"/>
            </w:tcBorders>
            <w:noWrap/>
            <w:vAlign w:val="center"/>
            <w:hideMark/>
          </w:tcPr>
          <w:p w14:paraId="55A3ABCF" w14:textId="77777777" w:rsidR="00621D02" w:rsidRPr="00887119" w:rsidRDefault="00621D02" w:rsidP="00621D02">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Outside province</w:t>
            </w:r>
          </w:p>
        </w:tc>
        <w:tc>
          <w:tcPr>
            <w:tcW w:w="1035" w:type="dxa"/>
            <w:tcBorders>
              <w:top w:val="nil"/>
              <w:left w:val="single" w:sz="4" w:space="0" w:color="auto"/>
              <w:bottom w:val="single" w:sz="4" w:space="0" w:color="auto"/>
              <w:right w:val="single" w:sz="4" w:space="0" w:color="auto"/>
            </w:tcBorders>
            <w:noWrap/>
            <w:vAlign w:val="center"/>
            <w:hideMark/>
          </w:tcPr>
          <w:p w14:paraId="0302F6C6"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035" w:type="dxa"/>
            <w:tcBorders>
              <w:top w:val="nil"/>
              <w:left w:val="nil"/>
              <w:bottom w:val="single" w:sz="4" w:space="0" w:color="auto"/>
              <w:right w:val="single" w:sz="4" w:space="0" w:color="BFBFBF"/>
            </w:tcBorders>
            <w:noWrap/>
            <w:vAlign w:val="center"/>
            <w:hideMark/>
          </w:tcPr>
          <w:p w14:paraId="5B834555"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035" w:type="dxa"/>
            <w:tcBorders>
              <w:top w:val="nil"/>
              <w:left w:val="nil"/>
              <w:bottom w:val="single" w:sz="4" w:space="0" w:color="auto"/>
              <w:right w:val="single" w:sz="4" w:space="0" w:color="BFBFBF"/>
            </w:tcBorders>
            <w:noWrap/>
            <w:vAlign w:val="center"/>
            <w:hideMark/>
          </w:tcPr>
          <w:p w14:paraId="5607B521"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035" w:type="dxa"/>
            <w:tcBorders>
              <w:top w:val="nil"/>
              <w:left w:val="nil"/>
              <w:bottom w:val="single" w:sz="4" w:space="0" w:color="auto"/>
              <w:right w:val="single" w:sz="4" w:space="0" w:color="BFBFBF"/>
            </w:tcBorders>
            <w:noWrap/>
            <w:vAlign w:val="center"/>
            <w:hideMark/>
          </w:tcPr>
          <w:p w14:paraId="00BC985F"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035" w:type="dxa"/>
            <w:tcBorders>
              <w:top w:val="nil"/>
              <w:left w:val="nil"/>
              <w:bottom w:val="single" w:sz="4" w:space="0" w:color="auto"/>
              <w:right w:val="single" w:sz="4" w:space="0" w:color="BFBFBF"/>
            </w:tcBorders>
            <w:noWrap/>
            <w:vAlign w:val="center"/>
            <w:hideMark/>
          </w:tcPr>
          <w:p w14:paraId="5E2E1EC5"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035" w:type="dxa"/>
            <w:tcBorders>
              <w:top w:val="nil"/>
              <w:left w:val="nil"/>
              <w:bottom w:val="single" w:sz="4" w:space="0" w:color="auto"/>
              <w:right w:val="single" w:sz="4" w:space="0" w:color="auto"/>
            </w:tcBorders>
            <w:noWrap/>
            <w:vAlign w:val="center"/>
            <w:hideMark/>
          </w:tcPr>
          <w:p w14:paraId="2A5F567E" w14:textId="77777777" w:rsidR="00621D02" w:rsidRPr="002E10EB" w:rsidRDefault="00621D02" w:rsidP="00621D02">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bl>
    <w:p w14:paraId="2D1D7579" w14:textId="0482DAB3" w:rsidR="00952F0E" w:rsidRPr="00887119" w:rsidRDefault="00952F0E" w:rsidP="00952F0E">
      <w:pPr>
        <w:pStyle w:val="Source"/>
      </w:pPr>
      <w:r w:rsidRPr="00887119">
        <w:t>Source: derived from Statistics Canada Table 98-10-0459</w:t>
      </w:r>
    </w:p>
    <w:p w14:paraId="5E306784" w14:textId="77777777" w:rsidR="00952F0E" w:rsidRPr="00887119" w:rsidRDefault="00952F0E" w:rsidP="00952F0E"/>
    <w:p w14:paraId="410FBAB1" w14:textId="7D40A831" w:rsidR="00952682" w:rsidRPr="00887119" w:rsidRDefault="00952682" w:rsidP="00952682">
      <w:r w:rsidRPr="00887119">
        <w:t>The commuting data reveals a</w:t>
      </w:r>
      <w:r w:rsidR="003D4ED4" w:rsidRPr="00887119">
        <w:t xml:space="preserve">n obvious </w:t>
      </w:r>
      <w:r w:rsidRPr="00887119">
        <w:t xml:space="preserve">employment hierarchy across </w:t>
      </w:r>
      <w:r w:rsidR="00402288" w:rsidRPr="00402288">
        <w:rPr>
          <w:color w:val="C00000"/>
        </w:rPr>
        <w:t>PEI</w:t>
      </w:r>
      <w:r w:rsidRPr="00887119">
        <w:t xml:space="preserve">’s geographic categories. Urban areas function as the province’s primary employment hub: 69% of urban residents work within their community, and the urban category likely draws substantial inbound commuters from surrounding areas. Rural urban-adjacent areas show the highest share of out-of-community commuting (72% commuting outside their community but within their region), consistent with their role as bedroom communities </w:t>
      </w:r>
      <w:r w:rsidR="007615EC" w:rsidRPr="00887119">
        <w:t>(</w:t>
      </w:r>
      <w:r w:rsidRPr="00887119">
        <w:t>areas where residents live primarily because of relative affordability while working in larger centres</w:t>
      </w:r>
      <w:r w:rsidR="007615EC" w:rsidRPr="00887119">
        <w:t>)</w:t>
      </w:r>
      <w:r w:rsidRPr="00887119">
        <w:t>. This dynamic reinforces demand for ownership-oriented, family-sized housing in rural urban-adjacent areas, even as local rental supply and non-market options remain limited.</w:t>
      </w:r>
      <w:r w:rsidR="00E14B89" w:rsidRPr="00887119">
        <w:t xml:space="preserve"> </w:t>
      </w:r>
    </w:p>
    <w:p w14:paraId="04CAA5D8" w14:textId="77777777" w:rsidR="00952682" w:rsidRPr="00887119" w:rsidRDefault="00952682" w:rsidP="00952682"/>
    <w:p w14:paraId="7C8D8CBA" w14:textId="77777777" w:rsidR="00952F0E" w:rsidRPr="00887119" w:rsidRDefault="00952F0E" w:rsidP="00842B20">
      <w:pPr>
        <w:pStyle w:val="Heading2"/>
      </w:pPr>
      <w:bookmarkStart w:id="66" w:name="_Toc223686640"/>
      <w:bookmarkStart w:id="67" w:name="_Toc225869006"/>
      <w:bookmarkStart w:id="68" w:name="_Toc229051953"/>
      <w:bookmarkStart w:id="69" w:name="_Toc237957436"/>
      <w:r w:rsidRPr="00887119">
        <w:t>INCOME</w:t>
      </w:r>
      <w:bookmarkEnd w:id="66"/>
      <w:bookmarkEnd w:id="67"/>
      <w:bookmarkEnd w:id="68"/>
      <w:bookmarkEnd w:id="69"/>
    </w:p>
    <w:p w14:paraId="5D5CC8BC" w14:textId="77777777" w:rsidR="00952F0E" w:rsidRPr="00887119" w:rsidRDefault="00952F0E" w:rsidP="00952F0E">
      <w:pPr>
        <w:pStyle w:val="Heading3"/>
      </w:pPr>
      <w:r w:rsidRPr="00887119">
        <w:t>Income by Household Characteristics</w:t>
      </w:r>
    </w:p>
    <w:p w14:paraId="4B8DB63A" w14:textId="050165CF" w:rsidR="00952F0E" w:rsidRPr="00887119" w:rsidRDefault="00952F0E" w:rsidP="00952F0E">
      <w:r w:rsidRPr="00887119">
        <w:rPr>
          <w:rStyle w:val="Figure-textChar"/>
        </w:rPr>
        <w:fldChar w:fldCharType="begin"/>
      </w:r>
      <w:r w:rsidRPr="00887119">
        <w:rPr>
          <w:rStyle w:val="Figure-textChar"/>
        </w:rPr>
        <w:instrText xml:space="preserve"> REF _Ref223274922 \h  \* MERGEFORMAT </w:instrText>
      </w:r>
      <w:r w:rsidRPr="00887119">
        <w:rPr>
          <w:rStyle w:val="Figure-textChar"/>
        </w:rPr>
      </w:r>
      <w:r w:rsidRPr="00887119">
        <w:rPr>
          <w:rStyle w:val="Figure-textChar"/>
        </w:rPr>
        <w:fldChar w:fldCharType="separate"/>
      </w:r>
      <w:r w:rsidR="008D4BDE" w:rsidRPr="008D4BDE">
        <w:rPr>
          <w:rStyle w:val="Figure-textChar"/>
        </w:rPr>
        <w:t>Table 7.4</w:t>
      </w:r>
      <w:r w:rsidRPr="00887119">
        <w:rPr>
          <w:rStyle w:val="Figure-textChar"/>
        </w:rPr>
        <w:fldChar w:fldCharType="end"/>
      </w:r>
      <w:r w:rsidRPr="00887119">
        <w:t xml:space="preserve"> </w:t>
      </w:r>
      <w:r w:rsidR="00F03EBC" w:rsidRPr="00887119">
        <w:t>presents median household income by key household characteristics and geographic category, establishing the income foundation upon which housing affordability analysis rests across different areas of the province.</w:t>
      </w:r>
    </w:p>
    <w:p w14:paraId="1694B86C" w14:textId="77777777" w:rsidR="00952F0E" w:rsidRPr="00887119" w:rsidRDefault="00952F0E" w:rsidP="00952F0E"/>
    <w:p w14:paraId="6273C98B" w14:textId="5D7B4D4C" w:rsidR="00952F0E" w:rsidRPr="00887119" w:rsidRDefault="00952F0E" w:rsidP="00952F0E">
      <w:pPr>
        <w:pStyle w:val="Caption"/>
      </w:pPr>
      <w:bookmarkStart w:id="70" w:name="_Ref223274922"/>
      <w:r w:rsidRPr="00887119">
        <w:t xml:space="preserve">Table </w:t>
      </w:r>
      <w:fldSimple w:instr=" STYLEREF 1 \s ">
        <w:r w:rsidR="008D4BDE">
          <w:rPr>
            <w:noProof/>
          </w:rPr>
          <w:t>7</w:t>
        </w:r>
      </w:fldSimple>
      <w:r w:rsidR="00EE1FE9">
        <w:t>.</w:t>
      </w:r>
      <w:fldSimple w:instr=" SEQ Table \* ARABIC \s 1 ">
        <w:r w:rsidR="008D4BDE">
          <w:rPr>
            <w:noProof/>
          </w:rPr>
          <w:t>4</w:t>
        </w:r>
      </w:fldSimple>
      <w:bookmarkEnd w:id="70"/>
      <w:r w:rsidRPr="00887119">
        <w:t>: Median household income by household characteristic and geograph</w:t>
      </w:r>
      <w:r w:rsidR="00671FBF" w:rsidRPr="00887119">
        <w:t>ic category</w:t>
      </w:r>
      <w:r w:rsidRPr="00887119">
        <w:t>, 2021 Census</w:t>
      </w:r>
    </w:p>
    <w:tbl>
      <w:tblPr>
        <w:tblW w:w="9350" w:type="dxa"/>
        <w:jc w:val="center"/>
        <w:tblLayout w:type="fixed"/>
        <w:tblLook w:val="04A0" w:firstRow="1" w:lastRow="0" w:firstColumn="1" w:lastColumn="0" w:noHBand="0" w:noVBand="1"/>
      </w:tblPr>
      <w:tblGrid>
        <w:gridCol w:w="2007"/>
        <w:gridCol w:w="1223"/>
        <w:gridCol w:w="1224"/>
        <w:gridCol w:w="1224"/>
        <w:gridCol w:w="1224"/>
        <w:gridCol w:w="1224"/>
        <w:gridCol w:w="1224"/>
      </w:tblGrid>
      <w:tr w:rsidR="007430F8" w:rsidRPr="00887119" w14:paraId="21E89971" w14:textId="77777777" w:rsidTr="00CC68CE">
        <w:trPr>
          <w:trHeight w:val="467"/>
          <w:tblHeader/>
          <w:jc w:val="center"/>
        </w:trPr>
        <w:tc>
          <w:tcPr>
            <w:tcW w:w="2007"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500F819F" w14:textId="77777777" w:rsidR="007430F8" w:rsidRPr="00887119" w:rsidRDefault="007430F8" w:rsidP="007430F8">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Characteristic</w:t>
            </w:r>
          </w:p>
        </w:tc>
        <w:tc>
          <w:tcPr>
            <w:tcW w:w="1223"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7DEC88B9" w14:textId="7D161B9A" w:rsidR="007430F8" w:rsidRPr="00887119" w:rsidRDefault="007430F8" w:rsidP="007430F8">
            <w:pPr>
              <w:spacing w:line="240" w:lineRule="auto"/>
              <w:jc w:val="right"/>
              <w:rPr>
                <w:rFonts w:eastAsia="Times New Roman" w:cs="Arial"/>
                <w:color w:val="FFFFFF"/>
                <w:kern w:val="0"/>
                <w:sz w:val="18"/>
                <w:szCs w:val="18"/>
                <w:lang w:eastAsia="en-CA"/>
                <w14:ligatures w14:val="none"/>
              </w:rPr>
            </w:pPr>
            <w:r w:rsidRPr="00887119">
              <w:rPr>
                <w:rFonts w:cs="Arial"/>
                <w:color w:val="FFFFFF"/>
                <w:sz w:val="18"/>
                <w:szCs w:val="18"/>
              </w:rPr>
              <w:t>Province</w:t>
            </w:r>
          </w:p>
        </w:tc>
        <w:tc>
          <w:tcPr>
            <w:tcW w:w="122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CE6BA98" w14:textId="0B3DA090" w:rsidR="007430F8" w:rsidRPr="00887119" w:rsidRDefault="007430F8" w:rsidP="007430F8">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Urban</w:t>
            </w:r>
          </w:p>
        </w:tc>
        <w:tc>
          <w:tcPr>
            <w:tcW w:w="122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A914B7C" w14:textId="40B11649" w:rsidR="007430F8" w:rsidRPr="00887119" w:rsidRDefault="007430F8" w:rsidP="007430F8">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Small urban</w:t>
            </w:r>
          </w:p>
        </w:tc>
        <w:tc>
          <w:tcPr>
            <w:tcW w:w="122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309AE08" w14:textId="6E3C94FF" w:rsidR="007430F8" w:rsidRPr="00887119" w:rsidRDefault="007430F8" w:rsidP="007430F8">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Rural (urban adjacent)</w:t>
            </w:r>
          </w:p>
        </w:tc>
        <w:tc>
          <w:tcPr>
            <w:tcW w:w="122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5666EE1" w14:textId="457B2BA6" w:rsidR="007430F8" w:rsidRPr="00887119" w:rsidRDefault="007430F8" w:rsidP="007430F8">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Rural (remote)</w:t>
            </w:r>
          </w:p>
        </w:tc>
        <w:tc>
          <w:tcPr>
            <w:tcW w:w="122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55B87EE2" w14:textId="4FBF116B" w:rsidR="007430F8" w:rsidRPr="00887119" w:rsidRDefault="007735C6" w:rsidP="007430F8">
            <w:pPr>
              <w:spacing w:line="240" w:lineRule="auto"/>
              <w:jc w:val="right"/>
              <w:rPr>
                <w:rFonts w:eastAsia="Times New Roman" w:cs="Arial"/>
                <w:color w:val="FFFFFF"/>
                <w:kern w:val="0"/>
                <w:sz w:val="18"/>
                <w:szCs w:val="18"/>
                <w:lang w:eastAsia="en-CA"/>
                <w14:ligatures w14:val="none"/>
              </w:rPr>
            </w:pPr>
            <w:r>
              <w:rPr>
                <w:rFonts w:cs="Arial"/>
                <w:color w:val="FFFFFF"/>
                <w:sz w:val="18"/>
                <w:szCs w:val="18"/>
              </w:rPr>
              <w:t>On-reserve</w:t>
            </w:r>
          </w:p>
        </w:tc>
      </w:tr>
      <w:tr w:rsidR="00B2373E" w:rsidRPr="00887119" w14:paraId="43E1BC91" w14:textId="77777777" w:rsidTr="00B2373E">
        <w:trPr>
          <w:trHeight w:val="402"/>
          <w:jc w:val="center"/>
        </w:trPr>
        <w:tc>
          <w:tcPr>
            <w:tcW w:w="2007" w:type="dxa"/>
            <w:tcBorders>
              <w:top w:val="nil"/>
              <w:left w:val="single" w:sz="4" w:space="0" w:color="auto"/>
              <w:bottom w:val="single" w:sz="4" w:space="0" w:color="auto"/>
              <w:right w:val="nil"/>
            </w:tcBorders>
            <w:shd w:val="clear" w:color="000000" w:fill="F2F2F2"/>
            <w:noWrap/>
            <w:vAlign w:val="center"/>
            <w:hideMark/>
          </w:tcPr>
          <w:p w14:paraId="735348C2"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Total households</w:t>
            </w:r>
          </w:p>
        </w:tc>
        <w:tc>
          <w:tcPr>
            <w:tcW w:w="1223" w:type="dxa"/>
            <w:tcBorders>
              <w:top w:val="nil"/>
              <w:left w:val="single" w:sz="4" w:space="0" w:color="auto"/>
              <w:bottom w:val="single" w:sz="4" w:space="0" w:color="auto"/>
              <w:right w:val="single" w:sz="4" w:space="0" w:color="auto"/>
            </w:tcBorders>
            <w:shd w:val="clear" w:color="000000" w:fill="F2F2F2"/>
            <w:noWrap/>
            <w:vAlign w:val="center"/>
            <w:hideMark/>
          </w:tcPr>
          <w:p w14:paraId="5D1B29F8"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$73,500</w:t>
            </w:r>
          </w:p>
        </w:tc>
        <w:tc>
          <w:tcPr>
            <w:tcW w:w="1224" w:type="dxa"/>
            <w:tcBorders>
              <w:top w:val="nil"/>
              <w:left w:val="nil"/>
              <w:bottom w:val="single" w:sz="4" w:space="0" w:color="auto"/>
              <w:right w:val="single" w:sz="4" w:space="0" w:color="BFBFBF"/>
            </w:tcBorders>
            <w:shd w:val="clear" w:color="000000" w:fill="F2F2F2"/>
            <w:noWrap/>
            <w:vAlign w:val="center"/>
            <w:hideMark/>
          </w:tcPr>
          <w:p w14:paraId="2903D7E0"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$69,100</w:t>
            </w:r>
          </w:p>
        </w:tc>
        <w:tc>
          <w:tcPr>
            <w:tcW w:w="1224" w:type="dxa"/>
            <w:tcBorders>
              <w:top w:val="nil"/>
              <w:left w:val="nil"/>
              <w:bottom w:val="single" w:sz="4" w:space="0" w:color="auto"/>
              <w:right w:val="single" w:sz="4" w:space="0" w:color="BFBFBF"/>
            </w:tcBorders>
            <w:shd w:val="clear" w:color="000000" w:fill="F2F2F2"/>
            <w:noWrap/>
            <w:vAlign w:val="center"/>
            <w:hideMark/>
          </w:tcPr>
          <w:p w14:paraId="137D73EF"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$67,200</w:t>
            </w:r>
          </w:p>
        </w:tc>
        <w:tc>
          <w:tcPr>
            <w:tcW w:w="1224" w:type="dxa"/>
            <w:tcBorders>
              <w:top w:val="nil"/>
              <w:left w:val="nil"/>
              <w:bottom w:val="single" w:sz="4" w:space="0" w:color="auto"/>
              <w:right w:val="single" w:sz="4" w:space="0" w:color="BFBFBF"/>
            </w:tcBorders>
            <w:shd w:val="clear" w:color="000000" w:fill="F2F2F2"/>
            <w:noWrap/>
            <w:vAlign w:val="center"/>
            <w:hideMark/>
          </w:tcPr>
          <w:p w14:paraId="4ED55D35"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$84,600</w:t>
            </w:r>
          </w:p>
        </w:tc>
        <w:tc>
          <w:tcPr>
            <w:tcW w:w="1224" w:type="dxa"/>
            <w:tcBorders>
              <w:top w:val="nil"/>
              <w:left w:val="nil"/>
              <w:bottom w:val="single" w:sz="4" w:space="0" w:color="auto"/>
              <w:right w:val="single" w:sz="4" w:space="0" w:color="BFBFBF"/>
            </w:tcBorders>
            <w:shd w:val="clear" w:color="000000" w:fill="F2F2F2"/>
            <w:noWrap/>
            <w:vAlign w:val="center"/>
            <w:hideMark/>
          </w:tcPr>
          <w:p w14:paraId="6A659BBC"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$74,300</w:t>
            </w:r>
          </w:p>
        </w:tc>
        <w:tc>
          <w:tcPr>
            <w:tcW w:w="1224" w:type="dxa"/>
            <w:tcBorders>
              <w:top w:val="nil"/>
              <w:left w:val="nil"/>
              <w:bottom w:val="single" w:sz="4" w:space="0" w:color="auto"/>
              <w:right w:val="single" w:sz="4" w:space="0" w:color="auto"/>
            </w:tcBorders>
            <w:shd w:val="clear" w:color="000000" w:fill="F2F2F2"/>
            <w:noWrap/>
            <w:vAlign w:val="center"/>
            <w:hideMark/>
          </w:tcPr>
          <w:p w14:paraId="57146133"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$64,000</w:t>
            </w:r>
          </w:p>
        </w:tc>
      </w:tr>
      <w:tr w:rsidR="00922549" w:rsidRPr="00887119" w14:paraId="19DD6930" w14:textId="77777777" w:rsidTr="008F7C7A">
        <w:trPr>
          <w:trHeight w:val="402"/>
          <w:jc w:val="center"/>
        </w:trPr>
        <w:tc>
          <w:tcPr>
            <w:tcW w:w="9350" w:type="dxa"/>
            <w:gridSpan w:val="7"/>
            <w:tcBorders>
              <w:top w:val="nil"/>
              <w:left w:val="single" w:sz="4" w:space="0" w:color="auto"/>
              <w:bottom w:val="single" w:sz="4" w:space="0" w:color="auto"/>
              <w:right w:val="single" w:sz="4" w:space="0" w:color="auto"/>
            </w:tcBorders>
            <w:shd w:val="clear" w:color="000000" w:fill="BFBFBF"/>
            <w:noWrap/>
            <w:vAlign w:val="center"/>
            <w:hideMark/>
          </w:tcPr>
          <w:p w14:paraId="2095474F" w14:textId="5D5B57F0" w:rsidR="00922549" w:rsidRPr="00887119" w:rsidRDefault="00922549" w:rsidP="00922549">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By tenure</w:t>
            </w:r>
          </w:p>
        </w:tc>
      </w:tr>
      <w:tr w:rsidR="00B2373E" w:rsidRPr="00887119" w14:paraId="5D3931F9"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2F2F2"/>
            <w:noWrap/>
            <w:vAlign w:val="center"/>
            <w:hideMark/>
          </w:tcPr>
          <w:p w14:paraId="5E19057E"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Owner households</w:t>
            </w:r>
          </w:p>
        </w:tc>
        <w:tc>
          <w:tcPr>
            <w:tcW w:w="1223" w:type="dxa"/>
            <w:tcBorders>
              <w:top w:val="nil"/>
              <w:left w:val="single" w:sz="4" w:space="0" w:color="auto"/>
              <w:bottom w:val="single" w:sz="4" w:space="0" w:color="BFBFBF"/>
              <w:right w:val="single" w:sz="4" w:space="0" w:color="auto"/>
            </w:tcBorders>
            <w:shd w:val="clear" w:color="000000" w:fill="F2F2F2"/>
            <w:noWrap/>
            <w:vAlign w:val="center"/>
            <w:hideMark/>
          </w:tcPr>
          <w:p w14:paraId="00F48F50"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$82,800</w:t>
            </w:r>
          </w:p>
        </w:tc>
        <w:tc>
          <w:tcPr>
            <w:tcW w:w="1224" w:type="dxa"/>
            <w:tcBorders>
              <w:top w:val="nil"/>
              <w:left w:val="nil"/>
              <w:bottom w:val="single" w:sz="4" w:space="0" w:color="BFBFBF"/>
              <w:right w:val="single" w:sz="4" w:space="0" w:color="BFBFBF"/>
            </w:tcBorders>
            <w:shd w:val="clear" w:color="000000" w:fill="F2F2F2"/>
            <w:noWrap/>
            <w:vAlign w:val="center"/>
            <w:hideMark/>
          </w:tcPr>
          <w:p w14:paraId="1DB0C136"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$83,200</w:t>
            </w:r>
          </w:p>
        </w:tc>
        <w:tc>
          <w:tcPr>
            <w:tcW w:w="1224" w:type="dxa"/>
            <w:tcBorders>
              <w:top w:val="nil"/>
              <w:left w:val="nil"/>
              <w:bottom w:val="single" w:sz="4" w:space="0" w:color="BFBFBF"/>
              <w:right w:val="single" w:sz="4" w:space="0" w:color="BFBFBF"/>
            </w:tcBorders>
            <w:shd w:val="clear" w:color="000000" w:fill="F2F2F2"/>
            <w:noWrap/>
            <w:vAlign w:val="center"/>
            <w:hideMark/>
          </w:tcPr>
          <w:p w14:paraId="20F0F56F"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$77,200</w:t>
            </w:r>
          </w:p>
        </w:tc>
        <w:tc>
          <w:tcPr>
            <w:tcW w:w="1224" w:type="dxa"/>
            <w:tcBorders>
              <w:top w:val="nil"/>
              <w:left w:val="nil"/>
              <w:bottom w:val="single" w:sz="4" w:space="0" w:color="BFBFBF"/>
              <w:right w:val="single" w:sz="4" w:space="0" w:color="BFBFBF"/>
            </w:tcBorders>
            <w:shd w:val="clear" w:color="000000" w:fill="F2F2F2"/>
            <w:noWrap/>
            <w:vAlign w:val="center"/>
            <w:hideMark/>
          </w:tcPr>
          <w:p w14:paraId="57045B5F"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$87,600</w:t>
            </w:r>
          </w:p>
        </w:tc>
        <w:tc>
          <w:tcPr>
            <w:tcW w:w="1224" w:type="dxa"/>
            <w:tcBorders>
              <w:top w:val="nil"/>
              <w:left w:val="nil"/>
              <w:bottom w:val="single" w:sz="4" w:space="0" w:color="BFBFBF"/>
              <w:right w:val="single" w:sz="4" w:space="0" w:color="BFBFBF"/>
            </w:tcBorders>
            <w:shd w:val="clear" w:color="000000" w:fill="F2F2F2"/>
            <w:noWrap/>
            <w:vAlign w:val="center"/>
            <w:hideMark/>
          </w:tcPr>
          <w:p w14:paraId="5D322041"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$78,100</w:t>
            </w:r>
          </w:p>
        </w:tc>
        <w:tc>
          <w:tcPr>
            <w:tcW w:w="1224" w:type="dxa"/>
            <w:tcBorders>
              <w:top w:val="nil"/>
              <w:left w:val="nil"/>
              <w:bottom w:val="single" w:sz="4" w:space="0" w:color="BFBFBF"/>
              <w:right w:val="single" w:sz="4" w:space="0" w:color="auto"/>
            </w:tcBorders>
            <w:shd w:val="clear" w:color="000000" w:fill="F2F2F2"/>
            <w:noWrap/>
            <w:vAlign w:val="center"/>
            <w:hideMark/>
          </w:tcPr>
          <w:p w14:paraId="670C4829"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$44,000</w:t>
            </w:r>
          </w:p>
        </w:tc>
      </w:tr>
      <w:tr w:rsidR="00B2373E" w:rsidRPr="00887119" w14:paraId="43866CF4" w14:textId="77777777" w:rsidTr="00B2373E">
        <w:trPr>
          <w:trHeight w:val="402"/>
          <w:jc w:val="center"/>
        </w:trPr>
        <w:tc>
          <w:tcPr>
            <w:tcW w:w="2007" w:type="dxa"/>
            <w:tcBorders>
              <w:top w:val="nil"/>
              <w:left w:val="single" w:sz="4" w:space="0" w:color="auto"/>
              <w:bottom w:val="single" w:sz="4" w:space="0" w:color="auto"/>
              <w:right w:val="nil"/>
            </w:tcBorders>
            <w:shd w:val="clear" w:color="000000" w:fill="FFFFFF"/>
            <w:noWrap/>
            <w:vAlign w:val="center"/>
            <w:hideMark/>
          </w:tcPr>
          <w:p w14:paraId="763EF891"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Renter households</w:t>
            </w:r>
          </w:p>
        </w:tc>
        <w:tc>
          <w:tcPr>
            <w:tcW w:w="1223" w:type="dxa"/>
            <w:tcBorders>
              <w:top w:val="nil"/>
              <w:left w:val="single" w:sz="4" w:space="0" w:color="auto"/>
              <w:bottom w:val="single" w:sz="4" w:space="0" w:color="auto"/>
              <w:right w:val="single" w:sz="4" w:space="0" w:color="auto"/>
            </w:tcBorders>
            <w:shd w:val="clear" w:color="000000" w:fill="FFFFFF"/>
            <w:noWrap/>
            <w:vAlign w:val="center"/>
            <w:hideMark/>
          </w:tcPr>
          <w:p w14:paraId="68D2CE15"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$66,500</w:t>
            </w:r>
          </w:p>
        </w:tc>
        <w:tc>
          <w:tcPr>
            <w:tcW w:w="1224" w:type="dxa"/>
            <w:tcBorders>
              <w:top w:val="nil"/>
              <w:left w:val="nil"/>
              <w:bottom w:val="single" w:sz="4" w:space="0" w:color="auto"/>
              <w:right w:val="single" w:sz="4" w:space="0" w:color="BFBFBF"/>
            </w:tcBorders>
            <w:shd w:val="clear" w:color="000000" w:fill="FFFFFF"/>
            <w:noWrap/>
            <w:vAlign w:val="center"/>
            <w:hideMark/>
          </w:tcPr>
          <w:p w14:paraId="7253A366"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$65,200</w:t>
            </w:r>
          </w:p>
        </w:tc>
        <w:tc>
          <w:tcPr>
            <w:tcW w:w="1224" w:type="dxa"/>
            <w:tcBorders>
              <w:top w:val="nil"/>
              <w:left w:val="nil"/>
              <w:bottom w:val="single" w:sz="4" w:space="0" w:color="auto"/>
              <w:right w:val="single" w:sz="4" w:space="0" w:color="BFBFBF"/>
            </w:tcBorders>
            <w:shd w:val="clear" w:color="000000" w:fill="FFFFFF"/>
            <w:noWrap/>
            <w:vAlign w:val="center"/>
            <w:hideMark/>
          </w:tcPr>
          <w:p w14:paraId="0DB07F10"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$62,200</w:t>
            </w:r>
          </w:p>
        </w:tc>
        <w:tc>
          <w:tcPr>
            <w:tcW w:w="1224" w:type="dxa"/>
            <w:tcBorders>
              <w:top w:val="nil"/>
              <w:left w:val="nil"/>
              <w:bottom w:val="single" w:sz="4" w:space="0" w:color="auto"/>
              <w:right w:val="single" w:sz="4" w:space="0" w:color="BFBFBF"/>
            </w:tcBorders>
            <w:shd w:val="clear" w:color="000000" w:fill="FFFFFF"/>
            <w:noWrap/>
            <w:vAlign w:val="center"/>
            <w:hideMark/>
          </w:tcPr>
          <w:p w14:paraId="470737CB"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$71,500</w:t>
            </w:r>
          </w:p>
        </w:tc>
        <w:tc>
          <w:tcPr>
            <w:tcW w:w="1224" w:type="dxa"/>
            <w:tcBorders>
              <w:top w:val="nil"/>
              <w:left w:val="nil"/>
              <w:bottom w:val="single" w:sz="4" w:space="0" w:color="auto"/>
              <w:right w:val="single" w:sz="4" w:space="0" w:color="BFBFBF"/>
            </w:tcBorders>
            <w:shd w:val="clear" w:color="000000" w:fill="FFFFFF"/>
            <w:noWrap/>
            <w:vAlign w:val="center"/>
            <w:hideMark/>
          </w:tcPr>
          <w:p w14:paraId="7AF43C50"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$61,400</w:t>
            </w:r>
          </w:p>
        </w:tc>
        <w:tc>
          <w:tcPr>
            <w:tcW w:w="1224" w:type="dxa"/>
            <w:tcBorders>
              <w:top w:val="nil"/>
              <w:left w:val="nil"/>
              <w:bottom w:val="single" w:sz="4" w:space="0" w:color="auto"/>
              <w:right w:val="single" w:sz="4" w:space="0" w:color="auto"/>
            </w:tcBorders>
            <w:shd w:val="clear" w:color="000000" w:fill="FFFFFF"/>
            <w:noWrap/>
            <w:vAlign w:val="center"/>
            <w:hideMark/>
          </w:tcPr>
          <w:p w14:paraId="06BAB38A"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$28,000</w:t>
            </w:r>
          </w:p>
        </w:tc>
      </w:tr>
      <w:tr w:rsidR="00922549" w:rsidRPr="00887119" w14:paraId="186A8F03" w14:textId="77777777" w:rsidTr="00573D53">
        <w:trPr>
          <w:trHeight w:val="402"/>
          <w:jc w:val="center"/>
        </w:trPr>
        <w:tc>
          <w:tcPr>
            <w:tcW w:w="9350" w:type="dxa"/>
            <w:gridSpan w:val="7"/>
            <w:tcBorders>
              <w:top w:val="nil"/>
              <w:left w:val="single" w:sz="4" w:space="0" w:color="auto"/>
              <w:bottom w:val="single" w:sz="4" w:space="0" w:color="auto"/>
              <w:right w:val="single" w:sz="4" w:space="0" w:color="auto"/>
            </w:tcBorders>
            <w:shd w:val="clear" w:color="000000" w:fill="BFBFBF"/>
            <w:noWrap/>
            <w:vAlign w:val="center"/>
            <w:hideMark/>
          </w:tcPr>
          <w:p w14:paraId="18127DA3" w14:textId="44C7373D" w:rsidR="00922549" w:rsidRPr="00887119" w:rsidRDefault="00922549" w:rsidP="00922549">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By household size</w:t>
            </w:r>
          </w:p>
        </w:tc>
      </w:tr>
      <w:tr w:rsidR="00B2373E" w:rsidRPr="00887119" w14:paraId="2E9BA0C3"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2F2F2"/>
            <w:noWrap/>
            <w:vAlign w:val="center"/>
            <w:hideMark/>
          </w:tcPr>
          <w:p w14:paraId="4AFD33CA"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1 person households</w:t>
            </w:r>
          </w:p>
        </w:tc>
        <w:tc>
          <w:tcPr>
            <w:tcW w:w="1223" w:type="dxa"/>
            <w:tcBorders>
              <w:top w:val="nil"/>
              <w:left w:val="single" w:sz="4" w:space="0" w:color="auto"/>
              <w:bottom w:val="single" w:sz="4" w:space="0" w:color="BFBFBF"/>
              <w:right w:val="single" w:sz="4" w:space="0" w:color="auto"/>
            </w:tcBorders>
            <w:shd w:val="clear" w:color="000000" w:fill="F2F2F2"/>
            <w:noWrap/>
            <w:vAlign w:val="center"/>
            <w:hideMark/>
          </w:tcPr>
          <w:p w14:paraId="6EB8B415"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$36,400</w:t>
            </w:r>
          </w:p>
        </w:tc>
        <w:tc>
          <w:tcPr>
            <w:tcW w:w="1224" w:type="dxa"/>
            <w:tcBorders>
              <w:top w:val="nil"/>
              <w:left w:val="nil"/>
              <w:bottom w:val="single" w:sz="4" w:space="0" w:color="BFBFBF"/>
              <w:right w:val="single" w:sz="4" w:space="0" w:color="BFBFBF"/>
            </w:tcBorders>
            <w:shd w:val="clear" w:color="000000" w:fill="F2F2F2"/>
            <w:noWrap/>
            <w:vAlign w:val="center"/>
            <w:hideMark/>
          </w:tcPr>
          <w:p w14:paraId="69F0AA79"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$36,600</w:t>
            </w:r>
          </w:p>
        </w:tc>
        <w:tc>
          <w:tcPr>
            <w:tcW w:w="1224" w:type="dxa"/>
            <w:tcBorders>
              <w:top w:val="nil"/>
              <w:left w:val="nil"/>
              <w:bottom w:val="single" w:sz="4" w:space="0" w:color="BFBFBF"/>
              <w:right w:val="single" w:sz="4" w:space="0" w:color="BFBFBF"/>
            </w:tcBorders>
            <w:shd w:val="clear" w:color="000000" w:fill="F2F2F2"/>
            <w:noWrap/>
            <w:vAlign w:val="center"/>
            <w:hideMark/>
          </w:tcPr>
          <w:p w14:paraId="50C8D818"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$33,300</w:t>
            </w:r>
          </w:p>
        </w:tc>
        <w:tc>
          <w:tcPr>
            <w:tcW w:w="1224" w:type="dxa"/>
            <w:tcBorders>
              <w:top w:val="nil"/>
              <w:left w:val="nil"/>
              <w:bottom w:val="single" w:sz="4" w:space="0" w:color="BFBFBF"/>
              <w:right w:val="single" w:sz="4" w:space="0" w:color="BFBFBF"/>
            </w:tcBorders>
            <w:shd w:val="clear" w:color="000000" w:fill="F2F2F2"/>
            <w:noWrap/>
            <w:vAlign w:val="center"/>
            <w:hideMark/>
          </w:tcPr>
          <w:p w14:paraId="4416FF63"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$40,000</w:t>
            </w:r>
          </w:p>
        </w:tc>
        <w:tc>
          <w:tcPr>
            <w:tcW w:w="1224" w:type="dxa"/>
            <w:tcBorders>
              <w:top w:val="nil"/>
              <w:left w:val="nil"/>
              <w:bottom w:val="single" w:sz="4" w:space="0" w:color="BFBFBF"/>
              <w:right w:val="single" w:sz="4" w:space="0" w:color="BFBFBF"/>
            </w:tcBorders>
            <w:shd w:val="clear" w:color="000000" w:fill="F2F2F2"/>
            <w:noWrap/>
            <w:vAlign w:val="center"/>
            <w:hideMark/>
          </w:tcPr>
          <w:p w14:paraId="41505DAB"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$36,200</w:t>
            </w:r>
          </w:p>
        </w:tc>
        <w:tc>
          <w:tcPr>
            <w:tcW w:w="1224" w:type="dxa"/>
            <w:tcBorders>
              <w:top w:val="nil"/>
              <w:left w:val="nil"/>
              <w:bottom w:val="single" w:sz="4" w:space="0" w:color="BFBFBF"/>
              <w:right w:val="single" w:sz="4" w:space="0" w:color="auto"/>
            </w:tcBorders>
            <w:shd w:val="clear" w:color="000000" w:fill="F2F2F2"/>
            <w:noWrap/>
            <w:vAlign w:val="center"/>
            <w:hideMark/>
          </w:tcPr>
          <w:p w14:paraId="432647C1"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$28,000</w:t>
            </w:r>
          </w:p>
        </w:tc>
      </w:tr>
      <w:tr w:rsidR="00B2373E" w:rsidRPr="00887119" w14:paraId="21CA8421"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FFFFF"/>
            <w:noWrap/>
            <w:vAlign w:val="center"/>
            <w:hideMark/>
          </w:tcPr>
          <w:p w14:paraId="23733707"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2 person households</w:t>
            </w:r>
          </w:p>
        </w:tc>
        <w:tc>
          <w:tcPr>
            <w:tcW w:w="1223" w:type="dxa"/>
            <w:tcBorders>
              <w:top w:val="nil"/>
              <w:left w:val="single" w:sz="4" w:space="0" w:color="auto"/>
              <w:bottom w:val="single" w:sz="4" w:space="0" w:color="BFBFBF"/>
              <w:right w:val="single" w:sz="4" w:space="0" w:color="auto"/>
            </w:tcBorders>
            <w:shd w:val="clear" w:color="000000" w:fill="FFFFFF"/>
            <w:noWrap/>
            <w:vAlign w:val="center"/>
            <w:hideMark/>
          </w:tcPr>
          <w:p w14:paraId="1612C762"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$78,000</w:t>
            </w:r>
          </w:p>
        </w:tc>
        <w:tc>
          <w:tcPr>
            <w:tcW w:w="1224" w:type="dxa"/>
            <w:tcBorders>
              <w:top w:val="nil"/>
              <w:left w:val="nil"/>
              <w:bottom w:val="single" w:sz="4" w:space="0" w:color="BFBFBF"/>
              <w:right w:val="single" w:sz="4" w:space="0" w:color="BFBFBF"/>
            </w:tcBorders>
            <w:shd w:val="clear" w:color="000000" w:fill="FFFFFF"/>
            <w:noWrap/>
            <w:vAlign w:val="center"/>
            <w:hideMark/>
          </w:tcPr>
          <w:p w14:paraId="33B954C3"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$76,900</w:t>
            </w:r>
          </w:p>
        </w:tc>
        <w:tc>
          <w:tcPr>
            <w:tcW w:w="1224" w:type="dxa"/>
            <w:tcBorders>
              <w:top w:val="nil"/>
              <w:left w:val="nil"/>
              <w:bottom w:val="single" w:sz="4" w:space="0" w:color="BFBFBF"/>
              <w:right w:val="single" w:sz="4" w:space="0" w:color="BFBFBF"/>
            </w:tcBorders>
            <w:shd w:val="clear" w:color="000000" w:fill="FFFFFF"/>
            <w:noWrap/>
            <w:vAlign w:val="center"/>
            <w:hideMark/>
          </w:tcPr>
          <w:p w14:paraId="67F57C27"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$75,000</w:t>
            </w:r>
          </w:p>
        </w:tc>
        <w:tc>
          <w:tcPr>
            <w:tcW w:w="1224" w:type="dxa"/>
            <w:tcBorders>
              <w:top w:val="nil"/>
              <w:left w:val="nil"/>
              <w:bottom w:val="single" w:sz="4" w:space="0" w:color="BFBFBF"/>
              <w:right w:val="single" w:sz="4" w:space="0" w:color="BFBFBF"/>
            </w:tcBorders>
            <w:shd w:val="clear" w:color="000000" w:fill="FFFFFF"/>
            <w:noWrap/>
            <w:vAlign w:val="center"/>
            <w:hideMark/>
          </w:tcPr>
          <w:p w14:paraId="4FA8D0AA"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$83,200</w:t>
            </w:r>
          </w:p>
        </w:tc>
        <w:tc>
          <w:tcPr>
            <w:tcW w:w="1224" w:type="dxa"/>
            <w:tcBorders>
              <w:top w:val="nil"/>
              <w:left w:val="nil"/>
              <w:bottom w:val="single" w:sz="4" w:space="0" w:color="BFBFBF"/>
              <w:right w:val="single" w:sz="4" w:space="0" w:color="BFBFBF"/>
            </w:tcBorders>
            <w:shd w:val="clear" w:color="000000" w:fill="FFFFFF"/>
            <w:noWrap/>
            <w:vAlign w:val="center"/>
            <w:hideMark/>
          </w:tcPr>
          <w:p w14:paraId="1A59E433"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$72,600</w:t>
            </w:r>
          </w:p>
        </w:tc>
        <w:tc>
          <w:tcPr>
            <w:tcW w:w="1224" w:type="dxa"/>
            <w:tcBorders>
              <w:top w:val="nil"/>
              <w:left w:val="nil"/>
              <w:bottom w:val="single" w:sz="4" w:space="0" w:color="BFBFBF"/>
              <w:right w:val="single" w:sz="4" w:space="0" w:color="auto"/>
            </w:tcBorders>
            <w:shd w:val="clear" w:color="000000" w:fill="FFFFFF"/>
            <w:noWrap/>
            <w:vAlign w:val="center"/>
            <w:hideMark/>
          </w:tcPr>
          <w:p w14:paraId="05943539"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$50,400</w:t>
            </w:r>
          </w:p>
        </w:tc>
      </w:tr>
      <w:tr w:rsidR="00B2373E" w:rsidRPr="00887119" w14:paraId="7486CE27"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2F2F2"/>
            <w:noWrap/>
            <w:vAlign w:val="center"/>
            <w:hideMark/>
          </w:tcPr>
          <w:p w14:paraId="713BB735"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lastRenderedPageBreak/>
              <w:t>3 person households</w:t>
            </w:r>
          </w:p>
        </w:tc>
        <w:tc>
          <w:tcPr>
            <w:tcW w:w="1223" w:type="dxa"/>
            <w:tcBorders>
              <w:top w:val="nil"/>
              <w:left w:val="single" w:sz="4" w:space="0" w:color="auto"/>
              <w:bottom w:val="single" w:sz="4" w:space="0" w:color="BFBFBF"/>
              <w:right w:val="single" w:sz="4" w:space="0" w:color="auto"/>
            </w:tcBorders>
            <w:shd w:val="clear" w:color="000000" w:fill="F2F2F2"/>
            <w:noWrap/>
            <w:vAlign w:val="center"/>
            <w:hideMark/>
          </w:tcPr>
          <w:p w14:paraId="1AF06890"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$99,000</w:t>
            </w:r>
          </w:p>
        </w:tc>
        <w:tc>
          <w:tcPr>
            <w:tcW w:w="1224" w:type="dxa"/>
            <w:tcBorders>
              <w:top w:val="nil"/>
              <w:left w:val="nil"/>
              <w:bottom w:val="single" w:sz="4" w:space="0" w:color="BFBFBF"/>
              <w:right w:val="single" w:sz="4" w:space="0" w:color="BFBFBF"/>
            </w:tcBorders>
            <w:shd w:val="clear" w:color="000000" w:fill="F2F2F2"/>
            <w:noWrap/>
            <w:vAlign w:val="center"/>
            <w:hideMark/>
          </w:tcPr>
          <w:p w14:paraId="4AAC734B"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$93,600</w:t>
            </w:r>
          </w:p>
        </w:tc>
        <w:tc>
          <w:tcPr>
            <w:tcW w:w="1224" w:type="dxa"/>
            <w:tcBorders>
              <w:top w:val="nil"/>
              <w:left w:val="nil"/>
              <w:bottom w:val="single" w:sz="4" w:space="0" w:color="BFBFBF"/>
              <w:right w:val="single" w:sz="4" w:space="0" w:color="BFBFBF"/>
            </w:tcBorders>
            <w:shd w:val="clear" w:color="000000" w:fill="F2F2F2"/>
            <w:noWrap/>
            <w:vAlign w:val="center"/>
            <w:hideMark/>
          </w:tcPr>
          <w:p w14:paraId="54CFE13B"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$93,600</w:t>
            </w:r>
          </w:p>
        </w:tc>
        <w:tc>
          <w:tcPr>
            <w:tcW w:w="1224" w:type="dxa"/>
            <w:tcBorders>
              <w:top w:val="nil"/>
              <w:left w:val="nil"/>
              <w:bottom w:val="single" w:sz="4" w:space="0" w:color="BFBFBF"/>
              <w:right w:val="single" w:sz="4" w:space="0" w:color="BFBFBF"/>
            </w:tcBorders>
            <w:shd w:val="clear" w:color="000000" w:fill="F2F2F2"/>
            <w:noWrap/>
            <w:vAlign w:val="center"/>
            <w:hideMark/>
          </w:tcPr>
          <w:p w14:paraId="46007E3B"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$106,900</w:t>
            </w:r>
          </w:p>
        </w:tc>
        <w:tc>
          <w:tcPr>
            <w:tcW w:w="1224" w:type="dxa"/>
            <w:tcBorders>
              <w:top w:val="nil"/>
              <w:left w:val="nil"/>
              <w:bottom w:val="single" w:sz="4" w:space="0" w:color="BFBFBF"/>
              <w:right w:val="single" w:sz="4" w:space="0" w:color="BFBFBF"/>
            </w:tcBorders>
            <w:shd w:val="clear" w:color="000000" w:fill="F2F2F2"/>
            <w:noWrap/>
            <w:vAlign w:val="center"/>
            <w:hideMark/>
          </w:tcPr>
          <w:p w14:paraId="1BF7898F"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$104,200</w:t>
            </w:r>
          </w:p>
        </w:tc>
        <w:tc>
          <w:tcPr>
            <w:tcW w:w="1224" w:type="dxa"/>
            <w:tcBorders>
              <w:top w:val="nil"/>
              <w:left w:val="nil"/>
              <w:bottom w:val="single" w:sz="4" w:space="0" w:color="BFBFBF"/>
              <w:right w:val="single" w:sz="4" w:space="0" w:color="auto"/>
            </w:tcBorders>
            <w:shd w:val="clear" w:color="000000" w:fill="F2F2F2"/>
            <w:noWrap/>
            <w:vAlign w:val="center"/>
            <w:hideMark/>
          </w:tcPr>
          <w:p w14:paraId="0264EA8D"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$70,000</w:t>
            </w:r>
          </w:p>
        </w:tc>
      </w:tr>
      <w:tr w:rsidR="00B2373E" w:rsidRPr="00887119" w14:paraId="58D67342"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FFFFF"/>
            <w:noWrap/>
            <w:vAlign w:val="center"/>
            <w:hideMark/>
          </w:tcPr>
          <w:p w14:paraId="729FB171"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4 person households</w:t>
            </w:r>
          </w:p>
        </w:tc>
        <w:tc>
          <w:tcPr>
            <w:tcW w:w="1223" w:type="dxa"/>
            <w:tcBorders>
              <w:top w:val="nil"/>
              <w:left w:val="single" w:sz="4" w:space="0" w:color="auto"/>
              <w:bottom w:val="single" w:sz="4" w:space="0" w:color="BFBFBF"/>
              <w:right w:val="single" w:sz="4" w:space="0" w:color="auto"/>
            </w:tcBorders>
            <w:shd w:val="clear" w:color="000000" w:fill="FFFFFF"/>
            <w:noWrap/>
            <w:vAlign w:val="center"/>
            <w:hideMark/>
          </w:tcPr>
          <w:p w14:paraId="736735F5"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$122,000</w:t>
            </w:r>
          </w:p>
        </w:tc>
        <w:tc>
          <w:tcPr>
            <w:tcW w:w="1224" w:type="dxa"/>
            <w:tcBorders>
              <w:top w:val="nil"/>
              <w:left w:val="nil"/>
              <w:bottom w:val="single" w:sz="4" w:space="0" w:color="BFBFBF"/>
              <w:right w:val="single" w:sz="4" w:space="0" w:color="BFBFBF"/>
            </w:tcBorders>
            <w:shd w:val="clear" w:color="000000" w:fill="FFFFFF"/>
            <w:noWrap/>
            <w:vAlign w:val="center"/>
            <w:hideMark/>
          </w:tcPr>
          <w:p w14:paraId="33C5FA0A"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$123,200</w:t>
            </w:r>
          </w:p>
        </w:tc>
        <w:tc>
          <w:tcPr>
            <w:tcW w:w="1224" w:type="dxa"/>
            <w:tcBorders>
              <w:top w:val="nil"/>
              <w:left w:val="nil"/>
              <w:bottom w:val="single" w:sz="4" w:space="0" w:color="BFBFBF"/>
              <w:right w:val="single" w:sz="4" w:space="0" w:color="BFBFBF"/>
            </w:tcBorders>
            <w:shd w:val="clear" w:color="000000" w:fill="FFFFFF"/>
            <w:noWrap/>
            <w:vAlign w:val="center"/>
            <w:hideMark/>
          </w:tcPr>
          <w:p w14:paraId="4D162999"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$116,600</w:t>
            </w:r>
          </w:p>
        </w:tc>
        <w:tc>
          <w:tcPr>
            <w:tcW w:w="1224" w:type="dxa"/>
            <w:tcBorders>
              <w:top w:val="nil"/>
              <w:left w:val="nil"/>
              <w:bottom w:val="single" w:sz="4" w:space="0" w:color="BFBFBF"/>
              <w:right w:val="single" w:sz="4" w:space="0" w:color="BFBFBF"/>
            </w:tcBorders>
            <w:shd w:val="clear" w:color="000000" w:fill="FFFFFF"/>
            <w:noWrap/>
            <w:vAlign w:val="center"/>
            <w:hideMark/>
          </w:tcPr>
          <w:p w14:paraId="6646B5DC"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$125,900</w:t>
            </w:r>
          </w:p>
        </w:tc>
        <w:tc>
          <w:tcPr>
            <w:tcW w:w="1224" w:type="dxa"/>
            <w:tcBorders>
              <w:top w:val="nil"/>
              <w:left w:val="nil"/>
              <w:bottom w:val="single" w:sz="4" w:space="0" w:color="BFBFBF"/>
              <w:right w:val="single" w:sz="4" w:space="0" w:color="BFBFBF"/>
            </w:tcBorders>
            <w:shd w:val="clear" w:color="000000" w:fill="FFFFFF"/>
            <w:noWrap/>
            <w:vAlign w:val="center"/>
            <w:hideMark/>
          </w:tcPr>
          <w:p w14:paraId="41BBAC9D"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$120,900</w:t>
            </w:r>
          </w:p>
        </w:tc>
        <w:tc>
          <w:tcPr>
            <w:tcW w:w="1224" w:type="dxa"/>
            <w:tcBorders>
              <w:top w:val="nil"/>
              <w:left w:val="nil"/>
              <w:bottom w:val="single" w:sz="4" w:space="0" w:color="BFBFBF"/>
              <w:right w:val="single" w:sz="4" w:space="0" w:color="auto"/>
            </w:tcBorders>
            <w:shd w:val="clear" w:color="000000" w:fill="FFFFFF"/>
            <w:noWrap/>
            <w:vAlign w:val="center"/>
            <w:hideMark/>
          </w:tcPr>
          <w:p w14:paraId="57D9C7E5"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B2373E" w:rsidRPr="00887119" w14:paraId="7E937DB9" w14:textId="77777777" w:rsidTr="00B2373E">
        <w:trPr>
          <w:trHeight w:val="402"/>
          <w:jc w:val="center"/>
        </w:trPr>
        <w:tc>
          <w:tcPr>
            <w:tcW w:w="2007" w:type="dxa"/>
            <w:tcBorders>
              <w:top w:val="nil"/>
              <w:left w:val="single" w:sz="4" w:space="0" w:color="auto"/>
              <w:bottom w:val="single" w:sz="4" w:space="0" w:color="auto"/>
              <w:right w:val="nil"/>
            </w:tcBorders>
            <w:shd w:val="clear" w:color="000000" w:fill="F2F2F2"/>
            <w:noWrap/>
            <w:vAlign w:val="center"/>
            <w:hideMark/>
          </w:tcPr>
          <w:p w14:paraId="3610875D"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5+ person households</w:t>
            </w:r>
          </w:p>
        </w:tc>
        <w:tc>
          <w:tcPr>
            <w:tcW w:w="1223" w:type="dxa"/>
            <w:tcBorders>
              <w:top w:val="nil"/>
              <w:left w:val="single" w:sz="4" w:space="0" w:color="auto"/>
              <w:bottom w:val="single" w:sz="4" w:space="0" w:color="auto"/>
              <w:right w:val="single" w:sz="4" w:space="0" w:color="auto"/>
            </w:tcBorders>
            <w:shd w:val="clear" w:color="000000" w:fill="F2F2F2"/>
            <w:noWrap/>
            <w:vAlign w:val="center"/>
            <w:hideMark/>
          </w:tcPr>
          <w:p w14:paraId="3325D334"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$129,000</w:t>
            </w:r>
          </w:p>
        </w:tc>
        <w:tc>
          <w:tcPr>
            <w:tcW w:w="1224" w:type="dxa"/>
            <w:tcBorders>
              <w:top w:val="nil"/>
              <w:left w:val="nil"/>
              <w:bottom w:val="single" w:sz="4" w:space="0" w:color="auto"/>
              <w:right w:val="single" w:sz="4" w:space="0" w:color="BFBFBF"/>
            </w:tcBorders>
            <w:shd w:val="clear" w:color="000000" w:fill="F2F2F2"/>
            <w:noWrap/>
            <w:vAlign w:val="center"/>
            <w:hideMark/>
          </w:tcPr>
          <w:p w14:paraId="00A8C295"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$132,000</w:t>
            </w:r>
          </w:p>
        </w:tc>
        <w:tc>
          <w:tcPr>
            <w:tcW w:w="1224" w:type="dxa"/>
            <w:tcBorders>
              <w:top w:val="nil"/>
              <w:left w:val="nil"/>
              <w:bottom w:val="single" w:sz="4" w:space="0" w:color="auto"/>
              <w:right w:val="single" w:sz="4" w:space="0" w:color="BFBFBF"/>
            </w:tcBorders>
            <w:shd w:val="clear" w:color="000000" w:fill="F2F2F2"/>
            <w:noWrap/>
            <w:vAlign w:val="center"/>
            <w:hideMark/>
          </w:tcPr>
          <w:p w14:paraId="653D6EDF"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$129,200</w:t>
            </w:r>
          </w:p>
        </w:tc>
        <w:tc>
          <w:tcPr>
            <w:tcW w:w="1224" w:type="dxa"/>
            <w:tcBorders>
              <w:top w:val="nil"/>
              <w:left w:val="nil"/>
              <w:bottom w:val="single" w:sz="4" w:space="0" w:color="auto"/>
              <w:right w:val="single" w:sz="4" w:space="0" w:color="BFBFBF"/>
            </w:tcBorders>
            <w:shd w:val="clear" w:color="000000" w:fill="F2F2F2"/>
            <w:noWrap/>
            <w:vAlign w:val="center"/>
            <w:hideMark/>
          </w:tcPr>
          <w:p w14:paraId="00D34951"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$126,900</w:t>
            </w:r>
          </w:p>
        </w:tc>
        <w:tc>
          <w:tcPr>
            <w:tcW w:w="1224" w:type="dxa"/>
            <w:tcBorders>
              <w:top w:val="nil"/>
              <w:left w:val="nil"/>
              <w:bottom w:val="single" w:sz="4" w:space="0" w:color="auto"/>
              <w:right w:val="single" w:sz="4" w:space="0" w:color="BFBFBF"/>
            </w:tcBorders>
            <w:shd w:val="clear" w:color="000000" w:fill="F2F2F2"/>
            <w:noWrap/>
            <w:vAlign w:val="center"/>
            <w:hideMark/>
          </w:tcPr>
          <w:p w14:paraId="44B0615F"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$124,100</w:t>
            </w:r>
          </w:p>
        </w:tc>
        <w:tc>
          <w:tcPr>
            <w:tcW w:w="1224" w:type="dxa"/>
            <w:tcBorders>
              <w:top w:val="nil"/>
              <w:left w:val="nil"/>
              <w:bottom w:val="single" w:sz="4" w:space="0" w:color="auto"/>
              <w:right w:val="single" w:sz="4" w:space="0" w:color="auto"/>
            </w:tcBorders>
            <w:shd w:val="clear" w:color="000000" w:fill="F2F2F2"/>
            <w:noWrap/>
            <w:vAlign w:val="center"/>
            <w:hideMark/>
          </w:tcPr>
          <w:p w14:paraId="3D945527"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561AC6" w:rsidRPr="00887119" w14:paraId="1E16BD64" w14:textId="77777777" w:rsidTr="005B048D">
        <w:trPr>
          <w:trHeight w:val="402"/>
          <w:jc w:val="center"/>
        </w:trPr>
        <w:tc>
          <w:tcPr>
            <w:tcW w:w="9350" w:type="dxa"/>
            <w:gridSpan w:val="7"/>
            <w:tcBorders>
              <w:top w:val="nil"/>
              <w:left w:val="single" w:sz="4" w:space="0" w:color="auto"/>
              <w:bottom w:val="single" w:sz="4" w:space="0" w:color="auto"/>
              <w:right w:val="single" w:sz="4" w:space="0" w:color="auto"/>
            </w:tcBorders>
            <w:shd w:val="clear" w:color="000000" w:fill="BFBFBF"/>
            <w:noWrap/>
            <w:vAlign w:val="center"/>
            <w:hideMark/>
          </w:tcPr>
          <w:p w14:paraId="6B726197" w14:textId="603A5E16" w:rsidR="00561AC6" w:rsidRPr="00887119" w:rsidRDefault="00561AC6" w:rsidP="00561A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By household family type</w:t>
            </w:r>
          </w:p>
        </w:tc>
      </w:tr>
      <w:tr w:rsidR="00B2373E" w:rsidRPr="00887119" w14:paraId="1E8D5DAD"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2F2F2"/>
            <w:noWrap/>
            <w:vAlign w:val="center"/>
            <w:hideMark/>
          </w:tcPr>
          <w:p w14:paraId="696C6F94"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Couples without child(ren)</w:t>
            </w:r>
          </w:p>
        </w:tc>
        <w:tc>
          <w:tcPr>
            <w:tcW w:w="1223" w:type="dxa"/>
            <w:tcBorders>
              <w:top w:val="nil"/>
              <w:left w:val="single" w:sz="4" w:space="0" w:color="auto"/>
              <w:bottom w:val="single" w:sz="4" w:space="0" w:color="BFBFBF"/>
              <w:right w:val="single" w:sz="4" w:space="0" w:color="auto"/>
            </w:tcBorders>
            <w:shd w:val="clear" w:color="000000" w:fill="F2F2F2"/>
            <w:noWrap/>
            <w:vAlign w:val="center"/>
            <w:hideMark/>
          </w:tcPr>
          <w:p w14:paraId="00018132"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$83,000</w:t>
            </w:r>
          </w:p>
        </w:tc>
        <w:tc>
          <w:tcPr>
            <w:tcW w:w="1224" w:type="dxa"/>
            <w:tcBorders>
              <w:top w:val="nil"/>
              <w:left w:val="nil"/>
              <w:bottom w:val="single" w:sz="4" w:space="0" w:color="BFBFBF"/>
              <w:right w:val="single" w:sz="4" w:space="0" w:color="BFBFBF"/>
            </w:tcBorders>
            <w:shd w:val="clear" w:color="000000" w:fill="F2F2F2"/>
            <w:noWrap/>
            <w:vAlign w:val="center"/>
            <w:hideMark/>
          </w:tcPr>
          <w:p w14:paraId="4F152544"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$85,300</w:t>
            </w:r>
          </w:p>
        </w:tc>
        <w:tc>
          <w:tcPr>
            <w:tcW w:w="1224" w:type="dxa"/>
            <w:tcBorders>
              <w:top w:val="nil"/>
              <w:left w:val="nil"/>
              <w:bottom w:val="single" w:sz="4" w:space="0" w:color="BFBFBF"/>
              <w:right w:val="single" w:sz="4" w:space="0" w:color="BFBFBF"/>
            </w:tcBorders>
            <w:shd w:val="clear" w:color="000000" w:fill="F2F2F2"/>
            <w:noWrap/>
            <w:vAlign w:val="center"/>
            <w:hideMark/>
          </w:tcPr>
          <w:p w14:paraId="79437EE9"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$80,400</w:t>
            </w:r>
          </w:p>
        </w:tc>
        <w:tc>
          <w:tcPr>
            <w:tcW w:w="1224" w:type="dxa"/>
            <w:tcBorders>
              <w:top w:val="nil"/>
              <w:left w:val="nil"/>
              <w:bottom w:val="single" w:sz="4" w:space="0" w:color="BFBFBF"/>
              <w:right w:val="single" w:sz="4" w:space="0" w:color="BFBFBF"/>
            </w:tcBorders>
            <w:shd w:val="clear" w:color="000000" w:fill="F2F2F2"/>
            <w:noWrap/>
            <w:vAlign w:val="center"/>
            <w:hideMark/>
          </w:tcPr>
          <w:p w14:paraId="2D68AF5A"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$87,000</w:t>
            </w:r>
          </w:p>
        </w:tc>
        <w:tc>
          <w:tcPr>
            <w:tcW w:w="1224" w:type="dxa"/>
            <w:tcBorders>
              <w:top w:val="nil"/>
              <w:left w:val="nil"/>
              <w:bottom w:val="single" w:sz="4" w:space="0" w:color="BFBFBF"/>
              <w:right w:val="single" w:sz="4" w:space="0" w:color="BFBFBF"/>
            </w:tcBorders>
            <w:shd w:val="clear" w:color="000000" w:fill="F2F2F2"/>
            <w:noWrap/>
            <w:vAlign w:val="center"/>
            <w:hideMark/>
          </w:tcPr>
          <w:p w14:paraId="241BC92B"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$75,300</w:t>
            </w:r>
          </w:p>
        </w:tc>
        <w:tc>
          <w:tcPr>
            <w:tcW w:w="1224" w:type="dxa"/>
            <w:tcBorders>
              <w:top w:val="nil"/>
              <w:left w:val="nil"/>
              <w:bottom w:val="single" w:sz="4" w:space="0" w:color="BFBFBF"/>
              <w:right w:val="single" w:sz="4" w:space="0" w:color="auto"/>
            </w:tcBorders>
            <w:shd w:val="clear" w:color="000000" w:fill="F2F2F2"/>
            <w:noWrap/>
            <w:vAlign w:val="center"/>
            <w:hideMark/>
          </w:tcPr>
          <w:p w14:paraId="5901364F"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B2373E" w:rsidRPr="00887119" w14:paraId="4BAFE5CB"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FFFFF"/>
            <w:noWrap/>
            <w:vAlign w:val="center"/>
            <w:hideMark/>
          </w:tcPr>
          <w:p w14:paraId="304F7BAF"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Couples with child(ren)</w:t>
            </w:r>
          </w:p>
        </w:tc>
        <w:tc>
          <w:tcPr>
            <w:tcW w:w="1223" w:type="dxa"/>
            <w:tcBorders>
              <w:top w:val="nil"/>
              <w:left w:val="single" w:sz="4" w:space="0" w:color="auto"/>
              <w:bottom w:val="single" w:sz="4" w:space="0" w:color="BFBFBF"/>
              <w:right w:val="single" w:sz="4" w:space="0" w:color="auto"/>
            </w:tcBorders>
            <w:shd w:val="clear" w:color="000000" w:fill="FFFFFF"/>
            <w:noWrap/>
            <w:vAlign w:val="center"/>
            <w:hideMark/>
          </w:tcPr>
          <w:p w14:paraId="7448A723"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$119,000</w:t>
            </w:r>
          </w:p>
        </w:tc>
        <w:tc>
          <w:tcPr>
            <w:tcW w:w="1224" w:type="dxa"/>
            <w:tcBorders>
              <w:top w:val="nil"/>
              <w:left w:val="nil"/>
              <w:bottom w:val="single" w:sz="4" w:space="0" w:color="BFBFBF"/>
              <w:right w:val="single" w:sz="4" w:space="0" w:color="BFBFBF"/>
            </w:tcBorders>
            <w:shd w:val="clear" w:color="000000" w:fill="FFFFFF"/>
            <w:noWrap/>
            <w:vAlign w:val="center"/>
            <w:hideMark/>
          </w:tcPr>
          <w:p w14:paraId="2D74E40D"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$120,500</w:t>
            </w:r>
          </w:p>
        </w:tc>
        <w:tc>
          <w:tcPr>
            <w:tcW w:w="1224" w:type="dxa"/>
            <w:tcBorders>
              <w:top w:val="nil"/>
              <w:left w:val="nil"/>
              <w:bottom w:val="single" w:sz="4" w:space="0" w:color="BFBFBF"/>
              <w:right w:val="single" w:sz="4" w:space="0" w:color="BFBFBF"/>
            </w:tcBorders>
            <w:shd w:val="clear" w:color="000000" w:fill="FFFFFF"/>
            <w:noWrap/>
            <w:vAlign w:val="center"/>
            <w:hideMark/>
          </w:tcPr>
          <w:p w14:paraId="785D8D9A"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$117,000</w:t>
            </w:r>
          </w:p>
        </w:tc>
        <w:tc>
          <w:tcPr>
            <w:tcW w:w="1224" w:type="dxa"/>
            <w:tcBorders>
              <w:top w:val="nil"/>
              <w:left w:val="nil"/>
              <w:bottom w:val="single" w:sz="4" w:space="0" w:color="BFBFBF"/>
              <w:right w:val="single" w:sz="4" w:space="0" w:color="BFBFBF"/>
            </w:tcBorders>
            <w:shd w:val="clear" w:color="000000" w:fill="FFFFFF"/>
            <w:noWrap/>
            <w:vAlign w:val="center"/>
            <w:hideMark/>
          </w:tcPr>
          <w:p w14:paraId="380E46B4"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$120,700</w:t>
            </w:r>
          </w:p>
        </w:tc>
        <w:tc>
          <w:tcPr>
            <w:tcW w:w="1224" w:type="dxa"/>
            <w:tcBorders>
              <w:top w:val="nil"/>
              <w:left w:val="nil"/>
              <w:bottom w:val="single" w:sz="4" w:space="0" w:color="BFBFBF"/>
              <w:right w:val="single" w:sz="4" w:space="0" w:color="BFBFBF"/>
            </w:tcBorders>
            <w:shd w:val="clear" w:color="000000" w:fill="FFFFFF"/>
            <w:noWrap/>
            <w:vAlign w:val="center"/>
            <w:hideMark/>
          </w:tcPr>
          <w:p w14:paraId="16BB47AD"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$116,600</w:t>
            </w:r>
          </w:p>
        </w:tc>
        <w:tc>
          <w:tcPr>
            <w:tcW w:w="1224" w:type="dxa"/>
            <w:tcBorders>
              <w:top w:val="nil"/>
              <w:left w:val="nil"/>
              <w:bottom w:val="single" w:sz="4" w:space="0" w:color="BFBFBF"/>
              <w:right w:val="single" w:sz="4" w:space="0" w:color="auto"/>
            </w:tcBorders>
            <w:shd w:val="clear" w:color="000000" w:fill="FFFFFF"/>
            <w:noWrap/>
            <w:vAlign w:val="center"/>
            <w:hideMark/>
          </w:tcPr>
          <w:p w14:paraId="29B97AFC"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$93,000</w:t>
            </w:r>
          </w:p>
        </w:tc>
      </w:tr>
      <w:tr w:rsidR="00B2373E" w:rsidRPr="00887119" w14:paraId="09C3C32B" w14:textId="77777777" w:rsidTr="00B2373E">
        <w:trPr>
          <w:trHeight w:val="402"/>
          <w:jc w:val="center"/>
        </w:trPr>
        <w:tc>
          <w:tcPr>
            <w:tcW w:w="2007" w:type="dxa"/>
            <w:tcBorders>
              <w:top w:val="nil"/>
              <w:left w:val="single" w:sz="4" w:space="0" w:color="auto"/>
              <w:bottom w:val="single" w:sz="4" w:space="0" w:color="BFBFBF"/>
              <w:right w:val="nil"/>
            </w:tcBorders>
            <w:shd w:val="clear" w:color="000000" w:fill="F2F2F2"/>
            <w:noWrap/>
            <w:vAlign w:val="center"/>
            <w:hideMark/>
          </w:tcPr>
          <w:p w14:paraId="360F8B31"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Lone parents</w:t>
            </w:r>
          </w:p>
        </w:tc>
        <w:tc>
          <w:tcPr>
            <w:tcW w:w="1223" w:type="dxa"/>
            <w:tcBorders>
              <w:top w:val="nil"/>
              <w:left w:val="single" w:sz="4" w:space="0" w:color="auto"/>
              <w:bottom w:val="single" w:sz="4" w:space="0" w:color="BFBFBF"/>
              <w:right w:val="single" w:sz="4" w:space="0" w:color="auto"/>
            </w:tcBorders>
            <w:shd w:val="clear" w:color="000000" w:fill="F2F2F2"/>
            <w:noWrap/>
            <w:vAlign w:val="center"/>
            <w:hideMark/>
          </w:tcPr>
          <w:p w14:paraId="0D5BA69A"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$60,400</w:t>
            </w:r>
          </w:p>
        </w:tc>
        <w:tc>
          <w:tcPr>
            <w:tcW w:w="1224" w:type="dxa"/>
            <w:tcBorders>
              <w:top w:val="nil"/>
              <w:left w:val="nil"/>
              <w:bottom w:val="single" w:sz="4" w:space="0" w:color="BFBFBF"/>
              <w:right w:val="single" w:sz="4" w:space="0" w:color="BFBFBF"/>
            </w:tcBorders>
            <w:shd w:val="clear" w:color="000000" w:fill="F2F2F2"/>
            <w:noWrap/>
            <w:vAlign w:val="center"/>
            <w:hideMark/>
          </w:tcPr>
          <w:p w14:paraId="49BBE44A"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$58,900</w:t>
            </w:r>
          </w:p>
        </w:tc>
        <w:tc>
          <w:tcPr>
            <w:tcW w:w="1224" w:type="dxa"/>
            <w:tcBorders>
              <w:top w:val="nil"/>
              <w:left w:val="nil"/>
              <w:bottom w:val="single" w:sz="4" w:space="0" w:color="BFBFBF"/>
              <w:right w:val="single" w:sz="4" w:space="0" w:color="BFBFBF"/>
            </w:tcBorders>
            <w:shd w:val="clear" w:color="000000" w:fill="F2F2F2"/>
            <w:noWrap/>
            <w:vAlign w:val="center"/>
            <w:hideMark/>
          </w:tcPr>
          <w:p w14:paraId="4831D3A2"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$58,200</w:t>
            </w:r>
          </w:p>
        </w:tc>
        <w:tc>
          <w:tcPr>
            <w:tcW w:w="1224" w:type="dxa"/>
            <w:tcBorders>
              <w:top w:val="nil"/>
              <w:left w:val="nil"/>
              <w:bottom w:val="single" w:sz="4" w:space="0" w:color="BFBFBF"/>
              <w:right w:val="single" w:sz="4" w:space="0" w:color="BFBFBF"/>
            </w:tcBorders>
            <w:shd w:val="clear" w:color="000000" w:fill="F2F2F2"/>
            <w:noWrap/>
            <w:vAlign w:val="center"/>
            <w:hideMark/>
          </w:tcPr>
          <w:p w14:paraId="3A90C525"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$63,700</w:t>
            </w:r>
          </w:p>
        </w:tc>
        <w:tc>
          <w:tcPr>
            <w:tcW w:w="1224" w:type="dxa"/>
            <w:tcBorders>
              <w:top w:val="nil"/>
              <w:left w:val="nil"/>
              <w:bottom w:val="single" w:sz="4" w:space="0" w:color="BFBFBF"/>
              <w:right w:val="single" w:sz="4" w:space="0" w:color="BFBFBF"/>
            </w:tcBorders>
            <w:shd w:val="clear" w:color="000000" w:fill="F2F2F2"/>
            <w:noWrap/>
            <w:vAlign w:val="center"/>
            <w:hideMark/>
          </w:tcPr>
          <w:p w14:paraId="5EE7E75E"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$61,800</w:t>
            </w:r>
          </w:p>
        </w:tc>
        <w:tc>
          <w:tcPr>
            <w:tcW w:w="1224" w:type="dxa"/>
            <w:tcBorders>
              <w:top w:val="nil"/>
              <w:left w:val="nil"/>
              <w:bottom w:val="single" w:sz="4" w:space="0" w:color="BFBFBF"/>
              <w:right w:val="single" w:sz="4" w:space="0" w:color="auto"/>
            </w:tcBorders>
            <w:shd w:val="clear" w:color="000000" w:fill="F2F2F2"/>
            <w:noWrap/>
            <w:vAlign w:val="center"/>
            <w:hideMark/>
          </w:tcPr>
          <w:p w14:paraId="01A3F391"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$44,800</w:t>
            </w:r>
          </w:p>
        </w:tc>
      </w:tr>
      <w:tr w:rsidR="00B2373E" w:rsidRPr="00887119" w14:paraId="48817A6C" w14:textId="77777777" w:rsidTr="00B2373E">
        <w:trPr>
          <w:trHeight w:val="402"/>
          <w:jc w:val="center"/>
        </w:trPr>
        <w:tc>
          <w:tcPr>
            <w:tcW w:w="2007" w:type="dxa"/>
            <w:tcBorders>
              <w:top w:val="nil"/>
              <w:left w:val="single" w:sz="4" w:space="0" w:color="auto"/>
              <w:bottom w:val="single" w:sz="4" w:space="0" w:color="auto"/>
              <w:right w:val="nil"/>
            </w:tcBorders>
            <w:shd w:val="clear" w:color="000000" w:fill="FFFFFF"/>
            <w:noWrap/>
            <w:vAlign w:val="center"/>
            <w:hideMark/>
          </w:tcPr>
          <w:p w14:paraId="3622F2A8" w14:textId="77777777" w:rsidR="00B2373E" w:rsidRPr="00887119" w:rsidRDefault="00B2373E" w:rsidP="00B2373E">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Non-census families</w:t>
            </w:r>
          </w:p>
        </w:tc>
        <w:tc>
          <w:tcPr>
            <w:tcW w:w="1223" w:type="dxa"/>
            <w:tcBorders>
              <w:top w:val="nil"/>
              <w:left w:val="single" w:sz="4" w:space="0" w:color="auto"/>
              <w:bottom w:val="single" w:sz="4" w:space="0" w:color="auto"/>
              <w:right w:val="single" w:sz="4" w:space="0" w:color="auto"/>
            </w:tcBorders>
            <w:shd w:val="clear" w:color="000000" w:fill="FFFFFF"/>
            <w:noWrap/>
            <w:vAlign w:val="center"/>
            <w:hideMark/>
          </w:tcPr>
          <w:p w14:paraId="75C3F88C"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$40,400</w:t>
            </w:r>
          </w:p>
        </w:tc>
        <w:tc>
          <w:tcPr>
            <w:tcW w:w="1224" w:type="dxa"/>
            <w:tcBorders>
              <w:top w:val="nil"/>
              <w:left w:val="nil"/>
              <w:bottom w:val="single" w:sz="4" w:space="0" w:color="auto"/>
              <w:right w:val="single" w:sz="4" w:space="0" w:color="BFBFBF"/>
            </w:tcBorders>
            <w:shd w:val="clear" w:color="000000" w:fill="FFFFFF"/>
            <w:noWrap/>
            <w:vAlign w:val="center"/>
            <w:hideMark/>
          </w:tcPr>
          <w:p w14:paraId="2E1244F9"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$41,700</w:t>
            </w:r>
          </w:p>
        </w:tc>
        <w:tc>
          <w:tcPr>
            <w:tcW w:w="1224" w:type="dxa"/>
            <w:tcBorders>
              <w:top w:val="nil"/>
              <w:left w:val="nil"/>
              <w:bottom w:val="single" w:sz="4" w:space="0" w:color="auto"/>
              <w:right w:val="single" w:sz="4" w:space="0" w:color="BFBFBF"/>
            </w:tcBorders>
            <w:shd w:val="clear" w:color="000000" w:fill="FFFFFF"/>
            <w:noWrap/>
            <w:vAlign w:val="center"/>
            <w:hideMark/>
          </w:tcPr>
          <w:p w14:paraId="0DECCF9D"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$36,900</w:t>
            </w:r>
          </w:p>
        </w:tc>
        <w:tc>
          <w:tcPr>
            <w:tcW w:w="1224" w:type="dxa"/>
            <w:tcBorders>
              <w:top w:val="nil"/>
              <w:left w:val="nil"/>
              <w:bottom w:val="single" w:sz="4" w:space="0" w:color="auto"/>
              <w:right w:val="single" w:sz="4" w:space="0" w:color="BFBFBF"/>
            </w:tcBorders>
            <w:shd w:val="clear" w:color="000000" w:fill="FFFFFF"/>
            <w:noWrap/>
            <w:vAlign w:val="center"/>
            <w:hideMark/>
          </w:tcPr>
          <w:p w14:paraId="50E574A1"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$42,300</w:t>
            </w:r>
          </w:p>
        </w:tc>
        <w:tc>
          <w:tcPr>
            <w:tcW w:w="1224" w:type="dxa"/>
            <w:tcBorders>
              <w:top w:val="nil"/>
              <w:left w:val="nil"/>
              <w:bottom w:val="single" w:sz="4" w:space="0" w:color="auto"/>
              <w:right w:val="single" w:sz="4" w:space="0" w:color="BFBFBF"/>
            </w:tcBorders>
            <w:shd w:val="clear" w:color="000000" w:fill="FFFFFF"/>
            <w:noWrap/>
            <w:vAlign w:val="center"/>
            <w:hideMark/>
          </w:tcPr>
          <w:p w14:paraId="0DB81FFB"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$38,100</w:t>
            </w:r>
          </w:p>
        </w:tc>
        <w:tc>
          <w:tcPr>
            <w:tcW w:w="1224" w:type="dxa"/>
            <w:tcBorders>
              <w:top w:val="nil"/>
              <w:left w:val="nil"/>
              <w:bottom w:val="single" w:sz="4" w:space="0" w:color="auto"/>
              <w:right w:val="single" w:sz="4" w:space="0" w:color="auto"/>
            </w:tcBorders>
            <w:shd w:val="clear" w:color="000000" w:fill="FFFFFF"/>
            <w:noWrap/>
            <w:vAlign w:val="center"/>
            <w:hideMark/>
          </w:tcPr>
          <w:p w14:paraId="6BAF8B57" w14:textId="77777777" w:rsidR="00B2373E" w:rsidRPr="002E10EB" w:rsidRDefault="00B2373E" w:rsidP="00B2373E">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$28,400</w:t>
            </w:r>
          </w:p>
        </w:tc>
      </w:tr>
    </w:tbl>
    <w:p w14:paraId="3288C0E2" w14:textId="77777777" w:rsidR="00952F0E" w:rsidRPr="00887119" w:rsidRDefault="00952F0E" w:rsidP="00952F0E">
      <w:pPr>
        <w:pStyle w:val="Source"/>
      </w:pPr>
      <w:r w:rsidRPr="00887119">
        <w:t>* Income by tenure not available for lower level geographies. Estimates performed by performing a weighted calculation using income by household size and the distribution of household sizes for owner and renter households.</w:t>
      </w:r>
    </w:p>
    <w:p w14:paraId="435C63DC" w14:textId="77777777" w:rsidR="00952F0E" w:rsidRPr="00887119" w:rsidRDefault="00952F0E" w:rsidP="00952F0E">
      <w:pPr>
        <w:pStyle w:val="Source"/>
      </w:pPr>
      <w:r w:rsidRPr="00887119">
        <w:t>Source: derived from Statistics Canada Tables 98-10-0057 and 98-10-0240</w:t>
      </w:r>
    </w:p>
    <w:p w14:paraId="4A6FCCE2" w14:textId="77777777" w:rsidR="00952F0E" w:rsidRPr="00887119" w:rsidRDefault="00952F0E" w:rsidP="00952F0E"/>
    <w:p w14:paraId="42C90F76" w14:textId="17E11B4A" w:rsidR="00EB6286" w:rsidRPr="00887119" w:rsidRDefault="00EB6286" w:rsidP="00EB6286">
      <w:r w:rsidRPr="00887119">
        <w:t>Small urban areas report the highest total household median income ($84,600), followed by rural urban-adjacent ($74,300), urban ($67,200), and rural remote ($64,000). However, these figures alone do not determine affordability: rural remote areas may show lower incomes but also lower housing costs, while urban areas face the highest rents and prices despite ranking near the bottom of the income scale</w:t>
      </w:r>
      <w:r w:rsidR="00656B9A" w:rsidRPr="00887119">
        <w:t xml:space="preserve"> (with said scale influenced greatly by the number of renters in urban communities)</w:t>
      </w:r>
      <w:r w:rsidRPr="00887119">
        <w:t xml:space="preserve">. </w:t>
      </w:r>
    </w:p>
    <w:p w14:paraId="3662F26A" w14:textId="77777777" w:rsidR="00EB6286" w:rsidRPr="00887119" w:rsidRDefault="00EB6286" w:rsidP="00EB6286"/>
    <w:p w14:paraId="0CFAB077" w14:textId="32A17E9A" w:rsidR="00EB6286" w:rsidRPr="00887119" w:rsidRDefault="00EB6286" w:rsidP="00EB6286">
      <w:r w:rsidRPr="00887119">
        <w:t xml:space="preserve">Lone-parent and single-person households show the lowest median incomes across all geographic categories. Single-person household median incomes range from $28,000 in rural remote to $40,000 in small urban areas, and are </w:t>
      </w:r>
      <w:r w:rsidR="007340C0" w:rsidRPr="00887119">
        <w:t>generally</w:t>
      </w:r>
      <w:r w:rsidRPr="00887119">
        <w:t xml:space="preserve"> insufficient to afford average market rents without spending well above the 30% affordability threshold. Together, these household types, which are most concentrated in urban and small urban areas, represent the populations for whom market supply additions </w:t>
      </w:r>
      <w:r w:rsidR="009D005D" w:rsidRPr="00887119">
        <w:t xml:space="preserve">may </w:t>
      </w:r>
      <w:r w:rsidRPr="00887119">
        <w:t>do the least without accompanying affordability interventions.</w:t>
      </w:r>
    </w:p>
    <w:p w14:paraId="0DCBF032" w14:textId="77777777" w:rsidR="00952F0E" w:rsidRPr="00887119" w:rsidRDefault="00952F0E" w:rsidP="00952F0E"/>
    <w:p w14:paraId="63CA6589" w14:textId="77777777" w:rsidR="00952F0E" w:rsidRPr="00887119" w:rsidRDefault="00952F0E" w:rsidP="00952F0E">
      <w:pPr>
        <w:pStyle w:val="Heading3"/>
      </w:pPr>
      <w:r w:rsidRPr="00887119">
        <w:t>Government Transfers</w:t>
      </w:r>
    </w:p>
    <w:p w14:paraId="0D7ACCF5" w14:textId="111A3876" w:rsidR="00952F0E" w:rsidRPr="00887119" w:rsidRDefault="001F34D5" w:rsidP="00952F0E">
      <w:r w:rsidRPr="00887119">
        <w:t>Understanding the composition of household income is essential to assessing the depth and stability of housing affordability across a community. Median household income figures capture what households earn in aggregate but obscure the degree to which that income is derived from employment, which is responsive to local economic conditions, versus government transfers, which are largely fixed, inflation-sensitive, and program-dependent. Communities with a high share of residents relying on transfer income face a structural affordability constraint that cannot be resolved through labour market growth alone: the households in question are either outside the labour force by age or circumstance, or are supplementing low employment earnings with program support. This distinction matters because it shapes the type of housing intervention most likely to be effective. For example, market-rate supply additions do little for households whose incomes are set by pension or benefit schedules rather than salaries.</w:t>
      </w:r>
    </w:p>
    <w:p w14:paraId="563C2EC7" w14:textId="77777777" w:rsidR="001F34D5" w:rsidRPr="00887119" w:rsidRDefault="001F34D5" w:rsidP="00952F0E"/>
    <w:p w14:paraId="3B158E59" w14:textId="3C0FAF83" w:rsidR="00952F0E" w:rsidRPr="00887119" w:rsidRDefault="00952F0E" w:rsidP="00952F0E">
      <w:r w:rsidRPr="00887119">
        <w:rPr>
          <w:rStyle w:val="Figure-textChar"/>
        </w:rPr>
        <w:fldChar w:fldCharType="begin"/>
      </w:r>
      <w:r w:rsidRPr="00887119">
        <w:rPr>
          <w:rStyle w:val="Figure-textChar"/>
        </w:rPr>
        <w:instrText xml:space="preserve"> REF _Ref223951787 \h  \* MERGEFORMAT </w:instrText>
      </w:r>
      <w:r w:rsidRPr="00887119">
        <w:rPr>
          <w:rStyle w:val="Figure-textChar"/>
        </w:rPr>
      </w:r>
      <w:r w:rsidRPr="00887119">
        <w:rPr>
          <w:rStyle w:val="Figure-textChar"/>
        </w:rPr>
        <w:fldChar w:fldCharType="separate"/>
      </w:r>
      <w:r w:rsidR="008D4BDE" w:rsidRPr="008D4BDE">
        <w:rPr>
          <w:rStyle w:val="Figure-textChar"/>
        </w:rPr>
        <w:t>Table 7.5</w:t>
      </w:r>
      <w:r w:rsidRPr="00887119">
        <w:rPr>
          <w:rStyle w:val="Figure-textChar"/>
        </w:rPr>
        <w:fldChar w:fldCharType="end"/>
      </w:r>
      <w:r w:rsidRPr="00887119">
        <w:t xml:space="preserve"> presents the share of</w:t>
      </w:r>
      <w:r w:rsidR="00EE7A94" w:rsidRPr="00887119">
        <w:t xml:space="preserve"> select</w:t>
      </w:r>
      <w:r w:rsidRPr="00887119">
        <w:t xml:space="preserve"> government transfer income sources</w:t>
      </w:r>
      <w:r w:rsidR="00EE7A94" w:rsidRPr="00887119">
        <w:t xml:space="preserve"> across</w:t>
      </w:r>
      <w:r w:rsidR="00595C53" w:rsidRPr="00887119">
        <w:t xml:space="preserve"> geographic categories</w:t>
      </w:r>
      <w:r w:rsidRPr="00887119">
        <w:t xml:space="preserve"> </w:t>
      </w:r>
      <w:r w:rsidR="00595C53" w:rsidRPr="00887119">
        <w:t>(</w:t>
      </w:r>
      <w:r w:rsidRPr="00887119">
        <w:t>as of the 2021 Census</w:t>
      </w:r>
      <w:r w:rsidR="00595C53" w:rsidRPr="00887119">
        <w:t>)</w:t>
      </w:r>
      <w:r w:rsidRPr="00887119">
        <w:t>, including private retirement income, Old Age Security (OAS) and the Guaranteed Income Supplement (GIS), the Canada and Quebec Pension Plans (CPP and QPP), Employment Insurance (EI), and child benefits.</w:t>
      </w:r>
    </w:p>
    <w:p w14:paraId="4502C0C7" w14:textId="77777777" w:rsidR="00952F0E" w:rsidRPr="00887119" w:rsidRDefault="00952F0E" w:rsidP="00952F0E"/>
    <w:p w14:paraId="15AA60F8" w14:textId="5B9B6FE9" w:rsidR="00952F0E" w:rsidRPr="00887119" w:rsidRDefault="00952F0E" w:rsidP="00952F0E">
      <w:pPr>
        <w:pStyle w:val="Caption"/>
      </w:pPr>
      <w:bookmarkStart w:id="71" w:name="_Ref223951787"/>
      <w:r w:rsidRPr="00887119">
        <w:t xml:space="preserve">Table </w:t>
      </w:r>
      <w:fldSimple w:instr=" STYLEREF 1 \s ">
        <w:r w:rsidR="008D4BDE">
          <w:rPr>
            <w:noProof/>
          </w:rPr>
          <w:t>7</w:t>
        </w:r>
      </w:fldSimple>
      <w:r w:rsidR="00EE1FE9">
        <w:t>.</w:t>
      </w:r>
      <w:fldSimple w:instr=" SEQ Table \* ARABIC \s 1 ">
        <w:r w:rsidR="008D4BDE">
          <w:rPr>
            <w:noProof/>
          </w:rPr>
          <w:t>5</w:t>
        </w:r>
      </w:fldSimple>
      <w:bookmarkEnd w:id="71"/>
      <w:r w:rsidRPr="00887119">
        <w:t>: Select government transfer incomes by geograph</w:t>
      </w:r>
      <w:r w:rsidR="00795A96" w:rsidRPr="00887119">
        <w:t>ic category</w:t>
      </w:r>
      <w:r w:rsidRPr="00887119">
        <w:t>, 2021 Census</w:t>
      </w:r>
    </w:p>
    <w:tbl>
      <w:tblPr>
        <w:tblW w:w="9350" w:type="dxa"/>
        <w:tblLayout w:type="fixed"/>
        <w:tblLook w:val="04A0" w:firstRow="1" w:lastRow="0" w:firstColumn="1" w:lastColumn="0" w:noHBand="0" w:noVBand="1"/>
      </w:tblPr>
      <w:tblGrid>
        <w:gridCol w:w="2468"/>
        <w:gridCol w:w="1147"/>
        <w:gridCol w:w="1147"/>
        <w:gridCol w:w="1147"/>
        <w:gridCol w:w="1147"/>
        <w:gridCol w:w="1147"/>
        <w:gridCol w:w="1147"/>
      </w:tblGrid>
      <w:tr w:rsidR="00B05A46" w:rsidRPr="00887119" w14:paraId="04DB52DD" w14:textId="77777777" w:rsidTr="00CC68CE">
        <w:trPr>
          <w:trHeight w:val="809"/>
        </w:trPr>
        <w:tc>
          <w:tcPr>
            <w:tcW w:w="2468"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0E3C36F5" w14:textId="77777777" w:rsidR="00B05A46" w:rsidRPr="00887119" w:rsidRDefault="00B05A46" w:rsidP="00B05A46">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Select income sources</w:t>
            </w:r>
          </w:p>
        </w:tc>
        <w:tc>
          <w:tcPr>
            <w:tcW w:w="1147"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71520AF" w14:textId="77777777" w:rsidR="00B05A46" w:rsidRPr="00887119" w:rsidRDefault="00B05A46" w:rsidP="00B05A4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147"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A379F21" w14:textId="77777777" w:rsidR="00B05A46" w:rsidRPr="00887119" w:rsidRDefault="00B05A46" w:rsidP="00B05A4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147"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2E0AF7F" w14:textId="77777777" w:rsidR="00B05A46" w:rsidRPr="00887119" w:rsidRDefault="00B05A46" w:rsidP="00B05A4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147"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0B97460" w14:textId="77777777" w:rsidR="00B05A46" w:rsidRPr="00887119" w:rsidRDefault="00B05A46" w:rsidP="00B05A4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147"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5B26D87" w14:textId="77777777" w:rsidR="00B05A46" w:rsidRPr="00887119" w:rsidRDefault="00B05A46" w:rsidP="00B05A4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c>
          <w:tcPr>
            <w:tcW w:w="1147"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4920A80A" w14:textId="7D1EBBD0" w:rsidR="00B05A46" w:rsidRPr="00887119" w:rsidRDefault="00FB7A1C" w:rsidP="00B05A4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On-reserve</w:t>
            </w:r>
          </w:p>
        </w:tc>
      </w:tr>
      <w:tr w:rsidR="00B05A46" w:rsidRPr="00887119" w14:paraId="30CC8483" w14:textId="77777777" w:rsidTr="00B05A46">
        <w:trPr>
          <w:trHeight w:val="402"/>
        </w:trPr>
        <w:tc>
          <w:tcPr>
            <w:tcW w:w="2468" w:type="dxa"/>
            <w:tcBorders>
              <w:top w:val="nil"/>
              <w:left w:val="single" w:sz="4" w:space="0" w:color="auto"/>
              <w:bottom w:val="single" w:sz="4" w:space="0" w:color="BFBFBF"/>
              <w:right w:val="single" w:sz="4" w:space="0" w:color="auto"/>
            </w:tcBorders>
            <w:shd w:val="clear" w:color="000000" w:fill="F2F2F2"/>
            <w:noWrap/>
            <w:vAlign w:val="center"/>
            <w:hideMark/>
          </w:tcPr>
          <w:p w14:paraId="6D06A9D8" w14:textId="77777777" w:rsidR="00B05A46" w:rsidRPr="00887119" w:rsidRDefault="00B05A46" w:rsidP="00B05A4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Private retirement income</w:t>
            </w:r>
          </w:p>
        </w:tc>
        <w:tc>
          <w:tcPr>
            <w:tcW w:w="1147" w:type="dxa"/>
            <w:tcBorders>
              <w:top w:val="nil"/>
              <w:left w:val="single" w:sz="4" w:space="0" w:color="BFBFBF"/>
              <w:bottom w:val="single" w:sz="4" w:space="0" w:color="BFBFBF"/>
              <w:right w:val="single" w:sz="4" w:space="0" w:color="auto"/>
            </w:tcBorders>
            <w:shd w:val="clear" w:color="000000" w:fill="F2F2F2"/>
            <w:noWrap/>
            <w:vAlign w:val="center"/>
            <w:hideMark/>
          </w:tcPr>
          <w:p w14:paraId="33AEC133"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c>
          <w:tcPr>
            <w:tcW w:w="1147" w:type="dxa"/>
            <w:tcBorders>
              <w:top w:val="nil"/>
              <w:left w:val="nil"/>
              <w:bottom w:val="single" w:sz="4" w:space="0" w:color="BFBFBF"/>
              <w:right w:val="single" w:sz="4" w:space="0" w:color="BFBFBF"/>
            </w:tcBorders>
            <w:shd w:val="clear" w:color="000000" w:fill="F2F2F2"/>
            <w:noWrap/>
            <w:vAlign w:val="center"/>
            <w:hideMark/>
          </w:tcPr>
          <w:p w14:paraId="12C84446"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147" w:type="dxa"/>
            <w:tcBorders>
              <w:top w:val="nil"/>
              <w:left w:val="nil"/>
              <w:bottom w:val="single" w:sz="4" w:space="0" w:color="BFBFBF"/>
              <w:right w:val="single" w:sz="4" w:space="0" w:color="BFBFBF"/>
            </w:tcBorders>
            <w:shd w:val="clear" w:color="000000" w:fill="F2F2F2"/>
            <w:noWrap/>
            <w:vAlign w:val="center"/>
            <w:hideMark/>
          </w:tcPr>
          <w:p w14:paraId="27EFEB0D"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c>
          <w:tcPr>
            <w:tcW w:w="1147" w:type="dxa"/>
            <w:tcBorders>
              <w:top w:val="nil"/>
              <w:left w:val="nil"/>
              <w:bottom w:val="single" w:sz="4" w:space="0" w:color="BFBFBF"/>
              <w:right w:val="single" w:sz="4" w:space="0" w:color="BFBFBF"/>
            </w:tcBorders>
            <w:shd w:val="clear" w:color="000000" w:fill="F2F2F2"/>
            <w:noWrap/>
            <w:vAlign w:val="center"/>
            <w:hideMark/>
          </w:tcPr>
          <w:p w14:paraId="3A191F59"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147" w:type="dxa"/>
            <w:tcBorders>
              <w:top w:val="nil"/>
              <w:left w:val="nil"/>
              <w:bottom w:val="single" w:sz="4" w:space="0" w:color="BFBFBF"/>
              <w:right w:val="single" w:sz="4" w:space="0" w:color="BFBFBF"/>
            </w:tcBorders>
            <w:shd w:val="clear" w:color="000000" w:fill="F2F2F2"/>
            <w:noWrap/>
            <w:vAlign w:val="center"/>
            <w:hideMark/>
          </w:tcPr>
          <w:p w14:paraId="70D47A10"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c>
          <w:tcPr>
            <w:tcW w:w="1147" w:type="dxa"/>
            <w:tcBorders>
              <w:top w:val="nil"/>
              <w:left w:val="nil"/>
              <w:bottom w:val="single" w:sz="4" w:space="0" w:color="BFBFBF"/>
              <w:right w:val="single" w:sz="4" w:space="0" w:color="auto"/>
            </w:tcBorders>
            <w:shd w:val="clear" w:color="000000" w:fill="F2F2F2"/>
            <w:noWrap/>
            <w:vAlign w:val="center"/>
            <w:hideMark/>
          </w:tcPr>
          <w:p w14:paraId="225BA4C3"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r>
      <w:tr w:rsidR="00B05A46" w:rsidRPr="00887119" w14:paraId="16116F43" w14:textId="77777777" w:rsidTr="00B05A46">
        <w:trPr>
          <w:trHeight w:val="402"/>
        </w:trPr>
        <w:tc>
          <w:tcPr>
            <w:tcW w:w="2468" w:type="dxa"/>
            <w:tcBorders>
              <w:top w:val="nil"/>
              <w:left w:val="single" w:sz="4" w:space="0" w:color="auto"/>
              <w:bottom w:val="single" w:sz="4" w:space="0" w:color="BFBFBF"/>
              <w:right w:val="single" w:sz="4" w:space="0" w:color="auto"/>
            </w:tcBorders>
            <w:noWrap/>
            <w:vAlign w:val="center"/>
            <w:hideMark/>
          </w:tcPr>
          <w:p w14:paraId="31046DDB" w14:textId="77777777" w:rsidR="00B05A46" w:rsidRPr="00887119" w:rsidRDefault="00B05A46" w:rsidP="00B05A4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OAS and GIS</w:t>
            </w:r>
          </w:p>
        </w:tc>
        <w:tc>
          <w:tcPr>
            <w:tcW w:w="1147" w:type="dxa"/>
            <w:tcBorders>
              <w:top w:val="nil"/>
              <w:left w:val="single" w:sz="4" w:space="0" w:color="BFBFBF"/>
              <w:bottom w:val="single" w:sz="4" w:space="0" w:color="BFBFBF"/>
              <w:right w:val="single" w:sz="4" w:space="0" w:color="auto"/>
            </w:tcBorders>
            <w:noWrap/>
            <w:vAlign w:val="center"/>
            <w:hideMark/>
          </w:tcPr>
          <w:p w14:paraId="11F7435A"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w:t>
            </w:r>
          </w:p>
        </w:tc>
        <w:tc>
          <w:tcPr>
            <w:tcW w:w="1147" w:type="dxa"/>
            <w:tcBorders>
              <w:top w:val="nil"/>
              <w:left w:val="nil"/>
              <w:bottom w:val="single" w:sz="4" w:space="0" w:color="BFBFBF"/>
              <w:right w:val="single" w:sz="4" w:space="0" w:color="BFBFBF"/>
            </w:tcBorders>
            <w:noWrap/>
            <w:vAlign w:val="center"/>
            <w:hideMark/>
          </w:tcPr>
          <w:p w14:paraId="7CB8C47D"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w:t>
            </w:r>
          </w:p>
        </w:tc>
        <w:tc>
          <w:tcPr>
            <w:tcW w:w="1147" w:type="dxa"/>
            <w:tcBorders>
              <w:top w:val="nil"/>
              <w:left w:val="nil"/>
              <w:bottom w:val="single" w:sz="4" w:space="0" w:color="BFBFBF"/>
              <w:right w:val="single" w:sz="4" w:space="0" w:color="BFBFBF"/>
            </w:tcBorders>
            <w:noWrap/>
            <w:vAlign w:val="center"/>
            <w:hideMark/>
          </w:tcPr>
          <w:p w14:paraId="5756DEC1"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1147" w:type="dxa"/>
            <w:tcBorders>
              <w:top w:val="nil"/>
              <w:left w:val="nil"/>
              <w:bottom w:val="single" w:sz="4" w:space="0" w:color="BFBFBF"/>
              <w:right w:val="single" w:sz="4" w:space="0" w:color="BFBFBF"/>
            </w:tcBorders>
            <w:noWrap/>
            <w:vAlign w:val="center"/>
            <w:hideMark/>
          </w:tcPr>
          <w:p w14:paraId="3AAC68F5"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w:t>
            </w:r>
          </w:p>
        </w:tc>
        <w:tc>
          <w:tcPr>
            <w:tcW w:w="1147" w:type="dxa"/>
            <w:tcBorders>
              <w:top w:val="nil"/>
              <w:left w:val="nil"/>
              <w:bottom w:val="single" w:sz="4" w:space="0" w:color="BFBFBF"/>
              <w:right w:val="single" w:sz="4" w:space="0" w:color="BFBFBF"/>
            </w:tcBorders>
            <w:noWrap/>
            <w:vAlign w:val="center"/>
            <w:hideMark/>
          </w:tcPr>
          <w:p w14:paraId="0343467D"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26%</w:t>
            </w:r>
          </w:p>
        </w:tc>
        <w:tc>
          <w:tcPr>
            <w:tcW w:w="1147" w:type="dxa"/>
            <w:tcBorders>
              <w:top w:val="nil"/>
              <w:left w:val="nil"/>
              <w:bottom w:val="single" w:sz="4" w:space="0" w:color="BFBFBF"/>
              <w:right w:val="single" w:sz="4" w:space="0" w:color="auto"/>
            </w:tcBorders>
            <w:noWrap/>
            <w:vAlign w:val="center"/>
            <w:hideMark/>
          </w:tcPr>
          <w:p w14:paraId="46F3E7D3"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r>
      <w:tr w:rsidR="00B05A46" w:rsidRPr="00887119" w14:paraId="6FCCB3C5" w14:textId="77777777" w:rsidTr="00B05A46">
        <w:trPr>
          <w:trHeight w:val="402"/>
        </w:trPr>
        <w:tc>
          <w:tcPr>
            <w:tcW w:w="2468" w:type="dxa"/>
            <w:tcBorders>
              <w:top w:val="nil"/>
              <w:left w:val="single" w:sz="4" w:space="0" w:color="auto"/>
              <w:bottom w:val="single" w:sz="4" w:space="0" w:color="BFBFBF"/>
              <w:right w:val="single" w:sz="4" w:space="0" w:color="auto"/>
            </w:tcBorders>
            <w:shd w:val="clear" w:color="000000" w:fill="F2F2F2"/>
            <w:noWrap/>
            <w:vAlign w:val="center"/>
            <w:hideMark/>
          </w:tcPr>
          <w:p w14:paraId="35E60D25" w14:textId="77777777" w:rsidR="00B05A46" w:rsidRPr="00887119" w:rsidRDefault="00B05A46" w:rsidP="00B05A4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CPP and QPP</w:t>
            </w:r>
          </w:p>
        </w:tc>
        <w:tc>
          <w:tcPr>
            <w:tcW w:w="1147" w:type="dxa"/>
            <w:tcBorders>
              <w:top w:val="nil"/>
              <w:left w:val="single" w:sz="4" w:space="0" w:color="BFBFBF"/>
              <w:bottom w:val="single" w:sz="4" w:space="0" w:color="BFBFBF"/>
              <w:right w:val="single" w:sz="4" w:space="0" w:color="auto"/>
            </w:tcBorders>
            <w:shd w:val="clear" w:color="000000" w:fill="F2F2F2"/>
            <w:noWrap/>
            <w:vAlign w:val="center"/>
            <w:hideMark/>
          </w:tcPr>
          <w:p w14:paraId="559319EF"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31%</w:t>
            </w:r>
          </w:p>
        </w:tc>
        <w:tc>
          <w:tcPr>
            <w:tcW w:w="1147" w:type="dxa"/>
            <w:tcBorders>
              <w:top w:val="nil"/>
              <w:left w:val="nil"/>
              <w:bottom w:val="single" w:sz="4" w:space="0" w:color="BFBFBF"/>
              <w:right w:val="single" w:sz="4" w:space="0" w:color="BFBFBF"/>
            </w:tcBorders>
            <w:shd w:val="clear" w:color="000000" w:fill="F2F2F2"/>
            <w:noWrap/>
            <w:vAlign w:val="center"/>
            <w:hideMark/>
          </w:tcPr>
          <w:p w14:paraId="27767DC0"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30%</w:t>
            </w:r>
          </w:p>
        </w:tc>
        <w:tc>
          <w:tcPr>
            <w:tcW w:w="1147" w:type="dxa"/>
            <w:tcBorders>
              <w:top w:val="nil"/>
              <w:left w:val="nil"/>
              <w:bottom w:val="single" w:sz="4" w:space="0" w:color="BFBFBF"/>
              <w:right w:val="single" w:sz="4" w:space="0" w:color="BFBFBF"/>
            </w:tcBorders>
            <w:shd w:val="clear" w:color="000000" w:fill="F2F2F2"/>
            <w:noWrap/>
            <w:vAlign w:val="center"/>
            <w:hideMark/>
          </w:tcPr>
          <w:p w14:paraId="07C2E740"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w:t>
            </w:r>
          </w:p>
        </w:tc>
        <w:tc>
          <w:tcPr>
            <w:tcW w:w="1147" w:type="dxa"/>
            <w:tcBorders>
              <w:top w:val="nil"/>
              <w:left w:val="nil"/>
              <w:bottom w:val="single" w:sz="4" w:space="0" w:color="BFBFBF"/>
              <w:right w:val="single" w:sz="4" w:space="0" w:color="BFBFBF"/>
            </w:tcBorders>
            <w:shd w:val="clear" w:color="000000" w:fill="F2F2F2"/>
            <w:noWrap/>
            <w:vAlign w:val="center"/>
            <w:hideMark/>
          </w:tcPr>
          <w:p w14:paraId="5B2E3413"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31%</w:t>
            </w:r>
          </w:p>
        </w:tc>
        <w:tc>
          <w:tcPr>
            <w:tcW w:w="1147" w:type="dxa"/>
            <w:tcBorders>
              <w:top w:val="nil"/>
              <w:left w:val="nil"/>
              <w:bottom w:val="single" w:sz="4" w:space="0" w:color="BFBFBF"/>
              <w:right w:val="single" w:sz="4" w:space="0" w:color="BFBFBF"/>
            </w:tcBorders>
            <w:shd w:val="clear" w:color="000000" w:fill="F2F2F2"/>
            <w:noWrap/>
            <w:vAlign w:val="center"/>
            <w:hideMark/>
          </w:tcPr>
          <w:p w14:paraId="1690B517"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w:t>
            </w:r>
          </w:p>
        </w:tc>
        <w:tc>
          <w:tcPr>
            <w:tcW w:w="1147" w:type="dxa"/>
            <w:tcBorders>
              <w:top w:val="nil"/>
              <w:left w:val="nil"/>
              <w:bottom w:val="single" w:sz="4" w:space="0" w:color="BFBFBF"/>
              <w:right w:val="single" w:sz="4" w:space="0" w:color="auto"/>
            </w:tcBorders>
            <w:shd w:val="clear" w:color="000000" w:fill="F2F2F2"/>
            <w:noWrap/>
            <w:vAlign w:val="center"/>
            <w:hideMark/>
          </w:tcPr>
          <w:p w14:paraId="487FF451"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r>
      <w:tr w:rsidR="00B05A46" w:rsidRPr="00887119" w14:paraId="2DD7693B" w14:textId="77777777" w:rsidTr="00B05A46">
        <w:trPr>
          <w:trHeight w:val="402"/>
        </w:trPr>
        <w:tc>
          <w:tcPr>
            <w:tcW w:w="2468" w:type="dxa"/>
            <w:tcBorders>
              <w:top w:val="nil"/>
              <w:left w:val="single" w:sz="4" w:space="0" w:color="auto"/>
              <w:bottom w:val="single" w:sz="4" w:space="0" w:color="BFBFBF"/>
              <w:right w:val="single" w:sz="4" w:space="0" w:color="auto"/>
            </w:tcBorders>
            <w:noWrap/>
            <w:vAlign w:val="center"/>
            <w:hideMark/>
          </w:tcPr>
          <w:p w14:paraId="1B197F6F" w14:textId="77777777" w:rsidR="00B05A46" w:rsidRPr="00887119" w:rsidRDefault="00B05A46" w:rsidP="00B05A4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Employment Insurance (EI)</w:t>
            </w:r>
          </w:p>
        </w:tc>
        <w:tc>
          <w:tcPr>
            <w:tcW w:w="1147" w:type="dxa"/>
            <w:tcBorders>
              <w:top w:val="nil"/>
              <w:left w:val="single" w:sz="4" w:space="0" w:color="BFBFBF"/>
              <w:bottom w:val="single" w:sz="4" w:space="0" w:color="BFBFBF"/>
              <w:right w:val="single" w:sz="4" w:space="0" w:color="auto"/>
            </w:tcBorders>
            <w:noWrap/>
            <w:vAlign w:val="center"/>
            <w:hideMark/>
          </w:tcPr>
          <w:p w14:paraId="3C3A8A55"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1147" w:type="dxa"/>
            <w:tcBorders>
              <w:top w:val="nil"/>
              <w:left w:val="nil"/>
              <w:bottom w:val="single" w:sz="4" w:space="0" w:color="BFBFBF"/>
              <w:right w:val="single" w:sz="4" w:space="0" w:color="BFBFBF"/>
            </w:tcBorders>
            <w:noWrap/>
            <w:vAlign w:val="center"/>
            <w:hideMark/>
          </w:tcPr>
          <w:p w14:paraId="393C893F"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47" w:type="dxa"/>
            <w:tcBorders>
              <w:top w:val="nil"/>
              <w:left w:val="nil"/>
              <w:bottom w:val="single" w:sz="4" w:space="0" w:color="BFBFBF"/>
              <w:right w:val="single" w:sz="4" w:space="0" w:color="BFBFBF"/>
            </w:tcBorders>
            <w:noWrap/>
            <w:vAlign w:val="center"/>
            <w:hideMark/>
          </w:tcPr>
          <w:p w14:paraId="626A0F0D"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1147" w:type="dxa"/>
            <w:tcBorders>
              <w:top w:val="nil"/>
              <w:left w:val="nil"/>
              <w:bottom w:val="single" w:sz="4" w:space="0" w:color="BFBFBF"/>
              <w:right w:val="single" w:sz="4" w:space="0" w:color="BFBFBF"/>
            </w:tcBorders>
            <w:noWrap/>
            <w:vAlign w:val="center"/>
            <w:hideMark/>
          </w:tcPr>
          <w:p w14:paraId="19D04569"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c>
          <w:tcPr>
            <w:tcW w:w="1147" w:type="dxa"/>
            <w:tcBorders>
              <w:top w:val="nil"/>
              <w:left w:val="nil"/>
              <w:bottom w:val="single" w:sz="4" w:space="0" w:color="BFBFBF"/>
              <w:right w:val="single" w:sz="4" w:space="0" w:color="BFBFBF"/>
            </w:tcBorders>
            <w:noWrap/>
            <w:vAlign w:val="center"/>
            <w:hideMark/>
          </w:tcPr>
          <w:p w14:paraId="66037EE5"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38%</w:t>
            </w:r>
          </w:p>
        </w:tc>
        <w:tc>
          <w:tcPr>
            <w:tcW w:w="1147" w:type="dxa"/>
            <w:tcBorders>
              <w:top w:val="nil"/>
              <w:left w:val="nil"/>
              <w:bottom w:val="single" w:sz="4" w:space="0" w:color="BFBFBF"/>
              <w:right w:val="single" w:sz="4" w:space="0" w:color="auto"/>
            </w:tcBorders>
            <w:noWrap/>
            <w:vAlign w:val="center"/>
            <w:hideMark/>
          </w:tcPr>
          <w:p w14:paraId="2F280869"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53%</w:t>
            </w:r>
          </w:p>
        </w:tc>
      </w:tr>
      <w:tr w:rsidR="00B05A46" w:rsidRPr="00887119" w14:paraId="3C70893D" w14:textId="77777777" w:rsidTr="00B05A46">
        <w:trPr>
          <w:trHeight w:val="402"/>
        </w:trPr>
        <w:tc>
          <w:tcPr>
            <w:tcW w:w="2468" w:type="dxa"/>
            <w:tcBorders>
              <w:top w:val="nil"/>
              <w:left w:val="single" w:sz="4" w:space="0" w:color="auto"/>
              <w:bottom w:val="single" w:sz="4" w:space="0" w:color="auto"/>
              <w:right w:val="single" w:sz="4" w:space="0" w:color="auto"/>
            </w:tcBorders>
            <w:shd w:val="clear" w:color="000000" w:fill="F2F2F2"/>
            <w:noWrap/>
            <w:vAlign w:val="center"/>
            <w:hideMark/>
          </w:tcPr>
          <w:p w14:paraId="3BECC20B" w14:textId="77777777" w:rsidR="00B05A46" w:rsidRPr="00887119" w:rsidRDefault="00B05A46" w:rsidP="00B05A4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Child benefits</w:t>
            </w:r>
          </w:p>
        </w:tc>
        <w:tc>
          <w:tcPr>
            <w:tcW w:w="1147" w:type="dxa"/>
            <w:tcBorders>
              <w:top w:val="nil"/>
              <w:left w:val="single" w:sz="4" w:space="0" w:color="BFBFBF"/>
              <w:bottom w:val="single" w:sz="4" w:space="0" w:color="auto"/>
              <w:right w:val="single" w:sz="4" w:space="0" w:color="auto"/>
            </w:tcBorders>
            <w:shd w:val="clear" w:color="000000" w:fill="F2F2F2"/>
            <w:noWrap/>
            <w:vAlign w:val="center"/>
            <w:hideMark/>
          </w:tcPr>
          <w:p w14:paraId="04DCF006"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147" w:type="dxa"/>
            <w:tcBorders>
              <w:top w:val="nil"/>
              <w:left w:val="nil"/>
              <w:bottom w:val="single" w:sz="4" w:space="0" w:color="auto"/>
              <w:right w:val="single" w:sz="4" w:space="0" w:color="BFBFBF"/>
            </w:tcBorders>
            <w:shd w:val="clear" w:color="000000" w:fill="F2F2F2"/>
            <w:noWrap/>
            <w:vAlign w:val="center"/>
            <w:hideMark/>
          </w:tcPr>
          <w:p w14:paraId="72698438"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147" w:type="dxa"/>
            <w:tcBorders>
              <w:top w:val="nil"/>
              <w:left w:val="nil"/>
              <w:bottom w:val="single" w:sz="4" w:space="0" w:color="auto"/>
              <w:right w:val="single" w:sz="4" w:space="0" w:color="BFBFBF"/>
            </w:tcBorders>
            <w:shd w:val="clear" w:color="000000" w:fill="F2F2F2"/>
            <w:noWrap/>
            <w:vAlign w:val="center"/>
            <w:hideMark/>
          </w:tcPr>
          <w:p w14:paraId="55024237"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w:t>
            </w:r>
          </w:p>
        </w:tc>
        <w:tc>
          <w:tcPr>
            <w:tcW w:w="1147" w:type="dxa"/>
            <w:tcBorders>
              <w:top w:val="nil"/>
              <w:left w:val="nil"/>
              <w:bottom w:val="single" w:sz="4" w:space="0" w:color="auto"/>
              <w:right w:val="single" w:sz="4" w:space="0" w:color="BFBFBF"/>
            </w:tcBorders>
            <w:shd w:val="clear" w:color="000000" w:fill="F2F2F2"/>
            <w:noWrap/>
            <w:vAlign w:val="center"/>
            <w:hideMark/>
          </w:tcPr>
          <w:p w14:paraId="52B32B25"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1147" w:type="dxa"/>
            <w:tcBorders>
              <w:top w:val="nil"/>
              <w:left w:val="nil"/>
              <w:bottom w:val="single" w:sz="4" w:space="0" w:color="auto"/>
              <w:right w:val="single" w:sz="4" w:space="0" w:color="BFBFBF"/>
            </w:tcBorders>
            <w:shd w:val="clear" w:color="000000" w:fill="F2F2F2"/>
            <w:noWrap/>
            <w:vAlign w:val="center"/>
            <w:hideMark/>
          </w:tcPr>
          <w:p w14:paraId="3E8B0B40"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147" w:type="dxa"/>
            <w:tcBorders>
              <w:top w:val="nil"/>
              <w:left w:val="nil"/>
              <w:bottom w:val="single" w:sz="4" w:space="0" w:color="auto"/>
              <w:right w:val="single" w:sz="4" w:space="0" w:color="auto"/>
            </w:tcBorders>
            <w:shd w:val="clear" w:color="000000" w:fill="F2F2F2"/>
            <w:noWrap/>
            <w:vAlign w:val="center"/>
            <w:hideMark/>
          </w:tcPr>
          <w:p w14:paraId="773B63CC" w14:textId="77777777" w:rsidR="00B05A46" w:rsidRPr="002E10EB" w:rsidRDefault="00B05A46" w:rsidP="00B05A46">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24%</w:t>
            </w:r>
          </w:p>
        </w:tc>
      </w:tr>
    </w:tbl>
    <w:p w14:paraId="08859C07" w14:textId="22A4396F" w:rsidR="00952F0E" w:rsidRPr="00887119" w:rsidRDefault="00952F0E" w:rsidP="00952F0E">
      <w:pPr>
        <w:pStyle w:val="Source"/>
      </w:pPr>
      <w:r w:rsidRPr="00887119">
        <w:t xml:space="preserve">Source: </w:t>
      </w:r>
      <w:r w:rsidR="004968F8" w:rsidRPr="00887119">
        <w:t xml:space="preserve">derived from </w:t>
      </w:r>
      <w:r w:rsidRPr="00887119">
        <w:t>Statistics Canada Table 98-10-0070</w:t>
      </w:r>
    </w:p>
    <w:p w14:paraId="08BF711E" w14:textId="77777777" w:rsidR="00952F0E" w:rsidRPr="00887119" w:rsidRDefault="00952F0E" w:rsidP="00952F0E"/>
    <w:p w14:paraId="61CF5B63" w14:textId="6463800E" w:rsidR="00D05F7E" w:rsidRPr="00887119" w:rsidRDefault="00D05F7E" w:rsidP="00D05F7E">
      <w:r w:rsidRPr="00887119">
        <w:t xml:space="preserve">The transfer income profile across </w:t>
      </w:r>
      <w:r w:rsidR="00402288" w:rsidRPr="00402288">
        <w:rPr>
          <w:color w:val="C00000"/>
        </w:rPr>
        <w:t>PEI</w:t>
      </w:r>
      <w:r w:rsidRPr="00887119">
        <w:t xml:space="preserve">’s geographic categories reveals important differences in the sources and stability of household income. Employment Insurance receipt is markedly higher in rural remote areas (38%) and on-reserve communities (53%) compared to urban areas (15%), directly reflecting the concentration of seasonal and resource-dependent employment </w:t>
      </w:r>
      <w:r w:rsidR="00AE4084" w:rsidRPr="00887119">
        <w:t>for</w:t>
      </w:r>
      <w:r w:rsidRPr="00887119">
        <w:t xml:space="preserve"> those communities. </w:t>
      </w:r>
    </w:p>
    <w:p w14:paraId="6AF1DB59" w14:textId="77777777" w:rsidR="00D05F7E" w:rsidRPr="00887119" w:rsidRDefault="00D05F7E" w:rsidP="00D05F7E"/>
    <w:p w14:paraId="5B78E53C" w14:textId="78245B1E" w:rsidR="00D05F7E" w:rsidRPr="00887119" w:rsidRDefault="00D05F7E" w:rsidP="00D05F7E">
      <w:r w:rsidRPr="00887119">
        <w:t>Pension and retirement-related transfers (OAS/GIS and CPP) are most prevalent in small urban (27% and 36%) and rural remote areas (26% and 35%), consistent with older population profiles in those categories. On-reserve communities show notably lower receipt of these programs (9%), reflecting a younger age profile. The relatively low child benefit share across all geographic categories (12</w:t>
      </w:r>
      <w:r w:rsidR="00AE4084" w:rsidRPr="00887119">
        <w:t>%</w:t>
      </w:r>
      <w:r w:rsidRPr="00887119">
        <w:t>–14%, except on-reserve at 24%) is consistent with a province-wide population that skews toward working-age and older adults, though on-reserve communities show substantially higher family-formation rates and child benefit receipt.</w:t>
      </w:r>
    </w:p>
    <w:p w14:paraId="47FF0B09" w14:textId="77777777" w:rsidR="00D05F7E" w:rsidRPr="00887119" w:rsidRDefault="00D05F7E" w:rsidP="00D05F7E"/>
    <w:p w14:paraId="5DD72788" w14:textId="2EBBEA3E" w:rsidR="00952F0E" w:rsidRPr="00887119" w:rsidRDefault="00D05F7E" w:rsidP="00D05F7E">
      <w:r w:rsidRPr="00887119">
        <w:t xml:space="preserve">Seniors receiving OAS and GIS in rural and small urban areas face a distinct form of housing vulnerability: pension income may place them technically above core housing need thresholds while still leaving them financially exposed to rent increases, major repairs, or rising maintenance costs. This is particularly relevant for rural remote older adult homeowners, whose fixed incomes may be insufficient to sustain aging housing stock that would require capital investment to remain adequate and suitable. </w:t>
      </w:r>
    </w:p>
    <w:p w14:paraId="3BB6F2E5" w14:textId="77777777" w:rsidR="00B21D32" w:rsidRPr="00887119" w:rsidRDefault="00B21D32" w:rsidP="00D05F7E"/>
    <w:p w14:paraId="22148006" w14:textId="77777777" w:rsidR="00952F0E" w:rsidRPr="00887119" w:rsidRDefault="00952F0E" w:rsidP="00952F0E">
      <w:pPr>
        <w:pStyle w:val="Heading3"/>
      </w:pPr>
      <w:r w:rsidRPr="00887119">
        <w:t>Income Categories</w:t>
      </w:r>
    </w:p>
    <w:p w14:paraId="59F4A1BA" w14:textId="65190CF4" w:rsidR="00952F0E" w:rsidRPr="00887119" w:rsidRDefault="00E20EAC" w:rsidP="00952F0E">
      <w:r w:rsidRPr="00887119">
        <w:t xml:space="preserve">This section on a custom tabulation produced by the Housing Assessment Resource Tools (HART) project, a research initiative developed to support housing needs assessments across </w:t>
      </w:r>
      <w:r w:rsidRPr="00887119">
        <w:lastRenderedPageBreak/>
        <w:t>Canada. HART establishes five household income categories (very low, low, moderate, median, and high), defined as bands of annual household income derived from the local area median household income, allowing affordability thresholds to reflect local economic conditions rather than national or provincial averages. This income-banding approach is designed specifically for housing planning purposes: unlike poverty measures or decile-based income distributions, the HART categories are calibrated to the income levels at which households are expected to transition between inability to afford market housing, marginal affordability, and market accessibility without assistance.</w:t>
      </w:r>
    </w:p>
    <w:p w14:paraId="11FE6230" w14:textId="77777777" w:rsidR="00E20EAC" w:rsidRPr="00887119" w:rsidRDefault="00E20EAC" w:rsidP="00952F0E"/>
    <w:p w14:paraId="18ED3896" w14:textId="308A4361" w:rsidR="00952F0E" w:rsidRPr="00887119" w:rsidRDefault="00952F0E" w:rsidP="00952F0E">
      <w:r w:rsidRPr="00887119">
        <w:rPr>
          <w:rStyle w:val="Figure-textChar"/>
        </w:rPr>
        <w:fldChar w:fldCharType="begin"/>
      </w:r>
      <w:r w:rsidRPr="00887119">
        <w:rPr>
          <w:rStyle w:val="Figure-textChar"/>
        </w:rPr>
        <w:instrText xml:space="preserve"> REF _Ref223275134 \h  \* MERGEFORMAT </w:instrText>
      </w:r>
      <w:r w:rsidRPr="00887119">
        <w:rPr>
          <w:rStyle w:val="Figure-textChar"/>
        </w:rPr>
      </w:r>
      <w:r w:rsidRPr="00887119">
        <w:rPr>
          <w:rStyle w:val="Figure-textChar"/>
        </w:rPr>
        <w:fldChar w:fldCharType="separate"/>
      </w:r>
      <w:r w:rsidR="008D4BDE" w:rsidRPr="008D4BDE">
        <w:rPr>
          <w:rStyle w:val="Figure-textChar"/>
        </w:rPr>
        <w:t>Table 7.6</w:t>
      </w:r>
      <w:r w:rsidRPr="00887119">
        <w:rPr>
          <w:rStyle w:val="Figure-textChar"/>
        </w:rPr>
        <w:fldChar w:fldCharType="end"/>
      </w:r>
      <w:r w:rsidRPr="00887119">
        <w:t xml:space="preserve"> </w:t>
      </w:r>
      <w:r w:rsidR="00E20EAC" w:rsidRPr="00887119">
        <w:t>distributes households across these five income categories, disaggregated by tenure and household size at the provincial level, providing a view of the income landscape and the scale of households at different affordability thresholds.</w:t>
      </w:r>
    </w:p>
    <w:p w14:paraId="5FA08810" w14:textId="77777777" w:rsidR="00952F0E" w:rsidRPr="00887119" w:rsidRDefault="00952F0E" w:rsidP="00952F0E"/>
    <w:p w14:paraId="2C90C925" w14:textId="0B87BF53" w:rsidR="00952F0E" w:rsidRPr="00887119" w:rsidRDefault="00952F0E" w:rsidP="00952F0E">
      <w:pPr>
        <w:pStyle w:val="Caption"/>
      </w:pPr>
      <w:bookmarkStart w:id="72" w:name="_Ref223275134"/>
      <w:r w:rsidRPr="00887119">
        <w:t xml:space="preserve">Table </w:t>
      </w:r>
      <w:fldSimple w:instr=" STYLEREF 1 \s ">
        <w:r w:rsidR="008D4BDE">
          <w:rPr>
            <w:noProof/>
          </w:rPr>
          <w:t>7</w:t>
        </w:r>
      </w:fldSimple>
      <w:r w:rsidR="00EE1FE9">
        <w:t>.</w:t>
      </w:r>
      <w:fldSimple w:instr=" SEQ Table \* ARABIC \s 1 ">
        <w:r w:rsidR="008D4BDE">
          <w:rPr>
            <w:noProof/>
          </w:rPr>
          <w:t>6</w:t>
        </w:r>
      </w:fldSimple>
      <w:bookmarkEnd w:id="72"/>
      <w:r w:rsidRPr="00887119">
        <w:t>: Household income categories by household characteristic, 2021 Census</w:t>
      </w:r>
      <w:r w:rsidR="0067080D" w:rsidRPr="00887119">
        <w:t xml:space="preserve">, </w:t>
      </w:r>
      <w:r w:rsidR="00A26F1F" w:rsidRPr="00887119">
        <w:t>province</w:t>
      </w:r>
    </w:p>
    <w:tbl>
      <w:tblPr>
        <w:tblW w:w="9360" w:type="dxa"/>
        <w:tblLayout w:type="fixed"/>
        <w:tblLook w:val="04A0" w:firstRow="1" w:lastRow="0" w:firstColumn="1" w:lastColumn="0" w:noHBand="0" w:noVBand="1"/>
      </w:tblPr>
      <w:tblGrid>
        <w:gridCol w:w="1080"/>
        <w:gridCol w:w="1620"/>
        <w:gridCol w:w="1080"/>
        <w:gridCol w:w="1116"/>
        <w:gridCol w:w="1116"/>
        <w:gridCol w:w="1116"/>
        <w:gridCol w:w="1116"/>
        <w:gridCol w:w="1116"/>
      </w:tblGrid>
      <w:tr w:rsidR="00952F0E" w:rsidRPr="00887119" w14:paraId="1F76A1F1" w14:textId="77777777" w:rsidTr="00D14AC7">
        <w:trPr>
          <w:trHeight w:val="402"/>
          <w:tblHeader/>
        </w:trPr>
        <w:tc>
          <w:tcPr>
            <w:tcW w:w="1080" w:type="dxa"/>
            <w:tcBorders>
              <w:top w:val="nil"/>
              <w:left w:val="nil"/>
              <w:bottom w:val="nil"/>
              <w:right w:val="nil"/>
            </w:tcBorders>
            <w:noWrap/>
            <w:vAlign w:val="center"/>
            <w:hideMark/>
          </w:tcPr>
          <w:p w14:paraId="49816988" w14:textId="77777777" w:rsidR="00952F0E" w:rsidRPr="00887119" w:rsidRDefault="00952F0E" w:rsidP="00CC6BC1">
            <w:pPr>
              <w:rPr>
                <w:rFonts w:ascii="Times New Roman" w:eastAsia="Times New Roman" w:hAnsi="Times New Roman" w:cs="Times New Roman"/>
                <w:sz w:val="24"/>
              </w:rPr>
            </w:pPr>
          </w:p>
        </w:tc>
        <w:tc>
          <w:tcPr>
            <w:tcW w:w="1620" w:type="dxa"/>
            <w:tcBorders>
              <w:top w:val="nil"/>
              <w:left w:val="nil"/>
              <w:bottom w:val="nil"/>
              <w:right w:val="nil"/>
            </w:tcBorders>
            <w:noWrap/>
            <w:vAlign w:val="center"/>
            <w:hideMark/>
          </w:tcPr>
          <w:p w14:paraId="04BA5F20" w14:textId="77777777" w:rsidR="00952F0E" w:rsidRPr="00887119" w:rsidRDefault="00952F0E" w:rsidP="00CC6BC1">
            <w:pPr>
              <w:rPr>
                <w:rFonts w:ascii="Times New Roman" w:eastAsia="Times New Roman" w:hAnsi="Times New Roman" w:cs="Times New Roman"/>
                <w:sz w:val="20"/>
                <w:szCs w:val="20"/>
              </w:rPr>
            </w:pPr>
          </w:p>
        </w:tc>
        <w:tc>
          <w:tcPr>
            <w:tcW w:w="1080" w:type="dxa"/>
            <w:tcBorders>
              <w:top w:val="nil"/>
              <w:left w:val="nil"/>
              <w:bottom w:val="nil"/>
              <w:right w:val="nil"/>
            </w:tcBorders>
            <w:noWrap/>
            <w:vAlign w:val="center"/>
            <w:hideMark/>
          </w:tcPr>
          <w:p w14:paraId="7CE0047F" w14:textId="77777777" w:rsidR="00952F0E" w:rsidRPr="00887119" w:rsidRDefault="00952F0E" w:rsidP="00CC6BC1">
            <w:pPr>
              <w:rPr>
                <w:rFonts w:ascii="Times New Roman" w:eastAsia="Times New Roman" w:hAnsi="Times New Roman" w:cs="Times New Roman"/>
                <w:sz w:val="20"/>
                <w:szCs w:val="20"/>
              </w:rPr>
            </w:pPr>
          </w:p>
        </w:tc>
        <w:tc>
          <w:tcPr>
            <w:tcW w:w="5580" w:type="dxa"/>
            <w:gridSpan w:val="5"/>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39196CFB" w14:textId="77777777" w:rsidR="00952F0E" w:rsidRPr="00887119" w:rsidRDefault="00952F0E" w:rsidP="00CC6BC1">
            <w:pPr>
              <w:jc w:val="center"/>
              <w:rPr>
                <w:rFonts w:eastAsia="Times New Roman"/>
                <w:color w:val="FFFFFF"/>
                <w:sz w:val="18"/>
                <w:szCs w:val="18"/>
              </w:rPr>
            </w:pPr>
            <w:r w:rsidRPr="00887119">
              <w:rPr>
                <w:rFonts w:eastAsia="Times New Roman"/>
                <w:color w:val="FFFFFF"/>
                <w:sz w:val="18"/>
                <w:szCs w:val="18"/>
              </w:rPr>
              <w:t>Income category</w:t>
            </w:r>
          </w:p>
        </w:tc>
      </w:tr>
      <w:tr w:rsidR="00952F0E" w:rsidRPr="00887119" w14:paraId="1C1624E6" w14:textId="77777777" w:rsidTr="00D14AC7">
        <w:trPr>
          <w:trHeight w:val="402"/>
          <w:tblHeader/>
        </w:trPr>
        <w:tc>
          <w:tcPr>
            <w:tcW w:w="1080" w:type="dxa"/>
            <w:tcBorders>
              <w:top w:val="nil"/>
              <w:left w:val="nil"/>
              <w:bottom w:val="nil"/>
              <w:right w:val="nil"/>
            </w:tcBorders>
            <w:noWrap/>
            <w:vAlign w:val="center"/>
            <w:hideMark/>
          </w:tcPr>
          <w:p w14:paraId="252F5C57" w14:textId="77777777" w:rsidR="00952F0E" w:rsidRPr="00887119" w:rsidRDefault="00952F0E" w:rsidP="00CC6BC1">
            <w:pPr>
              <w:jc w:val="center"/>
              <w:rPr>
                <w:rFonts w:eastAsia="Times New Roman"/>
                <w:color w:val="FFFFFF"/>
                <w:sz w:val="18"/>
                <w:szCs w:val="18"/>
              </w:rPr>
            </w:pPr>
          </w:p>
        </w:tc>
        <w:tc>
          <w:tcPr>
            <w:tcW w:w="1620" w:type="dxa"/>
            <w:tcBorders>
              <w:top w:val="nil"/>
              <w:left w:val="nil"/>
              <w:bottom w:val="nil"/>
              <w:right w:val="nil"/>
            </w:tcBorders>
            <w:noWrap/>
            <w:vAlign w:val="center"/>
            <w:hideMark/>
          </w:tcPr>
          <w:p w14:paraId="24F63B84" w14:textId="77777777" w:rsidR="00952F0E" w:rsidRPr="00887119" w:rsidRDefault="00952F0E" w:rsidP="00CC6BC1">
            <w:pPr>
              <w:rPr>
                <w:rFonts w:ascii="Times New Roman" w:eastAsia="Times New Roman" w:hAnsi="Times New Roman" w:cs="Times New Roman"/>
                <w:sz w:val="20"/>
                <w:szCs w:val="20"/>
              </w:rPr>
            </w:pP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FFB838" w:themeFill="accent5" w:themeFillTint="99"/>
            <w:noWrap/>
            <w:vAlign w:val="center"/>
            <w:hideMark/>
          </w:tcPr>
          <w:p w14:paraId="1555FC7D" w14:textId="77777777" w:rsidR="00952F0E" w:rsidRPr="00D14AC7" w:rsidRDefault="00952F0E" w:rsidP="00CC6BC1">
            <w:pPr>
              <w:jc w:val="center"/>
              <w:rPr>
                <w:rFonts w:eastAsia="Times New Roman"/>
                <w:sz w:val="18"/>
                <w:szCs w:val="18"/>
              </w:rPr>
            </w:pPr>
            <w:r w:rsidRPr="00D14AC7">
              <w:rPr>
                <w:rFonts w:eastAsia="Times New Roman"/>
                <w:sz w:val="18"/>
                <w:szCs w:val="18"/>
              </w:rPr>
              <w:t>Total</w:t>
            </w:r>
          </w:p>
          <w:p w14:paraId="1EC41078" w14:textId="77777777" w:rsidR="00952F0E" w:rsidRPr="00887119" w:rsidRDefault="00952F0E" w:rsidP="00CC6BC1">
            <w:pPr>
              <w:jc w:val="center"/>
              <w:rPr>
                <w:rFonts w:eastAsia="Times New Roman"/>
                <w:color w:val="FFFFFF"/>
                <w:sz w:val="18"/>
                <w:szCs w:val="18"/>
              </w:rPr>
            </w:pPr>
            <w:r w:rsidRPr="00D14AC7">
              <w:rPr>
                <w:rFonts w:eastAsia="Times New Roman"/>
                <w:sz w:val="18"/>
                <w:szCs w:val="18"/>
              </w:rPr>
              <w:t>HHs</w:t>
            </w:r>
          </w:p>
        </w:tc>
        <w:tc>
          <w:tcPr>
            <w:tcW w:w="1116" w:type="dxa"/>
            <w:tcBorders>
              <w:top w:val="nil"/>
              <w:left w:val="nil"/>
              <w:bottom w:val="single" w:sz="4" w:space="0" w:color="auto"/>
              <w:right w:val="single" w:sz="4" w:space="0" w:color="BFBFBF"/>
            </w:tcBorders>
            <w:shd w:val="clear" w:color="auto" w:fill="B4C3D3" w:themeFill="accent1" w:themeFillShade="E6"/>
            <w:noWrap/>
            <w:vAlign w:val="center"/>
            <w:hideMark/>
          </w:tcPr>
          <w:p w14:paraId="62B882E4" w14:textId="77777777" w:rsidR="00952F0E" w:rsidRPr="00887119" w:rsidRDefault="00952F0E" w:rsidP="00CC6BC1">
            <w:pPr>
              <w:jc w:val="right"/>
              <w:rPr>
                <w:rFonts w:eastAsia="Times New Roman"/>
                <w:color w:val="000000"/>
                <w:sz w:val="18"/>
                <w:szCs w:val="18"/>
              </w:rPr>
            </w:pPr>
            <w:r w:rsidRPr="00887119">
              <w:rPr>
                <w:rFonts w:eastAsia="Times New Roman"/>
                <w:color w:val="000000"/>
                <w:sz w:val="18"/>
                <w:szCs w:val="18"/>
              </w:rPr>
              <w:t>Very low</w:t>
            </w:r>
          </w:p>
        </w:tc>
        <w:tc>
          <w:tcPr>
            <w:tcW w:w="1116" w:type="dxa"/>
            <w:tcBorders>
              <w:top w:val="nil"/>
              <w:left w:val="nil"/>
              <w:bottom w:val="single" w:sz="4" w:space="0" w:color="auto"/>
              <w:right w:val="single" w:sz="4" w:space="0" w:color="BFBFBF"/>
            </w:tcBorders>
            <w:shd w:val="clear" w:color="auto" w:fill="B4C3D3" w:themeFill="accent1" w:themeFillShade="E6"/>
            <w:noWrap/>
            <w:vAlign w:val="center"/>
            <w:hideMark/>
          </w:tcPr>
          <w:p w14:paraId="5B82409D" w14:textId="77777777" w:rsidR="00952F0E" w:rsidRPr="00887119" w:rsidRDefault="00952F0E" w:rsidP="00CC6BC1">
            <w:pPr>
              <w:jc w:val="right"/>
              <w:rPr>
                <w:rFonts w:eastAsia="Times New Roman"/>
                <w:color w:val="000000"/>
                <w:sz w:val="18"/>
                <w:szCs w:val="18"/>
              </w:rPr>
            </w:pPr>
            <w:r w:rsidRPr="00887119">
              <w:rPr>
                <w:rFonts w:eastAsia="Times New Roman"/>
                <w:color w:val="000000"/>
                <w:sz w:val="18"/>
                <w:szCs w:val="18"/>
              </w:rPr>
              <w:t>Low</w:t>
            </w:r>
          </w:p>
        </w:tc>
        <w:tc>
          <w:tcPr>
            <w:tcW w:w="1116" w:type="dxa"/>
            <w:tcBorders>
              <w:top w:val="nil"/>
              <w:left w:val="nil"/>
              <w:bottom w:val="single" w:sz="4" w:space="0" w:color="auto"/>
              <w:right w:val="single" w:sz="4" w:space="0" w:color="BFBFBF"/>
            </w:tcBorders>
            <w:shd w:val="clear" w:color="auto" w:fill="B4C3D3" w:themeFill="accent1" w:themeFillShade="E6"/>
            <w:noWrap/>
            <w:vAlign w:val="center"/>
            <w:hideMark/>
          </w:tcPr>
          <w:p w14:paraId="2EF5B46F" w14:textId="77777777" w:rsidR="00952F0E" w:rsidRPr="00887119" w:rsidRDefault="00952F0E" w:rsidP="00CC6BC1">
            <w:pPr>
              <w:jc w:val="right"/>
              <w:rPr>
                <w:rFonts w:eastAsia="Times New Roman"/>
                <w:color w:val="000000"/>
                <w:sz w:val="18"/>
                <w:szCs w:val="18"/>
              </w:rPr>
            </w:pPr>
            <w:r w:rsidRPr="00887119">
              <w:rPr>
                <w:rFonts w:eastAsia="Times New Roman"/>
                <w:color w:val="000000"/>
                <w:sz w:val="18"/>
                <w:szCs w:val="18"/>
              </w:rPr>
              <w:t>Moderate</w:t>
            </w:r>
          </w:p>
        </w:tc>
        <w:tc>
          <w:tcPr>
            <w:tcW w:w="1116" w:type="dxa"/>
            <w:tcBorders>
              <w:top w:val="nil"/>
              <w:left w:val="nil"/>
              <w:bottom w:val="single" w:sz="4" w:space="0" w:color="auto"/>
              <w:right w:val="single" w:sz="4" w:space="0" w:color="BFBFBF"/>
            </w:tcBorders>
            <w:shd w:val="clear" w:color="auto" w:fill="B4C3D3" w:themeFill="accent1" w:themeFillShade="E6"/>
            <w:noWrap/>
            <w:vAlign w:val="center"/>
            <w:hideMark/>
          </w:tcPr>
          <w:p w14:paraId="2317C14B" w14:textId="77777777" w:rsidR="00952F0E" w:rsidRPr="00887119" w:rsidRDefault="00952F0E" w:rsidP="00CC6BC1">
            <w:pPr>
              <w:jc w:val="right"/>
              <w:rPr>
                <w:rFonts w:eastAsia="Times New Roman"/>
                <w:color w:val="000000"/>
                <w:sz w:val="18"/>
                <w:szCs w:val="18"/>
              </w:rPr>
            </w:pPr>
            <w:r w:rsidRPr="00887119">
              <w:rPr>
                <w:rFonts w:eastAsia="Times New Roman"/>
                <w:color w:val="000000"/>
                <w:sz w:val="18"/>
                <w:szCs w:val="18"/>
              </w:rPr>
              <w:t>Median</w:t>
            </w:r>
          </w:p>
        </w:tc>
        <w:tc>
          <w:tcPr>
            <w:tcW w:w="1116" w:type="dxa"/>
            <w:tcBorders>
              <w:top w:val="nil"/>
              <w:left w:val="nil"/>
              <w:bottom w:val="single" w:sz="4" w:space="0" w:color="auto"/>
              <w:right w:val="single" w:sz="4" w:space="0" w:color="auto"/>
            </w:tcBorders>
            <w:shd w:val="clear" w:color="auto" w:fill="B4C3D3" w:themeFill="accent1" w:themeFillShade="E6"/>
            <w:noWrap/>
            <w:vAlign w:val="center"/>
            <w:hideMark/>
          </w:tcPr>
          <w:p w14:paraId="615F3236" w14:textId="77777777" w:rsidR="00952F0E" w:rsidRPr="00887119" w:rsidRDefault="00952F0E" w:rsidP="00CC6BC1">
            <w:pPr>
              <w:jc w:val="right"/>
              <w:rPr>
                <w:rFonts w:eastAsia="Times New Roman"/>
                <w:color w:val="000000"/>
                <w:sz w:val="18"/>
                <w:szCs w:val="18"/>
              </w:rPr>
            </w:pPr>
            <w:r w:rsidRPr="00887119">
              <w:rPr>
                <w:rFonts w:eastAsia="Times New Roman"/>
                <w:color w:val="000000"/>
                <w:sz w:val="18"/>
                <w:szCs w:val="18"/>
              </w:rPr>
              <w:t>High</w:t>
            </w:r>
          </w:p>
        </w:tc>
      </w:tr>
      <w:tr w:rsidR="00952F0E" w:rsidRPr="00887119" w14:paraId="7E329872" w14:textId="77777777" w:rsidTr="00D14AC7">
        <w:trPr>
          <w:trHeight w:val="402"/>
          <w:tblHeader/>
        </w:trPr>
        <w:tc>
          <w:tcPr>
            <w:tcW w:w="1080" w:type="dxa"/>
            <w:tcBorders>
              <w:top w:val="nil"/>
              <w:left w:val="nil"/>
              <w:bottom w:val="nil"/>
              <w:right w:val="nil"/>
            </w:tcBorders>
            <w:noWrap/>
            <w:vAlign w:val="center"/>
            <w:hideMark/>
          </w:tcPr>
          <w:p w14:paraId="189258E2" w14:textId="77777777" w:rsidR="00952F0E" w:rsidRPr="00887119" w:rsidRDefault="00952F0E" w:rsidP="00CC6BC1">
            <w:pPr>
              <w:jc w:val="right"/>
              <w:rPr>
                <w:rFonts w:eastAsia="Times New Roman"/>
                <w:color w:val="000000"/>
                <w:sz w:val="18"/>
                <w:szCs w:val="18"/>
              </w:rPr>
            </w:pPr>
          </w:p>
        </w:tc>
        <w:tc>
          <w:tcPr>
            <w:tcW w:w="1620" w:type="dxa"/>
            <w:tcBorders>
              <w:top w:val="nil"/>
              <w:left w:val="nil"/>
              <w:bottom w:val="nil"/>
              <w:right w:val="nil"/>
            </w:tcBorders>
            <w:noWrap/>
            <w:vAlign w:val="center"/>
            <w:hideMark/>
          </w:tcPr>
          <w:p w14:paraId="41689AF6" w14:textId="77777777" w:rsidR="00952F0E" w:rsidRPr="00887119" w:rsidRDefault="00952F0E" w:rsidP="00CC6BC1">
            <w:pPr>
              <w:rPr>
                <w:rFonts w:ascii="Times New Roman" w:eastAsia="Times New Roman" w:hAnsi="Times New Roman" w:cs="Times New Roman"/>
                <w:sz w:val="20"/>
                <w:szCs w:val="20"/>
              </w:rPr>
            </w:pPr>
          </w:p>
        </w:tc>
        <w:tc>
          <w:tcPr>
            <w:tcW w:w="1080" w:type="dxa"/>
            <w:vMerge/>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650DA66F" w14:textId="77777777" w:rsidR="00952F0E" w:rsidRPr="00887119" w:rsidRDefault="00952F0E" w:rsidP="00CC6BC1">
            <w:pPr>
              <w:rPr>
                <w:rFonts w:eastAsia="Times New Roman"/>
                <w:color w:val="FFFFFF"/>
                <w:sz w:val="18"/>
                <w:szCs w:val="18"/>
              </w:rPr>
            </w:pPr>
          </w:p>
        </w:tc>
        <w:tc>
          <w:tcPr>
            <w:tcW w:w="1116" w:type="dxa"/>
            <w:vMerge w:val="restart"/>
            <w:tcBorders>
              <w:top w:val="nil"/>
              <w:left w:val="single" w:sz="4" w:space="0" w:color="auto"/>
              <w:bottom w:val="single" w:sz="4" w:space="0" w:color="000000"/>
              <w:right w:val="single" w:sz="4" w:space="0" w:color="BFBFBF"/>
            </w:tcBorders>
            <w:shd w:val="clear" w:color="auto" w:fill="CFD9E3" w:themeFill="accent1"/>
            <w:vAlign w:val="center"/>
            <w:hideMark/>
          </w:tcPr>
          <w:p w14:paraId="57B6CCB6" w14:textId="4F4B5463" w:rsidR="00952F0E" w:rsidRPr="002E10EB" w:rsidRDefault="00952F0E" w:rsidP="00CC6BC1">
            <w:pPr>
              <w:jc w:val="right"/>
              <w:rPr>
                <w:rFonts w:eastAsia="Times New Roman"/>
                <w:color w:val="C00000"/>
                <w:sz w:val="18"/>
                <w:szCs w:val="18"/>
              </w:rPr>
            </w:pPr>
            <w:r w:rsidRPr="002E10EB">
              <w:rPr>
                <w:rFonts w:eastAsia="Times New Roman"/>
                <w:color w:val="C00000"/>
                <w:sz w:val="18"/>
                <w:szCs w:val="18"/>
              </w:rPr>
              <w:t>$0 to $13,</w:t>
            </w:r>
            <w:r w:rsidR="003B1A7B" w:rsidRPr="002E10EB">
              <w:rPr>
                <w:rFonts w:eastAsia="Times New Roman"/>
                <w:color w:val="C00000"/>
                <w:sz w:val="18"/>
                <w:szCs w:val="18"/>
              </w:rPr>
              <w:t>9</w:t>
            </w:r>
            <w:r w:rsidRPr="002E10EB">
              <w:rPr>
                <w:rFonts w:eastAsia="Times New Roman"/>
                <w:color w:val="C00000"/>
                <w:sz w:val="18"/>
                <w:szCs w:val="18"/>
              </w:rPr>
              <w:t>00</w:t>
            </w:r>
          </w:p>
        </w:tc>
        <w:tc>
          <w:tcPr>
            <w:tcW w:w="1116" w:type="dxa"/>
            <w:vMerge w:val="restart"/>
            <w:tcBorders>
              <w:top w:val="nil"/>
              <w:left w:val="single" w:sz="4" w:space="0" w:color="BFBFBF"/>
              <w:bottom w:val="single" w:sz="4" w:space="0" w:color="000000"/>
              <w:right w:val="single" w:sz="4" w:space="0" w:color="BFBFBF"/>
            </w:tcBorders>
            <w:shd w:val="clear" w:color="auto" w:fill="CFD9E3" w:themeFill="accent1"/>
            <w:vAlign w:val="center"/>
            <w:hideMark/>
          </w:tcPr>
          <w:p w14:paraId="1AD83A89" w14:textId="7F56CA15" w:rsidR="00952F0E" w:rsidRPr="002E10EB" w:rsidRDefault="00952F0E" w:rsidP="00CC6BC1">
            <w:pPr>
              <w:jc w:val="right"/>
              <w:rPr>
                <w:rFonts w:eastAsia="Times New Roman"/>
                <w:color w:val="C00000"/>
                <w:sz w:val="18"/>
                <w:szCs w:val="18"/>
              </w:rPr>
            </w:pPr>
            <w:r w:rsidRPr="002E10EB">
              <w:rPr>
                <w:rFonts w:eastAsia="Times New Roman"/>
                <w:color w:val="C00000"/>
                <w:sz w:val="18"/>
                <w:szCs w:val="18"/>
              </w:rPr>
              <w:t>$13,</w:t>
            </w:r>
            <w:r w:rsidR="003B1A7B" w:rsidRPr="002E10EB">
              <w:rPr>
                <w:rFonts w:eastAsia="Times New Roman"/>
                <w:color w:val="C00000"/>
                <w:sz w:val="18"/>
                <w:szCs w:val="18"/>
              </w:rPr>
              <w:t>9</w:t>
            </w:r>
            <w:r w:rsidRPr="002E10EB">
              <w:rPr>
                <w:rFonts w:eastAsia="Times New Roman"/>
                <w:color w:val="C00000"/>
                <w:sz w:val="18"/>
                <w:szCs w:val="18"/>
              </w:rPr>
              <w:t>01 to $3</w:t>
            </w:r>
            <w:r w:rsidR="003B1A7B" w:rsidRPr="002E10EB">
              <w:rPr>
                <w:rFonts w:eastAsia="Times New Roman"/>
                <w:color w:val="C00000"/>
                <w:sz w:val="18"/>
                <w:szCs w:val="18"/>
              </w:rPr>
              <w:t>4</w:t>
            </w:r>
            <w:r w:rsidRPr="002E10EB">
              <w:rPr>
                <w:rFonts w:eastAsia="Times New Roman"/>
                <w:color w:val="C00000"/>
                <w:sz w:val="18"/>
                <w:szCs w:val="18"/>
              </w:rPr>
              <w:t>,</w:t>
            </w:r>
            <w:r w:rsidR="003B1A7B" w:rsidRPr="002E10EB">
              <w:rPr>
                <w:rFonts w:eastAsia="Times New Roman"/>
                <w:color w:val="C00000"/>
                <w:sz w:val="18"/>
                <w:szCs w:val="18"/>
              </w:rPr>
              <w:t>8</w:t>
            </w:r>
            <w:r w:rsidRPr="002E10EB">
              <w:rPr>
                <w:rFonts w:eastAsia="Times New Roman"/>
                <w:color w:val="C00000"/>
                <w:sz w:val="18"/>
                <w:szCs w:val="18"/>
              </w:rPr>
              <w:t>00</w:t>
            </w:r>
          </w:p>
        </w:tc>
        <w:tc>
          <w:tcPr>
            <w:tcW w:w="1116" w:type="dxa"/>
            <w:vMerge w:val="restart"/>
            <w:tcBorders>
              <w:top w:val="nil"/>
              <w:left w:val="single" w:sz="4" w:space="0" w:color="BFBFBF"/>
              <w:bottom w:val="single" w:sz="4" w:space="0" w:color="000000"/>
              <w:right w:val="single" w:sz="4" w:space="0" w:color="BFBFBF"/>
            </w:tcBorders>
            <w:shd w:val="clear" w:color="auto" w:fill="CFD9E3" w:themeFill="accent1"/>
            <w:vAlign w:val="center"/>
            <w:hideMark/>
          </w:tcPr>
          <w:p w14:paraId="744A5A21" w14:textId="7CA88F7C" w:rsidR="00952F0E" w:rsidRPr="002E10EB" w:rsidRDefault="00952F0E" w:rsidP="00CC6BC1">
            <w:pPr>
              <w:jc w:val="right"/>
              <w:rPr>
                <w:rFonts w:eastAsia="Times New Roman"/>
                <w:color w:val="C00000"/>
                <w:sz w:val="18"/>
                <w:szCs w:val="18"/>
              </w:rPr>
            </w:pPr>
            <w:r w:rsidRPr="002E10EB">
              <w:rPr>
                <w:rFonts w:eastAsia="Times New Roman"/>
                <w:color w:val="C00000"/>
                <w:sz w:val="18"/>
                <w:szCs w:val="18"/>
              </w:rPr>
              <w:t>$3</w:t>
            </w:r>
            <w:r w:rsidR="003B1A7B" w:rsidRPr="002E10EB">
              <w:rPr>
                <w:rFonts w:eastAsia="Times New Roman"/>
                <w:color w:val="C00000"/>
                <w:sz w:val="18"/>
                <w:szCs w:val="18"/>
              </w:rPr>
              <w:t>4</w:t>
            </w:r>
            <w:r w:rsidRPr="002E10EB">
              <w:rPr>
                <w:rFonts w:eastAsia="Times New Roman"/>
                <w:color w:val="C00000"/>
                <w:sz w:val="18"/>
                <w:szCs w:val="18"/>
              </w:rPr>
              <w:t>,</w:t>
            </w:r>
            <w:r w:rsidR="003B1A7B" w:rsidRPr="002E10EB">
              <w:rPr>
                <w:rFonts w:eastAsia="Times New Roman"/>
                <w:color w:val="C00000"/>
                <w:sz w:val="18"/>
                <w:szCs w:val="18"/>
              </w:rPr>
              <w:t>8</w:t>
            </w:r>
            <w:r w:rsidRPr="002E10EB">
              <w:rPr>
                <w:rFonts w:eastAsia="Times New Roman"/>
                <w:color w:val="C00000"/>
                <w:sz w:val="18"/>
                <w:szCs w:val="18"/>
              </w:rPr>
              <w:t>01 to $5</w:t>
            </w:r>
            <w:r w:rsidR="003B1A7B" w:rsidRPr="002E10EB">
              <w:rPr>
                <w:rFonts w:eastAsia="Times New Roman"/>
                <w:color w:val="C00000"/>
                <w:sz w:val="18"/>
                <w:szCs w:val="18"/>
              </w:rPr>
              <w:t>5</w:t>
            </w:r>
            <w:r w:rsidRPr="002E10EB">
              <w:rPr>
                <w:rFonts w:eastAsia="Times New Roman"/>
                <w:color w:val="C00000"/>
                <w:sz w:val="18"/>
                <w:szCs w:val="18"/>
              </w:rPr>
              <w:t>,</w:t>
            </w:r>
            <w:r w:rsidR="003B1A7B" w:rsidRPr="002E10EB">
              <w:rPr>
                <w:rFonts w:eastAsia="Times New Roman"/>
                <w:color w:val="C00000"/>
                <w:sz w:val="18"/>
                <w:szCs w:val="18"/>
              </w:rPr>
              <w:t>6</w:t>
            </w:r>
            <w:r w:rsidRPr="002E10EB">
              <w:rPr>
                <w:rFonts w:eastAsia="Times New Roman"/>
                <w:color w:val="C00000"/>
                <w:sz w:val="18"/>
                <w:szCs w:val="18"/>
              </w:rPr>
              <w:t>00</w:t>
            </w:r>
          </w:p>
        </w:tc>
        <w:tc>
          <w:tcPr>
            <w:tcW w:w="1116" w:type="dxa"/>
            <w:vMerge w:val="restart"/>
            <w:tcBorders>
              <w:top w:val="nil"/>
              <w:left w:val="single" w:sz="4" w:space="0" w:color="BFBFBF"/>
              <w:bottom w:val="single" w:sz="4" w:space="0" w:color="000000"/>
              <w:right w:val="single" w:sz="4" w:space="0" w:color="BFBFBF"/>
            </w:tcBorders>
            <w:shd w:val="clear" w:color="auto" w:fill="CFD9E3" w:themeFill="accent1"/>
            <w:vAlign w:val="center"/>
            <w:hideMark/>
          </w:tcPr>
          <w:p w14:paraId="6370A550" w14:textId="26DC7DFA" w:rsidR="00952F0E" w:rsidRPr="002E10EB" w:rsidRDefault="00952F0E" w:rsidP="00CC6BC1">
            <w:pPr>
              <w:jc w:val="right"/>
              <w:rPr>
                <w:rFonts w:eastAsia="Times New Roman"/>
                <w:color w:val="C00000"/>
                <w:sz w:val="18"/>
                <w:szCs w:val="18"/>
              </w:rPr>
            </w:pPr>
            <w:r w:rsidRPr="002E10EB">
              <w:rPr>
                <w:rFonts w:eastAsia="Times New Roman"/>
                <w:color w:val="C00000"/>
                <w:sz w:val="18"/>
                <w:szCs w:val="18"/>
              </w:rPr>
              <w:t>$5</w:t>
            </w:r>
            <w:r w:rsidR="003B1A7B" w:rsidRPr="002E10EB">
              <w:rPr>
                <w:rFonts w:eastAsia="Times New Roman"/>
                <w:color w:val="C00000"/>
                <w:sz w:val="18"/>
                <w:szCs w:val="18"/>
              </w:rPr>
              <w:t>5</w:t>
            </w:r>
            <w:r w:rsidRPr="002E10EB">
              <w:rPr>
                <w:rFonts w:eastAsia="Times New Roman"/>
                <w:color w:val="C00000"/>
                <w:sz w:val="18"/>
                <w:szCs w:val="18"/>
              </w:rPr>
              <w:t>,</w:t>
            </w:r>
            <w:r w:rsidR="00D22CFA" w:rsidRPr="002E10EB">
              <w:rPr>
                <w:rFonts w:eastAsia="Times New Roman"/>
                <w:color w:val="C00000"/>
                <w:sz w:val="18"/>
                <w:szCs w:val="18"/>
              </w:rPr>
              <w:t>6</w:t>
            </w:r>
            <w:r w:rsidRPr="002E10EB">
              <w:rPr>
                <w:rFonts w:eastAsia="Times New Roman"/>
                <w:color w:val="C00000"/>
                <w:sz w:val="18"/>
                <w:szCs w:val="18"/>
              </w:rPr>
              <w:t>01 to $79,800</w:t>
            </w:r>
          </w:p>
        </w:tc>
        <w:tc>
          <w:tcPr>
            <w:tcW w:w="1116" w:type="dxa"/>
            <w:vMerge w:val="restart"/>
            <w:tcBorders>
              <w:top w:val="nil"/>
              <w:left w:val="single" w:sz="4" w:space="0" w:color="BFBFBF"/>
              <w:bottom w:val="single" w:sz="4" w:space="0" w:color="000000"/>
              <w:right w:val="single" w:sz="4" w:space="0" w:color="auto"/>
            </w:tcBorders>
            <w:shd w:val="clear" w:color="auto" w:fill="CFD9E3" w:themeFill="accent1"/>
            <w:vAlign w:val="center"/>
            <w:hideMark/>
          </w:tcPr>
          <w:p w14:paraId="7382DBAE" w14:textId="77777777" w:rsidR="00952F0E" w:rsidRPr="002E10EB" w:rsidRDefault="00952F0E" w:rsidP="00CC6BC1">
            <w:pPr>
              <w:jc w:val="right"/>
              <w:rPr>
                <w:rFonts w:eastAsia="Times New Roman"/>
                <w:color w:val="C00000"/>
                <w:sz w:val="18"/>
                <w:szCs w:val="18"/>
              </w:rPr>
            </w:pPr>
            <w:r w:rsidRPr="002E10EB">
              <w:rPr>
                <w:rFonts w:eastAsia="Times New Roman"/>
                <w:color w:val="C00000"/>
                <w:sz w:val="18"/>
                <w:szCs w:val="18"/>
              </w:rPr>
              <w:t>$79,801+</w:t>
            </w:r>
          </w:p>
        </w:tc>
      </w:tr>
      <w:tr w:rsidR="00952F0E" w:rsidRPr="00887119" w14:paraId="7163BCC6" w14:textId="77777777" w:rsidTr="00D14AC7">
        <w:trPr>
          <w:trHeight w:val="402"/>
        </w:trPr>
        <w:tc>
          <w:tcPr>
            <w:tcW w:w="2700" w:type="dxa"/>
            <w:gridSpan w:val="2"/>
            <w:tcBorders>
              <w:top w:val="single" w:sz="4" w:space="0" w:color="auto"/>
              <w:left w:val="single" w:sz="4" w:space="0" w:color="auto"/>
              <w:bottom w:val="single" w:sz="4" w:space="0" w:color="auto"/>
              <w:right w:val="nil"/>
            </w:tcBorders>
            <w:shd w:val="clear" w:color="auto" w:fill="42618C" w:themeFill="accent3"/>
            <w:noWrap/>
            <w:vAlign w:val="center"/>
            <w:hideMark/>
          </w:tcPr>
          <w:p w14:paraId="760F3F87" w14:textId="77777777" w:rsidR="00952F0E" w:rsidRPr="00887119" w:rsidRDefault="00952F0E" w:rsidP="00CC6BC1">
            <w:pPr>
              <w:rPr>
                <w:rFonts w:eastAsia="Times New Roman"/>
                <w:color w:val="FFFFFF"/>
                <w:sz w:val="18"/>
                <w:szCs w:val="18"/>
              </w:rPr>
            </w:pPr>
            <w:r w:rsidRPr="00887119">
              <w:rPr>
                <w:rFonts w:eastAsia="Times New Roman"/>
                <w:color w:val="FFFFFF"/>
                <w:sz w:val="18"/>
                <w:szCs w:val="18"/>
              </w:rPr>
              <w:t>Characteristic</w:t>
            </w:r>
          </w:p>
        </w:tc>
        <w:tc>
          <w:tcPr>
            <w:tcW w:w="1080" w:type="dxa"/>
            <w:vMerge/>
            <w:tcBorders>
              <w:top w:val="single" w:sz="4" w:space="0" w:color="auto"/>
              <w:left w:val="single" w:sz="4" w:space="0" w:color="auto"/>
              <w:bottom w:val="single" w:sz="4" w:space="0" w:color="000000"/>
              <w:right w:val="single" w:sz="4" w:space="0" w:color="auto"/>
            </w:tcBorders>
            <w:shd w:val="clear" w:color="auto" w:fill="FFB838" w:themeFill="accent5" w:themeFillTint="99"/>
            <w:vAlign w:val="center"/>
            <w:hideMark/>
          </w:tcPr>
          <w:p w14:paraId="42051075" w14:textId="77777777" w:rsidR="00952F0E" w:rsidRPr="00887119" w:rsidRDefault="00952F0E" w:rsidP="00CC6BC1">
            <w:pPr>
              <w:rPr>
                <w:rFonts w:eastAsia="Times New Roman"/>
                <w:color w:val="FFFFFF"/>
                <w:sz w:val="18"/>
                <w:szCs w:val="18"/>
              </w:rPr>
            </w:pPr>
          </w:p>
        </w:tc>
        <w:tc>
          <w:tcPr>
            <w:tcW w:w="1116" w:type="dxa"/>
            <w:vMerge/>
            <w:tcBorders>
              <w:top w:val="nil"/>
              <w:left w:val="single" w:sz="4" w:space="0" w:color="auto"/>
              <w:bottom w:val="single" w:sz="4" w:space="0" w:color="000000"/>
              <w:right w:val="single" w:sz="4" w:space="0" w:color="BFBFBF"/>
            </w:tcBorders>
            <w:shd w:val="clear" w:color="auto" w:fill="CFD9E3" w:themeFill="accent1"/>
            <w:vAlign w:val="center"/>
            <w:hideMark/>
          </w:tcPr>
          <w:p w14:paraId="5755406E" w14:textId="77777777" w:rsidR="00952F0E" w:rsidRPr="00887119" w:rsidRDefault="00952F0E" w:rsidP="00CC6BC1">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BFBFBF"/>
            </w:tcBorders>
            <w:shd w:val="clear" w:color="auto" w:fill="CFD9E3" w:themeFill="accent1"/>
            <w:vAlign w:val="center"/>
            <w:hideMark/>
          </w:tcPr>
          <w:p w14:paraId="7C959353" w14:textId="77777777" w:rsidR="00952F0E" w:rsidRPr="00887119" w:rsidRDefault="00952F0E" w:rsidP="00CC6BC1">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BFBFBF"/>
            </w:tcBorders>
            <w:shd w:val="clear" w:color="auto" w:fill="CFD9E3" w:themeFill="accent1"/>
            <w:vAlign w:val="center"/>
            <w:hideMark/>
          </w:tcPr>
          <w:p w14:paraId="1141CF6A" w14:textId="77777777" w:rsidR="00952F0E" w:rsidRPr="00887119" w:rsidRDefault="00952F0E" w:rsidP="00CC6BC1">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BFBFBF"/>
            </w:tcBorders>
            <w:shd w:val="clear" w:color="auto" w:fill="CFD9E3" w:themeFill="accent1"/>
            <w:vAlign w:val="center"/>
            <w:hideMark/>
          </w:tcPr>
          <w:p w14:paraId="24BEDD84" w14:textId="77777777" w:rsidR="00952F0E" w:rsidRPr="00887119" w:rsidRDefault="00952F0E" w:rsidP="00CC6BC1">
            <w:pPr>
              <w:rPr>
                <w:rFonts w:eastAsia="Times New Roman"/>
                <w:color w:val="000000"/>
                <w:sz w:val="18"/>
                <w:szCs w:val="18"/>
              </w:rPr>
            </w:pPr>
          </w:p>
        </w:tc>
        <w:tc>
          <w:tcPr>
            <w:tcW w:w="1116" w:type="dxa"/>
            <w:vMerge/>
            <w:tcBorders>
              <w:top w:val="nil"/>
              <w:left w:val="single" w:sz="4" w:space="0" w:color="BFBFBF"/>
              <w:bottom w:val="single" w:sz="4" w:space="0" w:color="000000"/>
              <w:right w:val="single" w:sz="4" w:space="0" w:color="auto"/>
            </w:tcBorders>
            <w:shd w:val="clear" w:color="auto" w:fill="CFD9E3" w:themeFill="accent1"/>
            <w:vAlign w:val="center"/>
            <w:hideMark/>
          </w:tcPr>
          <w:p w14:paraId="4944D9C8" w14:textId="77777777" w:rsidR="00952F0E" w:rsidRPr="00887119" w:rsidRDefault="00952F0E" w:rsidP="00CC6BC1">
            <w:pPr>
              <w:rPr>
                <w:rFonts w:eastAsia="Times New Roman"/>
                <w:color w:val="000000"/>
                <w:sz w:val="18"/>
                <w:szCs w:val="18"/>
              </w:rPr>
            </w:pPr>
          </w:p>
        </w:tc>
      </w:tr>
      <w:tr w:rsidR="003B1A7B" w:rsidRPr="00887119" w14:paraId="6C6C920E" w14:textId="77777777" w:rsidTr="00CC6BC1">
        <w:trPr>
          <w:trHeight w:val="402"/>
        </w:trPr>
        <w:tc>
          <w:tcPr>
            <w:tcW w:w="2700"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1A4DE015"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Total</w:t>
            </w:r>
          </w:p>
        </w:tc>
        <w:tc>
          <w:tcPr>
            <w:tcW w:w="1080" w:type="dxa"/>
            <w:tcBorders>
              <w:top w:val="nil"/>
              <w:left w:val="single" w:sz="4" w:space="0" w:color="auto"/>
              <w:bottom w:val="single" w:sz="4" w:space="0" w:color="auto"/>
              <w:right w:val="single" w:sz="4" w:space="0" w:color="auto"/>
            </w:tcBorders>
            <w:shd w:val="clear" w:color="000000" w:fill="F2F2F2"/>
            <w:noWrap/>
            <w:vAlign w:val="center"/>
            <w:hideMark/>
          </w:tcPr>
          <w:p w14:paraId="389A4BB0" w14:textId="71B0A102" w:rsidR="003B1A7B" w:rsidRPr="002E10EB" w:rsidRDefault="003B1A7B" w:rsidP="003B1A7B">
            <w:pPr>
              <w:jc w:val="right"/>
              <w:rPr>
                <w:rFonts w:eastAsia="Times New Roman"/>
                <w:color w:val="C00000"/>
                <w:sz w:val="18"/>
                <w:szCs w:val="18"/>
              </w:rPr>
            </w:pPr>
            <w:r w:rsidRPr="002E10EB">
              <w:rPr>
                <w:rFonts w:cs="Arial"/>
                <w:color w:val="C00000"/>
                <w:sz w:val="18"/>
                <w:szCs w:val="18"/>
              </w:rPr>
              <w:t>63,470</w:t>
            </w:r>
          </w:p>
        </w:tc>
        <w:tc>
          <w:tcPr>
            <w:tcW w:w="1116" w:type="dxa"/>
            <w:tcBorders>
              <w:top w:val="nil"/>
              <w:left w:val="nil"/>
              <w:bottom w:val="single" w:sz="4" w:space="0" w:color="auto"/>
              <w:right w:val="single" w:sz="4" w:space="0" w:color="BFBFBF"/>
            </w:tcBorders>
            <w:shd w:val="clear" w:color="000000" w:fill="F2F2F2"/>
            <w:noWrap/>
            <w:vAlign w:val="center"/>
            <w:hideMark/>
          </w:tcPr>
          <w:p w14:paraId="12567269" w14:textId="2E23EBE3" w:rsidR="003B1A7B" w:rsidRPr="002E10EB" w:rsidRDefault="003B1A7B" w:rsidP="003B1A7B">
            <w:pPr>
              <w:jc w:val="right"/>
              <w:rPr>
                <w:rFonts w:eastAsia="Times New Roman"/>
                <w:color w:val="C00000"/>
                <w:sz w:val="18"/>
                <w:szCs w:val="18"/>
              </w:rPr>
            </w:pPr>
            <w:r w:rsidRPr="002E10EB">
              <w:rPr>
                <w:rFonts w:cs="Arial"/>
                <w:color w:val="C00000"/>
                <w:sz w:val="18"/>
                <w:szCs w:val="18"/>
              </w:rPr>
              <w:t>2%</w:t>
            </w:r>
          </w:p>
        </w:tc>
        <w:tc>
          <w:tcPr>
            <w:tcW w:w="1116" w:type="dxa"/>
            <w:tcBorders>
              <w:top w:val="nil"/>
              <w:left w:val="nil"/>
              <w:bottom w:val="single" w:sz="4" w:space="0" w:color="auto"/>
              <w:right w:val="single" w:sz="4" w:space="0" w:color="BFBFBF"/>
            </w:tcBorders>
            <w:shd w:val="clear" w:color="000000" w:fill="F2F2F2"/>
            <w:noWrap/>
            <w:vAlign w:val="center"/>
            <w:hideMark/>
          </w:tcPr>
          <w:p w14:paraId="196FE6F6" w14:textId="0195243B" w:rsidR="003B1A7B" w:rsidRPr="002E10EB" w:rsidRDefault="003B1A7B" w:rsidP="003B1A7B">
            <w:pPr>
              <w:jc w:val="right"/>
              <w:rPr>
                <w:rFonts w:eastAsia="Times New Roman"/>
                <w:color w:val="C00000"/>
                <w:sz w:val="18"/>
                <w:szCs w:val="18"/>
              </w:rPr>
            </w:pPr>
            <w:r w:rsidRPr="002E10EB">
              <w:rPr>
                <w:rFonts w:cs="Arial"/>
                <w:color w:val="C00000"/>
                <w:sz w:val="18"/>
                <w:szCs w:val="18"/>
              </w:rPr>
              <w:t>17%</w:t>
            </w:r>
          </w:p>
        </w:tc>
        <w:tc>
          <w:tcPr>
            <w:tcW w:w="1116" w:type="dxa"/>
            <w:tcBorders>
              <w:top w:val="nil"/>
              <w:left w:val="nil"/>
              <w:bottom w:val="single" w:sz="4" w:space="0" w:color="auto"/>
              <w:right w:val="single" w:sz="4" w:space="0" w:color="BFBFBF"/>
            </w:tcBorders>
            <w:shd w:val="clear" w:color="000000" w:fill="F2F2F2"/>
            <w:noWrap/>
            <w:vAlign w:val="center"/>
            <w:hideMark/>
          </w:tcPr>
          <w:p w14:paraId="74FC2369" w14:textId="59CD4696" w:rsidR="003B1A7B" w:rsidRPr="002E10EB" w:rsidRDefault="003B1A7B" w:rsidP="003B1A7B">
            <w:pPr>
              <w:jc w:val="right"/>
              <w:rPr>
                <w:rFonts w:eastAsia="Times New Roman"/>
                <w:color w:val="C00000"/>
                <w:sz w:val="18"/>
                <w:szCs w:val="18"/>
              </w:rPr>
            </w:pPr>
            <w:r w:rsidRPr="002E10EB">
              <w:rPr>
                <w:rFonts w:cs="Arial"/>
                <w:color w:val="C00000"/>
                <w:sz w:val="18"/>
                <w:szCs w:val="18"/>
              </w:rPr>
              <w:t>19%</w:t>
            </w:r>
          </w:p>
        </w:tc>
        <w:tc>
          <w:tcPr>
            <w:tcW w:w="1116" w:type="dxa"/>
            <w:tcBorders>
              <w:top w:val="nil"/>
              <w:left w:val="nil"/>
              <w:bottom w:val="single" w:sz="4" w:space="0" w:color="auto"/>
              <w:right w:val="single" w:sz="4" w:space="0" w:color="BFBFBF"/>
            </w:tcBorders>
            <w:shd w:val="clear" w:color="000000" w:fill="F2F2F2"/>
            <w:noWrap/>
            <w:vAlign w:val="center"/>
            <w:hideMark/>
          </w:tcPr>
          <w:p w14:paraId="07E76E41" w14:textId="7D49D3AB" w:rsidR="003B1A7B" w:rsidRPr="002E10EB" w:rsidRDefault="003B1A7B" w:rsidP="003B1A7B">
            <w:pPr>
              <w:jc w:val="right"/>
              <w:rPr>
                <w:rFonts w:eastAsia="Times New Roman"/>
                <w:color w:val="C00000"/>
                <w:sz w:val="18"/>
                <w:szCs w:val="18"/>
              </w:rPr>
            </w:pPr>
            <w:r w:rsidRPr="002E10EB">
              <w:rPr>
                <w:rFonts w:cs="Arial"/>
                <w:color w:val="C00000"/>
                <w:sz w:val="18"/>
                <w:szCs w:val="18"/>
              </w:rPr>
              <w:t>23%</w:t>
            </w:r>
          </w:p>
        </w:tc>
        <w:tc>
          <w:tcPr>
            <w:tcW w:w="1116" w:type="dxa"/>
            <w:tcBorders>
              <w:top w:val="nil"/>
              <w:left w:val="nil"/>
              <w:bottom w:val="single" w:sz="4" w:space="0" w:color="auto"/>
              <w:right w:val="single" w:sz="4" w:space="0" w:color="auto"/>
            </w:tcBorders>
            <w:shd w:val="clear" w:color="000000" w:fill="F2F2F2"/>
            <w:noWrap/>
            <w:vAlign w:val="center"/>
            <w:hideMark/>
          </w:tcPr>
          <w:p w14:paraId="547D77DF" w14:textId="01EC7DE7" w:rsidR="003B1A7B" w:rsidRPr="002E10EB" w:rsidRDefault="003B1A7B" w:rsidP="003B1A7B">
            <w:pPr>
              <w:jc w:val="right"/>
              <w:rPr>
                <w:rFonts w:eastAsia="Times New Roman"/>
                <w:color w:val="C00000"/>
                <w:sz w:val="18"/>
                <w:szCs w:val="18"/>
              </w:rPr>
            </w:pPr>
            <w:r w:rsidRPr="002E10EB">
              <w:rPr>
                <w:rFonts w:cs="Arial"/>
                <w:color w:val="C00000"/>
                <w:sz w:val="18"/>
                <w:szCs w:val="18"/>
              </w:rPr>
              <w:t>39%</w:t>
            </w:r>
          </w:p>
        </w:tc>
      </w:tr>
      <w:tr w:rsidR="003B1A7B" w:rsidRPr="00887119" w14:paraId="21804DC2" w14:textId="77777777" w:rsidTr="00CC6BC1">
        <w:trPr>
          <w:trHeight w:val="402"/>
        </w:trPr>
        <w:tc>
          <w:tcPr>
            <w:tcW w:w="2700" w:type="dxa"/>
            <w:gridSpan w:val="2"/>
            <w:tcBorders>
              <w:top w:val="single" w:sz="4" w:space="0" w:color="auto"/>
              <w:left w:val="single" w:sz="4" w:space="0" w:color="auto"/>
              <w:bottom w:val="single" w:sz="4" w:space="0" w:color="BFBFBF"/>
              <w:right w:val="nil"/>
            </w:tcBorders>
            <w:shd w:val="clear" w:color="000000" w:fill="FFFFFF"/>
            <w:noWrap/>
            <w:vAlign w:val="center"/>
            <w:hideMark/>
          </w:tcPr>
          <w:p w14:paraId="1C2C2072"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Owner households</w:t>
            </w:r>
          </w:p>
        </w:tc>
        <w:tc>
          <w:tcPr>
            <w:tcW w:w="1080" w:type="dxa"/>
            <w:tcBorders>
              <w:top w:val="nil"/>
              <w:left w:val="single" w:sz="4" w:space="0" w:color="auto"/>
              <w:bottom w:val="single" w:sz="4" w:space="0" w:color="BFBFBF"/>
              <w:right w:val="single" w:sz="4" w:space="0" w:color="auto"/>
            </w:tcBorders>
            <w:shd w:val="clear" w:color="000000" w:fill="FFFFFF"/>
            <w:noWrap/>
            <w:vAlign w:val="center"/>
            <w:hideMark/>
          </w:tcPr>
          <w:p w14:paraId="63E5648B" w14:textId="5D9D39A2" w:rsidR="003B1A7B" w:rsidRPr="002E10EB" w:rsidRDefault="003B1A7B" w:rsidP="003B1A7B">
            <w:pPr>
              <w:jc w:val="right"/>
              <w:rPr>
                <w:rFonts w:eastAsia="Times New Roman"/>
                <w:color w:val="C00000"/>
                <w:sz w:val="18"/>
                <w:szCs w:val="18"/>
              </w:rPr>
            </w:pPr>
            <w:r w:rsidRPr="002E10EB">
              <w:rPr>
                <w:rFonts w:cs="Arial"/>
                <w:color w:val="C00000"/>
                <w:sz w:val="18"/>
                <w:szCs w:val="18"/>
              </w:rPr>
              <w:t>43,605</w:t>
            </w:r>
          </w:p>
        </w:tc>
        <w:tc>
          <w:tcPr>
            <w:tcW w:w="1116" w:type="dxa"/>
            <w:tcBorders>
              <w:top w:val="nil"/>
              <w:left w:val="nil"/>
              <w:bottom w:val="single" w:sz="4" w:space="0" w:color="BFBFBF"/>
              <w:right w:val="single" w:sz="4" w:space="0" w:color="BFBFBF"/>
            </w:tcBorders>
            <w:shd w:val="clear" w:color="000000" w:fill="FFFFFF"/>
            <w:noWrap/>
            <w:vAlign w:val="center"/>
            <w:hideMark/>
          </w:tcPr>
          <w:p w14:paraId="724F0C00" w14:textId="185491A9" w:rsidR="003B1A7B" w:rsidRPr="002E10EB" w:rsidRDefault="003B1A7B" w:rsidP="003B1A7B">
            <w:pPr>
              <w:jc w:val="right"/>
              <w:rPr>
                <w:rFonts w:eastAsia="Times New Roman"/>
                <w:color w:val="C00000"/>
                <w:sz w:val="18"/>
                <w:szCs w:val="18"/>
              </w:rPr>
            </w:pPr>
            <w:r w:rsidRPr="002E10EB">
              <w:rPr>
                <w:rFonts w:cs="Arial"/>
                <w:color w:val="C00000"/>
                <w:sz w:val="18"/>
                <w:szCs w:val="18"/>
              </w:rPr>
              <w:t>2%</w:t>
            </w:r>
          </w:p>
        </w:tc>
        <w:tc>
          <w:tcPr>
            <w:tcW w:w="1116" w:type="dxa"/>
            <w:tcBorders>
              <w:top w:val="nil"/>
              <w:left w:val="nil"/>
              <w:bottom w:val="single" w:sz="4" w:space="0" w:color="BFBFBF"/>
              <w:right w:val="single" w:sz="4" w:space="0" w:color="BFBFBF"/>
            </w:tcBorders>
            <w:shd w:val="clear" w:color="000000" w:fill="FFFFFF"/>
            <w:noWrap/>
            <w:vAlign w:val="center"/>
            <w:hideMark/>
          </w:tcPr>
          <w:p w14:paraId="5D8C3E3B" w14:textId="5743AD70" w:rsidR="003B1A7B" w:rsidRPr="002E10EB" w:rsidRDefault="003B1A7B" w:rsidP="003B1A7B">
            <w:pPr>
              <w:jc w:val="right"/>
              <w:rPr>
                <w:rFonts w:eastAsia="Times New Roman"/>
                <w:color w:val="C00000"/>
                <w:sz w:val="18"/>
                <w:szCs w:val="18"/>
              </w:rPr>
            </w:pPr>
            <w:r w:rsidRPr="002E10EB">
              <w:rPr>
                <w:rFonts w:cs="Arial"/>
                <w:color w:val="C00000"/>
                <w:sz w:val="18"/>
                <w:szCs w:val="18"/>
              </w:rPr>
              <w:t>12%</w:t>
            </w:r>
          </w:p>
        </w:tc>
        <w:tc>
          <w:tcPr>
            <w:tcW w:w="1116" w:type="dxa"/>
            <w:tcBorders>
              <w:top w:val="nil"/>
              <w:left w:val="nil"/>
              <w:bottom w:val="single" w:sz="4" w:space="0" w:color="BFBFBF"/>
              <w:right w:val="single" w:sz="4" w:space="0" w:color="BFBFBF"/>
            </w:tcBorders>
            <w:shd w:val="clear" w:color="000000" w:fill="FFFFFF"/>
            <w:noWrap/>
            <w:vAlign w:val="center"/>
            <w:hideMark/>
          </w:tcPr>
          <w:p w14:paraId="683C3C5E" w14:textId="6BC39992" w:rsidR="003B1A7B" w:rsidRPr="002E10EB" w:rsidRDefault="003B1A7B" w:rsidP="003B1A7B">
            <w:pPr>
              <w:jc w:val="right"/>
              <w:rPr>
                <w:rFonts w:eastAsia="Times New Roman"/>
                <w:color w:val="C00000"/>
                <w:sz w:val="18"/>
                <w:szCs w:val="18"/>
              </w:rPr>
            </w:pPr>
            <w:r w:rsidRPr="002E10EB">
              <w:rPr>
                <w:rFonts w:cs="Arial"/>
                <w:color w:val="C00000"/>
                <w:sz w:val="18"/>
                <w:szCs w:val="18"/>
              </w:rPr>
              <w:t>16%</w:t>
            </w:r>
          </w:p>
        </w:tc>
        <w:tc>
          <w:tcPr>
            <w:tcW w:w="1116" w:type="dxa"/>
            <w:tcBorders>
              <w:top w:val="nil"/>
              <w:left w:val="nil"/>
              <w:bottom w:val="single" w:sz="4" w:space="0" w:color="BFBFBF"/>
              <w:right w:val="single" w:sz="4" w:space="0" w:color="BFBFBF"/>
            </w:tcBorders>
            <w:shd w:val="clear" w:color="000000" w:fill="FFFFFF"/>
            <w:noWrap/>
            <w:vAlign w:val="center"/>
            <w:hideMark/>
          </w:tcPr>
          <w:p w14:paraId="69E4C14E" w14:textId="4D8DD2D7" w:rsidR="003B1A7B" w:rsidRPr="002E10EB" w:rsidRDefault="003B1A7B" w:rsidP="003B1A7B">
            <w:pPr>
              <w:jc w:val="right"/>
              <w:rPr>
                <w:rFonts w:eastAsia="Times New Roman"/>
                <w:color w:val="C00000"/>
                <w:sz w:val="18"/>
                <w:szCs w:val="18"/>
              </w:rPr>
            </w:pPr>
            <w:r w:rsidRPr="002E10EB">
              <w:rPr>
                <w:rFonts w:cs="Arial"/>
                <w:color w:val="C00000"/>
                <w:sz w:val="18"/>
                <w:szCs w:val="18"/>
              </w:rPr>
              <w:t>23%</w:t>
            </w:r>
          </w:p>
        </w:tc>
        <w:tc>
          <w:tcPr>
            <w:tcW w:w="1116" w:type="dxa"/>
            <w:tcBorders>
              <w:top w:val="nil"/>
              <w:left w:val="nil"/>
              <w:bottom w:val="single" w:sz="4" w:space="0" w:color="BFBFBF"/>
              <w:right w:val="single" w:sz="4" w:space="0" w:color="auto"/>
            </w:tcBorders>
            <w:shd w:val="clear" w:color="000000" w:fill="FFFFFF"/>
            <w:noWrap/>
            <w:vAlign w:val="center"/>
            <w:hideMark/>
          </w:tcPr>
          <w:p w14:paraId="07D8C167" w14:textId="74CFDE2C" w:rsidR="003B1A7B" w:rsidRPr="002E10EB" w:rsidRDefault="003B1A7B" w:rsidP="003B1A7B">
            <w:pPr>
              <w:jc w:val="right"/>
              <w:rPr>
                <w:rFonts w:eastAsia="Times New Roman"/>
                <w:color w:val="C00000"/>
                <w:sz w:val="18"/>
                <w:szCs w:val="18"/>
              </w:rPr>
            </w:pPr>
            <w:r w:rsidRPr="002E10EB">
              <w:rPr>
                <w:rFonts w:cs="Arial"/>
                <w:color w:val="C00000"/>
                <w:sz w:val="18"/>
                <w:szCs w:val="18"/>
              </w:rPr>
              <w:t>48%</w:t>
            </w:r>
          </w:p>
        </w:tc>
      </w:tr>
      <w:tr w:rsidR="003B1A7B" w:rsidRPr="00887119" w14:paraId="4260FBC9" w14:textId="77777777" w:rsidTr="00CC6BC1">
        <w:trPr>
          <w:trHeight w:val="402"/>
        </w:trPr>
        <w:tc>
          <w:tcPr>
            <w:tcW w:w="2700" w:type="dxa"/>
            <w:gridSpan w:val="2"/>
            <w:tcBorders>
              <w:top w:val="single" w:sz="4" w:space="0" w:color="BFBFBF"/>
              <w:left w:val="single" w:sz="4" w:space="0" w:color="auto"/>
              <w:bottom w:val="single" w:sz="4" w:space="0" w:color="auto"/>
              <w:right w:val="nil"/>
            </w:tcBorders>
            <w:shd w:val="clear" w:color="000000" w:fill="F2F2F2"/>
            <w:noWrap/>
            <w:vAlign w:val="center"/>
            <w:hideMark/>
          </w:tcPr>
          <w:p w14:paraId="5233CDF0"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Renter households</w:t>
            </w:r>
          </w:p>
        </w:tc>
        <w:tc>
          <w:tcPr>
            <w:tcW w:w="1080" w:type="dxa"/>
            <w:tcBorders>
              <w:top w:val="nil"/>
              <w:left w:val="single" w:sz="4" w:space="0" w:color="auto"/>
              <w:bottom w:val="single" w:sz="4" w:space="0" w:color="auto"/>
              <w:right w:val="single" w:sz="4" w:space="0" w:color="auto"/>
            </w:tcBorders>
            <w:shd w:val="clear" w:color="000000" w:fill="F2F2F2"/>
            <w:noWrap/>
            <w:vAlign w:val="center"/>
            <w:hideMark/>
          </w:tcPr>
          <w:p w14:paraId="28704E73" w14:textId="2A5923B3" w:rsidR="003B1A7B" w:rsidRPr="002E10EB" w:rsidRDefault="003B1A7B" w:rsidP="003B1A7B">
            <w:pPr>
              <w:jc w:val="right"/>
              <w:rPr>
                <w:rFonts w:eastAsia="Times New Roman"/>
                <w:color w:val="C00000"/>
                <w:sz w:val="18"/>
                <w:szCs w:val="18"/>
              </w:rPr>
            </w:pPr>
            <w:r w:rsidRPr="002E10EB">
              <w:rPr>
                <w:rFonts w:cs="Arial"/>
                <w:color w:val="C00000"/>
                <w:sz w:val="18"/>
                <w:szCs w:val="18"/>
              </w:rPr>
              <w:t>19,870</w:t>
            </w:r>
          </w:p>
        </w:tc>
        <w:tc>
          <w:tcPr>
            <w:tcW w:w="1116" w:type="dxa"/>
            <w:tcBorders>
              <w:top w:val="nil"/>
              <w:left w:val="nil"/>
              <w:bottom w:val="single" w:sz="4" w:space="0" w:color="auto"/>
              <w:right w:val="single" w:sz="4" w:space="0" w:color="BFBFBF"/>
            </w:tcBorders>
            <w:shd w:val="clear" w:color="000000" w:fill="F2F2F2"/>
            <w:noWrap/>
            <w:vAlign w:val="center"/>
            <w:hideMark/>
          </w:tcPr>
          <w:p w14:paraId="777E5895" w14:textId="06693F0B" w:rsidR="003B1A7B" w:rsidRPr="002E10EB" w:rsidRDefault="003B1A7B" w:rsidP="003B1A7B">
            <w:pPr>
              <w:jc w:val="right"/>
              <w:rPr>
                <w:rFonts w:eastAsia="Times New Roman"/>
                <w:color w:val="C00000"/>
                <w:sz w:val="18"/>
                <w:szCs w:val="18"/>
              </w:rPr>
            </w:pPr>
            <w:r w:rsidRPr="002E10EB">
              <w:rPr>
                <w:rFonts w:cs="Arial"/>
                <w:color w:val="C00000"/>
                <w:sz w:val="18"/>
                <w:szCs w:val="18"/>
              </w:rPr>
              <w:t>4%</w:t>
            </w:r>
          </w:p>
        </w:tc>
        <w:tc>
          <w:tcPr>
            <w:tcW w:w="1116" w:type="dxa"/>
            <w:tcBorders>
              <w:top w:val="nil"/>
              <w:left w:val="nil"/>
              <w:bottom w:val="single" w:sz="4" w:space="0" w:color="auto"/>
              <w:right w:val="single" w:sz="4" w:space="0" w:color="BFBFBF"/>
            </w:tcBorders>
            <w:shd w:val="clear" w:color="000000" w:fill="F2F2F2"/>
            <w:noWrap/>
            <w:vAlign w:val="center"/>
            <w:hideMark/>
          </w:tcPr>
          <w:p w14:paraId="45193EEB" w14:textId="4BFEB328" w:rsidR="003B1A7B" w:rsidRPr="002E10EB" w:rsidRDefault="003B1A7B" w:rsidP="003B1A7B">
            <w:pPr>
              <w:jc w:val="right"/>
              <w:rPr>
                <w:rFonts w:eastAsia="Times New Roman"/>
                <w:color w:val="C00000"/>
                <w:sz w:val="18"/>
                <w:szCs w:val="18"/>
              </w:rPr>
            </w:pPr>
            <w:r w:rsidRPr="002E10EB">
              <w:rPr>
                <w:rFonts w:cs="Arial"/>
                <w:color w:val="C00000"/>
                <w:sz w:val="18"/>
                <w:szCs w:val="18"/>
              </w:rPr>
              <w:t>28%</w:t>
            </w:r>
          </w:p>
        </w:tc>
        <w:tc>
          <w:tcPr>
            <w:tcW w:w="1116" w:type="dxa"/>
            <w:tcBorders>
              <w:top w:val="nil"/>
              <w:left w:val="nil"/>
              <w:bottom w:val="single" w:sz="4" w:space="0" w:color="auto"/>
              <w:right w:val="single" w:sz="4" w:space="0" w:color="BFBFBF"/>
            </w:tcBorders>
            <w:shd w:val="clear" w:color="000000" w:fill="F2F2F2"/>
            <w:noWrap/>
            <w:vAlign w:val="center"/>
            <w:hideMark/>
          </w:tcPr>
          <w:p w14:paraId="748FA1B2" w14:textId="0058A35A" w:rsidR="003B1A7B" w:rsidRPr="002E10EB" w:rsidRDefault="003B1A7B" w:rsidP="003B1A7B">
            <w:pPr>
              <w:jc w:val="right"/>
              <w:rPr>
                <w:rFonts w:eastAsia="Times New Roman"/>
                <w:color w:val="C00000"/>
                <w:sz w:val="18"/>
                <w:szCs w:val="18"/>
              </w:rPr>
            </w:pPr>
            <w:r w:rsidRPr="002E10EB">
              <w:rPr>
                <w:rFonts w:cs="Arial"/>
                <w:color w:val="C00000"/>
                <w:sz w:val="18"/>
                <w:szCs w:val="18"/>
              </w:rPr>
              <w:t>26%</w:t>
            </w:r>
          </w:p>
        </w:tc>
        <w:tc>
          <w:tcPr>
            <w:tcW w:w="1116" w:type="dxa"/>
            <w:tcBorders>
              <w:top w:val="nil"/>
              <w:left w:val="nil"/>
              <w:bottom w:val="single" w:sz="4" w:space="0" w:color="auto"/>
              <w:right w:val="single" w:sz="4" w:space="0" w:color="BFBFBF"/>
            </w:tcBorders>
            <w:shd w:val="clear" w:color="000000" w:fill="F2F2F2"/>
            <w:noWrap/>
            <w:vAlign w:val="center"/>
            <w:hideMark/>
          </w:tcPr>
          <w:p w14:paraId="453B322F" w14:textId="26BD5628" w:rsidR="003B1A7B" w:rsidRPr="002E10EB" w:rsidRDefault="003B1A7B" w:rsidP="003B1A7B">
            <w:pPr>
              <w:jc w:val="right"/>
              <w:rPr>
                <w:rFonts w:eastAsia="Times New Roman"/>
                <w:color w:val="C00000"/>
                <w:sz w:val="18"/>
                <w:szCs w:val="18"/>
              </w:rPr>
            </w:pPr>
            <w:r w:rsidRPr="002E10EB">
              <w:rPr>
                <w:rFonts w:cs="Arial"/>
                <w:color w:val="C00000"/>
                <w:sz w:val="18"/>
                <w:szCs w:val="18"/>
              </w:rPr>
              <w:t>22%</w:t>
            </w:r>
          </w:p>
        </w:tc>
        <w:tc>
          <w:tcPr>
            <w:tcW w:w="1116" w:type="dxa"/>
            <w:tcBorders>
              <w:top w:val="nil"/>
              <w:left w:val="nil"/>
              <w:bottom w:val="single" w:sz="4" w:space="0" w:color="auto"/>
              <w:right w:val="single" w:sz="4" w:space="0" w:color="auto"/>
            </w:tcBorders>
            <w:shd w:val="clear" w:color="000000" w:fill="F2F2F2"/>
            <w:noWrap/>
            <w:vAlign w:val="center"/>
            <w:hideMark/>
          </w:tcPr>
          <w:p w14:paraId="0B010D1E" w14:textId="157B621E" w:rsidR="003B1A7B" w:rsidRPr="002E10EB" w:rsidRDefault="003B1A7B" w:rsidP="003B1A7B">
            <w:pPr>
              <w:jc w:val="right"/>
              <w:rPr>
                <w:rFonts w:eastAsia="Times New Roman"/>
                <w:color w:val="C00000"/>
                <w:sz w:val="18"/>
                <w:szCs w:val="18"/>
              </w:rPr>
            </w:pPr>
            <w:r w:rsidRPr="002E10EB">
              <w:rPr>
                <w:rFonts w:cs="Arial"/>
                <w:color w:val="C00000"/>
                <w:sz w:val="18"/>
                <w:szCs w:val="18"/>
              </w:rPr>
              <w:t>19%</w:t>
            </w:r>
          </w:p>
        </w:tc>
      </w:tr>
      <w:tr w:rsidR="003B1A7B" w:rsidRPr="00887119" w14:paraId="3F706199" w14:textId="77777777" w:rsidTr="00CC6BC1">
        <w:trPr>
          <w:trHeight w:val="402"/>
        </w:trPr>
        <w:tc>
          <w:tcPr>
            <w:tcW w:w="2700" w:type="dxa"/>
            <w:gridSpan w:val="2"/>
            <w:tcBorders>
              <w:top w:val="single" w:sz="4" w:space="0" w:color="auto"/>
              <w:left w:val="single" w:sz="4" w:space="0" w:color="auto"/>
              <w:bottom w:val="single" w:sz="4" w:space="0" w:color="BFBFBF"/>
              <w:right w:val="nil"/>
            </w:tcBorders>
            <w:shd w:val="clear" w:color="000000" w:fill="FFFFFF"/>
            <w:noWrap/>
            <w:vAlign w:val="center"/>
            <w:hideMark/>
          </w:tcPr>
          <w:p w14:paraId="1DA8173A"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1 person households</w:t>
            </w:r>
          </w:p>
        </w:tc>
        <w:tc>
          <w:tcPr>
            <w:tcW w:w="1080" w:type="dxa"/>
            <w:tcBorders>
              <w:top w:val="nil"/>
              <w:left w:val="single" w:sz="4" w:space="0" w:color="auto"/>
              <w:bottom w:val="single" w:sz="4" w:space="0" w:color="BFBFBF"/>
              <w:right w:val="single" w:sz="4" w:space="0" w:color="auto"/>
            </w:tcBorders>
            <w:shd w:val="clear" w:color="000000" w:fill="FFFFFF"/>
            <w:noWrap/>
            <w:vAlign w:val="center"/>
            <w:hideMark/>
          </w:tcPr>
          <w:p w14:paraId="548FD14E" w14:textId="0FC13EE8" w:rsidR="003B1A7B" w:rsidRPr="002E10EB" w:rsidRDefault="003B1A7B" w:rsidP="003B1A7B">
            <w:pPr>
              <w:jc w:val="right"/>
              <w:rPr>
                <w:rFonts w:eastAsia="Times New Roman"/>
                <w:color w:val="C00000"/>
                <w:sz w:val="18"/>
                <w:szCs w:val="18"/>
              </w:rPr>
            </w:pPr>
            <w:r w:rsidRPr="002E10EB">
              <w:rPr>
                <w:rFonts w:cs="Arial"/>
                <w:color w:val="C00000"/>
                <w:sz w:val="18"/>
                <w:szCs w:val="18"/>
              </w:rPr>
              <w:t>18,380</w:t>
            </w:r>
          </w:p>
        </w:tc>
        <w:tc>
          <w:tcPr>
            <w:tcW w:w="1116" w:type="dxa"/>
            <w:tcBorders>
              <w:top w:val="nil"/>
              <w:left w:val="nil"/>
              <w:bottom w:val="single" w:sz="4" w:space="0" w:color="BFBFBF"/>
              <w:right w:val="single" w:sz="4" w:space="0" w:color="BFBFBF"/>
            </w:tcBorders>
            <w:shd w:val="clear" w:color="000000" w:fill="FFFFFF"/>
            <w:noWrap/>
            <w:vAlign w:val="center"/>
            <w:hideMark/>
          </w:tcPr>
          <w:p w14:paraId="2C5D70E2" w14:textId="521072F8" w:rsidR="003B1A7B" w:rsidRPr="002E10EB" w:rsidRDefault="003B1A7B" w:rsidP="003B1A7B">
            <w:pPr>
              <w:jc w:val="right"/>
              <w:rPr>
                <w:rFonts w:eastAsia="Times New Roman"/>
                <w:color w:val="C00000"/>
                <w:sz w:val="18"/>
                <w:szCs w:val="18"/>
              </w:rPr>
            </w:pPr>
            <w:r w:rsidRPr="002E10EB">
              <w:rPr>
                <w:rFonts w:cs="Arial"/>
                <w:color w:val="C00000"/>
                <w:sz w:val="18"/>
                <w:szCs w:val="18"/>
              </w:rPr>
              <w:t>6%</w:t>
            </w:r>
          </w:p>
        </w:tc>
        <w:tc>
          <w:tcPr>
            <w:tcW w:w="1116" w:type="dxa"/>
            <w:tcBorders>
              <w:top w:val="nil"/>
              <w:left w:val="nil"/>
              <w:bottom w:val="single" w:sz="4" w:space="0" w:color="BFBFBF"/>
              <w:right w:val="single" w:sz="4" w:space="0" w:color="BFBFBF"/>
            </w:tcBorders>
            <w:shd w:val="clear" w:color="000000" w:fill="FFFFFF"/>
            <w:noWrap/>
            <w:vAlign w:val="center"/>
            <w:hideMark/>
          </w:tcPr>
          <w:p w14:paraId="17C055E3" w14:textId="08DBA745" w:rsidR="003B1A7B" w:rsidRPr="002E10EB" w:rsidRDefault="003B1A7B" w:rsidP="003B1A7B">
            <w:pPr>
              <w:jc w:val="right"/>
              <w:rPr>
                <w:rFonts w:eastAsia="Times New Roman"/>
                <w:color w:val="C00000"/>
                <w:sz w:val="18"/>
                <w:szCs w:val="18"/>
              </w:rPr>
            </w:pPr>
            <w:r w:rsidRPr="002E10EB">
              <w:rPr>
                <w:rFonts w:cs="Arial"/>
                <w:color w:val="C00000"/>
                <w:sz w:val="18"/>
                <w:szCs w:val="18"/>
              </w:rPr>
              <w:t>44%</w:t>
            </w:r>
          </w:p>
        </w:tc>
        <w:tc>
          <w:tcPr>
            <w:tcW w:w="1116" w:type="dxa"/>
            <w:tcBorders>
              <w:top w:val="nil"/>
              <w:left w:val="nil"/>
              <w:bottom w:val="single" w:sz="4" w:space="0" w:color="BFBFBF"/>
              <w:right w:val="single" w:sz="4" w:space="0" w:color="BFBFBF"/>
            </w:tcBorders>
            <w:shd w:val="clear" w:color="000000" w:fill="FFFFFF"/>
            <w:noWrap/>
            <w:vAlign w:val="center"/>
            <w:hideMark/>
          </w:tcPr>
          <w:p w14:paraId="48AB9964" w14:textId="146196D2" w:rsidR="003B1A7B" w:rsidRPr="002E10EB" w:rsidRDefault="003B1A7B" w:rsidP="003B1A7B">
            <w:pPr>
              <w:jc w:val="right"/>
              <w:rPr>
                <w:rFonts w:eastAsia="Times New Roman"/>
                <w:color w:val="C00000"/>
                <w:sz w:val="18"/>
                <w:szCs w:val="18"/>
              </w:rPr>
            </w:pPr>
            <w:r w:rsidRPr="002E10EB">
              <w:rPr>
                <w:rFonts w:cs="Arial"/>
                <w:color w:val="C00000"/>
                <w:sz w:val="18"/>
                <w:szCs w:val="18"/>
              </w:rPr>
              <w:t>29%</w:t>
            </w:r>
          </w:p>
        </w:tc>
        <w:tc>
          <w:tcPr>
            <w:tcW w:w="1116" w:type="dxa"/>
            <w:tcBorders>
              <w:top w:val="nil"/>
              <w:left w:val="nil"/>
              <w:bottom w:val="single" w:sz="4" w:space="0" w:color="BFBFBF"/>
              <w:right w:val="single" w:sz="4" w:space="0" w:color="BFBFBF"/>
            </w:tcBorders>
            <w:shd w:val="clear" w:color="000000" w:fill="FFFFFF"/>
            <w:noWrap/>
            <w:vAlign w:val="center"/>
            <w:hideMark/>
          </w:tcPr>
          <w:p w14:paraId="7A286672" w14:textId="7EE356A6" w:rsidR="003B1A7B" w:rsidRPr="002E10EB" w:rsidRDefault="003B1A7B" w:rsidP="003B1A7B">
            <w:pPr>
              <w:jc w:val="right"/>
              <w:rPr>
                <w:rFonts w:eastAsia="Times New Roman"/>
                <w:color w:val="C00000"/>
                <w:sz w:val="18"/>
                <w:szCs w:val="18"/>
              </w:rPr>
            </w:pPr>
            <w:r w:rsidRPr="002E10EB">
              <w:rPr>
                <w:rFonts w:cs="Arial"/>
                <w:color w:val="C00000"/>
                <w:sz w:val="18"/>
                <w:szCs w:val="18"/>
              </w:rPr>
              <w:t>15%</w:t>
            </w:r>
          </w:p>
        </w:tc>
        <w:tc>
          <w:tcPr>
            <w:tcW w:w="1116" w:type="dxa"/>
            <w:tcBorders>
              <w:top w:val="nil"/>
              <w:left w:val="nil"/>
              <w:bottom w:val="single" w:sz="4" w:space="0" w:color="BFBFBF"/>
              <w:right w:val="single" w:sz="4" w:space="0" w:color="auto"/>
            </w:tcBorders>
            <w:shd w:val="clear" w:color="000000" w:fill="FFFFFF"/>
            <w:noWrap/>
            <w:vAlign w:val="center"/>
            <w:hideMark/>
          </w:tcPr>
          <w:p w14:paraId="7AEF0A70" w14:textId="3602CB4A" w:rsidR="003B1A7B" w:rsidRPr="002E10EB" w:rsidRDefault="003B1A7B" w:rsidP="003B1A7B">
            <w:pPr>
              <w:jc w:val="right"/>
              <w:rPr>
                <w:rFonts w:eastAsia="Times New Roman"/>
                <w:color w:val="C00000"/>
                <w:sz w:val="18"/>
                <w:szCs w:val="18"/>
              </w:rPr>
            </w:pPr>
            <w:r w:rsidRPr="002E10EB">
              <w:rPr>
                <w:rFonts w:cs="Arial"/>
                <w:color w:val="C00000"/>
                <w:sz w:val="18"/>
                <w:szCs w:val="18"/>
              </w:rPr>
              <w:t>6%</w:t>
            </w:r>
          </w:p>
        </w:tc>
      </w:tr>
      <w:tr w:rsidR="003B1A7B" w:rsidRPr="00887119" w14:paraId="77E3932C" w14:textId="77777777" w:rsidTr="00CC6BC1">
        <w:trPr>
          <w:trHeight w:val="402"/>
        </w:trPr>
        <w:tc>
          <w:tcPr>
            <w:tcW w:w="2700" w:type="dxa"/>
            <w:gridSpan w:val="2"/>
            <w:tcBorders>
              <w:top w:val="single" w:sz="4" w:space="0" w:color="BFBFBF"/>
              <w:left w:val="single" w:sz="4" w:space="0" w:color="auto"/>
              <w:bottom w:val="single" w:sz="4" w:space="0" w:color="BFBFBF"/>
              <w:right w:val="nil"/>
            </w:tcBorders>
            <w:shd w:val="clear" w:color="000000" w:fill="F2F2F2"/>
            <w:noWrap/>
            <w:vAlign w:val="center"/>
            <w:hideMark/>
          </w:tcPr>
          <w:p w14:paraId="555D0E9C"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2 person households</w:t>
            </w:r>
          </w:p>
        </w:tc>
        <w:tc>
          <w:tcPr>
            <w:tcW w:w="1080" w:type="dxa"/>
            <w:tcBorders>
              <w:top w:val="nil"/>
              <w:left w:val="single" w:sz="4" w:space="0" w:color="auto"/>
              <w:bottom w:val="single" w:sz="4" w:space="0" w:color="BFBFBF"/>
              <w:right w:val="single" w:sz="4" w:space="0" w:color="auto"/>
            </w:tcBorders>
            <w:shd w:val="clear" w:color="000000" w:fill="F2F2F2"/>
            <w:noWrap/>
            <w:vAlign w:val="center"/>
            <w:hideMark/>
          </w:tcPr>
          <w:p w14:paraId="6E066351" w14:textId="69E7C7C7" w:rsidR="003B1A7B" w:rsidRPr="002E10EB" w:rsidRDefault="003B1A7B" w:rsidP="003B1A7B">
            <w:pPr>
              <w:jc w:val="right"/>
              <w:rPr>
                <w:rFonts w:eastAsia="Times New Roman"/>
                <w:color w:val="C00000"/>
                <w:sz w:val="18"/>
                <w:szCs w:val="18"/>
              </w:rPr>
            </w:pPr>
            <w:r w:rsidRPr="002E10EB">
              <w:rPr>
                <w:rFonts w:cs="Arial"/>
                <w:color w:val="C00000"/>
                <w:sz w:val="18"/>
                <w:szCs w:val="18"/>
              </w:rPr>
              <w:t>24,030</w:t>
            </w:r>
          </w:p>
        </w:tc>
        <w:tc>
          <w:tcPr>
            <w:tcW w:w="1116" w:type="dxa"/>
            <w:tcBorders>
              <w:top w:val="nil"/>
              <w:left w:val="nil"/>
              <w:bottom w:val="single" w:sz="4" w:space="0" w:color="BFBFBF"/>
              <w:right w:val="single" w:sz="4" w:space="0" w:color="BFBFBF"/>
            </w:tcBorders>
            <w:shd w:val="clear" w:color="000000" w:fill="F2F2F2"/>
            <w:noWrap/>
            <w:vAlign w:val="center"/>
            <w:hideMark/>
          </w:tcPr>
          <w:p w14:paraId="061D02CE" w14:textId="118FB085" w:rsidR="003B1A7B" w:rsidRPr="002E10EB" w:rsidRDefault="003B1A7B" w:rsidP="003B1A7B">
            <w:pPr>
              <w:jc w:val="right"/>
              <w:rPr>
                <w:rFonts w:eastAsia="Times New Roman"/>
                <w:color w:val="C00000"/>
                <w:sz w:val="18"/>
                <w:szCs w:val="18"/>
              </w:rPr>
            </w:pPr>
            <w:r w:rsidRPr="002E10EB">
              <w:rPr>
                <w:rFonts w:cs="Arial"/>
                <w:color w:val="C00000"/>
                <w:sz w:val="18"/>
                <w:szCs w:val="18"/>
              </w:rPr>
              <w:t>1%</w:t>
            </w:r>
          </w:p>
        </w:tc>
        <w:tc>
          <w:tcPr>
            <w:tcW w:w="1116" w:type="dxa"/>
            <w:tcBorders>
              <w:top w:val="nil"/>
              <w:left w:val="nil"/>
              <w:bottom w:val="single" w:sz="4" w:space="0" w:color="BFBFBF"/>
              <w:right w:val="single" w:sz="4" w:space="0" w:color="BFBFBF"/>
            </w:tcBorders>
            <w:shd w:val="clear" w:color="000000" w:fill="F2F2F2"/>
            <w:noWrap/>
            <w:vAlign w:val="center"/>
            <w:hideMark/>
          </w:tcPr>
          <w:p w14:paraId="22014D5D" w14:textId="7ED4D195" w:rsidR="003B1A7B" w:rsidRPr="002E10EB" w:rsidRDefault="003B1A7B" w:rsidP="003B1A7B">
            <w:pPr>
              <w:jc w:val="right"/>
              <w:rPr>
                <w:rFonts w:eastAsia="Times New Roman"/>
                <w:color w:val="C00000"/>
                <w:sz w:val="18"/>
                <w:szCs w:val="18"/>
              </w:rPr>
            </w:pPr>
            <w:r w:rsidRPr="002E10EB">
              <w:rPr>
                <w:rFonts w:cs="Arial"/>
                <w:color w:val="C00000"/>
                <w:sz w:val="18"/>
                <w:szCs w:val="18"/>
              </w:rPr>
              <w:t>8%</w:t>
            </w:r>
          </w:p>
        </w:tc>
        <w:tc>
          <w:tcPr>
            <w:tcW w:w="1116" w:type="dxa"/>
            <w:tcBorders>
              <w:top w:val="nil"/>
              <w:left w:val="nil"/>
              <w:bottom w:val="single" w:sz="4" w:space="0" w:color="BFBFBF"/>
              <w:right w:val="single" w:sz="4" w:space="0" w:color="BFBFBF"/>
            </w:tcBorders>
            <w:shd w:val="clear" w:color="000000" w:fill="F2F2F2"/>
            <w:noWrap/>
            <w:vAlign w:val="center"/>
            <w:hideMark/>
          </w:tcPr>
          <w:p w14:paraId="2701A8ED" w14:textId="59E2D392" w:rsidR="003B1A7B" w:rsidRPr="002E10EB" w:rsidRDefault="003B1A7B" w:rsidP="003B1A7B">
            <w:pPr>
              <w:jc w:val="right"/>
              <w:rPr>
                <w:rFonts w:eastAsia="Times New Roman"/>
                <w:color w:val="C00000"/>
                <w:sz w:val="18"/>
                <w:szCs w:val="18"/>
              </w:rPr>
            </w:pPr>
            <w:r w:rsidRPr="002E10EB">
              <w:rPr>
                <w:rFonts w:cs="Arial"/>
                <w:color w:val="C00000"/>
                <w:sz w:val="18"/>
                <w:szCs w:val="18"/>
              </w:rPr>
              <w:t>21%</w:t>
            </w:r>
          </w:p>
        </w:tc>
        <w:tc>
          <w:tcPr>
            <w:tcW w:w="1116" w:type="dxa"/>
            <w:tcBorders>
              <w:top w:val="nil"/>
              <w:left w:val="nil"/>
              <w:bottom w:val="single" w:sz="4" w:space="0" w:color="BFBFBF"/>
              <w:right w:val="single" w:sz="4" w:space="0" w:color="BFBFBF"/>
            </w:tcBorders>
            <w:shd w:val="clear" w:color="000000" w:fill="F2F2F2"/>
            <w:noWrap/>
            <w:vAlign w:val="center"/>
            <w:hideMark/>
          </w:tcPr>
          <w:p w14:paraId="05BA5229" w14:textId="155D99DE" w:rsidR="003B1A7B" w:rsidRPr="002E10EB" w:rsidRDefault="003B1A7B" w:rsidP="003B1A7B">
            <w:pPr>
              <w:jc w:val="right"/>
              <w:rPr>
                <w:rFonts w:eastAsia="Times New Roman"/>
                <w:color w:val="C00000"/>
                <w:sz w:val="18"/>
                <w:szCs w:val="18"/>
              </w:rPr>
            </w:pPr>
            <w:r w:rsidRPr="002E10EB">
              <w:rPr>
                <w:rFonts w:cs="Arial"/>
                <w:color w:val="C00000"/>
                <w:sz w:val="18"/>
                <w:szCs w:val="18"/>
              </w:rPr>
              <w:t>31%</w:t>
            </w:r>
          </w:p>
        </w:tc>
        <w:tc>
          <w:tcPr>
            <w:tcW w:w="1116" w:type="dxa"/>
            <w:tcBorders>
              <w:top w:val="nil"/>
              <w:left w:val="nil"/>
              <w:bottom w:val="single" w:sz="4" w:space="0" w:color="BFBFBF"/>
              <w:right w:val="single" w:sz="4" w:space="0" w:color="auto"/>
            </w:tcBorders>
            <w:shd w:val="clear" w:color="000000" w:fill="F2F2F2"/>
            <w:noWrap/>
            <w:vAlign w:val="center"/>
            <w:hideMark/>
          </w:tcPr>
          <w:p w14:paraId="57EE9C00" w14:textId="584E3088" w:rsidR="003B1A7B" w:rsidRPr="002E10EB" w:rsidRDefault="003B1A7B" w:rsidP="003B1A7B">
            <w:pPr>
              <w:jc w:val="right"/>
              <w:rPr>
                <w:rFonts w:eastAsia="Times New Roman"/>
                <w:color w:val="C00000"/>
                <w:sz w:val="18"/>
                <w:szCs w:val="18"/>
              </w:rPr>
            </w:pPr>
            <w:r w:rsidRPr="002E10EB">
              <w:rPr>
                <w:rFonts w:cs="Arial"/>
                <w:color w:val="C00000"/>
                <w:sz w:val="18"/>
                <w:szCs w:val="18"/>
              </w:rPr>
              <w:t>40%</w:t>
            </w:r>
          </w:p>
        </w:tc>
      </w:tr>
      <w:tr w:rsidR="003B1A7B" w:rsidRPr="00887119" w14:paraId="0512CD74" w14:textId="77777777" w:rsidTr="00CC6BC1">
        <w:trPr>
          <w:trHeight w:val="402"/>
        </w:trPr>
        <w:tc>
          <w:tcPr>
            <w:tcW w:w="2700" w:type="dxa"/>
            <w:gridSpan w:val="2"/>
            <w:tcBorders>
              <w:top w:val="single" w:sz="4" w:space="0" w:color="BFBFBF"/>
              <w:left w:val="single" w:sz="4" w:space="0" w:color="auto"/>
              <w:bottom w:val="single" w:sz="4" w:space="0" w:color="BFBFBF"/>
              <w:right w:val="nil"/>
            </w:tcBorders>
            <w:shd w:val="clear" w:color="000000" w:fill="FFFFFF"/>
            <w:noWrap/>
            <w:vAlign w:val="center"/>
            <w:hideMark/>
          </w:tcPr>
          <w:p w14:paraId="709203C1"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3 person households</w:t>
            </w:r>
          </w:p>
        </w:tc>
        <w:tc>
          <w:tcPr>
            <w:tcW w:w="1080" w:type="dxa"/>
            <w:tcBorders>
              <w:top w:val="nil"/>
              <w:left w:val="single" w:sz="4" w:space="0" w:color="auto"/>
              <w:bottom w:val="single" w:sz="4" w:space="0" w:color="BFBFBF"/>
              <w:right w:val="single" w:sz="4" w:space="0" w:color="auto"/>
            </w:tcBorders>
            <w:shd w:val="clear" w:color="000000" w:fill="FFFFFF"/>
            <w:noWrap/>
            <w:vAlign w:val="center"/>
            <w:hideMark/>
          </w:tcPr>
          <w:p w14:paraId="2CA6FE39" w14:textId="4750786F" w:rsidR="003B1A7B" w:rsidRPr="002E10EB" w:rsidRDefault="003B1A7B" w:rsidP="003B1A7B">
            <w:pPr>
              <w:jc w:val="right"/>
              <w:rPr>
                <w:rFonts w:eastAsia="Times New Roman"/>
                <w:color w:val="C00000"/>
                <w:sz w:val="18"/>
                <w:szCs w:val="18"/>
              </w:rPr>
            </w:pPr>
            <w:r w:rsidRPr="002E10EB">
              <w:rPr>
                <w:rFonts w:cs="Arial"/>
                <w:color w:val="C00000"/>
                <w:sz w:val="18"/>
                <w:szCs w:val="18"/>
              </w:rPr>
              <w:t>9,280</w:t>
            </w:r>
          </w:p>
        </w:tc>
        <w:tc>
          <w:tcPr>
            <w:tcW w:w="1116" w:type="dxa"/>
            <w:tcBorders>
              <w:top w:val="nil"/>
              <w:left w:val="nil"/>
              <w:bottom w:val="single" w:sz="4" w:space="0" w:color="BFBFBF"/>
              <w:right w:val="single" w:sz="4" w:space="0" w:color="BFBFBF"/>
            </w:tcBorders>
            <w:shd w:val="clear" w:color="000000" w:fill="FFFFFF"/>
            <w:noWrap/>
            <w:vAlign w:val="center"/>
            <w:hideMark/>
          </w:tcPr>
          <w:p w14:paraId="1D7394F8" w14:textId="42FA6C4F" w:rsidR="003B1A7B" w:rsidRPr="002E10EB" w:rsidRDefault="003B1A7B" w:rsidP="003B1A7B">
            <w:pPr>
              <w:jc w:val="right"/>
              <w:rPr>
                <w:rFonts w:eastAsia="Times New Roman"/>
                <w:color w:val="C00000"/>
                <w:sz w:val="18"/>
                <w:szCs w:val="18"/>
              </w:rPr>
            </w:pPr>
            <w:r w:rsidRPr="002E10EB">
              <w:rPr>
                <w:rFonts w:cs="Arial"/>
                <w:color w:val="C00000"/>
                <w:sz w:val="18"/>
                <w:szCs w:val="18"/>
              </w:rPr>
              <w:t>1%</w:t>
            </w:r>
          </w:p>
        </w:tc>
        <w:tc>
          <w:tcPr>
            <w:tcW w:w="1116" w:type="dxa"/>
            <w:tcBorders>
              <w:top w:val="nil"/>
              <w:left w:val="nil"/>
              <w:bottom w:val="single" w:sz="4" w:space="0" w:color="BFBFBF"/>
              <w:right w:val="single" w:sz="4" w:space="0" w:color="BFBFBF"/>
            </w:tcBorders>
            <w:shd w:val="clear" w:color="000000" w:fill="FFFFFF"/>
            <w:noWrap/>
            <w:vAlign w:val="center"/>
            <w:hideMark/>
          </w:tcPr>
          <w:p w14:paraId="7626B3C6" w14:textId="2C239E52" w:rsidR="003B1A7B" w:rsidRPr="002E10EB" w:rsidRDefault="003B1A7B" w:rsidP="003B1A7B">
            <w:pPr>
              <w:jc w:val="right"/>
              <w:rPr>
                <w:rFonts w:eastAsia="Times New Roman"/>
                <w:color w:val="C00000"/>
                <w:sz w:val="18"/>
                <w:szCs w:val="18"/>
              </w:rPr>
            </w:pPr>
            <w:r w:rsidRPr="002E10EB">
              <w:rPr>
                <w:rFonts w:cs="Arial"/>
                <w:color w:val="C00000"/>
                <w:sz w:val="18"/>
                <w:szCs w:val="18"/>
              </w:rPr>
              <w:t>4%</w:t>
            </w:r>
          </w:p>
        </w:tc>
        <w:tc>
          <w:tcPr>
            <w:tcW w:w="1116" w:type="dxa"/>
            <w:tcBorders>
              <w:top w:val="nil"/>
              <w:left w:val="nil"/>
              <w:bottom w:val="single" w:sz="4" w:space="0" w:color="BFBFBF"/>
              <w:right w:val="single" w:sz="4" w:space="0" w:color="BFBFBF"/>
            </w:tcBorders>
            <w:shd w:val="clear" w:color="000000" w:fill="FFFFFF"/>
            <w:noWrap/>
            <w:vAlign w:val="center"/>
            <w:hideMark/>
          </w:tcPr>
          <w:p w14:paraId="45CBB049" w14:textId="01301888" w:rsidR="003B1A7B" w:rsidRPr="002E10EB" w:rsidRDefault="003B1A7B" w:rsidP="003B1A7B">
            <w:pPr>
              <w:jc w:val="right"/>
              <w:rPr>
                <w:rFonts w:eastAsia="Times New Roman"/>
                <w:color w:val="C00000"/>
                <w:sz w:val="18"/>
                <w:szCs w:val="18"/>
              </w:rPr>
            </w:pPr>
            <w:r w:rsidRPr="002E10EB">
              <w:rPr>
                <w:rFonts w:cs="Arial"/>
                <w:color w:val="C00000"/>
                <w:sz w:val="18"/>
                <w:szCs w:val="18"/>
              </w:rPr>
              <w:t>13%</w:t>
            </w:r>
          </w:p>
        </w:tc>
        <w:tc>
          <w:tcPr>
            <w:tcW w:w="1116" w:type="dxa"/>
            <w:tcBorders>
              <w:top w:val="nil"/>
              <w:left w:val="nil"/>
              <w:bottom w:val="single" w:sz="4" w:space="0" w:color="BFBFBF"/>
              <w:right w:val="single" w:sz="4" w:space="0" w:color="BFBFBF"/>
            </w:tcBorders>
            <w:shd w:val="clear" w:color="000000" w:fill="FFFFFF"/>
            <w:noWrap/>
            <w:vAlign w:val="center"/>
            <w:hideMark/>
          </w:tcPr>
          <w:p w14:paraId="3236B604" w14:textId="35F0DF6F" w:rsidR="003B1A7B" w:rsidRPr="002E10EB" w:rsidRDefault="003B1A7B" w:rsidP="003B1A7B">
            <w:pPr>
              <w:jc w:val="right"/>
              <w:rPr>
                <w:rFonts w:eastAsia="Times New Roman"/>
                <w:color w:val="C00000"/>
                <w:sz w:val="18"/>
                <w:szCs w:val="18"/>
              </w:rPr>
            </w:pPr>
            <w:r w:rsidRPr="002E10EB">
              <w:rPr>
                <w:rFonts w:cs="Arial"/>
                <w:color w:val="C00000"/>
                <w:sz w:val="18"/>
                <w:szCs w:val="18"/>
              </w:rPr>
              <w:t>24%</w:t>
            </w:r>
          </w:p>
        </w:tc>
        <w:tc>
          <w:tcPr>
            <w:tcW w:w="1116" w:type="dxa"/>
            <w:tcBorders>
              <w:top w:val="nil"/>
              <w:left w:val="nil"/>
              <w:bottom w:val="single" w:sz="4" w:space="0" w:color="BFBFBF"/>
              <w:right w:val="single" w:sz="4" w:space="0" w:color="auto"/>
            </w:tcBorders>
            <w:shd w:val="clear" w:color="000000" w:fill="FFFFFF"/>
            <w:noWrap/>
            <w:vAlign w:val="center"/>
            <w:hideMark/>
          </w:tcPr>
          <w:p w14:paraId="77F17497" w14:textId="62BE6961" w:rsidR="003B1A7B" w:rsidRPr="002E10EB" w:rsidRDefault="003B1A7B" w:rsidP="003B1A7B">
            <w:pPr>
              <w:jc w:val="right"/>
              <w:rPr>
                <w:rFonts w:eastAsia="Times New Roman"/>
                <w:color w:val="C00000"/>
                <w:sz w:val="18"/>
                <w:szCs w:val="18"/>
              </w:rPr>
            </w:pPr>
            <w:r w:rsidRPr="002E10EB">
              <w:rPr>
                <w:rFonts w:cs="Arial"/>
                <w:color w:val="C00000"/>
                <w:sz w:val="18"/>
                <w:szCs w:val="18"/>
              </w:rPr>
              <w:t>58%</w:t>
            </w:r>
          </w:p>
        </w:tc>
      </w:tr>
      <w:tr w:rsidR="003B1A7B" w:rsidRPr="00887119" w14:paraId="3C089123" w14:textId="77777777" w:rsidTr="00CC6BC1">
        <w:trPr>
          <w:trHeight w:val="402"/>
        </w:trPr>
        <w:tc>
          <w:tcPr>
            <w:tcW w:w="2700" w:type="dxa"/>
            <w:gridSpan w:val="2"/>
            <w:tcBorders>
              <w:top w:val="single" w:sz="4" w:space="0" w:color="BFBFBF"/>
              <w:left w:val="single" w:sz="4" w:space="0" w:color="auto"/>
              <w:bottom w:val="single" w:sz="4" w:space="0" w:color="BFBFBF"/>
              <w:right w:val="nil"/>
            </w:tcBorders>
            <w:shd w:val="clear" w:color="000000" w:fill="F2F2F2"/>
            <w:noWrap/>
            <w:vAlign w:val="center"/>
            <w:hideMark/>
          </w:tcPr>
          <w:p w14:paraId="3D6093B6"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4 person households</w:t>
            </w:r>
          </w:p>
        </w:tc>
        <w:tc>
          <w:tcPr>
            <w:tcW w:w="1080" w:type="dxa"/>
            <w:tcBorders>
              <w:top w:val="nil"/>
              <w:left w:val="single" w:sz="4" w:space="0" w:color="auto"/>
              <w:bottom w:val="single" w:sz="4" w:space="0" w:color="BFBFBF"/>
              <w:right w:val="single" w:sz="4" w:space="0" w:color="auto"/>
            </w:tcBorders>
            <w:shd w:val="clear" w:color="000000" w:fill="F2F2F2"/>
            <w:noWrap/>
            <w:vAlign w:val="center"/>
            <w:hideMark/>
          </w:tcPr>
          <w:p w14:paraId="3D0F8C47" w14:textId="77CE2C85" w:rsidR="003B1A7B" w:rsidRPr="002E10EB" w:rsidRDefault="003B1A7B" w:rsidP="003B1A7B">
            <w:pPr>
              <w:jc w:val="right"/>
              <w:rPr>
                <w:rFonts w:eastAsia="Times New Roman"/>
                <w:color w:val="C00000"/>
                <w:sz w:val="18"/>
                <w:szCs w:val="18"/>
              </w:rPr>
            </w:pPr>
            <w:r w:rsidRPr="002E10EB">
              <w:rPr>
                <w:rFonts w:cs="Arial"/>
                <w:color w:val="C00000"/>
                <w:sz w:val="18"/>
                <w:szCs w:val="18"/>
              </w:rPr>
              <w:t>7,510</w:t>
            </w:r>
          </w:p>
        </w:tc>
        <w:tc>
          <w:tcPr>
            <w:tcW w:w="1116" w:type="dxa"/>
            <w:tcBorders>
              <w:top w:val="nil"/>
              <w:left w:val="nil"/>
              <w:bottom w:val="single" w:sz="4" w:space="0" w:color="BFBFBF"/>
              <w:right w:val="single" w:sz="4" w:space="0" w:color="BFBFBF"/>
            </w:tcBorders>
            <w:shd w:val="clear" w:color="000000" w:fill="F2F2F2"/>
            <w:noWrap/>
            <w:vAlign w:val="center"/>
            <w:hideMark/>
          </w:tcPr>
          <w:p w14:paraId="18854D7F" w14:textId="72EA9787" w:rsidR="003B1A7B" w:rsidRPr="002E10EB" w:rsidRDefault="003B1A7B" w:rsidP="003B1A7B">
            <w:pPr>
              <w:jc w:val="right"/>
              <w:rPr>
                <w:rFonts w:eastAsia="Times New Roman"/>
                <w:color w:val="C00000"/>
                <w:sz w:val="18"/>
                <w:szCs w:val="18"/>
              </w:rPr>
            </w:pPr>
            <w:r w:rsidRPr="002E10EB">
              <w:rPr>
                <w:rFonts w:cs="Arial"/>
                <w:color w:val="C00000"/>
                <w:sz w:val="18"/>
                <w:szCs w:val="18"/>
              </w:rPr>
              <w:t>1%</w:t>
            </w:r>
          </w:p>
        </w:tc>
        <w:tc>
          <w:tcPr>
            <w:tcW w:w="1116" w:type="dxa"/>
            <w:tcBorders>
              <w:top w:val="nil"/>
              <w:left w:val="nil"/>
              <w:bottom w:val="single" w:sz="4" w:space="0" w:color="BFBFBF"/>
              <w:right w:val="single" w:sz="4" w:space="0" w:color="BFBFBF"/>
            </w:tcBorders>
            <w:shd w:val="clear" w:color="000000" w:fill="F2F2F2"/>
            <w:noWrap/>
            <w:vAlign w:val="center"/>
            <w:hideMark/>
          </w:tcPr>
          <w:p w14:paraId="4CFAC279" w14:textId="7999206D" w:rsidR="003B1A7B" w:rsidRPr="002E10EB" w:rsidRDefault="003B1A7B" w:rsidP="003B1A7B">
            <w:pPr>
              <w:jc w:val="right"/>
              <w:rPr>
                <w:rFonts w:eastAsia="Times New Roman"/>
                <w:color w:val="C00000"/>
                <w:sz w:val="18"/>
                <w:szCs w:val="18"/>
              </w:rPr>
            </w:pPr>
            <w:r w:rsidRPr="002E10EB">
              <w:rPr>
                <w:rFonts w:cs="Arial"/>
                <w:color w:val="C00000"/>
                <w:sz w:val="18"/>
                <w:szCs w:val="18"/>
              </w:rPr>
              <w:t>2%</w:t>
            </w:r>
          </w:p>
        </w:tc>
        <w:tc>
          <w:tcPr>
            <w:tcW w:w="1116" w:type="dxa"/>
            <w:tcBorders>
              <w:top w:val="nil"/>
              <w:left w:val="nil"/>
              <w:bottom w:val="single" w:sz="4" w:space="0" w:color="BFBFBF"/>
              <w:right w:val="single" w:sz="4" w:space="0" w:color="BFBFBF"/>
            </w:tcBorders>
            <w:shd w:val="clear" w:color="000000" w:fill="F2F2F2"/>
            <w:noWrap/>
            <w:vAlign w:val="center"/>
            <w:hideMark/>
          </w:tcPr>
          <w:p w14:paraId="4B0384C8" w14:textId="349C332F" w:rsidR="003B1A7B" w:rsidRPr="002E10EB" w:rsidRDefault="003B1A7B" w:rsidP="003B1A7B">
            <w:pPr>
              <w:jc w:val="right"/>
              <w:rPr>
                <w:rFonts w:eastAsia="Times New Roman"/>
                <w:color w:val="C00000"/>
                <w:sz w:val="18"/>
                <w:szCs w:val="18"/>
              </w:rPr>
            </w:pPr>
            <w:r w:rsidRPr="002E10EB">
              <w:rPr>
                <w:rFonts w:cs="Arial"/>
                <w:color w:val="C00000"/>
                <w:sz w:val="18"/>
                <w:szCs w:val="18"/>
              </w:rPr>
              <w:t>7%</w:t>
            </w:r>
          </w:p>
        </w:tc>
        <w:tc>
          <w:tcPr>
            <w:tcW w:w="1116" w:type="dxa"/>
            <w:tcBorders>
              <w:top w:val="nil"/>
              <w:left w:val="nil"/>
              <w:bottom w:val="single" w:sz="4" w:space="0" w:color="BFBFBF"/>
              <w:right w:val="single" w:sz="4" w:space="0" w:color="BFBFBF"/>
            </w:tcBorders>
            <w:shd w:val="clear" w:color="000000" w:fill="F2F2F2"/>
            <w:noWrap/>
            <w:vAlign w:val="center"/>
            <w:hideMark/>
          </w:tcPr>
          <w:p w14:paraId="6109CAEA" w14:textId="11FFFF06" w:rsidR="003B1A7B" w:rsidRPr="002E10EB" w:rsidRDefault="003B1A7B" w:rsidP="003B1A7B">
            <w:pPr>
              <w:jc w:val="right"/>
              <w:rPr>
                <w:rFonts w:eastAsia="Times New Roman"/>
                <w:color w:val="C00000"/>
                <w:sz w:val="18"/>
                <w:szCs w:val="18"/>
              </w:rPr>
            </w:pPr>
            <w:r w:rsidRPr="002E10EB">
              <w:rPr>
                <w:rFonts w:cs="Arial"/>
                <w:color w:val="C00000"/>
                <w:sz w:val="18"/>
                <w:szCs w:val="18"/>
              </w:rPr>
              <w:t>17%</w:t>
            </w:r>
          </w:p>
        </w:tc>
        <w:tc>
          <w:tcPr>
            <w:tcW w:w="1116" w:type="dxa"/>
            <w:tcBorders>
              <w:top w:val="nil"/>
              <w:left w:val="nil"/>
              <w:bottom w:val="single" w:sz="4" w:space="0" w:color="BFBFBF"/>
              <w:right w:val="single" w:sz="4" w:space="0" w:color="auto"/>
            </w:tcBorders>
            <w:shd w:val="clear" w:color="000000" w:fill="F2F2F2"/>
            <w:noWrap/>
            <w:vAlign w:val="center"/>
            <w:hideMark/>
          </w:tcPr>
          <w:p w14:paraId="4FBA602D" w14:textId="5625C9AB" w:rsidR="003B1A7B" w:rsidRPr="002E10EB" w:rsidRDefault="003B1A7B" w:rsidP="003B1A7B">
            <w:pPr>
              <w:jc w:val="right"/>
              <w:rPr>
                <w:rFonts w:eastAsia="Times New Roman"/>
                <w:color w:val="C00000"/>
                <w:sz w:val="18"/>
                <w:szCs w:val="18"/>
              </w:rPr>
            </w:pPr>
            <w:r w:rsidRPr="002E10EB">
              <w:rPr>
                <w:rFonts w:cs="Arial"/>
                <w:color w:val="C00000"/>
                <w:sz w:val="18"/>
                <w:szCs w:val="18"/>
              </w:rPr>
              <w:t>72%</w:t>
            </w:r>
          </w:p>
        </w:tc>
      </w:tr>
      <w:tr w:rsidR="003B1A7B" w:rsidRPr="00887119" w14:paraId="1E4DC54B" w14:textId="77777777" w:rsidTr="00CC6BC1">
        <w:trPr>
          <w:trHeight w:val="402"/>
        </w:trPr>
        <w:tc>
          <w:tcPr>
            <w:tcW w:w="2700" w:type="dxa"/>
            <w:gridSpan w:val="2"/>
            <w:tcBorders>
              <w:top w:val="single" w:sz="4" w:space="0" w:color="BFBFBF"/>
              <w:left w:val="single" w:sz="4" w:space="0" w:color="auto"/>
              <w:bottom w:val="single" w:sz="4" w:space="0" w:color="auto"/>
              <w:right w:val="nil"/>
            </w:tcBorders>
            <w:shd w:val="clear" w:color="000000" w:fill="FFFFFF"/>
            <w:noWrap/>
            <w:vAlign w:val="center"/>
            <w:hideMark/>
          </w:tcPr>
          <w:p w14:paraId="2FB4D00C" w14:textId="77777777" w:rsidR="003B1A7B" w:rsidRPr="00887119" w:rsidRDefault="003B1A7B" w:rsidP="003B1A7B">
            <w:pPr>
              <w:rPr>
                <w:rFonts w:eastAsia="Times New Roman"/>
                <w:color w:val="000000"/>
                <w:sz w:val="18"/>
                <w:szCs w:val="18"/>
              </w:rPr>
            </w:pPr>
            <w:r w:rsidRPr="00887119">
              <w:rPr>
                <w:rFonts w:eastAsia="Times New Roman"/>
                <w:color w:val="000000"/>
                <w:sz w:val="18"/>
                <w:szCs w:val="18"/>
              </w:rPr>
              <w:t>5+ person households</w:t>
            </w:r>
          </w:p>
        </w:tc>
        <w:tc>
          <w:tcPr>
            <w:tcW w:w="1080" w:type="dxa"/>
            <w:tcBorders>
              <w:top w:val="nil"/>
              <w:left w:val="single" w:sz="4" w:space="0" w:color="auto"/>
              <w:bottom w:val="single" w:sz="4" w:space="0" w:color="auto"/>
              <w:right w:val="single" w:sz="4" w:space="0" w:color="auto"/>
            </w:tcBorders>
            <w:shd w:val="clear" w:color="000000" w:fill="FFFFFF"/>
            <w:noWrap/>
            <w:vAlign w:val="center"/>
            <w:hideMark/>
          </w:tcPr>
          <w:p w14:paraId="469E1827" w14:textId="2EEF2C81" w:rsidR="003B1A7B" w:rsidRPr="002E10EB" w:rsidRDefault="003B1A7B" w:rsidP="003B1A7B">
            <w:pPr>
              <w:jc w:val="right"/>
              <w:rPr>
                <w:rFonts w:eastAsia="Times New Roman"/>
                <w:color w:val="C00000"/>
                <w:sz w:val="18"/>
                <w:szCs w:val="18"/>
              </w:rPr>
            </w:pPr>
            <w:r w:rsidRPr="002E10EB">
              <w:rPr>
                <w:rFonts w:cs="Arial"/>
                <w:color w:val="C00000"/>
                <w:sz w:val="18"/>
                <w:szCs w:val="18"/>
              </w:rPr>
              <w:t>4,270</w:t>
            </w:r>
          </w:p>
        </w:tc>
        <w:tc>
          <w:tcPr>
            <w:tcW w:w="1116" w:type="dxa"/>
            <w:tcBorders>
              <w:top w:val="nil"/>
              <w:left w:val="nil"/>
              <w:bottom w:val="single" w:sz="4" w:space="0" w:color="auto"/>
              <w:right w:val="single" w:sz="4" w:space="0" w:color="BFBFBF"/>
            </w:tcBorders>
            <w:shd w:val="clear" w:color="000000" w:fill="FFFFFF"/>
            <w:noWrap/>
            <w:vAlign w:val="center"/>
            <w:hideMark/>
          </w:tcPr>
          <w:p w14:paraId="3A11680F" w14:textId="7D5CAAC9" w:rsidR="003B1A7B" w:rsidRPr="002E10EB" w:rsidRDefault="003B1A7B" w:rsidP="003B1A7B">
            <w:pPr>
              <w:jc w:val="right"/>
              <w:rPr>
                <w:rFonts w:eastAsia="Times New Roman"/>
                <w:color w:val="C00000"/>
                <w:sz w:val="18"/>
                <w:szCs w:val="18"/>
              </w:rPr>
            </w:pPr>
            <w:r w:rsidRPr="002E10EB">
              <w:rPr>
                <w:rFonts w:cs="Arial"/>
                <w:color w:val="C00000"/>
                <w:sz w:val="18"/>
                <w:szCs w:val="18"/>
              </w:rPr>
              <w:t>0%</w:t>
            </w:r>
          </w:p>
        </w:tc>
        <w:tc>
          <w:tcPr>
            <w:tcW w:w="1116" w:type="dxa"/>
            <w:tcBorders>
              <w:top w:val="nil"/>
              <w:left w:val="nil"/>
              <w:bottom w:val="single" w:sz="4" w:space="0" w:color="auto"/>
              <w:right w:val="single" w:sz="4" w:space="0" w:color="BFBFBF"/>
            </w:tcBorders>
            <w:shd w:val="clear" w:color="000000" w:fill="FFFFFF"/>
            <w:noWrap/>
            <w:vAlign w:val="center"/>
            <w:hideMark/>
          </w:tcPr>
          <w:p w14:paraId="48D1E3C3" w14:textId="0F8E6302" w:rsidR="003B1A7B" w:rsidRPr="002E10EB" w:rsidRDefault="003B1A7B" w:rsidP="003B1A7B">
            <w:pPr>
              <w:jc w:val="right"/>
              <w:rPr>
                <w:rFonts w:eastAsia="Times New Roman"/>
                <w:color w:val="C00000"/>
                <w:sz w:val="18"/>
                <w:szCs w:val="18"/>
              </w:rPr>
            </w:pPr>
            <w:r w:rsidRPr="002E10EB">
              <w:rPr>
                <w:rFonts w:cs="Arial"/>
                <w:color w:val="C00000"/>
                <w:sz w:val="18"/>
                <w:szCs w:val="18"/>
              </w:rPr>
              <w:t>1%</w:t>
            </w:r>
          </w:p>
        </w:tc>
        <w:tc>
          <w:tcPr>
            <w:tcW w:w="1116" w:type="dxa"/>
            <w:tcBorders>
              <w:top w:val="nil"/>
              <w:left w:val="nil"/>
              <w:bottom w:val="single" w:sz="4" w:space="0" w:color="auto"/>
              <w:right w:val="single" w:sz="4" w:space="0" w:color="BFBFBF"/>
            </w:tcBorders>
            <w:shd w:val="clear" w:color="000000" w:fill="FFFFFF"/>
            <w:noWrap/>
            <w:vAlign w:val="center"/>
            <w:hideMark/>
          </w:tcPr>
          <w:p w14:paraId="371B814A" w14:textId="12035CCC" w:rsidR="003B1A7B" w:rsidRPr="002E10EB" w:rsidRDefault="003B1A7B" w:rsidP="003B1A7B">
            <w:pPr>
              <w:jc w:val="right"/>
              <w:rPr>
                <w:rFonts w:eastAsia="Times New Roman"/>
                <w:color w:val="C00000"/>
                <w:sz w:val="18"/>
                <w:szCs w:val="18"/>
              </w:rPr>
            </w:pPr>
            <w:r w:rsidRPr="002E10EB">
              <w:rPr>
                <w:rFonts w:cs="Arial"/>
                <w:color w:val="C00000"/>
                <w:sz w:val="18"/>
                <w:szCs w:val="18"/>
              </w:rPr>
              <w:t>5%</w:t>
            </w:r>
          </w:p>
        </w:tc>
        <w:tc>
          <w:tcPr>
            <w:tcW w:w="1116" w:type="dxa"/>
            <w:tcBorders>
              <w:top w:val="nil"/>
              <w:left w:val="nil"/>
              <w:bottom w:val="single" w:sz="4" w:space="0" w:color="auto"/>
              <w:right w:val="single" w:sz="4" w:space="0" w:color="BFBFBF"/>
            </w:tcBorders>
            <w:shd w:val="clear" w:color="000000" w:fill="FFFFFF"/>
            <w:noWrap/>
            <w:vAlign w:val="center"/>
            <w:hideMark/>
          </w:tcPr>
          <w:p w14:paraId="353BB85E" w14:textId="283B8997" w:rsidR="003B1A7B" w:rsidRPr="002E10EB" w:rsidRDefault="003B1A7B" w:rsidP="003B1A7B">
            <w:pPr>
              <w:jc w:val="right"/>
              <w:rPr>
                <w:rFonts w:eastAsia="Times New Roman"/>
                <w:color w:val="C00000"/>
                <w:sz w:val="18"/>
                <w:szCs w:val="18"/>
              </w:rPr>
            </w:pPr>
            <w:r w:rsidRPr="002E10EB">
              <w:rPr>
                <w:rFonts w:cs="Arial"/>
                <w:color w:val="C00000"/>
                <w:sz w:val="18"/>
                <w:szCs w:val="18"/>
              </w:rPr>
              <w:t>19%</w:t>
            </w:r>
          </w:p>
        </w:tc>
        <w:tc>
          <w:tcPr>
            <w:tcW w:w="1116" w:type="dxa"/>
            <w:tcBorders>
              <w:top w:val="nil"/>
              <w:left w:val="nil"/>
              <w:bottom w:val="single" w:sz="4" w:space="0" w:color="auto"/>
              <w:right w:val="single" w:sz="4" w:space="0" w:color="auto"/>
            </w:tcBorders>
            <w:shd w:val="clear" w:color="000000" w:fill="FFFFFF"/>
            <w:noWrap/>
            <w:vAlign w:val="center"/>
            <w:hideMark/>
          </w:tcPr>
          <w:p w14:paraId="4F1CC8BC" w14:textId="7AEB19C6" w:rsidR="003B1A7B" w:rsidRPr="002E10EB" w:rsidRDefault="003B1A7B" w:rsidP="003B1A7B">
            <w:pPr>
              <w:jc w:val="right"/>
              <w:rPr>
                <w:rFonts w:eastAsia="Times New Roman"/>
                <w:color w:val="C00000"/>
                <w:sz w:val="18"/>
                <w:szCs w:val="18"/>
              </w:rPr>
            </w:pPr>
            <w:r w:rsidRPr="002E10EB">
              <w:rPr>
                <w:rFonts w:cs="Arial"/>
                <w:color w:val="C00000"/>
                <w:sz w:val="18"/>
                <w:szCs w:val="18"/>
              </w:rPr>
              <w:t>74%</w:t>
            </w:r>
          </w:p>
        </w:tc>
      </w:tr>
    </w:tbl>
    <w:p w14:paraId="28967E6D" w14:textId="77777777" w:rsidR="00952F0E" w:rsidRPr="00887119" w:rsidRDefault="00952F0E" w:rsidP="00952F0E">
      <w:pPr>
        <w:pStyle w:val="Source"/>
      </w:pPr>
      <w:r w:rsidRPr="00887119">
        <w:t>Source: derived from Housing Assessment Resource Tools (HART)</w:t>
      </w:r>
      <w:r w:rsidRPr="00887119">
        <w:rPr>
          <w:rStyle w:val="FootnoteReference"/>
        </w:rPr>
        <w:footnoteReference w:id="25"/>
      </w:r>
    </w:p>
    <w:p w14:paraId="307CED92" w14:textId="77777777" w:rsidR="00952F0E" w:rsidRPr="00887119" w:rsidRDefault="00952F0E" w:rsidP="00952F0E"/>
    <w:p w14:paraId="4907F5D5" w14:textId="698DE469" w:rsidR="003C187A" w:rsidRPr="00887119" w:rsidRDefault="003C187A" w:rsidP="003C187A">
      <w:r w:rsidRPr="00887119">
        <w:t xml:space="preserve">Provincially, 32% of renter households fall in the very </w:t>
      </w:r>
      <w:r w:rsidR="00323F47" w:rsidRPr="00887119">
        <w:t>low- or low-income</w:t>
      </w:r>
      <w:r w:rsidRPr="00887119">
        <w:t xml:space="preserve"> categories</w:t>
      </w:r>
      <w:r w:rsidR="007F6CE8" w:rsidRPr="00887119">
        <w:t>. This is</w:t>
      </w:r>
      <w:r w:rsidRPr="00887119">
        <w:t xml:space="preserve"> the segment of the market that is</w:t>
      </w:r>
      <w:r w:rsidR="007F6CE8" w:rsidRPr="00887119">
        <w:t xml:space="preserve"> disproportionately</w:t>
      </w:r>
      <w:r w:rsidRPr="00887119">
        <w:t xml:space="preserve"> unable to afford market-rate rental housing without assistance. </w:t>
      </w:r>
      <w:r w:rsidR="00E05225" w:rsidRPr="00887119">
        <w:t>Across household sizes, t</w:t>
      </w:r>
      <w:r w:rsidRPr="00887119">
        <w:t>he concentration is substantially higher among single-person households, where 44% are in the very low-</w:t>
      </w:r>
      <w:r w:rsidR="00E05225" w:rsidRPr="00887119">
        <w:t xml:space="preserve"> or low-income categories</w:t>
      </w:r>
      <w:r w:rsidRPr="00887119">
        <w:t xml:space="preserve">. </w:t>
      </w:r>
      <w:r w:rsidR="00E05225" w:rsidRPr="00887119">
        <w:t>S</w:t>
      </w:r>
      <w:r w:rsidRPr="00887119">
        <w:t>ingle-person households represent both the largest household type among renters and the group with the most acute affordability constraints</w:t>
      </w:r>
      <w:r w:rsidR="00E05225" w:rsidRPr="00887119">
        <w:t>.</w:t>
      </w:r>
    </w:p>
    <w:p w14:paraId="516EC432" w14:textId="77777777" w:rsidR="003C187A" w:rsidRPr="00887119" w:rsidRDefault="003C187A" w:rsidP="003C187A"/>
    <w:p w14:paraId="2B206964" w14:textId="70409339" w:rsidR="00952F0E" w:rsidRPr="00887119" w:rsidRDefault="003C187A" w:rsidP="003C187A">
      <w:r w:rsidRPr="00887119">
        <w:lastRenderedPageBreak/>
        <w:t xml:space="preserve">Among owner households, 14% fall in the very </w:t>
      </w:r>
      <w:r w:rsidR="00E05225" w:rsidRPr="00887119">
        <w:t>low- or low-income</w:t>
      </w:r>
      <w:r w:rsidRPr="00887119">
        <w:t xml:space="preserve"> categories</w:t>
      </w:r>
      <w:r w:rsidR="00E05225" w:rsidRPr="00887119">
        <w:t>,</w:t>
      </w:r>
      <w:r w:rsidRPr="00887119">
        <w:t xml:space="preserve"> a share that signals a segment of </w:t>
      </w:r>
      <w:r w:rsidR="00402288" w:rsidRPr="00402288">
        <w:rPr>
          <w:color w:val="C00000"/>
        </w:rPr>
        <w:t>PEI</w:t>
      </w:r>
      <w:r w:rsidRPr="00887119">
        <w:t xml:space="preserve">’s homeowner population whose incomes may be insufficient to sustain ongoing maintenance and repair costs. This is particularly relevant in rural areas, where the ownership stock is older, maintenance demands are higher, and access to financing and tradespeople can be more limited. Low-income homeowners in rural and small urban areas represent a distinct housing vulnerability that is not always captured in standard core need metrics but has </w:t>
      </w:r>
      <w:r w:rsidR="00E05225" w:rsidRPr="00887119">
        <w:t>considerable</w:t>
      </w:r>
      <w:r w:rsidRPr="00887119">
        <w:t xml:space="preserve"> implications for housing adequacy over time.</w:t>
      </w:r>
    </w:p>
    <w:p w14:paraId="725A441A" w14:textId="77777777" w:rsidR="00E05225" w:rsidRPr="00887119" w:rsidRDefault="00E05225" w:rsidP="003C187A"/>
    <w:p w14:paraId="1577FC85" w14:textId="77777777" w:rsidR="00952F0E" w:rsidRPr="00887119" w:rsidRDefault="00952F0E" w:rsidP="00952F0E">
      <w:pPr>
        <w:pStyle w:val="Heading3"/>
      </w:pPr>
      <w:r w:rsidRPr="00887119">
        <w:t>Poverty</w:t>
      </w:r>
    </w:p>
    <w:p w14:paraId="371F2FF7" w14:textId="769060E5" w:rsidR="00952F0E" w:rsidRPr="00887119" w:rsidRDefault="00952F0E" w:rsidP="00952F0E">
      <w:r w:rsidRPr="00887119">
        <w:rPr>
          <w:rStyle w:val="Figure-textChar"/>
        </w:rPr>
        <w:fldChar w:fldCharType="begin"/>
      </w:r>
      <w:r w:rsidRPr="00887119">
        <w:rPr>
          <w:rStyle w:val="Figure-textChar"/>
        </w:rPr>
        <w:instrText xml:space="preserve"> REF _Ref223608090 \h  \* MERGEFORMAT </w:instrText>
      </w:r>
      <w:r w:rsidRPr="00887119">
        <w:rPr>
          <w:rStyle w:val="Figure-textChar"/>
        </w:rPr>
      </w:r>
      <w:r w:rsidRPr="00887119">
        <w:rPr>
          <w:rStyle w:val="Figure-textChar"/>
        </w:rPr>
        <w:fldChar w:fldCharType="separate"/>
      </w:r>
      <w:r w:rsidR="008D4BDE" w:rsidRPr="008D4BDE">
        <w:rPr>
          <w:rStyle w:val="Figure-textChar"/>
        </w:rPr>
        <w:t>Table 7.7</w:t>
      </w:r>
      <w:r w:rsidRPr="00887119">
        <w:rPr>
          <w:rStyle w:val="Figure-textChar"/>
        </w:rPr>
        <w:fldChar w:fldCharType="end"/>
      </w:r>
      <w:r w:rsidRPr="00887119">
        <w:t xml:space="preserve"> </w:t>
      </w:r>
      <w:r w:rsidR="002123CF" w:rsidRPr="00887119">
        <w:t>presents the local poverty rate disaggregated by economic family type and age group, comparing across geographic categories to establish the depth of income poverty underlying affordability challenges.</w:t>
      </w:r>
    </w:p>
    <w:p w14:paraId="427FF2AB" w14:textId="77777777" w:rsidR="00952F0E" w:rsidRPr="00887119" w:rsidRDefault="00952F0E" w:rsidP="00952F0E"/>
    <w:p w14:paraId="418D5F17" w14:textId="6C72267F" w:rsidR="00952F0E" w:rsidRPr="00887119" w:rsidRDefault="00952F0E" w:rsidP="00952F0E">
      <w:pPr>
        <w:pStyle w:val="Caption"/>
      </w:pPr>
      <w:bookmarkStart w:id="73" w:name="_Ref223608090"/>
      <w:r w:rsidRPr="00887119">
        <w:t xml:space="preserve">Table </w:t>
      </w:r>
      <w:fldSimple w:instr=" STYLEREF 1 \s ">
        <w:r w:rsidR="008D4BDE">
          <w:rPr>
            <w:noProof/>
          </w:rPr>
          <w:t>7</w:t>
        </w:r>
      </w:fldSimple>
      <w:r w:rsidR="00EE1FE9">
        <w:t>.</w:t>
      </w:r>
      <w:fldSimple w:instr=" SEQ Table \* ARABIC \s 1 ">
        <w:r w:rsidR="008D4BDE">
          <w:rPr>
            <w:noProof/>
          </w:rPr>
          <w:t>7</w:t>
        </w:r>
      </w:fldSimple>
      <w:bookmarkEnd w:id="73"/>
      <w:r w:rsidRPr="00887119">
        <w:t>: Percent of persons in poverty (</w:t>
      </w:r>
      <w:r w:rsidR="004E1933" w:rsidRPr="00887119">
        <w:t xml:space="preserve">based on </w:t>
      </w:r>
      <w:r w:rsidRPr="00887119">
        <w:t xml:space="preserve">Market Basket Measure) by characteristic and </w:t>
      </w:r>
      <w:r w:rsidR="00210831" w:rsidRPr="00887119">
        <w:t>geographic category</w:t>
      </w:r>
      <w:r w:rsidRPr="00887119">
        <w:t>, 2021 Census</w:t>
      </w:r>
    </w:p>
    <w:tbl>
      <w:tblPr>
        <w:tblW w:w="9355" w:type="dxa"/>
        <w:tblLayout w:type="fixed"/>
        <w:tblLook w:val="04A0" w:firstRow="1" w:lastRow="0" w:firstColumn="1" w:lastColumn="0" w:noHBand="0" w:noVBand="1"/>
      </w:tblPr>
      <w:tblGrid>
        <w:gridCol w:w="3235"/>
        <w:gridCol w:w="1240"/>
        <w:gridCol w:w="1241"/>
        <w:gridCol w:w="1241"/>
        <w:gridCol w:w="1240"/>
        <w:gridCol w:w="1158"/>
      </w:tblGrid>
      <w:tr w:rsidR="00F31325" w:rsidRPr="00887119" w14:paraId="608A9D95" w14:textId="77777777" w:rsidTr="00D14AC7">
        <w:trPr>
          <w:trHeight w:val="512"/>
        </w:trPr>
        <w:tc>
          <w:tcPr>
            <w:tcW w:w="323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28B51F9D" w14:textId="77777777" w:rsidR="00F31325" w:rsidRPr="00887119" w:rsidRDefault="00F31325" w:rsidP="00F31325">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Characteristic</w:t>
            </w:r>
          </w:p>
        </w:tc>
        <w:tc>
          <w:tcPr>
            <w:tcW w:w="124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478A85C1" w14:textId="77777777" w:rsidR="00F31325" w:rsidRPr="00887119" w:rsidRDefault="00F31325" w:rsidP="00F3132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241"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6394FB4" w14:textId="77777777" w:rsidR="00F31325" w:rsidRPr="00887119" w:rsidRDefault="00F31325" w:rsidP="00F3132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241"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FB37D76" w14:textId="77777777" w:rsidR="00F31325" w:rsidRPr="00887119" w:rsidRDefault="00F31325" w:rsidP="00F3132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24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3E1063C" w14:textId="77777777" w:rsidR="00F31325" w:rsidRPr="00887119" w:rsidRDefault="00F31325" w:rsidP="00F3132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158"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AB91B10" w14:textId="77777777" w:rsidR="00F31325" w:rsidRPr="00887119" w:rsidRDefault="00F31325" w:rsidP="00F3132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r>
      <w:tr w:rsidR="00F31325" w:rsidRPr="00887119" w14:paraId="0AC8BD05" w14:textId="77777777" w:rsidTr="00F31325">
        <w:trPr>
          <w:trHeight w:val="402"/>
        </w:trPr>
        <w:tc>
          <w:tcPr>
            <w:tcW w:w="3235" w:type="dxa"/>
            <w:tcBorders>
              <w:top w:val="nil"/>
              <w:left w:val="single" w:sz="4" w:space="0" w:color="auto"/>
              <w:bottom w:val="single" w:sz="4" w:space="0" w:color="auto"/>
              <w:right w:val="nil"/>
            </w:tcBorders>
            <w:shd w:val="clear" w:color="000000" w:fill="F2F2F2"/>
            <w:noWrap/>
            <w:vAlign w:val="center"/>
            <w:hideMark/>
          </w:tcPr>
          <w:p w14:paraId="40CC49C6"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Total persons</w:t>
            </w:r>
          </w:p>
        </w:tc>
        <w:tc>
          <w:tcPr>
            <w:tcW w:w="1240" w:type="dxa"/>
            <w:tcBorders>
              <w:top w:val="nil"/>
              <w:left w:val="single" w:sz="4" w:space="0" w:color="auto"/>
              <w:bottom w:val="single" w:sz="4" w:space="0" w:color="auto"/>
              <w:right w:val="single" w:sz="4" w:space="0" w:color="auto"/>
            </w:tcBorders>
            <w:shd w:val="clear" w:color="000000" w:fill="F2F2F2"/>
            <w:noWrap/>
            <w:vAlign w:val="center"/>
            <w:hideMark/>
          </w:tcPr>
          <w:p w14:paraId="7837194D"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41" w:type="dxa"/>
            <w:tcBorders>
              <w:top w:val="nil"/>
              <w:left w:val="nil"/>
              <w:bottom w:val="single" w:sz="4" w:space="0" w:color="auto"/>
              <w:right w:val="single" w:sz="4" w:space="0" w:color="BFBFBF"/>
            </w:tcBorders>
            <w:shd w:val="clear" w:color="000000" w:fill="F2F2F2"/>
            <w:noWrap/>
            <w:vAlign w:val="center"/>
            <w:hideMark/>
          </w:tcPr>
          <w:p w14:paraId="4F56B156"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241" w:type="dxa"/>
            <w:tcBorders>
              <w:top w:val="nil"/>
              <w:left w:val="nil"/>
              <w:bottom w:val="single" w:sz="4" w:space="0" w:color="auto"/>
              <w:right w:val="single" w:sz="4" w:space="0" w:color="BFBFBF"/>
            </w:tcBorders>
            <w:shd w:val="clear" w:color="000000" w:fill="F2F2F2"/>
            <w:noWrap/>
            <w:vAlign w:val="center"/>
            <w:hideMark/>
          </w:tcPr>
          <w:p w14:paraId="4BDE20DC"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40" w:type="dxa"/>
            <w:tcBorders>
              <w:top w:val="nil"/>
              <w:left w:val="nil"/>
              <w:bottom w:val="single" w:sz="4" w:space="0" w:color="auto"/>
              <w:right w:val="single" w:sz="4" w:space="0" w:color="BFBFBF"/>
            </w:tcBorders>
            <w:shd w:val="clear" w:color="000000" w:fill="F2F2F2"/>
            <w:noWrap/>
            <w:vAlign w:val="center"/>
            <w:hideMark/>
          </w:tcPr>
          <w:p w14:paraId="239F71FD"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158" w:type="dxa"/>
            <w:tcBorders>
              <w:top w:val="nil"/>
              <w:left w:val="nil"/>
              <w:bottom w:val="single" w:sz="4" w:space="0" w:color="auto"/>
              <w:right w:val="single" w:sz="4" w:space="0" w:color="auto"/>
            </w:tcBorders>
            <w:shd w:val="clear" w:color="000000" w:fill="F2F2F2"/>
            <w:noWrap/>
            <w:vAlign w:val="center"/>
            <w:hideMark/>
          </w:tcPr>
          <w:p w14:paraId="36E4B720"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r>
      <w:tr w:rsidR="00F31325" w:rsidRPr="00887119" w14:paraId="1F60584D" w14:textId="77777777" w:rsidTr="00D14AC7">
        <w:trPr>
          <w:trHeight w:val="402"/>
        </w:trPr>
        <w:tc>
          <w:tcPr>
            <w:tcW w:w="9355" w:type="dxa"/>
            <w:gridSpan w:val="6"/>
            <w:tcBorders>
              <w:top w:val="single" w:sz="4" w:space="0" w:color="auto"/>
              <w:left w:val="single" w:sz="4" w:space="0" w:color="auto"/>
              <w:bottom w:val="single" w:sz="4" w:space="0" w:color="auto"/>
              <w:right w:val="single" w:sz="4" w:space="0" w:color="auto"/>
            </w:tcBorders>
            <w:shd w:val="clear" w:color="auto" w:fill="CFD9E3" w:themeFill="accent1"/>
            <w:noWrap/>
            <w:vAlign w:val="center"/>
            <w:hideMark/>
          </w:tcPr>
          <w:p w14:paraId="131F514D" w14:textId="45DDB273"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By economic family type</w:t>
            </w:r>
          </w:p>
        </w:tc>
      </w:tr>
      <w:tr w:rsidR="00F31325" w:rsidRPr="00887119" w14:paraId="1A5E1EFF" w14:textId="77777777" w:rsidTr="00F31325">
        <w:trPr>
          <w:trHeight w:val="402"/>
        </w:trPr>
        <w:tc>
          <w:tcPr>
            <w:tcW w:w="3235" w:type="dxa"/>
            <w:tcBorders>
              <w:top w:val="nil"/>
              <w:left w:val="single" w:sz="4" w:space="0" w:color="auto"/>
              <w:bottom w:val="single" w:sz="4" w:space="0" w:color="BFBFBF"/>
              <w:right w:val="nil"/>
            </w:tcBorders>
            <w:shd w:val="clear" w:color="000000" w:fill="F2F2F2"/>
            <w:noWrap/>
            <w:vAlign w:val="center"/>
            <w:hideMark/>
          </w:tcPr>
          <w:p w14:paraId="4E285298"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Persons in couples without children</w:t>
            </w:r>
          </w:p>
        </w:tc>
        <w:tc>
          <w:tcPr>
            <w:tcW w:w="1240" w:type="dxa"/>
            <w:tcBorders>
              <w:top w:val="nil"/>
              <w:left w:val="single" w:sz="4" w:space="0" w:color="auto"/>
              <w:bottom w:val="single" w:sz="4" w:space="0" w:color="BFBFBF"/>
              <w:right w:val="single" w:sz="4" w:space="0" w:color="auto"/>
            </w:tcBorders>
            <w:shd w:val="clear" w:color="000000" w:fill="F2F2F2"/>
            <w:noWrap/>
            <w:vAlign w:val="center"/>
            <w:hideMark/>
          </w:tcPr>
          <w:p w14:paraId="7BF57C2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241" w:type="dxa"/>
            <w:tcBorders>
              <w:top w:val="nil"/>
              <w:left w:val="nil"/>
              <w:bottom w:val="single" w:sz="4" w:space="0" w:color="BFBFBF"/>
              <w:right w:val="single" w:sz="4" w:space="0" w:color="BFBFBF"/>
            </w:tcBorders>
            <w:shd w:val="clear" w:color="000000" w:fill="F2F2F2"/>
            <w:noWrap/>
            <w:vAlign w:val="center"/>
            <w:hideMark/>
          </w:tcPr>
          <w:p w14:paraId="3B76FDDF"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241" w:type="dxa"/>
            <w:tcBorders>
              <w:top w:val="nil"/>
              <w:left w:val="nil"/>
              <w:bottom w:val="single" w:sz="4" w:space="0" w:color="BFBFBF"/>
              <w:right w:val="single" w:sz="4" w:space="0" w:color="BFBFBF"/>
            </w:tcBorders>
            <w:shd w:val="clear" w:color="000000" w:fill="F2F2F2"/>
            <w:noWrap/>
            <w:vAlign w:val="center"/>
            <w:hideMark/>
          </w:tcPr>
          <w:p w14:paraId="5EF638DD"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40" w:type="dxa"/>
            <w:tcBorders>
              <w:top w:val="nil"/>
              <w:left w:val="nil"/>
              <w:bottom w:val="single" w:sz="4" w:space="0" w:color="BFBFBF"/>
              <w:right w:val="single" w:sz="4" w:space="0" w:color="BFBFBF"/>
            </w:tcBorders>
            <w:shd w:val="clear" w:color="000000" w:fill="F2F2F2"/>
            <w:noWrap/>
            <w:vAlign w:val="center"/>
            <w:hideMark/>
          </w:tcPr>
          <w:p w14:paraId="26F062DC"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58" w:type="dxa"/>
            <w:tcBorders>
              <w:top w:val="nil"/>
              <w:left w:val="nil"/>
              <w:bottom w:val="single" w:sz="4" w:space="0" w:color="BFBFBF"/>
              <w:right w:val="single" w:sz="4" w:space="0" w:color="auto"/>
            </w:tcBorders>
            <w:shd w:val="clear" w:color="000000" w:fill="F2F2F2"/>
            <w:noWrap/>
            <w:vAlign w:val="center"/>
            <w:hideMark/>
          </w:tcPr>
          <w:p w14:paraId="6F0D4CF6"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r>
      <w:tr w:rsidR="00F31325" w:rsidRPr="00887119" w14:paraId="78C51468" w14:textId="77777777" w:rsidTr="00F31325">
        <w:trPr>
          <w:trHeight w:val="402"/>
        </w:trPr>
        <w:tc>
          <w:tcPr>
            <w:tcW w:w="3235" w:type="dxa"/>
            <w:tcBorders>
              <w:top w:val="nil"/>
              <w:left w:val="single" w:sz="4" w:space="0" w:color="auto"/>
              <w:bottom w:val="single" w:sz="4" w:space="0" w:color="BFBFBF"/>
              <w:right w:val="nil"/>
            </w:tcBorders>
            <w:shd w:val="clear" w:color="000000" w:fill="FFFFFF"/>
            <w:noWrap/>
            <w:vAlign w:val="center"/>
            <w:hideMark/>
          </w:tcPr>
          <w:p w14:paraId="27D7CB05"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Persons in couples with child(ren)</w:t>
            </w:r>
          </w:p>
        </w:tc>
        <w:tc>
          <w:tcPr>
            <w:tcW w:w="1240" w:type="dxa"/>
            <w:tcBorders>
              <w:top w:val="nil"/>
              <w:left w:val="single" w:sz="4" w:space="0" w:color="auto"/>
              <w:bottom w:val="single" w:sz="4" w:space="0" w:color="BFBFBF"/>
              <w:right w:val="single" w:sz="4" w:space="0" w:color="auto"/>
            </w:tcBorders>
            <w:shd w:val="clear" w:color="000000" w:fill="FFFFFF"/>
            <w:noWrap/>
            <w:vAlign w:val="center"/>
            <w:hideMark/>
          </w:tcPr>
          <w:p w14:paraId="1C944301"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241" w:type="dxa"/>
            <w:tcBorders>
              <w:top w:val="nil"/>
              <w:left w:val="nil"/>
              <w:bottom w:val="single" w:sz="4" w:space="0" w:color="BFBFBF"/>
              <w:right w:val="single" w:sz="4" w:space="0" w:color="BFBFBF"/>
            </w:tcBorders>
            <w:shd w:val="clear" w:color="000000" w:fill="FFFFFF"/>
            <w:noWrap/>
            <w:vAlign w:val="center"/>
            <w:hideMark/>
          </w:tcPr>
          <w:p w14:paraId="3B9CA661"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1241" w:type="dxa"/>
            <w:tcBorders>
              <w:top w:val="nil"/>
              <w:left w:val="nil"/>
              <w:bottom w:val="single" w:sz="4" w:space="0" w:color="BFBFBF"/>
              <w:right w:val="single" w:sz="4" w:space="0" w:color="BFBFBF"/>
            </w:tcBorders>
            <w:shd w:val="clear" w:color="000000" w:fill="FFFFFF"/>
            <w:noWrap/>
            <w:vAlign w:val="center"/>
            <w:hideMark/>
          </w:tcPr>
          <w:p w14:paraId="03A7AC49"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240" w:type="dxa"/>
            <w:tcBorders>
              <w:top w:val="nil"/>
              <w:left w:val="nil"/>
              <w:bottom w:val="single" w:sz="4" w:space="0" w:color="BFBFBF"/>
              <w:right w:val="single" w:sz="4" w:space="0" w:color="BFBFBF"/>
            </w:tcBorders>
            <w:shd w:val="clear" w:color="000000" w:fill="FFFFFF"/>
            <w:noWrap/>
            <w:vAlign w:val="center"/>
            <w:hideMark/>
          </w:tcPr>
          <w:p w14:paraId="52892637"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58" w:type="dxa"/>
            <w:tcBorders>
              <w:top w:val="nil"/>
              <w:left w:val="nil"/>
              <w:bottom w:val="single" w:sz="4" w:space="0" w:color="BFBFBF"/>
              <w:right w:val="single" w:sz="4" w:space="0" w:color="auto"/>
            </w:tcBorders>
            <w:shd w:val="clear" w:color="000000" w:fill="FFFFFF"/>
            <w:noWrap/>
            <w:vAlign w:val="center"/>
            <w:hideMark/>
          </w:tcPr>
          <w:p w14:paraId="728BE092"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F31325" w:rsidRPr="00887119" w14:paraId="275246EB" w14:textId="77777777" w:rsidTr="00F31325">
        <w:trPr>
          <w:trHeight w:val="402"/>
        </w:trPr>
        <w:tc>
          <w:tcPr>
            <w:tcW w:w="3235" w:type="dxa"/>
            <w:tcBorders>
              <w:top w:val="nil"/>
              <w:left w:val="single" w:sz="4" w:space="0" w:color="auto"/>
              <w:bottom w:val="single" w:sz="4" w:space="0" w:color="BFBFBF"/>
              <w:right w:val="nil"/>
            </w:tcBorders>
            <w:shd w:val="clear" w:color="000000" w:fill="F2F2F2"/>
            <w:noWrap/>
            <w:vAlign w:val="center"/>
            <w:hideMark/>
          </w:tcPr>
          <w:p w14:paraId="3BACDA95"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Man+ lone parent</w:t>
            </w:r>
          </w:p>
        </w:tc>
        <w:tc>
          <w:tcPr>
            <w:tcW w:w="1240" w:type="dxa"/>
            <w:tcBorders>
              <w:top w:val="nil"/>
              <w:left w:val="single" w:sz="4" w:space="0" w:color="auto"/>
              <w:bottom w:val="single" w:sz="4" w:space="0" w:color="BFBFBF"/>
              <w:right w:val="single" w:sz="4" w:space="0" w:color="auto"/>
            </w:tcBorders>
            <w:shd w:val="clear" w:color="000000" w:fill="F2F2F2"/>
            <w:noWrap/>
            <w:vAlign w:val="center"/>
            <w:hideMark/>
          </w:tcPr>
          <w:p w14:paraId="714A6942"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c>
          <w:tcPr>
            <w:tcW w:w="1241" w:type="dxa"/>
            <w:tcBorders>
              <w:top w:val="nil"/>
              <w:left w:val="nil"/>
              <w:bottom w:val="single" w:sz="4" w:space="0" w:color="BFBFBF"/>
              <w:right w:val="single" w:sz="4" w:space="0" w:color="BFBFBF"/>
            </w:tcBorders>
            <w:shd w:val="clear" w:color="000000" w:fill="F2F2F2"/>
            <w:noWrap/>
            <w:vAlign w:val="center"/>
            <w:hideMark/>
          </w:tcPr>
          <w:p w14:paraId="0E374930"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241" w:type="dxa"/>
            <w:tcBorders>
              <w:top w:val="nil"/>
              <w:left w:val="nil"/>
              <w:bottom w:val="single" w:sz="4" w:space="0" w:color="BFBFBF"/>
              <w:right w:val="single" w:sz="4" w:space="0" w:color="BFBFBF"/>
            </w:tcBorders>
            <w:shd w:val="clear" w:color="000000" w:fill="F2F2F2"/>
            <w:noWrap/>
            <w:vAlign w:val="center"/>
            <w:hideMark/>
          </w:tcPr>
          <w:p w14:paraId="79FF745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c>
          <w:tcPr>
            <w:tcW w:w="1240" w:type="dxa"/>
            <w:tcBorders>
              <w:top w:val="nil"/>
              <w:left w:val="nil"/>
              <w:bottom w:val="single" w:sz="4" w:space="0" w:color="BFBFBF"/>
              <w:right w:val="single" w:sz="4" w:space="0" w:color="BFBFBF"/>
            </w:tcBorders>
            <w:shd w:val="clear" w:color="000000" w:fill="F2F2F2"/>
            <w:noWrap/>
            <w:vAlign w:val="center"/>
            <w:hideMark/>
          </w:tcPr>
          <w:p w14:paraId="581E95B4"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c>
          <w:tcPr>
            <w:tcW w:w="1158" w:type="dxa"/>
            <w:tcBorders>
              <w:top w:val="nil"/>
              <w:left w:val="nil"/>
              <w:bottom w:val="single" w:sz="4" w:space="0" w:color="BFBFBF"/>
              <w:right w:val="single" w:sz="4" w:space="0" w:color="auto"/>
            </w:tcBorders>
            <w:shd w:val="clear" w:color="000000" w:fill="F2F2F2"/>
            <w:noWrap/>
            <w:vAlign w:val="center"/>
            <w:hideMark/>
          </w:tcPr>
          <w:p w14:paraId="2861F67B"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F31325" w:rsidRPr="00887119" w14:paraId="307CD866" w14:textId="77777777" w:rsidTr="00F31325">
        <w:trPr>
          <w:trHeight w:val="402"/>
        </w:trPr>
        <w:tc>
          <w:tcPr>
            <w:tcW w:w="3235" w:type="dxa"/>
            <w:tcBorders>
              <w:top w:val="nil"/>
              <w:left w:val="single" w:sz="4" w:space="0" w:color="auto"/>
              <w:bottom w:val="single" w:sz="4" w:space="0" w:color="BFBFBF"/>
              <w:right w:val="nil"/>
            </w:tcBorders>
            <w:shd w:val="clear" w:color="000000" w:fill="FFFFFF"/>
            <w:noWrap/>
            <w:vAlign w:val="center"/>
            <w:hideMark/>
          </w:tcPr>
          <w:p w14:paraId="1A777ED7"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Woman+ lone parent</w:t>
            </w:r>
          </w:p>
        </w:tc>
        <w:tc>
          <w:tcPr>
            <w:tcW w:w="1240" w:type="dxa"/>
            <w:tcBorders>
              <w:top w:val="nil"/>
              <w:left w:val="single" w:sz="4" w:space="0" w:color="auto"/>
              <w:bottom w:val="single" w:sz="4" w:space="0" w:color="BFBFBF"/>
              <w:right w:val="single" w:sz="4" w:space="0" w:color="auto"/>
            </w:tcBorders>
            <w:shd w:val="clear" w:color="000000" w:fill="FFFFFF"/>
            <w:noWrap/>
            <w:vAlign w:val="center"/>
            <w:hideMark/>
          </w:tcPr>
          <w:p w14:paraId="7549ACEF"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241" w:type="dxa"/>
            <w:tcBorders>
              <w:top w:val="nil"/>
              <w:left w:val="nil"/>
              <w:bottom w:val="single" w:sz="4" w:space="0" w:color="BFBFBF"/>
              <w:right w:val="single" w:sz="4" w:space="0" w:color="BFBFBF"/>
            </w:tcBorders>
            <w:shd w:val="clear" w:color="000000" w:fill="FFFFFF"/>
            <w:noWrap/>
            <w:vAlign w:val="center"/>
            <w:hideMark/>
          </w:tcPr>
          <w:p w14:paraId="06E956A5"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241" w:type="dxa"/>
            <w:tcBorders>
              <w:top w:val="nil"/>
              <w:left w:val="nil"/>
              <w:bottom w:val="single" w:sz="4" w:space="0" w:color="BFBFBF"/>
              <w:right w:val="single" w:sz="4" w:space="0" w:color="BFBFBF"/>
            </w:tcBorders>
            <w:shd w:val="clear" w:color="000000" w:fill="FFFFFF"/>
            <w:noWrap/>
            <w:vAlign w:val="center"/>
            <w:hideMark/>
          </w:tcPr>
          <w:p w14:paraId="40ADAEF0"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240" w:type="dxa"/>
            <w:tcBorders>
              <w:top w:val="nil"/>
              <w:left w:val="nil"/>
              <w:bottom w:val="single" w:sz="4" w:space="0" w:color="BFBFBF"/>
              <w:right w:val="single" w:sz="4" w:space="0" w:color="BFBFBF"/>
            </w:tcBorders>
            <w:shd w:val="clear" w:color="000000" w:fill="FFFFFF"/>
            <w:noWrap/>
            <w:vAlign w:val="center"/>
            <w:hideMark/>
          </w:tcPr>
          <w:p w14:paraId="621D1376"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c>
          <w:tcPr>
            <w:tcW w:w="1158" w:type="dxa"/>
            <w:tcBorders>
              <w:top w:val="nil"/>
              <w:left w:val="nil"/>
              <w:bottom w:val="single" w:sz="4" w:space="0" w:color="BFBFBF"/>
              <w:right w:val="single" w:sz="4" w:space="0" w:color="auto"/>
            </w:tcBorders>
            <w:shd w:val="clear" w:color="000000" w:fill="FFFFFF"/>
            <w:noWrap/>
            <w:vAlign w:val="center"/>
            <w:hideMark/>
          </w:tcPr>
          <w:p w14:paraId="108093C0"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r>
      <w:tr w:rsidR="00F31325" w:rsidRPr="00887119" w14:paraId="2982211E" w14:textId="77777777" w:rsidTr="00F31325">
        <w:trPr>
          <w:trHeight w:val="402"/>
        </w:trPr>
        <w:tc>
          <w:tcPr>
            <w:tcW w:w="3235" w:type="dxa"/>
            <w:tcBorders>
              <w:top w:val="nil"/>
              <w:left w:val="single" w:sz="4" w:space="0" w:color="auto"/>
              <w:bottom w:val="single" w:sz="4" w:space="0" w:color="BFBFBF"/>
              <w:right w:val="nil"/>
            </w:tcBorders>
            <w:shd w:val="clear" w:color="000000" w:fill="F2F2F2"/>
            <w:noWrap/>
            <w:vAlign w:val="center"/>
            <w:hideMark/>
          </w:tcPr>
          <w:p w14:paraId="408683AB"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Single persons</w:t>
            </w:r>
          </w:p>
        </w:tc>
        <w:tc>
          <w:tcPr>
            <w:tcW w:w="1240" w:type="dxa"/>
            <w:tcBorders>
              <w:top w:val="nil"/>
              <w:left w:val="single" w:sz="4" w:space="0" w:color="auto"/>
              <w:bottom w:val="single" w:sz="4" w:space="0" w:color="BFBFBF"/>
              <w:right w:val="single" w:sz="4" w:space="0" w:color="auto"/>
            </w:tcBorders>
            <w:shd w:val="clear" w:color="000000" w:fill="F2F2F2"/>
            <w:noWrap/>
            <w:vAlign w:val="center"/>
            <w:hideMark/>
          </w:tcPr>
          <w:p w14:paraId="0375FCF5"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241" w:type="dxa"/>
            <w:tcBorders>
              <w:top w:val="nil"/>
              <w:left w:val="nil"/>
              <w:bottom w:val="single" w:sz="4" w:space="0" w:color="BFBFBF"/>
              <w:right w:val="single" w:sz="4" w:space="0" w:color="BFBFBF"/>
            </w:tcBorders>
            <w:shd w:val="clear" w:color="000000" w:fill="F2F2F2"/>
            <w:noWrap/>
            <w:vAlign w:val="center"/>
            <w:hideMark/>
          </w:tcPr>
          <w:p w14:paraId="2A270B38"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c>
          <w:tcPr>
            <w:tcW w:w="1241" w:type="dxa"/>
            <w:tcBorders>
              <w:top w:val="nil"/>
              <w:left w:val="nil"/>
              <w:bottom w:val="single" w:sz="4" w:space="0" w:color="BFBFBF"/>
              <w:right w:val="single" w:sz="4" w:space="0" w:color="BFBFBF"/>
            </w:tcBorders>
            <w:shd w:val="clear" w:color="000000" w:fill="F2F2F2"/>
            <w:noWrap/>
            <w:vAlign w:val="center"/>
            <w:hideMark/>
          </w:tcPr>
          <w:p w14:paraId="36E61A44"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240" w:type="dxa"/>
            <w:tcBorders>
              <w:top w:val="nil"/>
              <w:left w:val="nil"/>
              <w:bottom w:val="single" w:sz="4" w:space="0" w:color="BFBFBF"/>
              <w:right w:val="single" w:sz="4" w:space="0" w:color="BFBFBF"/>
            </w:tcBorders>
            <w:shd w:val="clear" w:color="000000" w:fill="F2F2F2"/>
            <w:noWrap/>
            <w:vAlign w:val="center"/>
            <w:hideMark/>
          </w:tcPr>
          <w:p w14:paraId="348A820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158" w:type="dxa"/>
            <w:tcBorders>
              <w:top w:val="nil"/>
              <w:left w:val="nil"/>
              <w:bottom w:val="single" w:sz="4" w:space="0" w:color="BFBFBF"/>
              <w:right w:val="single" w:sz="4" w:space="0" w:color="auto"/>
            </w:tcBorders>
            <w:shd w:val="clear" w:color="000000" w:fill="F2F2F2"/>
            <w:noWrap/>
            <w:vAlign w:val="center"/>
            <w:hideMark/>
          </w:tcPr>
          <w:p w14:paraId="40AA88BA"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r>
      <w:tr w:rsidR="00F31325" w:rsidRPr="00887119" w14:paraId="7EA8EB66" w14:textId="77777777" w:rsidTr="00F31325">
        <w:trPr>
          <w:trHeight w:val="402"/>
        </w:trPr>
        <w:tc>
          <w:tcPr>
            <w:tcW w:w="3235" w:type="dxa"/>
            <w:tcBorders>
              <w:top w:val="nil"/>
              <w:left w:val="single" w:sz="4" w:space="0" w:color="auto"/>
              <w:bottom w:val="nil"/>
              <w:right w:val="nil"/>
            </w:tcBorders>
            <w:shd w:val="clear" w:color="000000" w:fill="FFFFFF"/>
            <w:noWrap/>
            <w:vAlign w:val="center"/>
            <w:hideMark/>
          </w:tcPr>
          <w:p w14:paraId="003D531F"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Persons living with non-relatives only</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4BAA69DC"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30%</w:t>
            </w:r>
          </w:p>
        </w:tc>
        <w:tc>
          <w:tcPr>
            <w:tcW w:w="1241" w:type="dxa"/>
            <w:tcBorders>
              <w:top w:val="nil"/>
              <w:left w:val="nil"/>
              <w:bottom w:val="single" w:sz="4" w:space="0" w:color="auto"/>
              <w:right w:val="single" w:sz="4" w:space="0" w:color="BFBFBF"/>
            </w:tcBorders>
            <w:shd w:val="clear" w:color="000000" w:fill="FFFFFF"/>
            <w:noWrap/>
            <w:vAlign w:val="center"/>
            <w:hideMark/>
          </w:tcPr>
          <w:p w14:paraId="55B3A794"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34%</w:t>
            </w:r>
          </w:p>
        </w:tc>
        <w:tc>
          <w:tcPr>
            <w:tcW w:w="1241" w:type="dxa"/>
            <w:tcBorders>
              <w:top w:val="nil"/>
              <w:left w:val="nil"/>
              <w:bottom w:val="single" w:sz="4" w:space="0" w:color="auto"/>
              <w:right w:val="single" w:sz="4" w:space="0" w:color="BFBFBF"/>
            </w:tcBorders>
            <w:shd w:val="clear" w:color="000000" w:fill="FFFFFF"/>
            <w:noWrap/>
            <w:vAlign w:val="center"/>
            <w:hideMark/>
          </w:tcPr>
          <w:p w14:paraId="6830CE40"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1240" w:type="dxa"/>
            <w:tcBorders>
              <w:top w:val="nil"/>
              <w:left w:val="nil"/>
              <w:bottom w:val="single" w:sz="4" w:space="0" w:color="auto"/>
              <w:right w:val="single" w:sz="4" w:space="0" w:color="BFBFBF"/>
            </w:tcBorders>
            <w:shd w:val="clear" w:color="000000" w:fill="FFFFFF"/>
            <w:noWrap/>
            <w:vAlign w:val="center"/>
            <w:hideMark/>
          </w:tcPr>
          <w:p w14:paraId="3365664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1158" w:type="dxa"/>
            <w:tcBorders>
              <w:top w:val="nil"/>
              <w:left w:val="nil"/>
              <w:bottom w:val="single" w:sz="4" w:space="0" w:color="auto"/>
              <w:right w:val="single" w:sz="4" w:space="0" w:color="auto"/>
            </w:tcBorders>
            <w:shd w:val="clear" w:color="000000" w:fill="FFFFFF"/>
            <w:noWrap/>
            <w:vAlign w:val="center"/>
            <w:hideMark/>
          </w:tcPr>
          <w:p w14:paraId="5410D93A"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F31325" w:rsidRPr="00887119" w14:paraId="0F9A0446" w14:textId="77777777" w:rsidTr="00D14AC7">
        <w:trPr>
          <w:trHeight w:val="402"/>
        </w:trPr>
        <w:tc>
          <w:tcPr>
            <w:tcW w:w="3235" w:type="dxa"/>
            <w:tcBorders>
              <w:top w:val="single" w:sz="4" w:space="0" w:color="auto"/>
              <w:left w:val="single" w:sz="4" w:space="0" w:color="auto"/>
              <w:bottom w:val="single" w:sz="4" w:space="0" w:color="auto"/>
              <w:right w:val="nil"/>
            </w:tcBorders>
            <w:shd w:val="clear" w:color="auto" w:fill="CFD9E3" w:themeFill="accent1"/>
            <w:noWrap/>
            <w:vAlign w:val="center"/>
            <w:hideMark/>
          </w:tcPr>
          <w:p w14:paraId="315B92FB"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By age group</w:t>
            </w:r>
          </w:p>
        </w:tc>
        <w:tc>
          <w:tcPr>
            <w:tcW w:w="1240" w:type="dxa"/>
            <w:tcBorders>
              <w:top w:val="nil"/>
              <w:left w:val="nil"/>
              <w:bottom w:val="single" w:sz="4" w:space="0" w:color="auto"/>
              <w:right w:val="nil"/>
            </w:tcBorders>
            <w:shd w:val="clear" w:color="auto" w:fill="CFD9E3" w:themeFill="accent1"/>
            <w:noWrap/>
            <w:vAlign w:val="center"/>
            <w:hideMark/>
          </w:tcPr>
          <w:p w14:paraId="21226274"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 </w:t>
            </w:r>
          </w:p>
        </w:tc>
        <w:tc>
          <w:tcPr>
            <w:tcW w:w="1241" w:type="dxa"/>
            <w:tcBorders>
              <w:top w:val="nil"/>
              <w:left w:val="nil"/>
              <w:bottom w:val="single" w:sz="4" w:space="0" w:color="auto"/>
              <w:right w:val="nil"/>
            </w:tcBorders>
            <w:shd w:val="clear" w:color="auto" w:fill="CFD9E3" w:themeFill="accent1"/>
            <w:noWrap/>
            <w:vAlign w:val="center"/>
            <w:hideMark/>
          </w:tcPr>
          <w:p w14:paraId="746E8531"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 </w:t>
            </w:r>
          </w:p>
        </w:tc>
        <w:tc>
          <w:tcPr>
            <w:tcW w:w="1241" w:type="dxa"/>
            <w:tcBorders>
              <w:top w:val="nil"/>
              <w:left w:val="nil"/>
              <w:bottom w:val="single" w:sz="4" w:space="0" w:color="auto"/>
              <w:right w:val="nil"/>
            </w:tcBorders>
            <w:shd w:val="clear" w:color="auto" w:fill="CFD9E3" w:themeFill="accent1"/>
            <w:noWrap/>
            <w:vAlign w:val="center"/>
            <w:hideMark/>
          </w:tcPr>
          <w:p w14:paraId="4EF89DFD"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 </w:t>
            </w:r>
          </w:p>
        </w:tc>
        <w:tc>
          <w:tcPr>
            <w:tcW w:w="1240" w:type="dxa"/>
            <w:tcBorders>
              <w:top w:val="nil"/>
              <w:left w:val="nil"/>
              <w:bottom w:val="single" w:sz="4" w:space="0" w:color="auto"/>
              <w:right w:val="nil"/>
            </w:tcBorders>
            <w:shd w:val="clear" w:color="auto" w:fill="CFD9E3" w:themeFill="accent1"/>
            <w:noWrap/>
            <w:vAlign w:val="center"/>
            <w:hideMark/>
          </w:tcPr>
          <w:p w14:paraId="32D1D00C"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 </w:t>
            </w:r>
          </w:p>
        </w:tc>
        <w:tc>
          <w:tcPr>
            <w:tcW w:w="1158" w:type="dxa"/>
            <w:tcBorders>
              <w:top w:val="nil"/>
              <w:left w:val="nil"/>
              <w:bottom w:val="single" w:sz="4" w:space="0" w:color="auto"/>
              <w:right w:val="single" w:sz="4" w:space="0" w:color="auto"/>
            </w:tcBorders>
            <w:shd w:val="clear" w:color="auto" w:fill="CFD9E3" w:themeFill="accent1"/>
            <w:noWrap/>
            <w:vAlign w:val="center"/>
            <w:hideMark/>
          </w:tcPr>
          <w:p w14:paraId="36272DBC"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 </w:t>
            </w:r>
          </w:p>
        </w:tc>
      </w:tr>
      <w:tr w:rsidR="00F31325" w:rsidRPr="00887119" w14:paraId="4C711CDF" w14:textId="77777777" w:rsidTr="00F31325">
        <w:trPr>
          <w:trHeight w:val="402"/>
        </w:trPr>
        <w:tc>
          <w:tcPr>
            <w:tcW w:w="3235" w:type="dxa"/>
            <w:tcBorders>
              <w:top w:val="nil"/>
              <w:left w:val="single" w:sz="4" w:space="0" w:color="auto"/>
              <w:bottom w:val="single" w:sz="4" w:space="0" w:color="BFBFBF"/>
              <w:right w:val="nil"/>
            </w:tcBorders>
            <w:shd w:val="clear" w:color="000000" w:fill="F2F2F2"/>
            <w:noWrap/>
            <w:vAlign w:val="center"/>
            <w:hideMark/>
          </w:tcPr>
          <w:p w14:paraId="22A2BBB0"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0- to 5-year-olds</w:t>
            </w:r>
          </w:p>
        </w:tc>
        <w:tc>
          <w:tcPr>
            <w:tcW w:w="1240" w:type="dxa"/>
            <w:tcBorders>
              <w:top w:val="nil"/>
              <w:left w:val="single" w:sz="4" w:space="0" w:color="auto"/>
              <w:bottom w:val="single" w:sz="4" w:space="0" w:color="BFBFBF"/>
              <w:right w:val="single" w:sz="4" w:space="0" w:color="auto"/>
            </w:tcBorders>
            <w:shd w:val="clear" w:color="000000" w:fill="F2F2F2"/>
            <w:noWrap/>
            <w:vAlign w:val="center"/>
            <w:hideMark/>
          </w:tcPr>
          <w:p w14:paraId="580702A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241" w:type="dxa"/>
            <w:tcBorders>
              <w:top w:val="nil"/>
              <w:left w:val="nil"/>
              <w:bottom w:val="single" w:sz="4" w:space="0" w:color="BFBFBF"/>
              <w:right w:val="single" w:sz="4" w:space="0" w:color="BFBFBF"/>
            </w:tcBorders>
            <w:shd w:val="clear" w:color="000000" w:fill="F2F2F2"/>
            <w:noWrap/>
            <w:vAlign w:val="center"/>
            <w:hideMark/>
          </w:tcPr>
          <w:p w14:paraId="4A06F1C6"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241" w:type="dxa"/>
            <w:tcBorders>
              <w:top w:val="nil"/>
              <w:left w:val="nil"/>
              <w:bottom w:val="single" w:sz="4" w:space="0" w:color="BFBFBF"/>
              <w:right w:val="single" w:sz="4" w:space="0" w:color="BFBFBF"/>
            </w:tcBorders>
            <w:shd w:val="clear" w:color="000000" w:fill="F2F2F2"/>
            <w:noWrap/>
            <w:vAlign w:val="center"/>
            <w:hideMark/>
          </w:tcPr>
          <w:p w14:paraId="07760848"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1240" w:type="dxa"/>
            <w:tcBorders>
              <w:top w:val="nil"/>
              <w:left w:val="nil"/>
              <w:bottom w:val="single" w:sz="4" w:space="0" w:color="BFBFBF"/>
              <w:right w:val="single" w:sz="4" w:space="0" w:color="BFBFBF"/>
            </w:tcBorders>
            <w:shd w:val="clear" w:color="000000" w:fill="F2F2F2"/>
            <w:noWrap/>
            <w:vAlign w:val="center"/>
            <w:hideMark/>
          </w:tcPr>
          <w:p w14:paraId="56287358"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158" w:type="dxa"/>
            <w:tcBorders>
              <w:top w:val="nil"/>
              <w:left w:val="nil"/>
              <w:bottom w:val="single" w:sz="4" w:space="0" w:color="BFBFBF"/>
              <w:right w:val="single" w:sz="4" w:space="0" w:color="auto"/>
            </w:tcBorders>
            <w:shd w:val="clear" w:color="000000" w:fill="F2F2F2"/>
            <w:noWrap/>
            <w:vAlign w:val="center"/>
            <w:hideMark/>
          </w:tcPr>
          <w:p w14:paraId="68DDD1DB"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r>
      <w:tr w:rsidR="00F31325" w:rsidRPr="00887119" w14:paraId="7F0860B5" w14:textId="77777777" w:rsidTr="00F31325">
        <w:trPr>
          <w:trHeight w:val="402"/>
        </w:trPr>
        <w:tc>
          <w:tcPr>
            <w:tcW w:w="3235" w:type="dxa"/>
            <w:tcBorders>
              <w:top w:val="nil"/>
              <w:left w:val="single" w:sz="4" w:space="0" w:color="auto"/>
              <w:bottom w:val="single" w:sz="4" w:space="0" w:color="BFBFBF"/>
              <w:right w:val="nil"/>
            </w:tcBorders>
            <w:shd w:val="clear" w:color="000000" w:fill="FFFFFF"/>
            <w:noWrap/>
            <w:vAlign w:val="center"/>
            <w:hideMark/>
          </w:tcPr>
          <w:p w14:paraId="2A6D6A7C"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6- to 17-year-olds</w:t>
            </w:r>
          </w:p>
        </w:tc>
        <w:tc>
          <w:tcPr>
            <w:tcW w:w="1240" w:type="dxa"/>
            <w:tcBorders>
              <w:top w:val="nil"/>
              <w:left w:val="single" w:sz="4" w:space="0" w:color="auto"/>
              <w:bottom w:val="single" w:sz="4" w:space="0" w:color="BFBFBF"/>
              <w:right w:val="single" w:sz="4" w:space="0" w:color="auto"/>
            </w:tcBorders>
            <w:shd w:val="clear" w:color="000000" w:fill="FFFFFF"/>
            <w:noWrap/>
            <w:vAlign w:val="center"/>
            <w:hideMark/>
          </w:tcPr>
          <w:p w14:paraId="429AD7DC"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241" w:type="dxa"/>
            <w:tcBorders>
              <w:top w:val="nil"/>
              <w:left w:val="nil"/>
              <w:bottom w:val="single" w:sz="4" w:space="0" w:color="BFBFBF"/>
              <w:right w:val="single" w:sz="4" w:space="0" w:color="BFBFBF"/>
            </w:tcBorders>
            <w:shd w:val="clear" w:color="000000" w:fill="FFFFFF"/>
            <w:noWrap/>
            <w:vAlign w:val="center"/>
            <w:hideMark/>
          </w:tcPr>
          <w:p w14:paraId="4DD21E9F"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1241" w:type="dxa"/>
            <w:tcBorders>
              <w:top w:val="nil"/>
              <w:left w:val="nil"/>
              <w:bottom w:val="single" w:sz="4" w:space="0" w:color="BFBFBF"/>
              <w:right w:val="single" w:sz="4" w:space="0" w:color="BFBFBF"/>
            </w:tcBorders>
            <w:shd w:val="clear" w:color="000000" w:fill="FFFFFF"/>
            <w:noWrap/>
            <w:vAlign w:val="center"/>
            <w:hideMark/>
          </w:tcPr>
          <w:p w14:paraId="10EDA450"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40" w:type="dxa"/>
            <w:tcBorders>
              <w:top w:val="nil"/>
              <w:left w:val="nil"/>
              <w:bottom w:val="single" w:sz="4" w:space="0" w:color="BFBFBF"/>
              <w:right w:val="single" w:sz="4" w:space="0" w:color="BFBFBF"/>
            </w:tcBorders>
            <w:shd w:val="clear" w:color="000000" w:fill="FFFFFF"/>
            <w:noWrap/>
            <w:vAlign w:val="center"/>
            <w:hideMark/>
          </w:tcPr>
          <w:p w14:paraId="07C54FC8"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158" w:type="dxa"/>
            <w:tcBorders>
              <w:top w:val="nil"/>
              <w:left w:val="nil"/>
              <w:bottom w:val="single" w:sz="4" w:space="0" w:color="BFBFBF"/>
              <w:right w:val="single" w:sz="4" w:space="0" w:color="auto"/>
            </w:tcBorders>
            <w:shd w:val="clear" w:color="000000" w:fill="FFFFFF"/>
            <w:noWrap/>
            <w:vAlign w:val="center"/>
            <w:hideMark/>
          </w:tcPr>
          <w:p w14:paraId="37926068"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r>
      <w:tr w:rsidR="00F31325" w:rsidRPr="00887119" w14:paraId="29A54FB8" w14:textId="77777777" w:rsidTr="00F31325">
        <w:trPr>
          <w:trHeight w:val="402"/>
        </w:trPr>
        <w:tc>
          <w:tcPr>
            <w:tcW w:w="3235" w:type="dxa"/>
            <w:tcBorders>
              <w:top w:val="nil"/>
              <w:left w:val="single" w:sz="4" w:space="0" w:color="auto"/>
              <w:bottom w:val="single" w:sz="4" w:space="0" w:color="BFBFBF"/>
              <w:right w:val="nil"/>
            </w:tcBorders>
            <w:shd w:val="clear" w:color="000000" w:fill="F2F2F2"/>
            <w:noWrap/>
            <w:vAlign w:val="center"/>
            <w:hideMark/>
          </w:tcPr>
          <w:p w14:paraId="7F72FAB5"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18- to 24-year-olds</w:t>
            </w:r>
          </w:p>
        </w:tc>
        <w:tc>
          <w:tcPr>
            <w:tcW w:w="1240" w:type="dxa"/>
            <w:tcBorders>
              <w:top w:val="nil"/>
              <w:left w:val="single" w:sz="4" w:space="0" w:color="auto"/>
              <w:bottom w:val="single" w:sz="4" w:space="0" w:color="BFBFBF"/>
              <w:right w:val="single" w:sz="4" w:space="0" w:color="auto"/>
            </w:tcBorders>
            <w:shd w:val="clear" w:color="000000" w:fill="F2F2F2"/>
            <w:noWrap/>
            <w:vAlign w:val="center"/>
            <w:hideMark/>
          </w:tcPr>
          <w:p w14:paraId="7908F4CD"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241" w:type="dxa"/>
            <w:tcBorders>
              <w:top w:val="nil"/>
              <w:left w:val="nil"/>
              <w:bottom w:val="single" w:sz="4" w:space="0" w:color="BFBFBF"/>
              <w:right w:val="single" w:sz="4" w:space="0" w:color="BFBFBF"/>
            </w:tcBorders>
            <w:shd w:val="clear" w:color="000000" w:fill="F2F2F2"/>
            <w:noWrap/>
            <w:vAlign w:val="center"/>
            <w:hideMark/>
          </w:tcPr>
          <w:p w14:paraId="25BDFF08"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41" w:type="dxa"/>
            <w:tcBorders>
              <w:top w:val="nil"/>
              <w:left w:val="nil"/>
              <w:bottom w:val="single" w:sz="4" w:space="0" w:color="BFBFBF"/>
              <w:right w:val="single" w:sz="4" w:space="0" w:color="BFBFBF"/>
            </w:tcBorders>
            <w:shd w:val="clear" w:color="000000" w:fill="F2F2F2"/>
            <w:noWrap/>
            <w:vAlign w:val="center"/>
            <w:hideMark/>
          </w:tcPr>
          <w:p w14:paraId="04ED8EDB"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240" w:type="dxa"/>
            <w:tcBorders>
              <w:top w:val="nil"/>
              <w:left w:val="nil"/>
              <w:bottom w:val="single" w:sz="4" w:space="0" w:color="BFBFBF"/>
              <w:right w:val="single" w:sz="4" w:space="0" w:color="BFBFBF"/>
            </w:tcBorders>
            <w:shd w:val="clear" w:color="000000" w:fill="F2F2F2"/>
            <w:noWrap/>
            <w:vAlign w:val="center"/>
            <w:hideMark/>
          </w:tcPr>
          <w:p w14:paraId="288E1CD6"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c>
          <w:tcPr>
            <w:tcW w:w="1158" w:type="dxa"/>
            <w:tcBorders>
              <w:top w:val="nil"/>
              <w:left w:val="nil"/>
              <w:bottom w:val="single" w:sz="4" w:space="0" w:color="BFBFBF"/>
              <w:right w:val="single" w:sz="4" w:space="0" w:color="auto"/>
            </w:tcBorders>
            <w:shd w:val="clear" w:color="000000" w:fill="F2F2F2"/>
            <w:noWrap/>
            <w:vAlign w:val="center"/>
            <w:hideMark/>
          </w:tcPr>
          <w:p w14:paraId="6EF4F6D6"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F31325" w:rsidRPr="00887119" w14:paraId="496AB7B7" w14:textId="77777777" w:rsidTr="00F31325">
        <w:trPr>
          <w:trHeight w:val="402"/>
        </w:trPr>
        <w:tc>
          <w:tcPr>
            <w:tcW w:w="3235" w:type="dxa"/>
            <w:tcBorders>
              <w:top w:val="nil"/>
              <w:left w:val="single" w:sz="4" w:space="0" w:color="auto"/>
              <w:bottom w:val="single" w:sz="4" w:space="0" w:color="BFBFBF"/>
              <w:right w:val="nil"/>
            </w:tcBorders>
            <w:shd w:val="clear" w:color="000000" w:fill="FFFFFF"/>
            <w:noWrap/>
            <w:vAlign w:val="center"/>
            <w:hideMark/>
          </w:tcPr>
          <w:p w14:paraId="45F010C6"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25- to 54-year-olds</w:t>
            </w:r>
          </w:p>
        </w:tc>
        <w:tc>
          <w:tcPr>
            <w:tcW w:w="1240" w:type="dxa"/>
            <w:tcBorders>
              <w:top w:val="nil"/>
              <w:left w:val="single" w:sz="4" w:space="0" w:color="auto"/>
              <w:bottom w:val="single" w:sz="4" w:space="0" w:color="BFBFBF"/>
              <w:right w:val="single" w:sz="4" w:space="0" w:color="auto"/>
            </w:tcBorders>
            <w:shd w:val="clear" w:color="000000" w:fill="FFFFFF"/>
            <w:noWrap/>
            <w:vAlign w:val="center"/>
            <w:hideMark/>
          </w:tcPr>
          <w:p w14:paraId="25C047FC"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1241" w:type="dxa"/>
            <w:tcBorders>
              <w:top w:val="nil"/>
              <w:left w:val="nil"/>
              <w:bottom w:val="single" w:sz="4" w:space="0" w:color="BFBFBF"/>
              <w:right w:val="single" w:sz="4" w:space="0" w:color="BFBFBF"/>
            </w:tcBorders>
            <w:shd w:val="clear" w:color="000000" w:fill="FFFFFF"/>
            <w:noWrap/>
            <w:vAlign w:val="center"/>
            <w:hideMark/>
          </w:tcPr>
          <w:p w14:paraId="0D8939AC"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41" w:type="dxa"/>
            <w:tcBorders>
              <w:top w:val="nil"/>
              <w:left w:val="nil"/>
              <w:bottom w:val="single" w:sz="4" w:space="0" w:color="BFBFBF"/>
              <w:right w:val="single" w:sz="4" w:space="0" w:color="BFBFBF"/>
            </w:tcBorders>
            <w:shd w:val="clear" w:color="000000" w:fill="FFFFFF"/>
            <w:noWrap/>
            <w:vAlign w:val="center"/>
            <w:hideMark/>
          </w:tcPr>
          <w:p w14:paraId="64762B2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240" w:type="dxa"/>
            <w:tcBorders>
              <w:top w:val="nil"/>
              <w:left w:val="nil"/>
              <w:bottom w:val="single" w:sz="4" w:space="0" w:color="BFBFBF"/>
              <w:right w:val="single" w:sz="4" w:space="0" w:color="BFBFBF"/>
            </w:tcBorders>
            <w:shd w:val="clear" w:color="000000" w:fill="FFFFFF"/>
            <w:noWrap/>
            <w:vAlign w:val="center"/>
            <w:hideMark/>
          </w:tcPr>
          <w:p w14:paraId="2461CBA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158" w:type="dxa"/>
            <w:tcBorders>
              <w:top w:val="nil"/>
              <w:left w:val="nil"/>
              <w:bottom w:val="single" w:sz="4" w:space="0" w:color="BFBFBF"/>
              <w:right w:val="single" w:sz="4" w:space="0" w:color="auto"/>
            </w:tcBorders>
            <w:shd w:val="clear" w:color="000000" w:fill="FFFFFF"/>
            <w:noWrap/>
            <w:vAlign w:val="center"/>
            <w:hideMark/>
          </w:tcPr>
          <w:p w14:paraId="56CDF199"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r>
      <w:tr w:rsidR="00F31325" w:rsidRPr="00887119" w14:paraId="36C7E5C3" w14:textId="77777777" w:rsidTr="00F31325">
        <w:trPr>
          <w:trHeight w:val="402"/>
        </w:trPr>
        <w:tc>
          <w:tcPr>
            <w:tcW w:w="3235" w:type="dxa"/>
            <w:tcBorders>
              <w:top w:val="nil"/>
              <w:left w:val="single" w:sz="4" w:space="0" w:color="auto"/>
              <w:bottom w:val="single" w:sz="4" w:space="0" w:color="BFBFBF"/>
              <w:right w:val="nil"/>
            </w:tcBorders>
            <w:shd w:val="clear" w:color="000000" w:fill="F2F2F2"/>
            <w:noWrap/>
            <w:vAlign w:val="center"/>
            <w:hideMark/>
          </w:tcPr>
          <w:p w14:paraId="1E16C285"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55- to 64-year-olds</w:t>
            </w:r>
          </w:p>
        </w:tc>
        <w:tc>
          <w:tcPr>
            <w:tcW w:w="1240" w:type="dxa"/>
            <w:tcBorders>
              <w:top w:val="nil"/>
              <w:left w:val="single" w:sz="4" w:space="0" w:color="auto"/>
              <w:bottom w:val="single" w:sz="4" w:space="0" w:color="BFBFBF"/>
              <w:right w:val="single" w:sz="4" w:space="0" w:color="auto"/>
            </w:tcBorders>
            <w:shd w:val="clear" w:color="000000" w:fill="F2F2F2"/>
            <w:noWrap/>
            <w:vAlign w:val="center"/>
            <w:hideMark/>
          </w:tcPr>
          <w:p w14:paraId="6A313664"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241" w:type="dxa"/>
            <w:tcBorders>
              <w:top w:val="nil"/>
              <w:left w:val="nil"/>
              <w:bottom w:val="single" w:sz="4" w:space="0" w:color="BFBFBF"/>
              <w:right w:val="single" w:sz="4" w:space="0" w:color="BFBFBF"/>
            </w:tcBorders>
            <w:shd w:val="clear" w:color="000000" w:fill="F2F2F2"/>
            <w:noWrap/>
            <w:vAlign w:val="center"/>
            <w:hideMark/>
          </w:tcPr>
          <w:p w14:paraId="17021573"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241" w:type="dxa"/>
            <w:tcBorders>
              <w:top w:val="nil"/>
              <w:left w:val="nil"/>
              <w:bottom w:val="single" w:sz="4" w:space="0" w:color="BFBFBF"/>
              <w:right w:val="single" w:sz="4" w:space="0" w:color="BFBFBF"/>
            </w:tcBorders>
            <w:shd w:val="clear" w:color="000000" w:fill="F2F2F2"/>
            <w:noWrap/>
            <w:vAlign w:val="center"/>
            <w:hideMark/>
          </w:tcPr>
          <w:p w14:paraId="45FD968C"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40" w:type="dxa"/>
            <w:tcBorders>
              <w:top w:val="nil"/>
              <w:left w:val="nil"/>
              <w:bottom w:val="single" w:sz="4" w:space="0" w:color="BFBFBF"/>
              <w:right w:val="single" w:sz="4" w:space="0" w:color="BFBFBF"/>
            </w:tcBorders>
            <w:shd w:val="clear" w:color="000000" w:fill="F2F2F2"/>
            <w:noWrap/>
            <w:vAlign w:val="center"/>
            <w:hideMark/>
          </w:tcPr>
          <w:p w14:paraId="2C85546C" w14:textId="731D71DE"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r w:rsidR="003C17F5" w:rsidRPr="002E10EB">
              <w:rPr>
                <w:rFonts w:eastAsia="Times New Roman" w:cs="Arial"/>
                <w:color w:val="C00000"/>
                <w:kern w:val="0"/>
                <w:sz w:val="18"/>
                <w:szCs w:val="18"/>
                <w:lang w:eastAsia="en-CA"/>
                <w14:ligatures w14:val="none"/>
              </w:rPr>
              <w:t>.5</w:t>
            </w:r>
            <w:r w:rsidRPr="002E10EB">
              <w:rPr>
                <w:rFonts w:eastAsia="Times New Roman" w:cs="Arial"/>
                <w:color w:val="C00000"/>
                <w:kern w:val="0"/>
                <w:sz w:val="18"/>
                <w:szCs w:val="18"/>
                <w:lang w:eastAsia="en-CA"/>
                <w14:ligatures w14:val="none"/>
              </w:rPr>
              <w:t>%</w:t>
            </w:r>
          </w:p>
        </w:tc>
        <w:tc>
          <w:tcPr>
            <w:tcW w:w="1158" w:type="dxa"/>
            <w:tcBorders>
              <w:top w:val="nil"/>
              <w:left w:val="nil"/>
              <w:bottom w:val="single" w:sz="4" w:space="0" w:color="BFBFBF"/>
              <w:right w:val="single" w:sz="4" w:space="0" w:color="auto"/>
            </w:tcBorders>
            <w:shd w:val="clear" w:color="000000" w:fill="F2F2F2"/>
            <w:noWrap/>
            <w:vAlign w:val="center"/>
            <w:hideMark/>
          </w:tcPr>
          <w:p w14:paraId="12048BBA"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F31325" w:rsidRPr="00887119" w14:paraId="3DF066A3" w14:textId="77777777" w:rsidTr="00F31325">
        <w:trPr>
          <w:trHeight w:val="402"/>
        </w:trPr>
        <w:tc>
          <w:tcPr>
            <w:tcW w:w="3235" w:type="dxa"/>
            <w:tcBorders>
              <w:top w:val="nil"/>
              <w:left w:val="single" w:sz="4" w:space="0" w:color="auto"/>
              <w:bottom w:val="single" w:sz="4" w:space="0" w:color="auto"/>
              <w:right w:val="nil"/>
            </w:tcBorders>
            <w:shd w:val="clear" w:color="000000" w:fill="FFFFFF"/>
            <w:noWrap/>
            <w:vAlign w:val="center"/>
            <w:hideMark/>
          </w:tcPr>
          <w:p w14:paraId="2DC63153" w14:textId="77777777" w:rsidR="00F31325" w:rsidRPr="00887119" w:rsidRDefault="00F31325" w:rsidP="00F3132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65+ year olds</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14:paraId="275EFB92"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41" w:type="dxa"/>
            <w:tcBorders>
              <w:top w:val="nil"/>
              <w:left w:val="nil"/>
              <w:bottom w:val="single" w:sz="4" w:space="0" w:color="auto"/>
              <w:right w:val="single" w:sz="4" w:space="0" w:color="BFBFBF"/>
            </w:tcBorders>
            <w:shd w:val="clear" w:color="000000" w:fill="FFFFFF"/>
            <w:noWrap/>
            <w:vAlign w:val="center"/>
            <w:hideMark/>
          </w:tcPr>
          <w:p w14:paraId="684DBC52"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41" w:type="dxa"/>
            <w:tcBorders>
              <w:top w:val="nil"/>
              <w:left w:val="nil"/>
              <w:bottom w:val="single" w:sz="4" w:space="0" w:color="auto"/>
              <w:right w:val="single" w:sz="4" w:space="0" w:color="BFBFBF"/>
            </w:tcBorders>
            <w:shd w:val="clear" w:color="000000" w:fill="FFFFFF"/>
            <w:noWrap/>
            <w:vAlign w:val="center"/>
            <w:hideMark/>
          </w:tcPr>
          <w:p w14:paraId="093E745B"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240" w:type="dxa"/>
            <w:tcBorders>
              <w:top w:val="nil"/>
              <w:left w:val="nil"/>
              <w:bottom w:val="single" w:sz="4" w:space="0" w:color="auto"/>
              <w:right w:val="single" w:sz="4" w:space="0" w:color="BFBFBF"/>
            </w:tcBorders>
            <w:shd w:val="clear" w:color="000000" w:fill="FFFFFF"/>
            <w:noWrap/>
            <w:vAlign w:val="center"/>
            <w:hideMark/>
          </w:tcPr>
          <w:p w14:paraId="3C027404"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c>
          <w:tcPr>
            <w:tcW w:w="1158" w:type="dxa"/>
            <w:tcBorders>
              <w:top w:val="nil"/>
              <w:left w:val="nil"/>
              <w:bottom w:val="single" w:sz="4" w:space="0" w:color="auto"/>
              <w:right w:val="single" w:sz="4" w:space="0" w:color="auto"/>
            </w:tcBorders>
            <w:shd w:val="clear" w:color="000000" w:fill="FFFFFF"/>
            <w:noWrap/>
            <w:vAlign w:val="center"/>
            <w:hideMark/>
          </w:tcPr>
          <w:p w14:paraId="452996B1" w14:textId="77777777" w:rsidR="00F31325" w:rsidRPr="002E10EB" w:rsidRDefault="00F31325" w:rsidP="00F3132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bl>
    <w:p w14:paraId="30194D64" w14:textId="113C1A50" w:rsidR="00952F0E" w:rsidRPr="00887119" w:rsidRDefault="00952F0E" w:rsidP="00952F0E">
      <w:pPr>
        <w:pStyle w:val="Source"/>
      </w:pPr>
      <w:r w:rsidRPr="00887119">
        <w:t xml:space="preserve">Source: </w:t>
      </w:r>
      <w:r w:rsidR="004968F8" w:rsidRPr="00887119">
        <w:t xml:space="preserve">derived from </w:t>
      </w:r>
      <w:r w:rsidRPr="00887119">
        <w:t>Statistics Canada Table 98-10-0113</w:t>
      </w:r>
    </w:p>
    <w:p w14:paraId="55BAB5C4" w14:textId="77777777" w:rsidR="00952F0E" w:rsidRPr="00887119" w:rsidRDefault="00952F0E" w:rsidP="00952F0E"/>
    <w:p w14:paraId="3EA3A026" w14:textId="1E3E060D" w:rsidR="00955548" w:rsidRPr="00887119" w:rsidRDefault="009102FC" w:rsidP="002D4C99">
      <w:r w:rsidRPr="00887119">
        <w:t>U</w:t>
      </w:r>
      <w:r w:rsidR="002D4C99" w:rsidRPr="00887119">
        <w:t xml:space="preserve">rban areas </w:t>
      </w:r>
      <w:r w:rsidRPr="00887119">
        <w:t>demonstrate</w:t>
      </w:r>
      <w:r w:rsidR="002D4C99" w:rsidRPr="00887119">
        <w:t xml:space="preserve"> the highest total poverty rate (12%), followed by small urban (9%), rural remote (6%), and rural urban-adjacent (5%). The concentration of poverty </w:t>
      </w:r>
      <w:r w:rsidR="002E7E27" w:rsidRPr="00887119">
        <w:t xml:space="preserve">across </w:t>
      </w:r>
      <w:r w:rsidR="00402288" w:rsidRPr="00402288">
        <w:rPr>
          <w:color w:val="C00000"/>
        </w:rPr>
        <w:t>PEI</w:t>
      </w:r>
      <w:r w:rsidR="002E7E27" w:rsidRPr="00887119">
        <w:t xml:space="preserve"> </w:t>
      </w:r>
      <w:r w:rsidR="002D4C99" w:rsidRPr="00887119">
        <w:t>is particularly acute among persons living with non-relatives (34%), single persons (20%), and children (11</w:t>
      </w:r>
      <w:r w:rsidR="00C34501" w:rsidRPr="00887119">
        <w:t>%</w:t>
      </w:r>
      <w:r w:rsidR="002D4C99" w:rsidRPr="00887119">
        <w:t xml:space="preserve">–12%). </w:t>
      </w:r>
    </w:p>
    <w:p w14:paraId="0E4A7D0A" w14:textId="77777777" w:rsidR="00955548" w:rsidRPr="00887119" w:rsidRDefault="00955548" w:rsidP="002D4C99"/>
    <w:p w14:paraId="24E44582" w14:textId="353257D7" w:rsidR="002D4C99" w:rsidRPr="00887119" w:rsidRDefault="00955548" w:rsidP="002D4C99">
      <w:r w:rsidRPr="00887119">
        <w:t xml:space="preserve">The </w:t>
      </w:r>
      <w:r w:rsidR="002D4C99" w:rsidRPr="00887119">
        <w:t xml:space="preserve">geographic distribution of </w:t>
      </w:r>
      <w:r w:rsidR="00A0049A" w:rsidRPr="00887119">
        <w:t xml:space="preserve">overall </w:t>
      </w:r>
      <w:r w:rsidR="002D4C99" w:rsidRPr="00887119">
        <w:t>poverty does not suggest that rural communities are free of affordability challenges; rather, it reflects that urban areas are absorbing a disproportionate share of</w:t>
      </w:r>
      <w:r w:rsidR="00A0049A" w:rsidRPr="00887119">
        <w:t xml:space="preserve"> segments more likely to experience poverty</w:t>
      </w:r>
      <w:r w:rsidR="002D4C99" w:rsidRPr="00887119">
        <w:t>. Single persons and lone-parent</w:t>
      </w:r>
      <w:r w:rsidR="004C0663">
        <w:t xml:space="preserve">s </w:t>
      </w:r>
      <w:r w:rsidR="002D4C99" w:rsidRPr="00887119">
        <w:t xml:space="preserve">face the highest poverty rates across all categories and represent the populations </w:t>
      </w:r>
      <w:r w:rsidR="00CA3589" w:rsidRPr="00887119">
        <w:t>more likely to be single income earning</w:t>
      </w:r>
      <w:r w:rsidR="00714B6A" w:rsidRPr="00887119">
        <w:t xml:space="preserve">, and thus more likely to experience hardship accessing appropriate housing. </w:t>
      </w:r>
    </w:p>
    <w:p w14:paraId="644B40E6" w14:textId="77777777" w:rsidR="002D4C99" w:rsidRPr="00887119" w:rsidRDefault="002D4C99" w:rsidP="002D4C99"/>
    <w:p w14:paraId="3605ABFF" w14:textId="5FCC8B7B" w:rsidR="002D4C99" w:rsidRPr="00887119" w:rsidRDefault="002D4C99" w:rsidP="002D4C99">
      <w:r w:rsidRPr="00887119">
        <w:t>Child poverty rates (0-17) are highest in urban areas (11</w:t>
      </w:r>
      <w:r w:rsidR="00714B6A" w:rsidRPr="00887119">
        <w:t>%</w:t>
      </w:r>
      <w:r w:rsidRPr="00887119">
        <w:t xml:space="preserve">–12%), consistent with the concentration of lower-income families in urban </w:t>
      </w:r>
      <w:r w:rsidR="00682C3B" w:rsidRPr="00887119">
        <w:t>areas (and often who rent)</w:t>
      </w:r>
      <w:r w:rsidRPr="00887119">
        <w:t>. Elevated child poverty rates are an indicator of housing insecurity risk: children in poverty are disproportionately likely to be in households living in overcrowded, inadequate, or unaffordable dwellings. Youth poverty (18-24) is also concentrated in urban areas, reflecting the precarious income positions of young adults entering the labour market and competing for limited affordable rental supply in those communities. The relatively low rural poverty rates among some family types should not be taken to suggest those communities are without need; limited data availability (suppressed cells) in rural categories reflects small sample sizes rather than an absence of poverty.</w:t>
      </w:r>
    </w:p>
    <w:p w14:paraId="12A41375" w14:textId="77777777" w:rsidR="002D4C99" w:rsidRPr="00887119" w:rsidRDefault="002D4C99" w:rsidP="002D4C99"/>
    <w:p w14:paraId="22D06E2F" w14:textId="3B8B1D5C" w:rsidR="00952F0E" w:rsidRPr="00887119" w:rsidRDefault="002D4C99" w:rsidP="002D4C99">
      <w:r w:rsidRPr="00887119">
        <w:t>Relatively lower rates among seniors (65+) across all categories warrant careful interpretation: seniors may show lower measured poverty rates due to pension income while still facing housing affordability stress if fixed incomes do not keep pace with rent growth or if ownership maintenance costs exceed their financial capacity. This is a particularly relevant risk in rural areas, where a growing share of older adult homeowners will face aging stock that requires investment their fixed incomes cannot reliably support.</w:t>
      </w:r>
      <w:r w:rsidR="00952F0E" w:rsidRPr="00887119">
        <w:br w:type="page"/>
      </w:r>
    </w:p>
    <w:p w14:paraId="311FC962" w14:textId="77777777" w:rsidR="00952F0E" w:rsidRPr="00887119" w:rsidRDefault="00952F0E" w:rsidP="00842B20">
      <w:pPr>
        <w:pStyle w:val="Heading1"/>
      </w:pPr>
      <w:bookmarkStart w:id="74" w:name="_Toc223686641"/>
      <w:bookmarkStart w:id="75" w:name="_Toc225869007"/>
      <w:bookmarkStart w:id="76" w:name="_Toc229051954"/>
      <w:bookmarkStart w:id="77" w:name="_Toc237957437"/>
      <w:r w:rsidRPr="00887119">
        <w:lastRenderedPageBreak/>
        <w:t>HOUSING PROFILE</w:t>
      </w:r>
      <w:bookmarkEnd w:id="74"/>
      <w:bookmarkEnd w:id="75"/>
      <w:bookmarkEnd w:id="76"/>
      <w:bookmarkEnd w:id="77"/>
    </w:p>
    <w:p w14:paraId="2B7D89F2" w14:textId="77777777" w:rsidR="00952F0E" w:rsidRPr="00887119" w:rsidRDefault="00952F0E" w:rsidP="00952F0E"/>
    <w:p w14:paraId="4EEA5723" w14:textId="1FB573FE" w:rsidR="00F0791C" w:rsidRPr="00887119" w:rsidRDefault="00F0791C" w:rsidP="00F0791C">
      <w:r w:rsidRPr="00887119">
        <w:t xml:space="preserve">This section provides a comprehensive inventory and analysis of the existing housing stock across the province, organized by geographic category to highlight differences in rental market conditions, home prices, construction activity, and non-market housing resources between urban and rural areas of </w:t>
      </w:r>
      <w:r w:rsidR="00402288" w:rsidRPr="00402288">
        <w:rPr>
          <w:color w:val="C00000"/>
        </w:rPr>
        <w:t>PEI</w:t>
      </w:r>
      <w:r w:rsidRPr="00887119">
        <w:t>.</w:t>
      </w:r>
    </w:p>
    <w:p w14:paraId="5060FF28" w14:textId="77777777" w:rsidR="00952F0E" w:rsidRPr="00887119" w:rsidRDefault="00952F0E" w:rsidP="00952F0E"/>
    <w:p w14:paraId="34297FA4" w14:textId="77777777" w:rsidR="00952F0E" w:rsidRPr="00887119" w:rsidRDefault="00952F0E" w:rsidP="00842B20">
      <w:pPr>
        <w:pStyle w:val="Heading2"/>
      </w:pPr>
      <w:bookmarkStart w:id="78" w:name="_Toc223686642"/>
      <w:bookmarkStart w:id="79" w:name="_Toc225869008"/>
      <w:bookmarkStart w:id="80" w:name="_Toc229051955"/>
      <w:bookmarkStart w:id="81" w:name="_Toc237957438"/>
      <w:r w:rsidRPr="00887119">
        <w:t>EXISTING INVENTORY</w:t>
      </w:r>
      <w:bookmarkEnd w:id="78"/>
      <w:bookmarkEnd w:id="79"/>
      <w:bookmarkEnd w:id="80"/>
      <w:bookmarkEnd w:id="81"/>
    </w:p>
    <w:p w14:paraId="371295D0" w14:textId="7D106DEA" w:rsidR="00952F0E" w:rsidRPr="00887119" w:rsidRDefault="00952F0E" w:rsidP="00952F0E">
      <w:r w:rsidRPr="00887119">
        <w:rPr>
          <w:rStyle w:val="Figure-textChar"/>
        </w:rPr>
        <w:fldChar w:fldCharType="begin"/>
      </w:r>
      <w:r w:rsidRPr="00887119">
        <w:rPr>
          <w:rStyle w:val="Figure-textChar"/>
        </w:rPr>
        <w:instrText xml:space="preserve"> REF _Ref223275555 \h  \* MERGEFORMAT </w:instrText>
      </w:r>
      <w:r w:rsidRPr="00887119">
        <w:rPr>
          <w:rStyle w:val="Figure-textChar"/>
        </w:rPr>
      </w:r>
      <w:r w:rsidRPr="00887119">
        <w:rPr>
          <w:rStyle w:val="Figure-textChar"/>
        </w:rPr>
        <w:fldChar w:fldCharType="separate"/>
      </w:r>
      <w:r w:rsidR="008D4BDE" w:rsidRPr="008D4BDE">
        <w:rPr>
          <w:rStyle w:val="Figure-textChar"/>
        </w:rPr>
        <w:t>Table 8.1</w:t>
      </w:r>
      <w:r w:rsidRPr="00887119">
        <w:rPr>
          <w:rStyle w:val="Figure-textChar"/>
        </w:rPr>
        <w:fldChar w:fldCharType="end"/>
      </w:r>
      <w:r w:rsidRPr="00887119">
        <w:t xml:space="preserve"> </w:t>
      </w:r>
      <w:r w:rsidR="004F74F2" w:rsidRPr="00887119">
        <w:t xml:space="preserve">describes the composition of the housing stock by structural type across geographic categories, establishing baseline supply profiles and highlighting the differences in housing form between urban and rural </w:t>
      </w:r>
      <w:r w:rsidR="00402288" w:rsidRPr="00402288">
        <w:rPr>
          <w:color w:val="C00000"/>
        </w:rPr>
        <w:t>PEI</w:t>
      </w:r>
      <w:r w:rsidR="004F74F2" w:rsidRPr="00887119">
        <w:t>.</w:t>
      </w:r>
    </w:p>
    <w:p w14:paraId="5F0A213B" w14:textId="77777777" w:rsidR="00952F0E" w:rsidRPr="00887119" w:rsidRDefault="00952F0E" w:rsidP="00952F0E"/>
    <w:p w14:paraId="22A9B804" w14:textId="47C91D5C" w:rsidR="00952F0E" w:rsidRPr="00887119" w:rsidRDefault="00952F0E" w:rsidP="00952F0E">
      <w:pPr>
        <w:pStyle w:val="Caption"/>
      </w:pPr>
      <w:bookmarkStart w:id="82" w:name="_Ref223275555"/>
      <w:r w:rsidRPr="00887119">
        <w:t xml:space="preserve">Table </w:t>
      </w:r>
      <w:fldSimple w:instr=" STYLEREF 1 \s ">
        <w:r w:rsidR="008D4BDE">
          <w:rPr>
            <w:noProof/>
          </w:rPr>
          <w:t>8</w:t>
        </w:r>
      </w:fldSimple>
      <w:r w:rsidR="00EE1FE9">
        <w:t>.</w:t>
      </w:r>
      <w:fldSimple w:instr=" SEQ Table \* ARABIC \s 1 ">
        <w:r w:rsidR="008D4BDE">
          <w:rPr>
            <w:noProof/>
          </w:rPr>
          <w:t>1</w:t>
        </w:r>
      </w:fldSimple>
      <w:bookmarkEnd w:id="82"/>
      <w:r w:rsidRPr="00887119">
        <w:t xml:space="preserve">: Dwellings occupied by a usual resident by structure type, tenure, and </w:t>
      </w:r>
      <w:r w:rsidR="00B77BCC" w:rsidRPr="00887119">
        <w:t>geographic category</w:t>
      </w:r>
      <w:r w:rsidRPr="00887119">
        <w:t>, 2021</w:t>
      </w:r>
    </w:p>
    <w:tbl>
      <w:tblPr>
        <w:tblW w:w="9350" w:type="dxa"/>
        <w:tblLayout w:type="fixed"/>
        <w:tblLook w:val="04A0" w:firstRow="1" w:lastRow="0" w:firstColumn="1" w:lastColumn="0" w:noHBand="0" w:noVBand="1"/>
      </w:tblPr>
      <w:tblGrid>
        <w:gridCol w:w="2315"/>
        <w:gridCol w:w="1172"/>
        <w:gridCol w:w="1173"/>
        <w:gridCol w:w="1172"/>
        <w:gridCol w:w="1173"/>
        <w:gridCol w:w="1172"/>
        <w:gridCol w:w="1173"/>
      </w:tblGrid>
      <w:tr w:rsidR="00CD52B5" w:rsidRPr="00887119" w14:paraId="751588CB" w14:textId="77777777" w:rsidTr="00274840">
        <w:trPr>
          <w:trHeight w:val="755"/>
        </w:trPr>
        <w:tc>
          <w:tcPr>
            <w:tcW w:w="2315" w:type="dxa"/>
            <w:tcBorders>
              <w:top w:val="single" w:sz="4" w:space="0" w:color="auto"/>
              <w:left w:val="single" w:sz="4" w:space="0" w:color="auto"/>
              <w:bottom w:val="nil"/>
              <w:right w:val="single" w:sz="4" w:space="0" w:color="auto"/>
            </w:tcBorders>
            <w:shd w:val="clear" w:color="auto" w:fill="42618C" w:themeFill="accent3"/>
            <w:noWrap/>
            <w:vAlign w:val="center"/>
            <w:hideMark/>
          </w:tcPr>
          <w:p w14:paraId="1EC4EF76" w14:textId="77777777" w:rsidR="00CD52B5" w:rsidRPr="00887119" w:rsidRDefault="00CD52B5" w:rsidP="00CD52B5">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Characteristic</w:t>
            </w:r>
          </w:p>
        </w:tc>
        <w:tc>
          <w:tcPr>
            <w:tcW w:w="1172"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042340A9" w14:textId="77777777" w:rsidR="00CD52B5" w:rsidRPr="00887119" w:rsidRDefault="00CD52B5" w:rsidP="00CD52B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173"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40BDC76" w14:textId="77777777" w:rsidR="00CD52B5" w:rsidRPr="00887119" w:rsidRDefault="00CD52B5" w:rsidP="00CD52B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17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61554EF" w14:textId="77777777" w:rsidR="00CD52B5" w:rsidRPr="00887119" w:rsidRDefault="00CD52B5" w:rsidP="00CD52B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173"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B684C43" w14:textId="77777777" w:rsidR="00CD52B5" w:rsidRPr="00887119" w:rsidRDefault="00CD52B5" w:rsidP="00CD52B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17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B426E7F" w14:textId="77777777" w:rsidR="00CD52B5" w:rsidRPr="00887119" w:rsidRDefault="00CD52B5" w:rsidP="00CD52B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c>
          <w:tcPr>
            <w:tcW w:w="1173"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1E95D4E8" w14:textId="7AB663B9" w:rsidR="00CD52B5" w:rsidRPr="00887119" w:rsidRDefault="00FB7A1C" w:rsidP="00CD52B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On-reserve</w:t>
            </w:r>
          </w:p>
        </w:tc>
      </w:tr>
      <w:tr w:rsidR="00CD52B5" w:rsidRPr="00887119" w14:paraId="4F51ED20" w14:textId="77777777" w:rsidTr="00CD52B5">
        <w:trPr>
          <w:trHeight w:val="402"/>
        </w:trPr>
        <w:tc>
          <w:tcPr>
            <w:tcW w:w="231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2DBCA5"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Total</w:t>
            </w:r>
          </w:p>
        </w:tc>
        <w:tc>
          <w:tcPr>
            <w:tcW w:w="1172" w:type="dxa"/>
            <w:tcBorders>
              <w:top w:val="nil"/>
              <w:left w:val="nil"/>
              <w:bottom w:val="single" w:sz="4" w:space="0" w:color="auto"/>
              <w:right w:val="single" w:sz="4" w:space="0" w:color="auto"/>
            </w:tcBorders>
            <w:shd w:val="clear" w:color="000000" w:fill="F2F2F2"/>
            <w:noWrap/>
            <w:vAlign w:val="center"/>
            <w:hideMark/>
          </w:tcPr>
          <w:p w14:paraId="33AAEB2C"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64,570</w:t>
            </w:r>
          </w:p>
        </w:tc>
        <w:tc>
          <w:tcPr>
            <w:tcW w:w="1173" w:type="dxa"/>
            <w:tcBorders>
              <w:top w:val="nil"/>
              <w:left w:val="nil"/>
              <w:bottom w:val="single" w:sz="4" w:space="0" w:color="auto"/>
              <w:right w:val="single" w:sz="4" w:space="0" w:color="BFBFBF"/>
            </w:tcBorders>
            <w:shd w:val="clear" w:color="000000" w:fill="F2F2F2"/>
            <w:noWrap/>
            <w:vAlign w:val="center"/>
            <w:hideMark/>
          </w:tcPr>
          <w:p w14:paraId="663BC849"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28,565</w:t>
            </w:r>
          </w:p>
        </w:tc>
        <w:tc>
          <w:tcPr>
            <w:tcW w:w="1172" w:type="dxa"/>
            <w:tcBorders>
              <w:top w:val="nil"/>
              <w:left w:val="nil"/>
              <w:bottom w:val="single" w:sz="4" w:space="0" w:color="auto"/>
              <w:right w:val="single" w:sz="4" w:space="0" w:color="BFBFBF"/>
            </w:tcBorders>
            <w:shd w:val="clear" w:color="000000" w:fill="F2F2F2"/>
            <w:noWrap/>
            <w:vAlign w:val="center"/>
            <w:hideMark/>
          </w:tcPr>
          <w:p w14:paraId="1E7F7954"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9,215</w:t>
            </w:r>
          </w:p>
        </w:tc>
        <w:tc>
          <w:tcPr>
            <w:tcW w:w="1173" w:type="dxa"/>
            <w:tcBorders>
              <w:top w:val="nil"/>
              <w:left w:val="nil"/>
              <w:bottom w:val="single" w:sz="4" w:space="0" w:color="auto"/>
              <w:right w:val="single" w:sz="4" w:space="0" w:color="BFBFBF"/>
            </w:tcBorders>
            <w:shd w:val="clear" w:color="000000" w:fill="F2F2F2"/>
            <w:noWrap/>
            <w:vAlign w:val="center"/>
            <w:hideMark/>
          </w:tcPr>
          <w:p w14:paraId="1B5E5912"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18,440</w:t>
            </w:r>
          </w:p>
        </w:tc>
        <w:tc>
          <w:tcPr>
            <w:tcW w:w="1172" w:type="dxa"/>
            <w:tcBorders>
              <w:top w:val="nil"/>
              <w:left w:val="nil"/>
              <w:bottom w:val="single" w:sz="4" w:space="0" w:color="auto"/>
              <w:right w:val="single" w:sz="4" w:space="0" w:color="BFBFBF"/>
            </w:tcBorders>
            <w:shd w:val="clear" w:color="000000" w:fill="F2F2F2"/>
            <w:noWrap/>
            <w:vAlign w:val="center"/>
            <w:hideMark/>
          </w:tcPr>
          <w:p w14:paraId="0D8BBAF1"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8,095</w:t>
            </w:r>
          </w:p>
        </w:tc>
        <w:tc>
          <w:tcPr>
            <w:tcW w:w="1173" w:type="dxa"/>
            <w:tcBorders>
              <w:top w:val="nil"/>
              <w:left w:val="nil"/>
              <w:bottom w:val="single" w:sz="4" w:space="0" w:color="auto"/>
              <w:right w:val="single" w:sz="4" w:space="0" w:color="auto"/>
            </w:tcBorders>
            <w:shd w:val="clear" w:color="000000" w:fill="F2F2F2"/>
            <w:noWrap/>
            <w:vAlign w:val="center"/>
            <w:hideMark/>
          </w:tcPr>
          <w:p w14:paraId="448F7A41"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205</w:t>
            </w:r>
          </w:p>
        </w:tc>
      </w:tr>
      <w:tr w:rsidR="00CD52B5" w:rsidRPr="00887119" w14:paraId="38552965" w14:textId="77777777" w:rsidTr="00CD52B5">
        <w:trPr>
          <w:trHeight w:val="402"/>
        </w:trPr>
        <w:tc>
          <w:tcPr>
            <w:tcW w:w="2315" w:type="dxa"/>
            <w:tcBorders>
              <w:top w:val="nil"/>
              <w:left w:val="single" w:sz="4" w:space="0" w:color="auto"/>
              <w:bottom w:val="single" w:sz="4" w:space="0" w:color="BFBFBF"/>
              <w:right w:val="single" w:sz="4" w:space="0" w:color="auto"/>
            </w:tcBorders>
            <w:noWrap/>
            <w:vAlign w:val="center"/>
            <w:hideMark/>
          </w:tcPr>
          <w:p w14:paraId="1502B27A"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Single-detached</w:t>
            </w:r>
          </w:p>
        </w:tc>
        <w:tc>
          <w:tcPr>
            <w:tcW w:w="1172" w:type="dxa"/>
            <w:tcBorders>
              <w:top w:val="nil"/>
              <w:left w:val="nil"/>
              <w:bottom w:val="single" w:sz="4" w:space="0" w:color="BFBFBF"/>
              <w:right w:val="single" w:sz="4" w:space="0" w:color="auto"/>
            </w:tcBorders>
            <w:noWrap/>
            <w:vAlign w:val="center"/>
            <w:hideMark/>
          </w:tcPr>
          <w:p w14:paraId="2385C199"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68%</w:t>
            </w:r>
          </w:p>
        </w:tc>
        <w:tc>
          <w:tcPr>
            <w:tcW w:w="1173" w:type="dxa"/>
            <w:tcBorders>
              <w:top w:val="nil"/>
              <w:left w:val="nil"/>
              <w:bottom w:val="single" w:sz="4" w:space="0" w:color="BFBFBF"/>
              <w:right w:val="single" w:sz="4" w:space="0" w:color="BFBFBF"/>
            </w:tcBorders>
            <w:noWrap/>
            <w:vAlign w:val="center"/>
            <w:hideMark/>
          </w:tcPr>
          <w:p w14:paraId="646ACB7B"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48%</w:t>
            </w:r>
          </w:p>
        </w:tc>
        <w:tc>
          <w:tcPr>
            <w:tcW w:w="1172" w:type="dxa"/>
            <w:tcBorders>
              <w:top w:val="nil"/>
              <w:left w:val="nil"/>
              <w:bottom w:val="single" w:sz="4" w:space="0" w:color="BFBFBF"/>
              <w:right w:val="single" w:sz="4" w:space="0" w:color="BFBFBF"/>
            </w:tcBorders>
            <w:noWrap/>
            <w:vAlign w:val="center"/>
            <w:hideMark/>
          </w:tcPr>
          <w:p w14:paraId="700D13CF"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65%</w:t>
            </w:r>
          </w:p>
        </w:tc>
        <w:tc>
          <w:tcPr>
            <w:tcW w:w="1173" w:type="dxa"/>
            <w:tcBorders>
              <w:top w:val="nil"/>
              <w:left w:val="nil"/>
              <w:bottom w:val="single" w:sz="4" w:space="0" w:color="BFBFBF"/>
              <w:right w:val="single" w:sz="4" w:space="0" w:color="BFBFBF"/>
            </w:tcBorders>
            <w:noWrap/>
            <w:vAlign w:val="center"/>
            <w:hideMark/>
          </w:tcPr>
          <w:p w14:paraId="40BDDC24"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90%</w:t>
            </w:r>
          </w:p>
        </w:tc>
        <w:tc>
          <w:tcPr>
            <w:tcW w:w="1172" w:type="dxa"/>
            <w:tcBorders>
              <w:top w:val="nil"/>
              <w:left w:val="nil"/>
              <w:bottom w:val="single" w:sz="4" w:space="0" w:color="BFBFBF"/>
              <w:right w:val="single" w:sz="4" w:space="0" w:color="BFBFBF"/>
            </w:tcBorders>
            <w:noWrap/>
            <w:vAlign w:val="center"/>
            <w:hideMark/>
          </w:tcPr>
          <w:p w14:paraId="4EB3394E"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92%</w:t>
            </w:r>
          </w:p>
        </w:tc>
        <w:tc>
          <w:tcPr>
            <w:tcW w:w="1173" w:type="dxa"/>
            <w:tcBorders>
              <w:top w:val="nil"/>
              <w:left w:val="nil"/>
              <w:bottom w:val="single" w:sz="4" w:space="0" w:color="BFBFBF"/>
              <w:right w:val="single" w:sz="4" w:space="0" w:color="auto"/>
            </w:tcBorders>
            <w:noWrap/>
            <w:vAlign w:val="center"/>
            <w:hideMark/>
          </w:tcPr>
          <w:p w14:paraId="4CAA3236"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90%</w:t>
            </w:r>
          </w:p>
        </w:tc>
      </w:tr>
      <w:tr w:rsidR="00CD52B5" w:rsidRPr="00887119" w14:paraId="1F149C9A" w14:textId="77777777" w:rsidTr="00CD52B5">
        <w:trPr>
          <w:trHeight w:val="402"/>
        </w:trPr>
        <w:tc>
          <w:tcPr>
            <w:tcW w:w="2315" w:type="dxa"/>
            <w:tcBorders>
              <w:top w:val="nil"/>
              <w:left w:val="single" w:sz="4" w:space="0" w:color="auto"/>
              <w:bottom w:val="single" w:sz="4" w:space="0" w:color="BFBFBF"/>
              <w:right w:val="single" w:sz="4" w:space="0" w:color="auto"/>
            </w:tcBorders>
            <w:shd w:val="clear" w:color="000000" w:fill="F2F2F2"/>
            <w:noWrap/>
            <w:vAlign w:val="center"/>
            <w:hideMark/>
          </w:tcPr>
          <w:p w14:paraId="3621D11F"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Semi-detached</w:t>
            </w:r>
          </w:p>
        </w:tc>
        <w:tc>
          <w:tcPr>
            <w:tcW w:w="1172" w:type="dxa"/>
            <w:tcBorders>
              <w:top w:val="nil"/>
              <w:left w:val="nil"/>
              <w:bottom w:val="single" w:sz="4" w:space="0" w:color="BFBFBF"/>
              <w:right w:val="single" w:sz="4" w:space="0" w:color="auto"/>
            </w:tcBorders>
            <w:shd w:val="clear" w:color="000000" w:fill="F2F2F2"/>
            <w:noWrap/>
            <w:vAlign w:val="center"/>
            <w:hideMark/>
          </w:tcPr>
          <w:p w14:paraId="4A606C66"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1173" w:type="dxa"/>
            <w:tcBorders>
              <w:top w:val="nil"/>
              <w:left w:val="nil"/>
              <w:bottom w:val="single" w:sz="4" w:space="0" w:color="BFBFBF"/>
              <w:right w:val="single" w:sz="4" w:space="0" w:color="BFBFBF"/>
            </w:tcBorders>
            <w:shd w:val="clear" w:color="000000" w:fill="F2F2F2"/>
            <w:noWrap/>
            <w:vAlign w:val="center"/>
            <w:hideMark/>
          </w:tcPr>
          <w:p w14:paraId="4DD846DA"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172" w:type="dxa"/>
            <w:tcBorders>
              <w:top w:val="nil"/>
              <w:left w:val="nil"/>
              <w:bottom w:val="single" w:sz="4" w:space="0" w:color="BFBFBF"/>
              <w:right w:val="single" w:sz="4" w:space="0" w:color="BFBFBF"/>
            </w:tcBorders>
            <w:shd w:val="clear" w:color="000000" w:fill="F2F2F2"/>
            <w:noWrap/>
            <w:vAlign w:val="center"/>
            <w:hideMark/>
          </w:tcPr>
          <w:p w14:paraId="7D22E8FE"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1173" w:type="dxa"/>
            <w:tcBorders>
              <w:top w:val="nil"/>
              <w:left w:val="nil"/>
              <w:bottom w:val="single" w:sz="4" w:space="0" w:color="BFBFBF"/>
              <w:right w:val="single" w:sz="4" w:space="0" w:color="BFBFBF"/>
            </w:tcBorders>
            <w:shd w:val="clear" w:color="000000" w:fill="F2F2F2"/>
            <w:noWrap/>
            <w:vAlign w:val="center"/>
            <w:hideMark/>
          </w:tcPr>
          <w:p w14:paraId="3F514345"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172" w:type="dxa"/>
            <w:tcBorders>
              <w:top w:val="nil"/>
              <w:left w:val="nil"/>
              <w:bottom w:val="single" w:sz="4" w:space="0" w:color="BFBFBF"/>
              <w:right w:val="single" w:sz="4" w:space="0" w:color="BFBFBF"/>
            </w:tcBorders>
            <w:shd w:val="clear" w:color="000000" w:fill="F2F2F2"/>
            <w:noWrap/>
            <w:vAlign w:val="center"/>
            <w:hideMark/>
          </w:tcPr>
          <w:p w14:paraId="2B8E9698"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173" w:type="dxa"/>
            <w:tcBorders>
              <w:top w:val="nil"/>
              <w:left w:val="nil"/>
              <w:bottom w:val="single" w:sz="4" w:space="0" w:color="BFBFBF"/>
              <w:right w:val="single" w:sz="4" w:space="0" w:color="auto"/>
            </w:tcBorders>
            <w:shd w:val="clear" w:color="000000" w:fill="F2F2F2"/>
            <w:noWrap/>
            <w:vAlign w:val="center"/>
            <w:hideMark/>
          </w:tcPr>
          <w:p w14:paraId="1834079C"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r w:rsidR="00CD52B5" w:rsidRPr="00887119" w14:paraId="6C46EC50" w14:textId="77777777" w:rsidTr="00CD52B5">
        <w:trPr>
          <w:trHeight w:val="402"/>
        </w:trPr>
        <w:tc>
          <w:tcPr>
            <w:tcW w:w="2315" w:type="dxa"/>
            <w:tcBorders>
              <w:top w:val="nil"/>
              <w:left w:val="single" w:sz="4" w:space="0" w:color="auto"/>
              <w:bottom w:val="single" w:sz="4" w:space="0" w:color="BFBFBF"/>
              <w:right w:val="single" w:sz="4" w:space="0" w:color="auto"/>
            </w:tcBorders>
            <w:noWrap/>
            <w:vAlign w:val="center"/>
            <w:hideMark/>
          </w:tcPr>
          <w:p w14:paraId="74C88ADF"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Row house</w:t>
            </w:r>
          </w:p>
        </w:tc>
        <w:tc>
          <w:tcPr>
            <w:tcW w:w="1172" w:type="dxa"/>
            <w:tcBorders>
              <w:top w:val="nil"/>
              <w:left w:val="nil"/>
              <w:bottom w:val="single" w:sz="4" w:space="0" w:color="BFBFBF"/>
              <w:right w:val="single" w:sz="4" w:space="0" w:color="auto"/>
            </w:tcBorders>
            <w:noWrap/>
            <w:vAlign w:val="center"/>
            <w:hideMark/>
          </w:tcPr>
          <w:p w14:paraId="4C847F6D"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73" w:type="dxa"/>
            <w:tcBorders>
              <w:top w:val="nil"/>
              <w:left w:val="nil"/>
              <w:bottom w:val="single" w:sz="4" w:space="0" w:color="BFBFBF"/>
              <w:right w:val="single" w:sz="4" w:space="0" w:color="BFBFBF"/>
            </w:tcBorders>
            <w:noWrap/>
            <w:vAlign w:val="center"/>
            <w:hideMark/>
          </w:tcPr>
          <w:p w14:paraId="7298CC0B"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172" w:type="dxa"/>
            <w:tcBorders>
              <w:top w:val="nil"/>
              <w:left w:val="nil"/>
              <w:bottom w:val="single" w:sz="4" w:space="0" w:color="BFBFBF"/>
              <w:right w:val="single" w:sz="4" w:space="0" w:color="BFBFBF"/>
            </w:tcBorders>
            <w:noWrap/>
            <w:vAlign w:val="center"/>
            <w:hideMark/>
          </w:tcPr>
          <w:p w14:paraId="6AD8BA41"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1173" w:type="dxa"/>
            <w:tcBorders>
              <w:top w:val="nil"/>
              <w:left w:val="nil"/>
              <w:bottom w:val="single" w:sz="4" w:space="0" w:color="BFBFBF"/>
              <w:right w:val="single" w:sz="4" w:space="0" w:color="BFBFBF"/>
            </w:tcBorders>
            <w:noWrap/>
            <w:vAlign w:val="center"/>
            <w:hideMark/>
          </w:tcPr>
          <w:p w14:paraId="176E3DFC"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172" w:type="dxa"/>
            <w:tcBorders>
              <w:top w:val="nil"/>
              <w:left w:val="nil"/>
              <w:bottom w:val="single" w:sz="4" w:space="0" w:color="BFBFBF"/>
              <w:right w:val="single" w:sz="4" w:space="0" w:color="BFBFBF"/>
            </w:tcBorders>
            <w:noWrap/>
            <w:vAlign w:val="center"/>
            <w:hideMark/>
          </w:tcPr>
          <w:p w14:paraId="7B4CB573"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BFBFBF"/>
              <w:right w:val="single" w:sz="4" w:space="0" w:color="auto"/>
            </w:tcBorders>
            <w:noWrap/>
            <w:vAlign w:val="center"/>
            <w:hideMark/>
          </w:tcPr>
          <w:p w14:paraId="48D9F2DD"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r w:rsidR="00CD52B5" w:rsidRPr="00887119" w14:paraId="3D9827B2" w14:textId="77777777" w:rsidTr="00CD52B5">
        <w:trPr>
          <w:trHeight w:val="402"/>
        </w:trPr>
        <w:tc>
          <w:tcPr>
            <w:tcW w:w="2315" w:type="dxa"/>
            <w:tcBorders>
              <w:top w:val="nil"/>
              <w:left w:val="single" w:sz="4" w:space="0" w:color="auto"/>
              <w:bottom w:val="single" w:sz="4" w:space="0" w:color="BFBFBF"/>
              <w:right w:val="single" w:sz="4" w:space="0" w:color="auto"/>
            </w:tcBorders>
            <w:shd w:val="clear" w:color="000000" w:fill="F2F2F2"/>
            <w:noWrap/>
            <w:vAlign w:val="center"/>
            <w:hideMark/>
          </w:tcPr>
          <w:p w14:paraId="77E4A5B5"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Apartment / flat in duplex</w:t>
            </w:r>
          </w:p>
        </w:tc>
        <w:tc>
          <w:tcPr>
            <w:tcW w:w="1172" w:type="dxa"/>
            <w:tcBorders>
              <w:top w:val="nil"/>
              <w:left w:val="nil"/>
              <w:bottom w:val="single" w:sz="4" w:space="0" w:color="BFBFBF"/>
              <w:right w:val="single" w:sz="4" w:space="0" w:color="auto"/>
            </w:tcBorders>
            <w:shd w:val="clear" w:color="000000" w:fill="F2F2F2"/>
            <w:noWrap/>
            <w:vAlign w:val="center"/>
            <w:hideMark/>
          </w:tcPr>
          <w:p w14:paraId="19B5F948"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173" w:type="dxa"/>
            <w:tcBorders>
              <w:top w:val="nil"/>
              <w:left w:val="nil"/>
              <w:bottom w:val="single" w:sz="4" w:space="0" w:color="BFBFBF"/>
              <w:right w:val="single" w:sz="4" w:space="0" w:color="BFBFBF"/>
            </w:tcBorders>
            <w:shd w:val="clear" w:color="000000" w:fill="F2F2F2"/>
            <w:noWrap/>
            <w:vAlign w:val="center"/>
            <w:hideMark/>
          </w:tcPr>
          <w:p w14:paraId="412FE8A9"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172" w:type="dxa"/>
            <w:tcBorders>
              <w:top w:val="nil"/>
              <w:left w:val="nil"/>
              <w:bottom w:val="single" w:sz="4" w:space="0" w:color="BFBFBF"/>
              <w:right w:val="single" w:sz="4" w:space="0" w:color="BFBFBF"/>
            </w:tcBorders>
            <w:shd w:val="clear" w:color="000000" w:fill="F2F2F2"/>
            <w:noWrap/>
            <w:vAlign w:val="center"/>
            <w:hideMark/>
          </w:tcPr>
          <w:p w14:paraId="65FD625A"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173" w:type="dxa"/>
            <w:tcBorders>
              <w:top w:val="nil"/>
              <w:left w:val="nil"/>
              <w:bottom w:val="single" w:sz="4" w:space="0" w:color="BFBFBF"/>
              <w:right w:val="single" w:sz="4" w:space="0" w:color="BFBFBF"/>
            </w:tcBorders>
            <w:shd w:val="clear" w:color="000000" w:fill="F2F2F2"/>
            <w:noWrap/>
            <w:vAlign w:val="center"/>
            <w:hideMark/>
          </w:tcPr>
          <w:p w14:paraId="44B2F10F"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2" w:type="dxa"/>
            <w:tcBorders>
              <w:top w:val="nil"/>
              <w:left w:val="nil"/>
              <w:bottom w:val="single" w:sz="4" w:space="0" w:color="BFBFBF"/>
              <w:right w:val="single" w:sz="4" w:space="0" w:color="BFBFBF"/>
            </w:tcBorders>
            <w:shd w:val="clear" w:color="000000" w:fill="F2F2F2"/>
            <w:noWrap/>
            <w:vAlign w:val="center"/>
            <w:hideMark/>
          </w:tcPr>
          <w:p w14:paraId="1FD6A88A"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BFBFBF"/>
              <w:right w:val="single" w:sz="4" w:space="0" w:color="auto"/>
            </w:tcBorders>
            <w:shd w:val="clear" w:color="000000" w:fill="F2F2F2"/>
            <w:noWrap/>
            <w:vAlign w:val="center"/>
            <w:hideMark/>
          </w:tcPr>
          <w:p w14:paraId="090C72AE"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r>
      <w:tr w:rsidR="00CD52B5" w:rsidRPr="00887119" w14:paraId="0FBDCBDD" w14:textId="77777777" w:rsidTr="00CD52B5">
        <w:trPr>
          <w:trHeight w:val="402"/>
        </w:trPr>
        <w:tc>
          <w:tcPr>
            <w:tcW w:w="2315" w:type="dxa"/>
            <w:tcBorders>
              <w:top w:val="nil"/>
              <w:left w:val="single" w:sz="4" w:space="0" w:color="auto"/>
              <w:bottom w:val="single" w:sz="4" w:space="0" w:color="BFBFBF"/>
              <w:right w:val="single" w:sz="4" w:space="0" w:color="auto"/>
            </w:tcBorders>
            <w:noWrap/>
            <w:vAlign w:val="center"/>
            <w:hideMark/>
          </w:tcPr>
          <w:p w14:paraId="1137B122"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Apartment (&lt;5 storeys)</w:t>
            </w:r>
          </w:p>
        </w:tc>
        <w:tc>
          <w:tcPr>
            <w:tcW w:w="1172" w:type="dxa"/>
            <w:tcBorders>
              <w:top w:val="nil"/>
              <w:left w:val="nil"/>
              <w:bottom w:val="single" w:sz="4" w:space="0" w:color="BFBFBF"/>
              <w:right w:val="single" w:sz="4" w:space="0" w:color="auto"/>
            </w:tcBorders>
            <w:noWrap/>
            <w:vAlign w:val="center"/>
            <w:hideMark/>
          </w:tcPr>
          <w:p w14:paraId="2093142F"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16%</w:t>
            </w:r>
          </w:p>
        </w:tc>
        <w:tc>
          <w:tcPr>
            <w:tcW w:w="1173" w:type="dxa"/>
            <w:tcBorders>
              <w:top w:val="nil"/>
              <w:left w:val="nil"/>
              <w:bottom w:val="single" w:sz="4" w:space="0" w:color="BFBFBF"/>
              <w:right w:val="single" w:sz="4" w:space="0" w:color="BFBFBF"/>
            </w:tcBorders>
            <w:noWrap/>
            <w:vAlign w:val="center"/>
            <w:hideMark/>
          </w:tcPr>
          <w:p w14:paraId="77C5EA1A"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31%</w:t>
            </w:r>
          </w:p>
        </w:tc>
        <w:tc>
          <w:tcPr>
            <w:tcW w:w="1172" w:type="dxa"/>
            <w:tcBorders>
              <w:top w:val="nil"/>
              <w:left w:val="nil"/>
              <w:bottom w:val="single" w:sz="4" w:space="0" w:color="BFBFBF"/>
              <w:right w:val="single" w:sz="4" w:space="0" w:color="BFBFBF"/>
            </w:tcBorders>
            <w:noWrap/>
            <w:vAlign w:val="center"/>
            <w:hideMark/>
          </w:tcPr>
          <w:p w14:paraId="7EB2EB2A"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1173" w:type="dxa"/>
            <w:tcBorders>
              <w:top w:val="nil"/>
              <w:left w:val="nil"/>
              <w:bottom w:val="single" w:sz="4" w:space="0" w:color="BFBFBF"/>
              <w:right w:val="single" w:sz="4" w:space="0" w:color="BFBFBF"/>
            </w:tcBorders>
            <w:noWrap/>
            <w:vAlign w:val="center"/>
            <w:hideMark/>
          </w:tcPr>
          <w:p w14:paraId="30F4B70D"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172" w:type="dxa"/>
            <w:tcBorders>
              <w:top w:val="nil"/>
              <w:left w:val="nil"/>
              <w:bottom w:val="single" w:sz="4" w:space="0" w:color="BFBFBF"/>
              <w:right w:val="single" w:sz="4" w:space="0" w:color="BFBFBF"/>
            </w:tcBorders>
            <w:noWrap/>
            <w:vAlign w:val="center"/>
            <w:hideMark/>
          </w:tcPr>
          <w:p w14:paraId="371F2CE3"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173" w:type="dxa"/>
            <w:tcBorders>
              <w:top w:val="nil"/>
              <w:left w:val="nil"/>
              <w:bottom w:val="single" w:sz="4" w:space="0" w:color="BFBFBF"/>
              <w:right w:val="single" w:sz="4" w:space="0" w:color="auto"/>
            </w:tcBorders>
            <w:noWrap/>
            <w:vAlign w:val="center"/>
            <w:hideMark/>
          </w:tcPr>
          <w:p w14:paraId="4209DF06"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r w:rsidR="00CD52B5" w:rsidRPr="00887119" w14:paraId="4DF0663E" w14:textId="77777777" w:rsidTr="00CD52B5">
        <w:trPr>
          <w:trHeight w:val="402"/>
        </w:trPr>
        <w:tc>
          <w:tcPr>
            <w:tcW w:w="2315" w:type="dxa"/>
            <w:tcBorders>
              <w:top w:val="nil"/>
              <w:left w:val="single" w:sz="4" w:space="0" w:color="auto"/>
              <w:bottom w:val="single" w:sz="4" w:space="0" w:color="BFBFBF"/>
              <w:right w:val="single" w:sz="4" w:space="0" w:color="auto"/>
            </w:tcBorders>
            <w:shd w:val="clear" w:color="000000" w:fill="F2F2F2"/>
            <w:noWrap/>
            <w:vAlign w:val="center"/>
            <w:hideMark/>
          </w:tcPr>
          <w:p w14:paraId="7F429939"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Apartment (5+ storeys)</w:t>
            </w:r>
          </w:p>
        </w:tc>
        <w:tc>
          <w:tcPr>
            <w:tcW w:w="1172" w:type="dxa"/>
            <w:tcBorders>
              <w:top w:val="nil"/>
              <w:left w:val="nil"/>
              <w:bottom w:val="single" w:sz="4" w:space="0" w:color="BFBFBF"/>
              <w:right w:val="single" w:sz="4" w:space="0" w:color="auto"/>
            </w:tcBorders>
            <w:shd w:val="clear" w:color="000000" w:fill="F2F2F2"/>
            <w:noWrap/>
            <w:vAlign w:val="center"/>
            <w:hideMark/>
          </w:tcPr>
          <w:p w14:paraId="38FD2BE6"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BFBFBF"/>
              <w:right w:val="single" w:sz="4" w:space="0" w:color="BFBFBF"/>
            </w:tcBorders>
            <w:shd w:val="clear" w:color="000000" w:fill="F2F2F2"/>
            <w:noWrap/>
            <w:vAlign w:val="center"/>
            <w:hideMark/>
          </w:tcPr>
          <w:p w14:paraId="3CFDAE31"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2" w:type="dxa"/>
            <w:tcBorders>
              <w:top w:val="nil"/>
              <w:left w:val="nil"/>
              <w:bottom w:val="single" w:sz="4" w:space="0" w:color="BFBFBF"/>
              <w:right w:val="single" w:sz="4" w:space="0" w:color="BFBFBF"/>
            </w:tcBorders>
            <w:shd w:val="clear" w:color="000000" w:fill="F2F2F2"/>
            <w:noWrap/>
            <w:vAlign w:val="center"/>
            <w:hideMark/>
          </w:tcPr>
          <w:p w14:paraId="6B106D7B"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BFBFBF"/>
              <w:right w:val="single" w:sz="4" w:space="0" w:color="BFBFBF"/>
            </w:tcBorders>
            <w:shd w:val="clear" w:color="000000" w:fill="F2F2F2"/>
            <w:noWrap/>
            <w:vAlign w:val="center"/>
            <w:hideMark/>
          </w:tcPr>
          <w:p w14:paraId="70450629"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2" w:type="dxa"/>
            <w:tcBorders>
              <w:top w:val="nil"/>
              <w:left w:val="nil"/>
              <w:bottom w:val="single" w:sz="4" w:space="0" w:color="BFBFBF"/>
              <w:right w:val="single" w:sz="4" w:space="0" w:color="BFBFBF"/>
            </w:tcBorders>
            <w:shd w:val="clear" w:color="000000" w:fill="F2F2F2"/>
            <w:noWrap/>
            <w:vAlign w:val="center"/>
            <w:hideMark/>
          </w:tcPr>
          <w:p w14:paraId="230A441D"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BFBFBF"/>
              <w:right w:val="single" w:sz="4" w:space="0" w:color="auto"/>
            </w:tcBorders>
            <w:shd w:val="clear" w:color="000000" w:fill="F2F2F2"/>
            <w:noWrap/>
            <w:vAlign w:val="center"/>
            <w:hideMark/>
          </w:tcPr>
          <w:p w14:paraId="5BE3D1B1"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r w:rsidR="00CD52B5" w:rsidRPr="00887119" w14:paraId="48BBE0B6" w14:textId="77777777" w:rsidTr="00CD52B5">
        <w:trPr>
          <w:trHeight w:val="402"/>
        </w:trPr>
        <w:tc>
          <w:tcPr>
            <w:tcW w:w="2315" w:type="dxa"/>
            <w:tcBorders>
              <w:top w:val="nil"/>
              <w:left w:val="single" w:sz="4" w:space="0" w:color="auto"/>
              <w:bottom w:val="single" w:sz="4" w:space="0" w:color="BFBFBF"/>
              <w:right w:val="single" w:sz="4" w:space="0" w:color="auto"/>
            </w:tcBorders>
            <w:noWrap/>
            <w:vAlign w:val="center"/>
            <w:hideMark/>
          </w:tcPr>
          <w:p w14:paraId="1A8F246E"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Movable</w:t>
            </w:r>
          </w:p>
        </w:tc>
        <w:tc>
          <w:tcPr>
            <w:tcW w:w="1172" w:type="dxa"/>
            <w:tcBorders>
              <w:top w:val="nil"/>
              <w:left w:val="nil"/>
              <w:bottom w:val="single" w:sz="4" w:space="0" w:color="BFBFBF"/>
              <w:right w:val="single" w:sz="4" w:space="0" w:color="auto"/>
            </w:tcBorders>
            <w:noWrap/>
            <w:vAlign w:val="center"/>
            <w:hideMark/>
          </w:tcPr>
          <w:p w14:paraId="00754384"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173" w:type="dxa"/>
            <w:tcBorders>
              <w:top w:val="nil"/>
              <w:left w:val="nil"/>
              <w:bottom w:val="single" w:sz="4" w:space="0" w:color="BFBFBF"/>
              <w:right w:val="single" w:sz="4" w:space="0" w:color="BFBFBF"/>
            </w:tcBorders>
            <w:noWrap/>
            <w:vAlign w:val="center"/>
            <w:hideMark/>
          </w:tcPr>
          <w:p w14:paraId="338699B4"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172" w:type="dxa"/>
            <w:tcBorders>
              <w:top w:val="nil"/>
              <w:left w:val="nil"/>
              <w:bottom w:val="single" w:sz="4" w:space="0" w:color="BFBFBF"/>
              <w:right w:val="single" w:sz="4" w:space="0" w:color="BFBFBF"/>
            </w:tcBorders>
            <w:noWrap/>
            <w:vAlign w:val="center"/>
            <w:hideMark/>
          </w:tcPr>
          <w:p w14:paraId="4DC3687E"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173" w:type="dxa"/>
            <w:tcBorders>
              <w:top w:val="nil"/>
              <w:left w:val="nil"/>
              <w:bottom w:val="single" w:sz="4" w:space="0" w:color="BFBFBF"/>
              <w:right w:val="single" w:sz="4" w:space="0" w:color="BFBFBF"/>
            </w:tcBorders>
            <w:noWrap/>
            <w:vAlign w:val="center"/>
            <w:hideMark/>
          </w:tcPr>
          <w:p w14:paraId="5C8C80A7"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172" w:type="dxa"/>
            <w:tcBorders>
              <w:top w:val="nil"/>
              <w:left w:val="nil"/>
              <w:bottom w:val="single" w:sz="4" w:space="0" w:color="BFBFBF"/>
              <w:right w:val="single" w:sz="4" w:space="0" w:color="BFBFBF"/>
            </w:tcBorders>
            <w:noWrap/>
            <w:vAlign w:val="center"/>
            <w:hideMark/>
          </w:tcPr>
          <w:p w14:paraId="153064C8"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1173" w:type="dxa"/>
            <w:tcBorders>
              <w:top w:val="nil"/>
              <w:left w:val="nil"/>
              <w:bottom w:val="single" w:sz="4" w:space="0" w:color="BFBFBF"/>
              <w:right w:val="single" w:sz="4" w:space="0" w:color="auto"/>
            </w:tcBorders>
            <w:noWrap/>
            <w:vAlign w:val="center"/>
            <w:hideMark/>
          </w:tcPr>
          <w:p w14:paraId="7C970586"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r>
      <w:tr w:rsidR="00CD52B5" w:rsidRPr="00887119" w14:paraId="650D72D1" w14:textId="77777777" w:rsidTr="00CD52B5">
        <w:trPr>
          <w:trHeight w:val="402"/>
        </w:trPr>
        <w:tc>
          <w:tcPr>
            <w:tcW w:w="2315" w:type="dxa"/>
            <w:tcBorders>
              <w:top w:val="nil"/>
              <w:left w:val="single" w:sz="4" w:space="0" w:color="auto"/>
              <w:bottom w:val="single" w:sz="4" w:space="0" w:color="auto"/>
              <w:right w:val="single" w:sz="4" w:space="0" w:color="auto"/>
            </w:tcBorders>
            <w:shd w:val="clear" w:color="000000" w:fill="F2F2F2"/>
            <w:noWrap/>
            <w:vAlign w:val="center"/>
            <w:hideMark/>
          </w:tcPr>
          <w:p w14:paraId="6AA889D8" w14:textId="77777777" w:rsidR="00CD52B5" w:rsidRPr="00887119" w:rsidRDefault="00CD52B5" w:rsidP="00CD52B5">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Other dwellings</w:t>
            </w:r>
          </w:p>
        </w:tc>
        <w:tc>
          <w:tcPr>
            <w:tcW w:w="1172" w:type="dxa"/>
            <w:tcBorders>
              <w:top w:val="nil"/>
              <w:left w:val="nil"/>
              <w:bottom w:val="single" w:sz="4" w:space="0" w:color="auto"/>
              <w:right w:val="single" w:sz="4" w:space="0" w:color="auto"/>
            </w:tcBorders>
            <w:shd w:val="clear" w:color="000000" w:fill="F2F2F2"/>
            <w:noWrap/>
            <w:vAlign w:val="center"/>
            <w:hideMark/>
          </w:tcPr>
          <w:p w14:paraId="5EBD1A9A"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auto"/>
              <w:right w:val="single" w:sz="4" w:space="0" w:color="BFBFBF"/>
            </w:tcBorders>
            <w:shd w:val="clear" w:color="000000" w:fill="F2F2F2"/>
            <w:noWrap/>
            <w:vAlign w:val="center"/>
            <w:hideMark/>
          </w:tcPr>
          <w:p w14:paraId="35B77E27"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2" w:type="dxa"/>
            <w:tcBorders>
              <w:top w:val="nil"/>
              <w:left w:val="nil"/>
              <w:bottom w:val="single" w:sz="4" w:space="0" w:color="auto"/>
              <w:right w:val="single" w:sz="4" w:space="0" w:color="BFBFBF"/>
            </w:tcBorders>
            <w:shd w:val="clear" w:color="000000" w:fill="F2F2F2"/>
            <w:noWrap/>
            <w:vAlign w:val="center"/>
            <w:hideMark/>
          </w:tcPr>
          <w:p w14:paraId="5B6F656C"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auto"/>
              <w:right w:val="single" w:sz="4" w:space="0" w:color="BFBFBF"/>
            </w:tcBorders>
            <w:shd w:val="clear" w:color="000000" w:fill="F2F2F2"/>
            <w:noWrap/>
            <w:vAlign w:val="center"/>
            <w:hideMark/>
          </w:tcPr>
          <w:p w14:paraId="5B92D678"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2" w:type="dxa"/>
            <w:tcBorders>
              <w:top w:val="nil"/>
              <w:left w:val="nil"/>
              <w:bottom w:val="single" w:sz="4" w:space="0" w:color="auto"/>
              <w:right w:val="single" w:sz="4" w:space="0" w:color="BFBFBF"/>
            </w:tcBorders>
            <w:shd w:val="clear" w:color="000000" w:fill="F2F2F2"/>
            <w:noWrap/>
            <w:vAlign w:val="center"/>
            <w:hideMark/>
          </w:tcPr>
          <w:p w14:paraId="2B3AAB90"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c>
          <w:tcPr>
            <w:tcW w:w="1173" w:type="dxa"/>
            <w:tcBorders>
              <w:top w:val="nil"/>
              <w:left w:val="nil"/>
              <w:bottom w:val="single" w:sz="4" w:space="0" w:color="auto"/>
              <w:right w:val="single" w:sz="4" w:space="0" w:color="auto"/>
            </w:tcBorders>
            <w:shd w:val="clear" w:color="000000" w:fill="F2F2F2"/>
            <w:noWrap/>
            <w:vAlign w:val="center"/>
            <w:hideMark/>
          </w:tcPr>
          <w:p w14:paraId="04D4715B" w14:textId="77777777" w:rsidR="00CD52B5" w:rsidRPr="002E10EB" w:rsidRDefault="00CD52B5" w:rsidP="00CD52B5">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bl>
    <w:p w14:paraId="7007705B" w14:textId="49CA3160" w:rsidR="00952F0E" w:rsidRPr="00887119" w:rsidRDefault="00952F0E" w:rsidP="00952F0E">
      <w:pPr>
        <w:pStyle w:val="Source"/>
      </w:pPr>
      <w:r w:rsidRPr="00887119">
        <w:t xml:space="preserve">Source: </w:t>
      </w:r>
      <w:r w:rsidR="004968F8" w:rsidRPr="00887119">
        <w:t xml:space="preserve">derived from </w:t>
      </w:r>
      <w:r w:rsidRPr="00887119">
        <w:t>Statistics Canada Table 98-10-0232</w:t>
      </w:r>
    </w:p>
    <w:p w14:paraId="686E4699" w14:textId="77777777" w:rsidR="00952F0E" w:rsidRPr="00887119" w:rsidRDefault="00952F0E" w:rsidP="00952F0E"/>
    <w:p w14:paraId="7796B20C" w14:textId="1FBE67BB" w:rsidR="0012519F" w:rsidRPr="00887119" w:rsidRDefault="00347B1C" w:rsidP="00347B1C">
      <w:r w:rsidRPr="00887119">
        <w:t xml:space="preserve">The structural composition of </w:t>
      </w:r>
      <w:r w:rsidR="00402288" w:rsidRPr="00402288">
        <w:rPr>
          <w:color w:val="C00000"/>
        </w:rPr>
        <w:t>PEI</w:t>
      </w:r>
      <w:r w:rsidRPr="00887119">
        <w:t xml:space="preserve">’s housing stock diverges sharply across geographic categories. Single-detached homes dominate in rural urban-adjacent (90%) and rural remote (92%) areas, reflecting a stock that has historically been oriented toward homeownership and family-sized housing with virtually no purpose-built rental supply. Urban areas are more diversified, with 31% of the stock in apartments under five storeys. Small urban areas sit between these poles, with 65% single-detached and 11% low-rise apartment. </w:t>
      </w:r>
    </w:p>
    <w:p w14:paraId="127B729F" w14:textId="77777777" w:rsidR="0012519F" w:rsidRPr="00887119" w:rsidRDefault="0012519F" w:rsidP="00347B1C"/>
    <w:p w14:paraId="3343309F" w14:textId="298E9265" w:rsidR="00347B1C" w:rsidRPr="00887119" w:rsidRDefault="00347B1C" w:rsidP="00347B1C">
      <w:r w:rsidRPr="00887119">
        <w:t>Across rural categories, the near-complete absence of apartment dwellings</w:t>
      </w:r>
      <w:r w:rsidR="0012519F" w:rsidRPr="00887119">
        <w:t xml:space="preserve"> (largely due to servicing constraints)</w:t>
      </w:r>
      <w:r w:rsidRPr="00887119">
        <w:t xml:space="preserve"> means that rental supply is almost entirely made up of secondary market units </w:t>
      </w:r>
      <w:r w:rsidR="000C249E" w:rsidRPr="00887119">
        <w:t>(e.g.,</w:t>
      </w:r>
      <w:r w:rsidRPr="00887119">
        <w:t xml:space="preserve"> converted single-detached homes, basement suites, and </w:t>
      </w:r>
      <w:r w:rsidR="00554827" w:rsidRPr="00887119">
        <w:t xml:space="preserve">secondary </w:t>
      </w:r>
      <w:r w:rsidRPr="00887119">
        <w:t>units</w:t>
      </w:r>
      <w:r w:rsidR="00554827" w:rsidRPr="00887119">
        <w:t>)</w:t>
      </w:r>
      <w:r w:rsidRPr="00887119">
        <w:t xml:space="preserve"> which are </w:t>
      </w:r>
      <w:r w:rsidR="00554827" w:rsidRPr="00887119">
        <w:t>can be</w:t>
      </w:r>
      <w:r w:rsidRPr="00887119">
        <w:t xml:space="preserve"> less stable and more vulnerable to withdrawal from the rental pool.</w:t>
      </w:r>
    </w:p>
    <w:p w14:paraId="33AD1655" w14:textId="77777777" w:rsidR="00347B1C" w:rsidRPr="00887119" w:rsidRDefault="00347B1C" w:rsidP="00347B1C"/>
    <w:p w14:paraId="123E9B2A" w14:textId="08F3E351" w:rsidR="00347B1C" w:rsidRPr="00887119" w:rsidRDefault="00347B1C" w:rsidP="00347B1C">
      <w:r w:rsidRPr="00887119">
        <w:t>Movable dwellings (mobile and manufactured homes) represent 4</w:t>
      </w:r>
      <w:r w:rsidR="0033037B" w:rsidRPr="00887119">
        <w:t>%</w:t>
      </w:r>
      <w:r w:rsidRPr="00887119">
        <w:t>–6% of the stock in rural categories, a share that is meaningful in a context where virtually no other affordable housing form exists. These dwellings often serve as the de facto affordable housing supply for lower-income rural households, but their land-lease tenure arrangements represent a distinct form of housing insecurity that standard affordability metrics do not fully capture.</w:t>
      </w:r>
    </w:p>
    <w:p w14:paraId="06D35D66" w14:textId="77777777" w:rsidR="00347B1C" w:rsidRPr="00887119" w:rsidRDefault="00347B1C" w:rsidP="00347B1C"/>
    <w:p w14:paraId="3BFF075B" w14:textId="77777777" w:rsidR="00952F0E" w:rsidRPr="00887119" w:rsidRDefault="00952F0E" w:rsidP="00842B20">
      <w:pPr>
        <w:pStyle w:val="Heading2"/>
      </w:pPr>
      <w:bookmarkStart w:id="83" w:name="_Toc223686643"/>
      <w:bookmarkStart w:id="84" w:name="_Toc225869009"/>
      <w:bookmarkStart w:id="85" w:name="_Toc229051956"/>
      <w:bookmarkStart w:id="86" w:name="_Toc237957439"/>
      <w:r w:rsidRPr="00887119">
        <w:t>CONSTRUCTION ACTIVITY</w:t>
      </w:r>
      <w:bookmarkEnd w:id="83"/>
      <w:bookmarkEnd w:id="84"/>
      <w:bookmarkEnd w:id="85"/>
      <w:bookmarkEnd w:id="86"/>
    </w:p>
    <w:p w14:paraId="41CA0F64" w14:textId="5187F263" w:rsidR="00952F0E" w:rsidRPr="00887119" w:rsidRDefault="00952F0E" w:rsidP="00952F0E">
      <w:r w:rsidRPr="00887119">
        <w:rPr>
          <w:rStyle w:val="Figure-textChar"/>
        </w:rPr>
        <w:fldChar w:fldCharType="begin"/>
      </w:r>
      <w:r w:rsidRPr="00887119">
        <w:rPr>
          <w:rStyle w:val="Figure-textChar"/>
        </w:rPr>
        <w:instrText xml:space="preserve"> REF _Ref226035643 \h  \* MERGEFORMAT </w:instrText>
      </w:r>
      <w:r w:rsidRPr="00887119">
        <w:rPr>
          <w:rStyle w:val="Figure-textChar"/>
        </w:rPr>
      </w:r>
      <w:r w:rsidRPr="00887119">
        <w:rPr>
          <w:rStyle w:val="Figure-textChar"/>
        </w:rPr>
        <w:fldChar w:fldCharType="separate"/>
      </w:r>
      <w:r w:rsidR="008D4BDE" w:rsidRPr="008D4BDE">
        <w:rPr>
          <w:rStyle w:val="Figure-textChar"/>
        </w:rPr>
        <w:t>Table 8.2</w:t>
      </w:r>
      <w:r w:rsidRPr="00887119">
        <w:rPr>
          <w:rStyle w:val="Figure-textChar"/>
        </w:rPr>
        <w:fldChar w:fldCharType="end"/>
      </w:r>
      <w:r w:rsidRPr="00887119">
        <w:t xml:space="preserve"> </w:t>
      </w:r>
      <w:r w:rsidR="004E4671" w:rsidRPr="00887119">
        <w:t>shows the distribution of the housing stock by decade of construction across geographic categories, providing a historical profile of how supply has accumulated over time and identifying where the stock may be aging and at greater risk of adequacy challenges.</w:t>
      </w:r>
    </w:p>
    <w:p w14:paraId="7FBD474A" w14:textId="77777777" w:rsidR="00952F0E" w:rsidRPr="00887119" w:rsidRDefault="00952F0E" w:rsidP="00952F0E"/>
    <w:p w14:paraId="1B64EB87" w14:textId="26E2DAC8" w:rsidR="00952F0E" w:rsidRPr="00887119" w:rsidRDefault="00952F0E" w:rsidP="00952F0E">
      <w:pPr>
        <w:pStyle w:val="Caption"/>
      </w:pPr>
      <w:bookmarkStart w:id="87" w:name="_Ref226035643"/>
      <w:r w:rsidRPr="00887119">
        <w:t xml:space="preserve">Table </w:t>
      </w:r>
      <w:fldSimple w:instr=" STYLEREF 1 \s ">
        <w:r w:rsidR="008D4BDE">
          <w:rPr>
            <w:noProof/>
          </w:rPr>
          <w:t>8</w:t>
        </w:r>
      </w:fldSimple>
      <w:r w:rsidR="00EE1FE9">
        <w:t>.</w:t>
      </w:r>
      <w:fldSimple w:instr=" SEQ Table \* ARABIC \s 1 ">
        <w:r w:rsidR="008D4BDE">
          <w:rPr>
            <w:noProof/>
          </w:rPr>
          <w:t>2</w:t>
        </w:r>
      </w:fldSimple>
      <w:bookmarkEnd w:id="87"/>
      <w:r w:rsidRPr="00887119">
        <w:t>: Total and share of age of construction for dwellings occupied by usual residents</w:t>
      </w:r>
      <w:r w:rsidR="00934D5E" w:rsidRPr="00887119">
        <w:t xml:space="preserve"> and geographic category</w:t>
      </w:r>
      <w:r w:rsidRPr="00887119">
        <w:t>, 2021</w:t>
      </w:r>
    </w:p>
    <w:tbl>
      <w:tblPr>
        <w:tblW w:w="9355" w:type="dxa"/>
        <w:tblLayout w:type="fixed"/>
        <w:tblLook w:val="04A0" w:firstRow="1" w:lastRow="0" w:firstColumn="1" w:lastColumn="0" w:noHBand="0" w:noVBand="1"/>
      </w:tblPr>
      <w:tblGrid>
        <w:gridCol w:w="2155"/>
        <w:gridCol w:w="900"/>
        <w:gridCol w:w="900"/>
        <w:gridCol w:w="900"/>
        <w:gridCol w:w="900"/>
        <w:gridCol w:w="900"/>
        <w:gridCol w:w="900"/>
        <w:gridCol w:w="900"/>
        <w:gridCol w:w="900"/>
      </w:tblGrid>
      <w:tr w:rsidR="006509AD" w:rsidRPr="00887119" w14:paraId="761ED6C5" w14:textId="77777777" w:rsidTr="00274840">
        <w:trPr>
          <w:trHeight w:val="485"/>
        </w:trPr>
        <w:tc>
          <w:tcPr>
            <w:tcW w:w="2155" w:type="dxa"/>
            <w:tcBorders>
              <w:top w:val="single" w:sz="4" w:space="0" w:color="auto"/>
              <w:left w:val="single" w:sz="4" w:space="0" w:color="auto"/>
              <w:bottom w:val="nil"/>
              <w:right w:val="single" w:sz="4" w:space="0" w:color="auto"/>
            </w:tcBorders>
            <w:shd w:val="clear" w:color="auto" w:fill="42618C" w:themeFill="accent3"/>
            <w:noWrap/>
            <w:vAlign w:val="center"/>
            <w:hideMark/>
          </w:tcPr>
          <w:p w14:paraId="6EDF0FF5" w14:textId="77777777" w:rsidR="006509AD" w:rsidRPr="00887119" w:rsidRDefault="006509AD" w:rsidP="006509AD">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Item</w:t>
            </w:r>
          </w:p>
        </w:tc>
        <w:tc>
          <w:tcPr>
            <w:tcW w:w="900" w:type="dxa"/>
            <w:tcBorders>
              <w:top w:val="single" w:sz="4" w:space="0" w:color="auto"/>
              <w:left w:val="nil"/>
              <w:bottom w:val="nil"/>
              <w:right w:val="single" w:sz="4" w:space="0" w:color="BFBFBF"/>
            </w:tcBorders>
            <w:shd w:val="clear" w:color="auto" w:fill="42618C" w:themeFill="accent3"/>
            <w:vAlign w:val="center"/>
            <w:hideMark/>
          </w:tcPr>
          <w:p w14:paraId="4595F244"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&lt;1961</w:t>
            </w:r>
          </w:p>
        </w:tc>
        <w:tc>
          <w:tcPr>
            <w:tcW w:w="900" w:type="dxa"/>
            <w:tcBorders>
              <w:top w:val="single" w:sz="4" w:space="0" w:color="auto"/>
              <w:left w:val="nil"/>
              <w:bottom w:val="nil"/>
              <w:right w:val="single" w:sz="4" w:space="0" w:color="BFBFBF"/>
            </w:tcBorders>
            <w:shd w:val="clear" w:color="auto" w:fill="42618C" w:themeFill="accent3"/>
            <w:vAlign w:val="center"/>
            <w:hideMark/>
          </w:tcPr>
          <w:p w14:paraId="50932E44"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xml:space="preserve">1961 </w:t>
            </w:r>
          </w:p>
          <w:p w14:paraId="247BEBB4" w14:textId="3F08D2FE"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 1980</w:t>
            </w:r>
          </w:p>
        </w:tc>
        <w:tc>
          <w:tcPr>
            <w:tcW w:w="900" w:type="dxa"/>
            <w:tcBorders>
              <w:top w:val="single" w:sz="4" w:space="0" w:color="auto"/>
              <w:left w:val="nil"/>
              <w:bottom w:val="nil"/>
              <w:right w:val="single" w:sz="4" w:space="0" w:color="BFBFBF"/>
            </w:tcBorders>
            <w:shd w:val="clear" w:color="auto" w:fill="42618C" w:themeFill="accent3"/>
            <w:vAlign w:val="center"/>
            <w:hideMark/>
          </w:tcPr>
          <w:p w14:paraId="20109D2D"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xml:space="preserve">1981 </w:t>
            </w:r>
          </w:p>
          <w:p w14:paraId="410E196E" w14:textId="3962D84C"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 1990</w:t>
            </w:r>
          </w:p>
        </w:tc>
        <w:tc>
          <w:tcPr>
            <w:tcW w:w="900" w:type="dxa"/>
            <w:tcBorders>
              <w:top w:val="single" w:sz="4" w:space="0" w:color="auto"/>
              <w:left w:val="nil"/>
              <w:bottom w:val="nil"/>
              <w:right w:val="single" w:sz="4" w:space="0" w:color="BFBFBF"/>
            </w:tcBorders>
            <w:shd w:val="clear" w:color="auto" w:fill="42618C" w:themeFill="accent3"/>
            <w:vAlign w:val="center"/>
            <w:hideMark/>
          </w:tcPr>
          <w:p w14:paraId="49761D26"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xml:space="preserve">1991 </w:t>
            </w:r>
          </w:p>
          <w:p w14:paraId="54F25DE9" w14:textId="6797E69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 2000</w:t>
            </w:r>
          </w:p>
        </w:tc>
        <w:tc>
          <w:tcPr>
            <w:tcW w:w="900" w:type="dxa"/>
            <w:tcBorders>
              <w:top w:val="single" w:sz="4" w:space="0" w:color="auto"/>
              <w:left w:val="nil"/>
              <w:bottom w:val="nil"/>
              <w:right w:val="single" w:sz="4" w:space="0" w:color="BFBFBF"/>
            </w:tcBorders>
            <w:shd w:val="clear" w:color="auto" w:fill="42618C" w:themeFill="accent3"/>
            <w:vAlign w:val="center"/>
            <w:hideMark/>
          </w:tcPr>
          <w:p w14:paraId="37D1B6C9"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xml:space="preserve">2001 </w:t>
            </w:r>
          </w:p>
          <w:p w14:paraId="7109A263" w14:textId="5349230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 2005</w:t>
            </w:r>
          </w:p>
        </w:tc>
        <w:tc>
          <w:tcPr>
            <w:tcW w:w="900" w:type="dxa"/>
            <w:tcBorders>
              <w:top w:val="single" w:sz="4" w:space="0" w:color="auto"/>
              <w:left w:val="nil"/>
              <w:bottom w:val="nil"/>
              <w:right w:val="single" w:sz="4" w:space="0" w:color="BFBFBF"/>
            </w:tcBorders>
            <w:shd w:val="clear" w:color="auto" w:fill="42618C" w:themeFill="accent3"/>
            <w:vAlign w:val="center"/>
            <w:hideMark/>
          </w:tcPr>
          <w:p w14:paraId="47F6B1C1"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xml:space="preserve">2006 </w:t>
            </w:r>
          </w:p>
          <w:p w14:paraId="19A79BA4" w14:textId="035DFE70"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 2010</w:t>
            </w:r>
          </w:p>
        </w:tc>
        <w:tc>
          <w:tcPr>
            <w:tcW w:w="900" w:type="dxa"/>
            <w:tcBorders>
              <w:top w:val="single" w:sz="4" w:space="0" w:color="auto"/>
              <w:left w:val="nil"/>
              <w:bottom w:val="nil"/>
              <w:right w:val="single" w:sz="4" w:space="0" w:color="BFBFBF"/>
            </w:tcBorders>
            <w:shd w:val="clear" w:color="auto" w:fill="42618C" w:themeFill="accent3"/>
            <w:vAlign w:val="center"/>
            <w:hideMark/>
          </w:tcPr>
          <w:p w14:paraId="5D056BCB"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xml:space="preserve">2011 </w:t>
            </w:r>
          </w:p>
          <w:p w14:paraId="4E0A96CD" w14:textId="5E0E1340"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 2015</w:t>
            </w:r>
          </w:p>
        </w:tc>
        <w:tc>
          <w:tcPr>
            <w:tcW w:w="900" w:type="dxa"/>
            <w:tcBorders>
              <w:top w:val="single" w:sz="4" w:space="0" w:color="auto"/>
              <w:left w:val="nil"/>
              <w:bottom w:val="nil"/>
              <w:right w:val="single" w:sz="4" w:space="0" w:color="auto"/>
            </w:tcBorders>
            <w:shd w:val="clear" w:color="auto" w:fill="42618C" w:themeFill="accent3"/>
            <w:vAlign w:val="center"/>
            <w:hideMark/>
          </w:tcPr>
          <w:p w14:paraId="478F7B2D" w14:textId="77777777"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xml:space="preserve">2016 </w:t>
            </w:r>
          </w:p>
          <w:p w14:paraId="07482778" w14:textId="34053A04" w:rsidR="006509AD" w:rsidRPr="00887119" w:rsidRDefault="006509AD" w:rsidP="006509AD">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 2021</w:t>
            </w:r>
          </w:p>
        </w:tc>
      </w:tr>
      <w:tr w:rsidR="006509AD" w:rsidRPr="00887119" w14:paraId="22C486CB" w14:textId="77777777" w:rsidTr="00193A9E">
        <w:trPr>
          <w:trHeight w:val="402"/>
        </w:trPr>
        <w:tc>
          <w:tcPr>
            <w:tcW w:w="215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8223BE7" w14:textId="77777777" w:rsidR="006509AD" w:rsidRPr="00887119" w:rsidRDefault="006509AD" w:rsidP="006509AD">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Province</w:t>
            </w:r>
          </w:p>
        </w:tc>
        <w:tc>
          <w:tcPr>
            <w:tcW w:w="900" w:type="dxa"/>
            <w:tcBorders>
              <w:top w:val="single" w:sz="4" w:space="0" w:color="auto"/>
              <w:left w:val="single" w:sz="4" w:space="0" w:color="auto"/>
              <w:bottom w:val="single" w:sz="4" w:space="0" w:color="auto"/>
              <w:right w:val="single" w:sz="4" w:space="0" w:color="BFBFBF"/>
            </w:tcBorders>
            <w:shd w:val="clear" w:color="000000" w:fill="F2F2F2"/>
            <w:noWrap/>
            <w:vAlign w:val="center"/>
            <w:hideMark/>
          </w:tcPr>
          <w:p w14:paraId="42E384C6"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w:t>
            </w:r>
          </w:p>
        </w:tc>
        <w:tc>
          <w:tcPr>
            <w:tcW w:w="900" w:type="dxa"/>
            <w:tcBorders>
              <w:top w:val="single" w:sz="4" w:space="0" w:color="auto"/>
              <w:left w:val="nil"/>
              <w:bottom w:val="single" w:sz="4" w:space="0" w:color="auto"/>
              <w:right w:val="single" w:sz="4" w:space="0" w:color="BFBFBF"/>
            </w:tcBorders>
            <w:shd w:val="clear" w:color="000000" w:fill="F2F2F2"/>
            <w:noWrap/>
            <w:vAlign w:val="center"/>
            <w:hideMark/>
          </w:tcPr>
          <w:p w14:paraId="2D696517"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900" w:type="dxa"/>
            <w:tcBorders>
              <w:top w:val="single" w:sz="4" w:space="0" w:color="auto"/>
              <w:left w:val="nil"/>
              <w:bottom w:val="single" w:sz="4" w:space="0" w:color="auto"/>
              <w:right w:val="single" w:sz="4" w:space="0" w:color="BFBFBF"/>
            </w:tcBorders>
            <w:shd w:val="clear" w:color="000000" w:fill="F2F2F2"/>
            <w:noWrap/>
            <w:vAlign w:val="center"/>
            <w:hideMark/>
          </w:tcPr>
          <w:p w14:paraId="3F57EFEF"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w:t>
            </w:r>
          </w:p>
        </w:tc>
        <w:tc>
          <w:tcPr>
            <w:tcW w:w="900" w:type="dxa"/>
            <w:tcBorders>
              <w:top w:val="single" w:sz="4" w:space="0" w:color="auto"/>
              <w:left w:val="nil"/>
              <w:bottom w:val="single" w:sz="4" w:space="0" w:color="auto"/>
              <w:right w:val="single" w:sz="4" w:space="0" w:color="BFBFBF"/>
            </w:tcBorders>
            <w:shd w:val="clear" w:color="000000" w:fill="F2F2F2"/>
            <w:noWrap/>
            <w:vAlign w:val="center"/>
            <w:hideMark/>
          </w:tcPr>
          <w:p w14:paraId="2B9C6FBA"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w:t>
            </w:r>
          </w:p>
        </w:tc>
        <w:tc>
          <w:tcPr>
            <w:tcW w:w="900" w:type="dxa"/>
            <w:tcBorders>
              <w:top w:val="single" w:sz="4" w:space="0" w:color="auto"/>
              <w:left w:val="nil"/>
              <w:bottom w:val="single" w:sz="4" w:space="0" w:color="auto"/>
              <w:right w:val="single" w:sz="4" w:space="0" w:color="BFBFBF"/>
            </w:tcBorders>
            <w:shd w:val="clear" w:color="000000" w:fill="F2F2F2"/>
            <w:noWrap/>
            <w:vAlign w:val="center"/>
            <w:hideMark/>
          </w:tcPr>
          <w:p w14:paraId="2B770C7C"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900" w:type="dxa"/>
            <w:tcBorders>
              <w:top w:val="single" w:sz="4" w:space="0" w:color="auto"/>
              <w:left w:val="nil"/>
              <w:bottom w:val="single" w:sz="4" w:space="0" w:color="auto"/>
              <w:right w:val="single" w:sz="4" w:space="0" w:color="BFBFBF"/>
            </w:tcBorders>
            <w:shd w:val="clear" w:color="000000" w:fill="F2F2F2"/>
            <w:noWrap/>
            <w:vAlign w:val="center"/>
            <w:hideMark/>
          </w:tcPr>
          <w:p w14:paraId="1126C9B1"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900" w:type="dxa"/>
            <w:tcBorders>
              <w:top w:val="single" w:sz="4" w:space="0" w:color="auto"/>
              <w:left w:val="nil"/>
              <w:bottom w:val="single" w:sz="4" w:space="0" w:color="auto"/>
              <w:right w:val="single" w:sz="4" w:space="0" w:color="BFBFBF"/>
            </w:tcBorders>
            <w:shd w:val="clear" w:color="000000" w:fill="F2F2F2"/>
            <w:noWrap/>
            <w:vAlign w:val="center"/>
            <w:hideMark/>
          </w:tcPr>
          <w:p w14:paraId="18143A35"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900" w:type="dxa"/>
            <w:tcBorders>
              <w:top w:val="single" w:sz="4" w:space="0" w:color="auto"/>
              <w:left w:val="nil"/>
              <w:bottom w:val="single" w:sz="4" w:space="0" w:color="auto"/>
              <w:right w:val="single" w:sz="4" w:space="0" w:color="auto"/>
            </w:tcBorders>
            <w:shd w:val="clear" w:color="000000" w:fill="F2F2F2"/>
            <w:noWrap/>
            <w:vAlign w:val="center"/>
            <w:hideMark/>
          </w:tcPr>
          <w:p w14:paraId="5B09D1DA"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r>
      <w:tr w:rsidR="006509AD" w:rsidRPr="00887119" w14:paraId="4C947C30" w14:textId="77777777" w:rsidTr="00193A9E">
        <w:trPr>
          <w:trHeight w:val="402"/>
        </w:trPr>
        <w:tc>
          <w:tcPr>
            <w:tcW w:w="2155" w:type="dxa"/>
            <w:tcBorders>
              <w:top w:val="nil"/>
              <w:left w:val="single" w:sz="4" w:space="0" w:color="auto"/>
              <w:bottom w:val="single" w:sz="4" w:space="0" w:color="BFBFBF"/>
              <w:right w:val="single" w:sz="4" w:space="0" w:color="auto"/>
            </w:tcBorders>
            <w:shd w:val="clear" w:color="auto" w:fill="FFFFFF" w:themeFill="background1"/>
            <w:noWrap/>
            <w:vAlign w:val="center"/>
            <w:hideMark/>
          </w:tcPr>
          <w:p w14:paraId="6846402E" w14:textId="77777777" w:rsidR="006509AD" w:rsidRPr="00887119" w:rsidRDefault="006509AD" w:rsidP="006509AD">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Urban</w:t>
            </w:r>
          </w:p>
        </w:tc>
        <w:tc>
          <w:tcPr>
            <w:tcW w:w="900" w:type="dxa"/>
            <w:tcBorders>
              <w:top w:val="nil"/>
              <w:left w:val="single" w:sz="4" w:space="0" w:color="auto"/>
              <w:bottom w:val="single" w:sz="4" w:space="0" w:color="BFBFBF"/>
              <w:right w:val="single" w:sz="4" w:space="0" w:color="BFBFBF"/>
            </w:tcBorders>
            <w:shd w:val="clear" w:color="auto" w:fill="FFFFFF" w:themeFill="background1"/>
            <w:noWrap/>
            <w:vAlign w:val="center"/>
            <w:hideMark/>
          </w:tcPr>
          <w:p w14:paraId="5E377E62"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11F84E2C"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7DDB95EB"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6C135174"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3C28BD5C"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01F553C2"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3B9AEB14"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900" w:type="dxa"/>
            <w:tcBorders>
              <w:top w:val="nil"/>
              <w:left w:val="nil"/>
              <w:bottom w:val="single" w:sz="4" w:space="0" w:color="BFBFBF"/>
              <w:right w:val="single" w:sz="4" w:space="0" w:color="auto"/>
            </w:tcBorders>
            <w:shd w:val="clear" w:color="auto" w:fill="FFFFFF" w:themeFill="background1"/>
            <w:noWrap/>
            <w:vAlign w:val="center"/>
            <w:hideMark/>
          </w:tcPr>
          <w:p w14:paraId="4139418C"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w:t>
            </w:r>
          </w:p>
        </w:tc>
      </w:tr>
      <w:tr w:rsidR="006509AD" w:rsidRPr="00887119" w14:paraId="1042B971" w14:textId="77777777" w:rsidTr="00193A9E">
        <w:trPr>
          <w:trHeight w:val="402"/>
        </w:trPr>
        <w:tc>
          <w:tcPr>
            <w:tcW w:w="2155" w:type="dxa"/>
            <w:tcBorders>
              <w:top w:val="nil"/>
              <w:left w:val="single" w:sz="4" w:space="0" w:color="auto"/>
              <w:bottom w:val="single" w:sz="4" w:space="0" w:color="BFBFBF"/>
              <w:right w:val="single" w:sz="4" w:space="0" w:color="auto"/>
            </w:tcBorders>
            <w:shd w:val="clear" w:color="auto" w:fill="F2F2F2" w:themeFill="background1" w:themeFillShade="F2"/>
            <w:noWrap/>
            <w:vAlign w:val="center"/>
            <w:hideMark/>
          </w:tcPr>
          <w:p w14:paraId="776D1F97" w14:textId="77777777" w:rsidR="006509AD" w:rsidRPr="00887119" w:rsidRDefault="006509AD" w:rsidP="006509AD">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Small urban</w:t>
            </w:r>
          </w:p>
        </w:tc>
        <w:tc>
          <w:tcPr>
            <w:tcW w:w="900" w:type="dxa"/>
            <w:tcBorders>
              <w:top w:val="nil"/>
              <w:left w:val="single" w:sz="4" w:space="0" w:color="auto"/>
              <w:bottom w:val="single" w:sz="4" w:space="0" w:color="BFBFBF"/>
              <w:right w:val="single" w:sz="4" w:space="0" w:color="BFBFBF"/>
            </w:tcBorders>
            <w:shd w:val="clear" w:color="auto" w:fill="F2F2F2" w:themeFill="background1" w:themeFillShade="F2"/>
            <w:noWrap/>
            <w:vAlign w:val="center"/>
            <w:hideMark/>
          </w:tcPr>
          <w:p w14:paraId="362C288F"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571CCE5D"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0725AC84"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4B57F88D"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08E726B2"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26C43C9A"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5155B3CA"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900" w:type="dxa"/>
            <w:tcBorders>
              <w:top w:val="nil"/>
              <w:left w:val="nil"/>
              <w:bottom w:val="single" w:sz="4" w:space="0" w:color="BFBFBF"/>
              <w:right w:val="single" w:sz="4" w:space="0" w:color="auto"/>
            </w:tcBorders>
            <w:shd w:val="clear" w:color="auto" w:fill="F2F2F2" w:themeFill="background1" w:themeFillShade="F2"/>
            <w:noWrap/>
            <w:vAlign w:val="center"/>
            <w:hideMark/>
          </w:tcPr>
          <w:p w14:paraId="5FDF3009"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r>
      <w:tr w:rsidR="006509AD" w:rsidRPr="00887119" w14:paraId="2D2C0BB9" w14:textId="77777777" w:rsidTr="00193A9E">
        <w:trPr>
          <w:trHeight w:val="402"/>
        </w:trPr>
        <w:tc>
          <w:tcPr>
            <w:tcW w:w="2155" w:type="dxa"/>
            <w:tcBorders>
              <w:top w:val="nil"/>
              <w:left w:val="single" w:sz="4" w:space="0" w:color="auto"/>
              <w:bottom w:val="single" w:sz="4" w:space="0" w:color="BFBFBF"/>
              <w:right w:val="single" w:sz="4" w:space="0" w:color="auto"/>
            </w:tcBorders>
            <w:shd w:val="clear" w:color="auto" w:fill="FFFFFF" w:themeFill="background1"/>
            <w:noWrap/>
            <w:vAlign w:val="center"/>
            <w:hideMark/>
          </w:tcPr>
          <w:p w14:paraId="6AD0D44D" w14:textId="77777777" w:rsidR="006509AD" w:rsidRPr="00887119" w:rsidRDefault="006509AD" w:rsidP="006509AD">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Rural (urban adjacent)</w:t>
            </w:r>
          </w:p>
        </w:tc>
        <w:tc>
          <w:tcPr>
            <w:tcW w:w="900" w:type="dxa"/>
            <w:tcBorders>
              <w:top w:val="nil"/>
              <w:left w:val="single" w:sz="4" w:space="0" w:color="auto"/>
              <w:bottom w:val="single" w:sz="4" w:space="0" w:color="BFBFBF"/>
              <w:right w:val="single" w:sz="4" w:space="0" w:color="BFBFBF"/>
            </w:tcBorders>
            <w:shd w:val="clear" w:color="auto" w:fill="FFFFFF" w:themeFill="background1"/>
            <w:noWrap/>
            <w:vAlign w:val="center"/>
            <w:hideMark/>
          </w:tcPr>
          <w:p w14:paraId="4DD1A7A5"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25%</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7F195063"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092DD1F1"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3DDBB449"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15%</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30A03507"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0D1F2596"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900" w:type="dxa"/>
            <w:tcBorders>
              <w:top w:val="nil"/>
              <w:left w:val="nil"/>
              <w:bottom w:val="single" w:sz="4" w:space="0" w:color="BFBFBF"/>
              <w:right w:val="single" w:sz="4" w:space="0" w:color="BFBFBF"/>
            </w:tcBorders>
            <w:shd w:val="clear" w:color="auto" w:fill="FFFFFF" w:themeFill="background1"/>
            <w:noWrap/>
            <w:vAlign w:val="center"/>
            <w:hideMark/>
          </w:tcPr>
          <w:p w14:paraId="7EF1AF60"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w:t>
            </w:r>
          </w:p>
        </w:tc>
        <w:tc>
          <w:tcPr>
            <w:tcW w:w="900" w:type="dxa"/>
            <w:tcBorders>
              <w:top w:val="nil"/>
              <w:left w:val="nil"/>
              <w:bottom w:val="single" w:sz="4" w:space="0" w:color="BFBFBF"/>
              <w:right w:val="single" w:sz="4" w:space="0" w:color="auto"/>
            </w:tcBorders>
            <w:shd w:val="clear" w:color="auto" w:fill="FFFFFF" w:themeFill="background1"/>
            <w:noWrap/>
            <w:vAlign w:val="center"/>
            <w:hideMark/>
          </w:tcPr>
          <w:p w14:paraId="18E1E572"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r>
      <w:tr w:rsidR="006509AD" w:rsidRPr="00887119" w14:paraId="7948B6CF" w14:textId="77777777" w:rsidTr="00193A9E">
        <w:trPr>
          <w:trHeight w:val="402"/>
        </w:trPr>
        <w:tc>
          <w:tcPr>
            <w:tcW w:w="2155" w:type="dxa"/>
            <w:tcBorders>
              <w:top w:val="nil"/>
              <w:left w:val="single" w:sz="4" w:space="0" w:color="auto"/>
              <w:bottom w:val="single" w:sz="4" w:space="0" w:color="BFBFBF"/>
              <w:right w:val="single" w:sz="4" w:space="0" w:color="auto"/>
            </w:tcBorders>
            <w:shd w:val="clear" w:color="auto" w:fill="F2F2F2" w:themeFill="background1" w:themeFillShade="F2"/>
            <w:noWrap/>
            <w:vAlign w:val="center"/>
            <w:hideMark/>
          </w:tcPr>
          <w:p w14:paraId="0DCA92B9" w14:textId="77777777" w:rsidR="006509AD" w:rsidRPr="00887119" w:rsidRDefault="006509AD" w:rsidP="006509AD">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Rural (remote)</w:t>
            </w:r>
          </w:p>
        </w:tc>
        <w:tc>
          <w:tcPr>
            <w:tcW w:w="900" w:type="dxa"/>
            <w:tcBorders>
              <w:top w:val="nil"/>
              <w:left w:val="single" w:sz="4" w:space="0" w:color="auto"/>
              <w:bottom w:val="single" w:sz="4" w:space="0" w:color="BFBFBF"/>
              <w:right w:val="single" w:sz="4" w:space="0" w:color="BFBFBF"/>
            </w:tcBorders>
            <w:shd w:val="clear" w:color="auto" w:fill="F2F2F2" w:themeFill="background1" w:themeFillShade="F2"/>
            <w:noWrap/>
            <w:vAlign w:val="center"/>
            <w:hideMark/>
          </w:tcPr>
          <w:p w14:paraId="4B21CD50"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32%</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6ACE47A8"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27%</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069FF0D2"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40E65446"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5F3BCCCE"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142CF0B3"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90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1B1AD227"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900" w:type="dxa"/>
            <w:tcBorders>
              <w:top w:val="nil"/>
              <w:left w:val="nil"/>
              <w:bottom w:val="single" w:sz="4" w:space="0" w:color="BFBFBF"/>
              <w:right w:val="single" w:sz="4" w:space="0" w:color="auto"/>
            </w:tcBorders>
            <w:shd w:val="clear" w:color="auto" w:fill="F2F2F2" w:themeFill="background1" w:themeFillShade="F2"/>
            <w:noWrap/>
            <w:vAlign w:val="center"/>
            <w:hideMark/>
          </w:tcPr>
          <w:p w14:paraId="6EFCF4D0"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r>
      <w:tr w:rsidR="006509AD" w:rsidRPr="00887119" w14:paraId="2AE31324" w14:textId="77777777" w:rsidTr="00193A9E">
        <w:trPr>
          <w:trHeight w:val="402"/>
        </w:trPr>
        <w:tc>
          <w:tcPr>
            <w:tcW w:w="21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9A2F16" w14:textId="4B69E153" w:rsidR="006509AD" w:rsidRPr="00887119" w:rsidRDefault="00FB7A1C" w:rsidP="006509AD">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On-reserve</w:t>
            </w:r>
          </w:p>
        </w:tc>
        <w:tc>
          <w:tcPr>
            <w:tcW w:w="900" w:type="dxa"/>
            <w:tcBorders>
              <w:top w:val="nil"/>
              <w:left w:val="single" w:sz="4" w:space="0" w:color="auto"/>
              <w:bottom w:val="single" w:sz="4" w:space="0" w:color="auto"/>
              <w:right w:val="single" w:sz="4" w:space="0" w:color="BFBFBF"/>
            </w:tcBorders>
            <w:shd w:val="clear" w:color="auto" w:fill="FFFFFF" w:themeFill="background1"/>
            <w:noWrap/>
            <w:vAlign w:val="center"/>
            <w:hideMark/>
          </w:tcPr>
          <w:p w14:paraId="17C1CAA3"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900" w:type="dxa"/>
            <w:tcBorders>
              <w:top w:val="nil"/>
              <w:left w:val="nil"/>
              <w:bottom w:val="single" w:sz="4" w:space="0" w:color="auto"/>
              <w:right w:val="single" w:sz="4" w:space="0" w:color="BFBFBF"/>
            </w:tcBorders>
            <w:shd w:val="clear" w:color="auto" w:fill="FFFFFF" w:themeFill="background1"/>
            <w:noWrap/>
            <w:vAlign w:val="center"/>
            <w:hideMark/>
          </w:tcPr>
          <w:p w14:paraId="00878E02"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w:t>
            </w:r>
          </w:p>
        </w:tc>
        <w:tc>
          <w:tcPr>
            <w:tcW w:w="900" w:type="dxa"/>
            <w:tcBorders>
              <w:top w:val="nil"/>
              <w:left w:val="nil"/>
              <w:bottom w:val="single" w:sz="4" w:space="0" w:color="auto"/>
              <w:right w:val="single" w:sz="4" w:space="0" w:color="BFBFBF"/>
            </w:tcBorders>
            <w:shd w:val="clear" w:color="auto" w:fill="FFFFFF" w:themeFill="background1"/>
            <w:noWrap/>
            <w:vAlign w:val="center"/>
            <w:hideMark/>
          </w:tcPr>
          <w:p w14:paraId="6B5F9E71"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26%</w:t>
            </w:r>
          </w:p>
        </w:tc>
        <w:tc>
          <w:tcPr>
            <w:tcW w:w="900" w:type="dxa"/>
            <w:tcBorders>
              <w:top w:val="nil"/>
              <w:left w:val="nil"/>
              <w:bottom w:val="single" w:sz="4" w:space="0" w:color="auto"/>
              <w:right w:val="single" w:sz="4" w:space="0" w:color="BFBFBF"/>
            </w:tcBorders>
            <w:shd w:val="clear" w:color="auto" w:fill="FFFFFF" w:themeFill="background1"/>
            <w:noWrap/>
            <w:vAlign w:val="center"/>
            <w:hideMark/>
          </w:tcPr>
          <w:p w14:paraId="4E4E4C56"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21%</w:t>
            </w:r>
          </w:p>
        </w:tc>
        <w:tc>
          <w:tcPr>
            <w:tcW w:w="900" w:type="dxa"/>
            <w:tcBorders>
              <w:top w:val="nil"/>
              <w:left w:val="nil"/>
              <w:bottom w:val="single" w:sz="4" w:space="0" w:color="auto"/>
              <w:right w:val="single" w:sz="4" w:space="0" w:color="BFBFBF"/>
            </w:tcBorders>
            <w:shd w:val="clear" w:color="auto" w:fill="FFFFFF" w:themeFill="background1"/>
            <w:noWrap/>
            <w:vAlign w:val="center"/>
            <w:hideMark/>
          </w:tcPr>
          <w:p w14:paraId="2CD36B37"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w:t>
            </w:r>
          </w:p>
        </w:tc>
        <w:tc>
          <w:tcPr>
            <w:tcW w:w="900" w:type="dxa"/>
            <w:tcBorders>
              <w:top w:val="nil"/>
              <w:left w:val="nil"/>
              <w:bottom w:val="single" w:sz="4" w:space="0" w:color="auto"/>
              <w:right w:val="single" w:sz="4" w:space="0" w:color="BFBFBF"/>
            </w:tcBorders>
            <w:shd w:val="clear" w:color="auto" w:fill="FFFFFF" w:themeFill="background1"/>
            <w:noWrap/>
            <w:vAlign w:val="center"/>
            <w:hideMark/>
          </w:tcPr>
          <w:p w14:paraId="45C4ED01"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w:t>
            </w:r>
          </w:p>
        </w:tc>
        <w:tc>
          <w:tcPr>
            <w:tcW w:w="900" w:type="dxa"/>
            <w:tcBorders>
              <w:top w:val="nil"/>
              <w:left w:val="nil"/>
              <w:bottom w:val="single" w:sz="4" w:space="0" w:color="auto"/>
              <w:right w:val="single" w:sz="4" w:space="0" w:color="BFBFBF"/>
            </w:tcBorders>
            <w:shd w:val="clear" w:color="auto" w:fill="FFFFFF" w:themeFill="background1"/>
            <w:noWrap/>
            <w:vAlign w:val="center"/>
            <w:hideMark/>
          </w:tcPr>
          <w:p w14:paraId="2EC518E7"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5A593214" w14:textId="77777777" w:rsidR="006509AD" w:rsidRPr="002E10EB" w:rsidRDefault="006509AD" w:rsidP="006509AD">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bl>
    <w:p w14:paraId="629CC330" w14:textId="6CD50032" w:rsidR="00952F0E" w:rsidRPr="00887119" w:rsidRDefault="00952F0E" w:rsidP="00952F0E">
      <w:pPr>
        <w:pStyle w:val="Source"/>
      </w:pPr>
      <w:r w:rsidRPr="00887119">
        <w:t xml:space="preserve">Source: </w:t>
      </w:r>
      <w:r w:rsidR="004968F8" w:rsidRPr="00887119">
        <w:t xml:space="preserve">derived from </w:t>
      </w:r>
      <w:r w:rsidRPr="00887119">
        <w:t>Statistics Canada 2021 Census Profile</w:t>
      </w:r>
    </w:p>
    <w:p w14:paraId="32F8E846" w14:textId="77777777" w:rsidR="00952F0E" w:rsidRPr="00887119" w:rsidRDefault="00952F0E" w:rsidP="00952F0E">
      <w:pPr>
        <w:pStyle w:val="NoSpacing"/>
        <w:jc w:val="both"/>
      </w:pPr>
    </w:p>
    <w:p w14:paraId="12F03F38" w14:textId="77777777" w:rsidR="003F6A15" w:rsidRPr="00887119" w:rsidRDefault="00EC3C2E" w:rsidP="00EC3C2E">
      <w:pPr>
        <w:pStyle w:val="NoSpacing"/>
        <w:jc w:val="both"/>
      </w:pPr>
      <w:r w:rsidRPr="00887119">
        <w:t xml:space="preserve">Rural remote areas have the oldest housing stock profile in the province, with 32% of dwellings built before 1961 and 59% built before 1981. This aging profile is notable. Units constructed before modern building code standards may require </w:t>
      </w:r>
      <w:r w:rsidR="003F6A15" w:rsidRPr="00887119">
        <w:t>larger</w:t>
      </w:r>
      <w:r w:rsidRPr="00887119">
        <w:t xml:space="preserve"> investment</w:t>
      </w:r>
      <w:r w:rsidR="003F6A15" w:rsidRPr="00887119">
        <w:t>s</w:t>
      </w:r>
      <w:r w:rsidRPr="00887119">
        <w:t xml:space="preserve"> to remain suitable, and are disproportionately likely to present accessibility, energy efficiency, and habitability challenges. </w:t>
      </w:r>
    </w:p>
    <w:p w14:paraId="543E3B1C" w14:textId="77777777" w:rsidR="003F6A15" w:rsidRPr="00887119" w:rsidRDefault="003F6A15" w:rsidP="00EC3C2E">
      <w:pPr>
        <w:pStyle w:val="NoSpacing"/>
        <w:jc w:val="both"/>
      </w:pPr>
    </w:p>
    <w:p w14:paraId="1BC0C168" w14:textId="726E95FB" w:rsidR="00EC3C2E" w:rsidRPr="00887119" w:rsidRDefault="00EC3C2E" w:rsidP="00EC3C2E">
      <w:pPr>
        <w:pStyle w:val="NoSpacing"/>
        <w:jc w:val="both"/>
      </w:pPr>
      <w:r w:rsidRPr="00887119">
        <w:t xml:space="preserve">For the aging population concentrated in rural areas, the combination of an old stock and fixed incomes creates a compounding adequacy risk that is unlikely to be resolved through market mechanisms alone. </w:t>
      </w:r>
    </w:p>
    <w:p w14:paraId="4CC87910" w14:textId="77777777" w:rsidR="00EC3C2E" w:rsidRPr="00887119" w:rsidRDefault="00EC3C2E" w:rsidP="00EC3C2E">
      <w:pPr>
        <w:pStyle w:val="NoSpacing"/>
        <w:jc w:val="both"/>
      </w:pPr>
    </w:p>
    <w:p w14:paraId="41D94330" w14:textId="73B3623A" w:rsidR="00EC3C2E" w:rsidRPr="00887119" w:rsidRDefault="00EC3C2E" w:rsidP="00EC3C2E">
      <w:pPr>
        <w:pStyle w:val="NoSpacing"/>
        <w:jc w:val="both"/>
      </w:pPr>
      <w:r w:rsidRPr="00887119">
        <w:t>Urban and small urban areas have seen relatively higher shares of construction in the 2011–2021 period, consistent with population-driven development pressure in those categories. However, newer units are not necessarily more affordable</w:t>
      </w:r>
      <w:r w:rsidR="003F6A15" w:rsidRPr="00887119">
        <w:t xml:space="preserve">. </w:t>
      </w:r>
    </w:p>
    <w:p w14:paraId="0732E930" w14:textId="77777777" w:rsidR="00952F0E" w:rsidRPr="00887119" w:rsidRDefault="00952F0E" w:rsidP="00952F0E">
      <w:pPr>
        <w:pStyle w:val="NoSpacing"/>
        <w:jc w:val="both"/>
      </w:pPr>
    </w:p>
    <w:p w14:paraId="47287D40" w14:textId="0EEC55F8" w:rsidR="00952F0E" w:rsidRPr="00887119" w:rsidRDefault="00952F0E" w:rsidP="00952F0E">
      <w:pPr>
        <w:pStyle w:val="NoSpacing"/>
        <w:jc w:val="both"/>
      </w:pPr>
      <w:r w:rsidRPr="00887119">
        <w:rPr>
          <w:rStyle w:val="Figure-textChar"/>
        </w:rPr>
        <w:fldChar w:fldCharType="begin"/>
      </w:r>
      <w:r w:rsidRPr="00887119">
        <w:rPr>
          <w:rStyle w:val="Figure-textChar"/>
        </w:rPr>
        <w:instrText xml:space="preserve"> REF _Ref226036076 \h  \* MERGEFORMAT </w:instrText>
      </w:r>
      <w:r w:rsidRPr="00887119">
        <w:rPr>
          <w:rStyle w:val="Figure-textChar"/>
        </w:rPr>
      </w:r>
      <w:r w:rsidRPr="00887119">
        <w:rPr>
          <w:rStyle w:val="Figure-textChar"/>
        </w:rPr>
        <w:fldChar w:fldCharType="separate"/>
      </w:r>
      <w:r w:rsidR="008D4BDE" w:rsidRPr="008D4BDE">
        <w:rPr>
          <w:rStyle w:val="Figure-textChar"/>
        </w:rPr>
        <w:t>Table 8.3</w:t>
      </w:r>
      <w:r w:rsidRPr="00887119">
        <w:rPr>
          <w:rStyle w:val="Figure-textChar"/>
        </w:rPr>
        <w:fldChar w:fldCharType="end"/>
      </w:r>
      <w:r w:rsidRPr="00887119">
        <w:t xml:space="preserve"> </w:t>
      </w:r>
      <w:r w:rsidR="006D45D5" w:rsidRPr="00887119">
        <w:t>tracks the volume and structural composition of building permits issued provincially in recent years, providing an indicator of construction activity and the degree to which new supply is aligned with identified housing needs across the province.</w:t>
      </w:r>
    </w:p>
    <w:p w14:paraId="7759DD88" w14:textId="77777777" w:rsidR="00952F0E" w:rsidRPr="00887119" w:rsidRDefault="00952F0E" w:rsidP="00952F0E">
      <w:pPr>
        <w:pStyle w:val="NoSpacing"/>
        <w:jc w:val="both"/>
      </w:pPr>
    </w:p>
    <w:p w14:paraId="4D94B014" w14:textId="23DD2360" w:rsidR="00952F0E" w:rsidRPr="00887119" w:rsidRDefault="00952F0E" w:rsidP="00952F0E">
      <w:pPr>
        <w:pStyle w:val="Caption"/>
      </w:pPr>
      <w:bookmarkStart w:id="88" w:name="_Ref226036076"/>
      <w:r w:rsidRPr="00887119">
        <w:lastRenderedPageBreak/>
        <w:t xml:space="preserve">Table </w:t>
      </w:r>
      <w:fldSimple w:instr=" STYLEREF 1 \s ">
        <w:r w:rsidR="008D4BDE">
          <w:rPr>
            <w:noProof/>
          </w:rPr>
          <w:t>8</w:t>
        </w:r>
      </w:fldSimple>
      <w:r w:rsidR="00EE1FE9">
        <w:t>.</w:t>
      </w:r>
      <w:fldSimple w:instr=" SEQ Table \* ARABIC \s 1 ">
        <w:r w:rsidR="008D4BDE">
          <w:rPr>
            <w:noProof/>
          </w:rPr>
          <w:t>3</w:t>
        </w:r>
      </w:fldSimple>
      <w:bookmarkEnd w:id="88"/>
      <w:r w:rsidRPr="00887119">
        <w:t>:</w:t>
      </w:r>
      <w:r w:rsidR="0046037D" w:rsidRPr="00887119">
        <w:t xml:space="preserve"> </w:t>
      </w:r>
      <w:r w:rsidRPr="00887119">
        <w:t>Recent historical permits by structure type</w:t>
      </w:r>
      <w:r w:rsidR="0046037D" w:rsidRPr="00887119">
        <w:t xml:space="preserve"> and percent of total dwellings, by geographic category</w:t>
      </w:r>
      <w:r w:rsidRPr="00887119">
        <w:t xml:space="preserve"> </w:t>
      </w:r>
    </w:p>
    <w:tbl>
      <w:tblPr>
        <w:tblW w:w="9350" w:type="dxa"/>
        <w:tblLayout w:type="fixed"/>
        <w:tblLook w:val="04A0" w:firstRow="1" w:lastRow="0" w:firstColumn="1" w:lastColumn="0" w:noHBand="0" w:noVBand="1"/>
      </w:tblPr>
      <w:tblGrid>
        <w:gridCol w:w="1975"/>
        <w:gridCol w:w="1229"/>
        <w:gridCol w:w="1229"/>
        <w:gridCol w:w="1229"/>
        <w:gridCol w:w="1229"/>
        <w:gridCol w:w="1229"/>
        <w:gridCol w:w="1230"/>
      </w:tblGrid>
      <w:tr w:rsidR="00952F0E" w:rsidRPr="00887119" w14:paraId="3D7DA1AB" w14:textId="77777777" w:rsidTr="00274840">
        <w:trPr>
          <w:trHeight w:val="402"/>
          <w:tblHeader/>
        </w:trPr>
        <w:tc>
          <w:tcPr>
            <w:tcW w:w="197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5C33CAE7" w14:textId="77777777" w:rsidR="00952F0E" w:rsidRPr="00887119" w:rsidRDefault="00952F0E" w:rsidP="00CC6BC1">
            <w:pPr>
              <w:rPr>
                <w:rFonts w:eastAsia="Times New Roman"/>
                <w:color w:val="FFFFFF"/>
                <w:sz w:val="18"/>
                <w:szCs w:val="18"/>
              </w:rPr>
            </w:pPr>
            <w:r w:rsidRPr="00887119">
              <w:rPr>
                <w:color w:val="FFFFFF"/>
                <w:sz w:val="18"/>
                <w:szCs w:val="18"/>
              </w:rPr>
              <w:t>Structure type</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9FBDF60" w14:textId="77777777" w:rsidR="00952F0E" w:rsidRPr="00887119" w:rsidRDefault="00952F0E" w:rsidP="00CC6BC1">
            <w:pPr>
              <w:jc w:val="right"/>
              <w:rPr>
                <w:rFonts w:eastAsia="Times New Roman"/>
                <w:color w:val="FFFFFF"/>
                <w:sz w:val="18"/>
                <w:szCs w:val="18"/>
              </w:rPr>
            </w:pPr>
            <w:r w:rsidRPr="00887119">
              <w:rPr>
                <w:color w:val="FFFFFF"/>
                <w:sz w:val="18"/>
                <w:szCs w:val="18"/>
              </w:rPr>
              <w:t>2018</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EB54F73" w14:textId="77777777" w:rsidR="00952F0E" w:rsidRPr="00887119" w:rsidRDefault="00952F0E" w:rsidP="00CC6BC1">
            <w:pPr>
              <w:jc w:val="right"/>
              <w:rPr>
                <w:rFonts w:eastAsia="Times New Roman"/>
                <w:color w:val="FFFFFF"/>
                <w:sz w:val="18"/>
                <w:szCs w:val="18"/>
              </w:rPr>
            </w:pPr>
            <w:r w:rsidRPr="00887119">
              <w:rPr>
                <w:color w:val="FFFFFF"/>
                <w:sz w:val="18"/>
                <w:szCs w:val="18"/>
              </w:rPr>
              <w:t>2019</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CB5C5FE" w14:textId="77777777" w:rsidR="00952F0E" w:rsidRPr="00887119" w:rsidRDefault="00952F0E" w:rsidP="00CC6BC1">
            <w:pPr>
              <w:jc w:val="right"/>
              <w:rPr>
                <w:rFonts w:eastAsia="Times New Roman"/>
                <w:color w:val="FFFFFF"/>
                <w:sz w:val="18"/>
                <w:szCs w:val="18"/>
              </w:rPr>
            </w:pPr>
            <w:r w:rsidRPr="00887119">
              <w:rPr>
                <w:color w:val="FFFFFF"/>
                <w:sz w:val="18"/>
                <w:szCs w:val="18"/>
              </w:rPr>
              <w:t>2020</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4798B9A" w14:textId="77777777" w:rsidR="00952F0E" w:rsidRPr="00887119" w:rsidRDefault="00952F0E" w:rsidP="00CC6BC1">
            <w:pPr>
              <w:jc w:val="right"/>
              <w:rPr>
                <w:rFonts w:eastAsia="Times New Roman"/>
                <w:color w:val="FFFFFF"/>
                <w:sz w:val="18"/>
                <w:szCs w:val="18"/>
              </w:rPr>
            </w:pPr>
            <w:r w:rsidRPr="00887119">
              <w:rPr>
                <w:color w:val="FFFFFF"/>
                <w:sz w:val="18"/>
                <w:szCs w:val="18"/>
              </w:rPr>
              <w:t>2021</w:t>
            </w:r>
          </w:p>
        </w:tc>
        <w:tc>
          <w:tcPr>
            <w:tcW w:w="1229"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5ED3CD5" w14:textId="77777777" w:rsidR="00952F0E" w:rsidRPr="00887119" w:rsidRDefault="00952F0E" w:rsidP="00CC6BC1">
            <w:pPr>
              <w:jc w:val="right"/>
              <w:rPr>
                <w:rFonts w:eastAsia="Times New Roman"/>
                <w:color w:val="FFFFFF"/>
                <w:sz w:val="18"/>
                <w:szCs w:val="18"/>
              </w:rPr>
            </w:pPr>
            <w:r w:rsidRPr="00887119">
              <w:rPr>
                <w:color w:val="FFFFFF"/>
                <w:sz w:val="18"/>
                <w:szCs w:val="18"/>
              </w:rPr>
              <w:t>2022</w:t>
            </w:r>
          </w:p>
        </w:tc>
        <w:tc>
          <w:tcPr>
            <w:tcW w:w="123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49437F76" w14:textId="77777777" w:rsidR="00952F0E" w:rsidRPr="00887119" w:rsidRDefault="00952F0E" w:rsidP="00CC6BC1">
            <w:pPr>
              <w:jc w:val="right"/>
              <w:rPr>
                <w:rFonts w:eastAsia="Times New Roman"/>
                <w:color w:val="FFFFFF"/>
                <w:sz w:val="18"/>
                <w:szCs w:val="18"/>
              </w:rPr>
            </w:pPr>
            <w:r w:rsidRPr="00887119">
              <w:rPr>
                <w:color w:val="FFFFFF"/>
                <w:sz w:val="18"/>
                <w:szCs w:val="18"/>
              </w:rPr>
              <w:t>2023</w:t>
            </w:r>
          </w:p>
        </w:tc>
      </w:tr>
      <w:tr w:rsidR="008902C5" w:rsidRPr="00887119" w14:paraId="78FF113C" w14:textId="77777777" w:rsidTr="00CC6BC1">
        <w:trPr>
          <w:trHeight w:val="402"/>
        </w:trPr>
        <w:tc>
          <w:tcPr>
            <w:tcW w:w="1975" w:type="dxa"/>
            <w:tcBorders>
              <w:top w:val="nil"/>
              <w:left w:val="single" w:sz="4" w:space="0" w:color="auto"/>
              <w:bottom w:val="single" w:sz="4" w:space="0" w:color="auto"/>
              <w:right w:val="single" w:sz="4" w:space="0" w:color="auto"/>
            </w:tcBorders>
            <w:shd w:val="clear" w:color="000000" w:fill="F2F2F2"/>
            <w:noWrap/>
            <w:vAlign w:val="center"/>
            <w:hideMark/>
          </w:tcPr>
          <w:p w14:paraId="17AFE1C2" w14:textId="77777777" w:rsidR="008902C5" w:rsidRPr="00887119" w:rsidRDefault="008902C5" w:rsidP="008902C5">
            <w:pPr>
              <w:rPr>
                <w:rFonts w:eastAsia="Times New Roman"/>
                <w:color w:val="000000"/>
                <w:sz w:val="18"/>
                <w:szCs w:val="18"/>
              </w:rPr>
            </w:pPr>
            <w:r w:rsidRPr="00887119">
              <w:rPr>
                <w:color w:val="000000"/>
                <w:sz w:val="18"/>
                <w:szCs w:val="18"/>
              </w:rPr>
              <w:t>Total</w:t>
            </w:r>
          </w:p>
        </w:tc>
        <w:tc>
          <w:tcPr>
            <w:tcW w:w="1229" w:type="dxa"/>
            <w:tcBorders>
              <w:top w:val="nil"/>
              <w:left w:val="nil"/>
              <w:bottom w:val="single" w:sz="4" w:space="0" w:color="auto"/>
              <w:right w:val="single" w:sz="4" w:space="0" w:color="BFBFBF"/>
            </w:tcBorders>
            <w:shd w:val="clear" w:color="000000" w:fill="F2F2F2"/>
            <w:noWrap/>
            <w:vAlign w:val="center"/>
            <w:hideMark/>
          </w:tcPr>
          <w:p w14:paraId="517491A3" w14:textId="145A4DFE" w:rsidR="008902C5" w:rsidRPr="002E10EB" w:rsidRDefault="008902C5" w:rsidP="008902C5">
            <w:pPr>
              <w:jc w:val="right"/>
              <w:rPr>
                <w:rFonts w:eastAsia="Times New Roman"/>
                <w:color w:val="C00000"/>
                <w:sz w:val="18"/>
                <w:szCs w:val="18"/>
              </w:rPr>
            </w:pPr>
            <w:r w:rsidRPr="002E10EB">
              <w:rPr>
                <w:rFonts w:cs="Arial"/>
                <w:color w:val="C00000"/>
                <w:sz w:val="18"/>
                <w:szCs w:val="18"/>
              </w:rPr>
              <w:t>1,098</w:t>
            </w:r>
          </w:p>
        </w:tc>
        <w:tc>
          <w:tcPr>
            <w:tcW w:w="1229" w:type="dxa"/>
            <w:tcBorders>
              <w:top w:val="nil"/>
              <w:left w:val="nil"/>
              <w:bottom w:val="single" w:sz="4" w:space="0" w:color="auto"/>
              <w:right w:val="single" w:sz="4" w:space="0" w:color="BFBFBF"/>
            </w:tcBorders>
            <w:shd w:val="clear" w:color="000000" w:fill="F2F2F2"/>
            <w:noWrap/>
            <w:vAlign w:val="center"/>
            <w:hideMark/>
          </w:tcPr>
          <w:p w14:paraId="000402F8" w14:textId="21FD98E0" w:rsidR="008902C5" w:rsidRPr="002E10EB" w:rsidRDefault="008902C5" w:rsidP="008902C5">
            <w:pPr>
              <w:jc w:val="right"/>
              <w:rPr>
                <w:rFonts w:eastAsia="Times New Roman"/>
                <w:color w:val="C00000"/>
                <w:sz w:val="18"/>
                <w:szCs w:val="18"/>
              </w:rPr>
            </w:pPr>
            <w:r w:rsidRPr="002E10EB">
              <w:rPr>
                <w:rFonts w:cs="Arial"/>
                <w:color w:val="C00000"/>
                <w:sz w:val="18"/>
                <w:szCs w:val="18"/>
              </w:rPr>
              <w:t>1,460</w:t>
            </w:r>
          </w:p>
        </w:tc>
        <w:tc>
          <w:tcPr>
            <w:tcW w:w="1229" w:type="dxa"/>
            <w:tcBorders>
              <w:top w:val="nil"/>
              <w:left w:val="nil"/>
              <w:bottom w:val="single" w:sz="4" w:space="0" w:color="auto"/>
              <w:right w:val="single" w:sz="4" w:space="0" w:color="BFBFBF"/>
            </w:tcBorders>
            <w:shd w:val="clear" w:color="000000" w:fill="F2F2F2"/>
            <w:noWrap/>
            <w:vAlign w:val="center"/>
            <w:hideMark/>
          </w:tcPr>
          <w:p w14:paraId="34F29506" w14:textId="2E1FFE10" w:rsidR="008902C5" w:rsidRPr="002E10EB" w:rsidRDefault="008902C5" w:rsidP="008902C5">
            <w:pPr>
              <w:jc w:val="right"/>
              <w:rPr>
                <w:rFonts w:eastAsia="Times New Roman"/>
                <w:color w:val="C00000"/>
                <w:sz w:val="18"/>
                <w:szCs w:val="18"/>
              </w:rPr>
            </w:pPr>
            <w:r w:rsidRPr="002E10EB">
              <w:rPr>
                <w:rFonts w:cs="Arial"/>
                <w:color w:val="C00000"/>
                <w:sz w:val="18"/>
                <w:szCs w:val="18"/>
              </w:rPr>
              <w:t>1,487</w:t>
            </w:r>
          </w:p>
        </w:tc>
        <w:tc>
          <w:tcPr>
            <w:tcW w:w="1229" w:type="dxa"/>
            <w:tcBorders>
              <w:top w:val="nil"/>
              <w:left w:val="nil"/>
              <w:bottom w:val="single" w:sz="4" w:space="0" w:color="auto"/>
              <w:right w:val="single" w:sz="4" w:space="0" w:color="BFBFBF"/>
            </w:tcBorders>
            <w:shd w:val="clear" w:color="000000" w:fill="F2F2F2"/>
            <w:noWrap/>
            <w:vAlign w:val="center"/>
            <w:hideMark/>
          </w:tcPr>
          <w:p w14:paraId="594BD21C" w14:textId="0769AEFA" w:rsidR="008902C5" w:rsidRPr="002E10EB" w:rsidRDefault="008902C5" w:rsidP="008902C5">
            <w:pPr>
              <w:jc w:val="right"/>
              <w:rPr>
                <w:rFonts w:eastAsia="Times New Roman"/>
                <w:color w:val="C00000"/>
                <w:sz w:val="18"/>
                <w:szCs w:val="18"/>
              </w:rPr>
            </w:pPr>
            <w:r w:rsidRPr="002E10EB">
              <w:rPr>
                <w:rFonts w:cs="Arial"/>
                <w:color w:val="C00000"/>
                <w:sz w:val="18"/>
                <w:szCs w:val="18"/>
              </w:rPr>
              <w:t>1,622</w:t>
            </w:r>
          </w:p>
        </w:tc>
        <w:tc>
          <w:tcPr>
            <w:tcW w:w="1229" w:type="dxa"/>
            <w:tcBorders>
              <w:top w:val="nil"/>
              <w:left w:val="nil"/>
              <w:bottom w:val="single" w:sz="4" w:space="0" w:color="auto"/>
              <w:right w:val="single" w:sz="4" w:space="0" w:color="BFBFBF"/>
            </w:tcBorders>
            <w:shd w:val="clear" w:color="000000" w:fill="F2F2F2"/>
            <w:noWrap/>
            <w:vAlign w:val="center"/>
            <w:hideMark/>
          </w:tcPr>
          <w:p w14:paraId="4CC8560C" w14:textId="196A24DC" w:rsidR="008902C5" w:rsidRPr="002E10EB" w:rsidRDefault="008902C5" w:rsidP="008902C5">
            <w:pPr>
              <w:jc w:val="right"/>
              <w:rPr>
                <w:rFonts w:eastAsia="Times New Roman"/>
                <w:color w:val="C00000"/>
                <w:sz w:val="18"/>
                <w:szCs w:val="18"/>
              </w:rPr>
            </w:pPr>
            <w:r w:rsidRPr="002E10EB">
              <w:rPr>
                <w:rFonts w:cs="Arial"/>
                <w:color w:val="C00000"/>
                <w:sz w:val="18"/>
                <w:szCs w:val="18"/>
              </w:rPr>
              <w:t>1,435</w:t>
            </w:r>
          </w:p>
        </w:tc>
        <w:tc>
          <w:tcPr>
            <w:tcW w:w="1230" w:type="dxa"/>
            <w:tcBorders>
              <w:top w:val="nil"/>
              <w:left w:val="nil"/>
              <w:bottom w:val="single" w:sz="4" w:space="0" w:color="auto"/>
              <w:right w:val="single" w:sz="4" w:space="0" w:color="auto"/>
            </w:tcBorders>
            <w:shd w:val="clear" w:color="000000" w:fill="F2F2F2"/>
            <w:noWrap/>
            <w:vAlign w:val="center"/>
            <w:hideMark/>
          </w:tcPr>
          <w:p w14:paraId="3C99F2A9" w14:textId="70FF26B4" w:rsidR="008902C5" w:rsidRPr="002E10EB" w:rsidRDefault="008902C5" w:rsidP="008902C5">
            <w:pPr>
              <w:jc w:val="right"/>
              <w:rPr>
                <w:rFonts w:eastAsia="Times New Roman"/>
                <w:color w:val="C00000"/>
                <w:sz w:val="18"/>
                <w:szCs w:val="18"/>
              </w:rPr>
            </w:pPr>
            <w:r w:rsidRPr="002E10EB">
              <w:rPr>
                <w:rFonts w:cs="Arial"/>
                <w:color w:val="C00000"/>
                <w:sz w:val="18"/>
                <w:szCs w:val="18"/>
              </w:rPr>
              <w:t>1,361</w:t>
            </w:r>
          </w:p>
        </w:tc>
      </w:tr>
      <w:tr w:rsidR="008902C5" w:rsidRPr="00887119" w14:paraId="3055FED8" w14:textId="77777777" w:rsidTr="00CC6BC1">
        <w:trPr>
          <w:trHeight w:val="402"/>
        </w:trPr>
        <w:tc>
          <w:tcPr>
            <w:tcW w:w="1975" w:type="dxa"/>
            <w:tcBorders>
              <w:top w:val="nil"/>
              <w:left w:val="single" w:sz="4" w:space="0" w:color="auto"/>
              <w:bottom w:val="single" w:sz="4" w:space="0" w:color="BFBFBF"/>
              <w:right w:val="single" w:sz="4" w:space="0" w:color="auto"/>
            </w:tcBorders>
            <w:noWrap/>
            <w:vAlign w:val="center"/>
            <w:hideMark/>
          </w:tcPr>
          <w:p w14:paraId="6C4534D0" w14:textId="77777777" w:rsidR="008902C5" w:rsidRPr="00887119" w:rsidRDefault="008902C5" w:rsidP="008902C5">
            <w:pPr>
              <w:rPr>
                <w:rFonts w:eastAsia="Times New Roman"/>
                <w:color w:val="000000"/>
                <w:sz w:val="18"/>
                <w:szCs w:val="18"/>
              </w:rPr>
            </w:pPr>
            <w:r w:rsidRPr="00887119">
              <w:rPr>
                <w:color w:val="000000"/>
                <w:sz w:val="18"/>
                <w:szCs w:val="18"/>
              </w:rPr>
              <w:t>Apartment</w:t>
            </w:r>
          </w:p>
        </w:tc>
        <w:tc>
          <w:tcPr>
            <w:tcW w:w="1229" w:type="dxa"/>
            <w:tcBorders>
              <w:top w:val="nil"/>
              <w:left w:val="nil"/>
              <w:bottom w:val="single" w:sz="4" w:space="0" w:color="BFBFBF"/>
              <w:right w:val="single" w:sz="4" w:space="0" w:color="BFBFBF"/>
            </w:tcBorders>
            <w:noWrap/>
            <w:vAlign w:val="center"/>
            <w:hideMark/>
          </w:tcPr>
          <w:p w14:paraId="3607FFE2" w14:textId="583E6CC2" w:rsidR="008902C5" w:rsidRPr="002E10EB" w:rsidRDefault="008902C5" w:rsidP="008902C5">
            <w:pPr>
              <w:jc w:val="right"/>
              <w:rPr>
                <w:rFonts w:eastAsia="Times New Roman"/>
                <w:color w:val="C00000"/>
                <w:sz w:val="18"/>
                <w:szCs w:val="18"/>
              </w:rPr>
            </w:pPr>
            <w:r w:rsidRPr="002E10EB">
              <w:rPr>
                <w:rFonts w:cs="Arial"/>
                <w:color w:val="C00000"/>
                <w:sz w:val="18"/>
                <w:szCs w:val="18"/>
              </w:rPr>
              <w:t>477</w:t>
            </w:r>
          </w:p>
        </w:tc>
        <w:tc>
          <w:tcPr>
            <w:tcW w:w="1229" w:type="dxa"/>
            <w:tcBorders>
              <w:top w:val="nil"/>
              <w:left w:val="nil"/>
              <w:bottom w:val="single" w:sz="4" w:space="0" w:color="BFBFBF"/>
              <w:right w:val="single" w:sz="4" w:space="0" w:color="BFBFBF"/>
            </w:tcBorders>
            <w:noWrap/>
            <w:vAlign w:val="center"/>
            <w:hideMark/>
          </w:tcPr>
          <w:p w14:paraId="6BF03F5D" w14:textId="27D4FDAC" w:rsidR="008902C5" w:rsidRPr="002E10EB" w:rsidRDefault="008902C5" w:rsidP="008902C5">
            <w:pPr>
              <w:jc w:val="right"/>
              <w:rPr>
                <w:rFonts w:eastAsia="Times New Roman"/>
                <w:color w:val="C00000"/>
                <w:sz w:val="18"/>
                <w:szCs w:val="18"/>
              </w:rPr>
            </w:pPr>
            <w:r w:rsidRPr="002E10EB">
              <w:rPr>
                <w:rFonts w:cs="Arial"/>
                <w:color w:val="C00000"/>
                <w:sz w:val="18"/>
                <w:szCs w:val="18"/>
              </w:rPr>
              <w:t>651</w:t>
            </w:r>
          </w:p>
        </w:tc>
        <w:tc>
          <w:tcPr>
            <w:tcW w:w="1229" w:type="dxa"/>
            <w:tcBorders>
              <w:top w:val="nil"/>
              <w:left w:val="nil"/>
              <w:bottom w:val="single" w:sz="4" w:space="0" w:color="BFBFBF"/>
              <w:right w:val="single" w:sz="4" w:space="0" w:color="BFBFBF"/>
            </w:tcBorders>
            <w:noWrap/>
            <w:vAlign w:val="center"/>
            <w:hideMark/>
          </w:tcPr>
          <w:p w14:paraId="7ABBD0D0" w14:textId="7B3E4E52" w:rsidR="008902C5" w:rsidRPr="002E10EB" w:rsidRDefault="008902C5" w:rsidP="008902C5">
            <w:pPr>
              <w:jc w:val="right"/>
              <w:rPr>
                <w:rFonts w:eastAsia="Times New Roman"/>
                <w:color w:val="C00000"/>
                <w:sz w:val="18"/>
                <w:szCs w:val="18"/>
              </w:rPr>
            </w:pPr>
            <w:r w:rsidRPr="002E10EB">
              <w:rPr>
                <w:rFonts w:cs="Arial"/>
                <w:color w:val="C00000"/>
                <w:sz w:val="18"/>
                <w:szCs w:val="18"/>
              </w:rPr>
              <w:t>504</w:t>
            </w:r>
          </w:p>
        </w:tc>
        <w:tc>
          <w:tcPr>
            <w:tcW w:w="1229" w:type="dxa"/>
            <w:tcBorders>
              <w:top w:val="nil"/>
              <w:left w:val="nil"/>
              <w:bottom w:val="single" w:sz="4" w:space="0" w:color="BFBFBF"/>
              <w:right w:val="single" w:sz="4" w:space="0" w:color="BFBFBF"/>
            </w:tcBorders>
            <w:noWrap/>
            <w:vAlign w:val="center"/>
            <w:hideMark/>
          </w:tcPr>
          <w:p w14:paraId="1246A97C" w14:textId="2AFB968A" w:rsidR="008902C5" w:rsidRPr="002E10EB" w:rsidRDefault="008902C5" w:rsidP="008902C5">
            <w:pPr>
              <w:jc w:val="right"/>
              <w:rPr>
                <w:rFonts w:eastAsia="Times New Roman"/>
                <w:color w:val="C00000"/>
                <w:sz w:val="18"/>
                <w:szCs w:val="18"/>
              </w:rPr>
            </w:pPr>
            <w:r w:rsidRPr="002E10EB">
              <w:rPr>
                <w:rFonts w:cs="Arial"/>
                <w:color w:val="C00000"/>
                <w:sz w:val="18"/>
                <w:szCs w:val="18"/>
              </w:rPr>
              <w:t>415</w:t>
            </w:r>
          </w:p>
        </w:tc>
        <w:tc>
          <w:tcPr>
            <w:tcW w:w="1229" w:type="dxa"/>
            <w:tcBorders>
              <w:top w:val="nil"/>
              <w:left w:val="nil"/>
              <w:bottom w:val="single" w:sz="4" w:space="0" w:color="BFBFBF"/>
              <w:right w:val="single" w:sz="4" w:space="0" w:color="BFBFBF"/>
            </w:tcBorders>
            <w:noWrap/>
            <w:vAlign w:val="center"/>
            <w:hideMark/>
          </w:tcPr>
          <w:p w14:paraId="3BE0BF82" w14:textId="52BD4C29" w:rsidR="008902C5" w:rsidRPr="002E10EB" w:rsidRDefault="008902C5" w:rsidP="008902C5">
            <w:pPr>
              <w:jc w:val="right"/>
              <w:rPr>
                <w:rFonts w:eastAsia="Times New Roman"/>
                <w:color w:val="C00000"/>
                <w:sz w:val="18"/>
                <w:szCs w:val="18"/>
              </w:rPr>
            </w:pPr>
            <w:r w:rsidRPr="002E10EB">
              <w:rPr>
                <w:rFonts w:cs="Arial"/>
                <w:color w:val="C00000"/>
                <w:sz w:val="18"/>
                <w:szCs w:val="18"/>
              </w:rPr>
              <w:t>554</w:t>
            </w:r>
          </w:p>
        </w:tc>
        <w:tc>
          <w:tcPr>
            <w:tcW w:w="1230" w:type="dxa"/>
            <w:tcBorders>
              <w:top w:val="nil"/>
              <w:left w:val="nil"/>
              <w:bottom w:val="single" w:sz="4" w:space="0" w:color="BFBFBF"/>
              <w:right w:val="single" w:sz="4" w:space="0" w:color="auto"/>
            </w:tcBorders>
            <w:noWrap/>
            <w:vAlign w:val="center"/>
            <w:hideMark/>
          </w:tcPr>
          <w:p w14:paraId="381FA050" w14:textId="3093B80B" w:rsidR="008902C5" w:rsidRPr="002E10EB" w:rsidRDefault="008902C5" w:rsidP="008902C5">
            <w:pPr>
              <w:jc w:val="right"/>
              <w:rPr>
                <w:rFonts w:eastAsia="Times New Roman"/>
                <w:color w:val="C00000"/>
                <w:sz w:val="18"/>
                <w:szCs w:val="18"/>
              </w:rPr>
            </w:pPr>
            <w:r w:rsidRPr="002E10EB">
              <w:rPr>
                <w:rFonts w:cs="Arial"/>
                <w:color w:val="C00000"/>
                <w:sz w:val="18"/>
                <w:szCs w:val="18"/>
              </w:rPr>
              <w:t>759</w:t>
            </w:r>
          </w:p>
        </w:tc>
      </w:tr>
      <w:tr w:rsidR="008902C5" w:rsidRPr="00887119" w14:paraId="0A9A5D2E" w14:textId="77777777" w:rsidTr="00CC6BC1">
        <w:trPr>
          <w:trHeight w:val="402"/>
        </w:trPr>
        <w:tc>
          <w:tcPr>
            <w:tcW w:w="1975" w:type="dxa"/>
            <w:tcBorders>
              <w:top w:val="nil"/>
              <w:left w:val="single" w:sz="4" w:space="0" w:color="auto"/>
              <w:bottom w:val="single" w:sz="4" w:space="0" w:color="BFBFBF"/>
              <w:right w:val="single" w:sz="4" w:space="0" w:color="auto"/>
            </w:tcBorders>
            <w:shd w:val="clear" w:color="000000" w:fill="F2F2F2"/>
            <w:noWrap/>
            <w:vAlign w:val="center"/>
            <w:hideMark/>
          </w:tcPr>
          <w:p w14:paraId="6E1E7FE1" w14:textId="77777777" w:rsidR="008902C5" w:rsidRPr="00887119" w:rsidRDefault="008902C5" w:rsidP="008902C5">
            <w:pPr>
              <w:rPr>
                <w:rFonts w:eastAsia="Times New Roman"/>
                <w:color w:val="000000"/>
                <w:sz w:val="18"/>
                <w:szCs w:val="18"/>
              </w:rPr>
            </w:pPr>
            <w:r w:rsidRPr="00887119">
              <w:rPr>
                <w:color w:val="000000"/>
                <w:sz w:val="18"/>
                <w:szCs w:val="18"/>
              </w:rPr>
              <w:t>Duplex</w:t>
            </w:r>
          </w:p>
        </w:tc>
        <w:tc>
          <w:tcPr>
            <w:tcW w:w="1229" w:type="dxa"/>
            <w:tcBorders>
              <w:top w:val="nil"/>
              <w:left w:val="nil"/>
              <w:bottom w:val="single" w:sz="4" w:space="0" w:color="BFBFBF"/>
              <w:right w:val="single" w:sz="4" w:space="0" w:color="BFBFBF"/>
            </w:tcBorders>
            <w:shd w:val="clear" w:color="000000" w:fill="F2F2F2"/>
            <w:noWrap/>
            <w:vAlign w:val="center"/>
            <w:hideMark/>
          </w:tcPr>
          <w:p w14:paraId="231CCBA8" w14:textId="11C816C9" w:rsidR="008902C5" w:rsidRPr="002E10EB" w:rsidRDefault="008902C5" w:rsidP="008902C5">
            <w:pPr>
              <w:jc w:val="right"/>
              <w:rPr>
                <w:rFonts w:eastAsia="Times New Roman"/>
                <w:color w:val="C00000"/>
                <w:sz w:val="18"/>
                <w:szCs w:val="18"/>
              </w:rPr>
            </w:pPr>
            <w:r w:rsidRPr="002E10EB">
              <w:rPr>
                <w:rFonts w:cs="Arial"/>
                <w:color w:val="C00000"/>
                <w:sz w:val="18"/>
                <w:szCs w:val="18"/>
              </w:rPr>
              <w:t>69</w:t>
            </w:r>
          </w:p>
        </w:tc>
        <w:tc>
          <w:tcPr>
            <w:tcW w:w="1229" w:type="dxa"/>
            <w:tcBorders>
              <w:top w:val="nil"/>
              <w:left w:val="nil"/>
              <w:bottom w:val="single" w:sz="4" w:space="0" w:color="BFBFBF"/>
              <w:right w:val="single" w:sz="4" w:space="0" w:color="BFBFBF"/>
            </w:tcBorders>
            <w:shd w:val="clear" w:color="000000" w:fill="F2F2F2"/>
            <w:noWrap/>
            <w:vAlign w:val="center"/>
            <w:hideMark/>
          </w:tcPr>
          <w:p w14:paraId="22BDBBAF" w14:textId="70EE9EBE" w:rsidR="008902C5" w:rsidRPr="002E10EB" w:rsidRDefault="008902C5" w:rsidP="008902C5">
            <w:pPr>
              <w:jc w:val="right"/>
              <w:rPr>
                <w:rFonts w:eastAsia="Times New Roman"/>
                <w:color w:val="C00000"/>
                <w:sz w:val="18"/>
                <w:szCs w:val="18"/>
              </w:rPr>
            </w:pPr>
            <w:r w:rsidRPr="002E10EB">
              <w:rPr>
                <w:rFonts w:cs="Arial"/>
                <w:color w:val="C00000"/>
                <w:sz w:val="18"/>
                <w:szCs w:val="18"/>
              </w:rPr>
              <w:t>108</w:t>
            </w:r>
          </w:p>
        </w:tc>
        <w:tc>
          <w:tcPr>
            <w:tcW w:w="1229" w:type="dxa"/>
            <w:tcBorders>
              <w:top w:val="nil"/>
              <w:left w:val="nil"/>
              <w:bottom w:val="single" w:sz="4" w:space="0" w:color="BFBFBF"/>
              <w:right w:val="single" w:sz="4" w:space="0" w:color="BFBFBF"/>
            </w:tcBorders>
            <w:shd w:val="clear" w:color="000000" w:fill="F2F2F2"/>
            <w:noWrap/>
            <w:vAlign w:val="center"/>
            <w:hideMark/>
          </w:tcPr>
          <w:p w14:paraId="63D5DF45" w14:textId="549BD9C0" w:rsidR="008902C5" w:rsidRPr="002E10EB" w:rsidRDefault="008902C5" w:rsidP="008902C5">
            <w:pPr>
              <w:jc w:val="right"/>
              <w:rPr>
                <w:rFonts w:eastAsia="Times New Roman"/>
                <w:color w:val="C00000"/>
                <w:sz w:val="18"/>
                <w:szCs w:val="18"/>
              </w:rPr>
            </w:pPr>
            <w:r w:rsidRPr="002E10EB">
              <w:rPr>
                <w:rFonts w:cs="Arial"/>
                <w:color w:val="C00000"/>
                <w:sz w:val="18"/>
                <w:szCs w:val="18"/>
              </w:rPr>
              <w:t>118</w:t>
            </w:r>
          </w:p>
        </w:tc>
        <w:tc>
          <w:tcPr>
            <w:tcW w:w="1229" w:type="dxa"/>
            <w:tcBorders>
              <w:top w:val="nil"/>
              <w:left w:val="nil"/>
              <w:bottom w:val="single" w:sz="4" w:space="0" w:color="BFBFBF"/>
              <w:right w:val="single" w:sz="4" w:space="0" w:color="BFBFBF"/>
            </w:tcBorders>
            <w:shd w:val="clear" w:color="000000" w:fill="F2F2F2"/>
            <w:noWrap/>
            <w:vAlign w:val="center"/>
            <w:hideMark/>
          </w:tcPr>
          <w:p w14:paraId="1EE34AD6" w14:textId="0DE41A35" w:rsidR="008902C5" w:rsidRPr="002E10EB" w:rsidRDefault="008902C5" w:rsidP="008902C5">
            <w:pPr>
              <w:jc w:val="right"/>
              <w:rPr>
                <w:rFonts w:eastAsia="Times New Roman"/>
                <w:color w:val="C00000"/>
                <w:sz w:val="18"/>
                <w:szCs w:val="18"/>
              </w:rPr>
            </w:pPr>
            <w:r w:rsidRPr="002E10EB">
              <w:rPr>
                <w:rFonts w:cs="Arial"/>
                <w:color w:val="C00000"/>
                <w:sz w:val="18"/>
                <w:szCs w:val="18"/>
              </w:rPr>
              <w:t>208</w:t>
            </w:r>
          </w:p>
        </w:tc>
        <w:tc>
          <w:tcPr>
            <w:tcW w:w="1229" w:type="dxa"/>
            <w:tcBorders>
              <w:top w:val="nil"/>
              <w:left w:val="nil"/>
              <w:bottom w:val="single" w:sz="4" w:space="0" w:color="BFBFBF"/>
              <w:right w:val="single" w:sz="4" w:space="0" w:color="BFBFBF"/>
            </w:tcBorders>
            <w:shd w:val="clear" w:color="000000" w:fill="F2F2F2"/>
            <w:noWrap/>
            <w:vAlign w:val="center"/>
            <w:hideMark/>
          </w:tcPr>
          <w:p w14:paraId="10BAB562" w14:textId="39F6F6D4" w:rsidR="008902C5" w:rsidRPr="002E10EB" w:rsidRDefault="008902C5" w:rsidP="008902C5">
            <w:pPr>
              <w:jc w:val="right"/>
              <w:rPr>
                <w:rFonts w:eastAsia="Times New Roman"/>
                <w:color w:val="C00000"/>
                <w:sz w:val="18"/>
                <w:szCs w:val="18"/>
              </w:rPr>
            </w:pPr>
            <w:r w:rsidRPr="002E10EB">
              <w:rPr>
                <w:rFonts w:cs="Arial"/>
                <w:color w:val="C00000"/>
                <w:sz w:val="18"/>
                <w:szCs w:val="18"/>
              </w:rPr>
              <w:t>127</w:t>
            </w:r>
          </w:p>
        </w:tc>
        <w:tc>
          <w:tcPr>
            <w:tcW w:w="1230" w:type="dxa"/>
            <w:tcBorders>
              <w:top w:val="nil"/>
              <w:left w:val="nil"/>
              <w:bottom w:val="single" w:sz="4" w:space="0" w:color="BFBFBF"/>
              <w:right w:val="single" w:sz="4" w:space="0" w:color="auto"/>
            </w:tcBorders>
            <w:shd w:val="clear" w:color="000000" w:fill="F2F2F2"/>
            <w:noWrap/>
            <w:vAlign w:val="center"/>
            <w:hideMark/>
          </w:tcPr>
          <w:p w14:paraId="65CD2892" w14:textId="77096C83" w:rsidR="008902C5" w:rsidRPr="002E10EB" w:rsidRDefault="008902C5" w:rsidP="008902C5">
            <w:pPr>
              <w:jc w:val="right"/>
              <w:rPr>
                <w:rFonts w:eastAsia="Times New Roman"/>
                <w:color w:val="C00000"/>
                <w:sz w:val="18"/>
                <w:szCs w:val="18"/>
              </w:rPr>
            </w:pPr>
            <w:r w:rsidRPr="002E10EB">
              <w:rPr>
                <w:rFonts w:cs="Arial"/>
                <w:color w:val="C00000"/>
                <w:sz w:val="18"/>
                <w:szCs w:val="18"/>
              </w:rPr>
              <w:t>131</w:t>
            </w:r>
          </w:p>
        </w:tc>
      </w:tr>
      <w:tr w:rsidR="008902C5" w:rsidRPr="00887119" w14:paraId="2814BEF8" w14:textId="77777777" w:rsidTr="00CC6BC1">
        <w:trPr>
          <w:trHeight w:val="402"/>
        </w:trPr>
        <w:tc>
          <w:tcPr>
            <w:tcW w:w="1975" w:type="dxa"/>
            <w:tcBorders>
              <w:top w:val="nil"/>
              <w:left w:val="single" w:sz="4" w:space="0" w:color="auto"/>
              <w:bottom w:val="single" w:sz="4" w:space="0" w:color="BFBFBF"/>
              <w:right w:val="single" w:sz="4" w:space="0" w:color="auto"/>
            </w:tcBorders>
            <w:noWrap/>
            <w:vAlign w:val="center"/>
            <w:hideMark/>
          </w:tcPr>
          <w:p w14:paraId="5EF57604" w14:textId="77777777" w:rsidR="008902C5" w:rsidRPr="00887119" w:rsidRDefault="008902C5" w:rsidP="008902C5">
            <w:pPr>
              <w:rPr>
                <w:rFonts w:eastAsia="Times New Roman"/>
                <w:color w:val="000000"/>
                <w:sz w:val="18"/>
                <w:szCs w:val="18"/>
              </w:rPr>
            </w:pPr>
            <w:r w:rsidRPr="00887119">
              <w:rPr>
                <w:color w:val="000000"/>
                <w:sz w:val="18"/>
                <w:szCs w:val="18"/>
              </w:rPr>
              <w:t>Mobile</w:t>
            </w:r>
          </w:p>
        </w:tc>
        <w:tc>
          <w:tcPr>
            <w:tcW w:w="1229" w:type="dxa"/>
            <w:tcBorders>
              <w:top w:val="nil"/>
              <w:left w:val="nil"/>
              <w:bottom w:val="single" w:sz="4" w:space="0" w:color="BFBFBF"/>
              <w:right w:val="single" w:sz="4" w:space="0" w:color="BFBFBF"/>
            </w:tcBorders>
            <w:noWrap/>
            <w:vAlign w:val="center"/>
            <w:hideMark/>
          </w:tcPr>
          <w:p w14:paraId="09BD5C29" w14:textId="4A75844B" w:rsidR="008902C5" w:rsidRPr="002E10EB" w:rsidRDefault="008902C5" w:rsidP="008902C5">
            <w:pPr>
              <w:jc w:val="right"/>
              <w:rPr>
                <w:rFonts w:eastAsia="Times New Roman"/>
                <w:color w:val="C00000"/>
                <w:sz w:val="18"/>
                <w:szCs w:val="18"/>
              </w:rPr>
            </w:pPr>
            <w:r w:rsidRPr="002E10EB">
              <w:rPr>
                <w:rFonts w:cs="Arial"/>
                <w:color w:val="C00000"/>
                <w:sz w:val="18"/>
                <w:szCs w:val="18"/>
              </w:rPr>
              <w:t>82</w:t>
            </w:r>
          </w:p>
        </w:tc>
        <w:tc>
          <w:tcPr>
            <w:tcW w:w="1229" w:type="dxa"/>
            <w:tcBorders>
              <w:top w:val="nil"/>
              <w:left w:val="nil"/>
              <w:bottom w:val="single" w:sz="4" w:space="0" w:color="BFBFBF"/>
              <w:right w:val="single" w:sz="4" w:space="0" w:color="BFBFBF"/>
            </w:tcBorders>
            <w:noWrap/>
            <w:vAlign w:val="center"/>
            <w:hideMark/>
          </w:tcPr>
          <w:p w14:paraId="4085492A" w14:textId="39D0C9BA" w:rsidR="008902C5" w:rsidRPr="002E10EB" w:rsidRDefault="008902C5" w:rsidP="008902C5">
            <w:pPr>
              <w:jc w:val="right"/>
              <w:rPr>
                <w:rFonts w:eastAsia="Times New Roman"/>
                <w:color w:val="C00000"/>
                <w:sz w:val="18"/>
                <w:szCs w:val="18"/>
              </w:rPr>
            </w:pPr>
            <w:r w:rsidRPr="002E10EB">
              <w:rPr>
                <w:rFonts w:cs="Arial"/>
                <w:color w:val="C00000"/>
                <w:sz w:val="18"/>
                <w:szCs w:val="18"/>
              </w:rPr>
              <w:t>109</w:t>
            </w:r>
          </w:p>
        </w:tc>
        <w:tc>
          <w:tcPr>
            <w:tcW w:w="1229" w:type="dxa"/>
            <w:tcBorders>
              <w:top w:val="nil"/>
              <w:left w:val="nil"/>
              <w:bottom w:val="single" w:sz="4" w:space="0" w:color="BFBFBF"/>
              <w:right w:val="single" w:sz="4" w:space="0" w:color="BFBFBF"/>
            </w:tcBorders>
            <w:noWrap/>
            <w:vAlign w:val="center"/>
            <w:hideMark/>
          </w:tcPr>
          <w:p w14:paraId="5454B9E8" w14:textId="03C1FE8E" w:rsidR="008902C5" w:rsidRPr="002E10EB" w:rsidRDefault="008902C5" w:rsidP="008902C5">
            <w:pPr>
              <w:jc w:val="right"/>
              <w:rPr>
                <w:rFonts w:eastAsia="Times New Roman"/>
                <w:color w:val="C00000"/>
                <w:sz w:val="18"/>
                <w:szCs w:val="18"/>
              </w:rPr>
            </w:pPr>
            <w:r w:rsidRPr="002E10EB">
              <w:rPr>
                <w:rFonts w:cs="Arial"/>
                <w:color w:val="C00000"/>
                <w:sz w:val="18"/>
                <w:szCs w:val="18"/>
              </w:rPr>
              <w:t>86</w:t>
            </w:r>
          </w:p>
        </w:tc>
        <w:tc>
          <w:tcPr>
            <w:tcW w:w="1229" w:type="dxa"/>
            <w:tcBorders>
              <w:top w:val="nil"/>
              <w:left w:val="nil"/>
              <w:bottom w:val="single" w:sz="4" w:space="0" w:color="BFBFBF"/>
              <w:right w:val="single" w:sz="4" w:space="0" w:color="BFBFBF"/>
            </w:tcBorders>
            <w:noWrap/>
            <w:vAlign w:val="center"/>
            <w:hideMark/>
          </w:tcPr>
          <w:p w14:paraId="516CD777" w14:textId="2EF2FAD3" w:rsidR="008902C5" w:rsidRPr="002E10EB" w:rsidRDefault="008902C5" w:rsidP="008902C5">
            <w:pPr>
              <w:jc w:val="right"/>
              <w:rPr>
                <w:rFonts w:eastAsia="Times New Roman"/>
                <w:color w:val="C00000"/>
                <w:sz w:val="18"/>
                <w:szCs w:val="18"/>
              </w:rPr>
            </w:pPr>
            <w:r w:rsidRPr="002E10EB">
              <w:rPr>
                <w:rFonts w:cs="Arial"/>
                <w:color w:val="C00000"/>
                <w:sz w:val="18"/>
                <w:szCs w:val="18"/>
              </w:rPr>
              <w:t>114</w:t>
            </w:r>
          </w:p>
        </w:tc>
        <w:tc>
          <w:tcPr>
            <w:tcW w:w="1229" w:type="dxa"/>
            <w:tcBorders>
              <w:top w:val="nil"/>
              <w:left w:val="nil"/>
              <w:bottom w:val="single" w:sz="4" w:space="0" w:color="BFBFBF"/>
              <w:right w:val="single" w:sz="4" w:space="0" w:color="BFBFBF"/>
            </w:tcBorders>
            <w:noWrap/>
            <w:vAlign w:val="center"/>
            <w:hideMark/>
          </w:tcPr>
          <w:p w14:paraId="5792D66E" w14:textId="5522A6FA" w:rsidR="008902C5" w:rsidRPr="002E10EB" w:rsidRDefault="008902C5" w:rsidP="008902C5">
            <w:pPr>
              <w:jc w:val="right"/>
              <w:rPr>
                <w:rFonts w:eastAsia="Times New Roman"/>
                <w:color w:val="C00000"/>
                <w:sz w:val="18"/>
                <w:szCs w:val="18"/>
              </w:rPr>
            </w:pPr>
            <w:r w:rsidRPr="002E10EB">
              <w:rPr>
                <w:rFonts w:cs="Arial"/>
                <w:color w:val="C00000"/>
                <w:sz w:val="18"/>
                <w:szCs w:val="18"/>
              </w:rPr>
              <w:t>26</w:t>
            </w:r>
          </w:p>
        </w:tc>
        <w:tc>
          <w:tcPr>
            <w:tcW w:w="1230" w:type="dxa"/>
            <w:tcBorders>
              <w:top w:val="nil"/>
              <w:left w:val="nil"/>
              <w:bottom w:val="single" w:sz="4" w:space="0" w:color="BFBFBF"/>
              <w:right w:val="single" w:sz="4" w:space="0" w:color="auto"/>
            </w:tcBorders>
            <w:noWrap/>
            <w:vAlign w:val="center"/>
            <w:hideMark/>
          </w:tcPr>
          <w:p w14:paraId="373930DF" w14:textId="3BD02267" w:rsidR="008902C5" w:rsidRPr="002E10EB" w:rsidRDefault="008902C5" w:rsidP="008902C5">
            <w:pPr>
              <w:jc w:val="right"/>
              <w:rPr>
                <w:rFonts w:eastAsia="Times New Roman"/>
                <w:color w:val="C00000"/>
                <w:sz w:val="18"/>
                <w:szCs w:val="18"/>
              </w:rPr>
            </w:pPr>
            <w:r w:rsidRPr="002E10EB">
              <w:rPr>
                <w:rFonts w:cs="Arial"/>
                <w:color w:val="C00000"/>
                <w:sz w:val="18"/>
                <w:szCs w:val="18"/>
              </w:rPr>
              <w:t>33</w:t>
            </w:r>
          </w:p>
        </w:tc>
      </w:tr>
      <w:tr w:rsidR="008902C5" w:rsidRPr="00887119" w14:paraId="4110779A" w14:textId="77777777" w:rsidTr="00CC6BC1">
        <w:trPr>
          <w:trHeight w:val="402"/>
        </w:trPr>
        <w:tc>
          <w:tcPr>
            <w:tcW w:w="1975" w:type="dxa"/>
            <w:tcBorders>
              <w:top w:val="nil"/>
              <w:left w:val="single" w:sz="4" w:space="0" w:color="auto"/>
              <w:bottom w:val="single" w:sz="4" w:space="0" w:color="BFBFBF"/>
              <w:right w:val="single" w:sz="4" w:space="0" w:color="auto"/>
            </w:tcBorders>
            <w:shd w:val="clear" w:color="000000" w:fill="F2F2F2"/>
            <w:noWrap/>
            <w:vAlign w:val="center"/>
            <w:hideMark/>
          </w:tcPr>
          <w:p w14:paraId="3EEEEF69" w14:textId="77777777" w:rsidR="008902C5" w:rsidRPr="00887119" w:rsidRDefault="008902C5" w:rsidP="008902C5">
            <w:pPr>
              <w:rPr>
                <w:rFonts w:eastAsia="Times New Roman"/>
                <w:color w:val="000000"/>
                <w:sz w:val="18"/>
                <w:szCs w:val="18"/>
              </w:rPr>
            </w:pPr>
            <w:r w:rsidRPr="00887119">
              <w:rPr>
                <w:color w:val="000000"/>
                <w:sz w:val="18"/>
                <w:szCs w:val="18"/>
              </w:rPr>
              <w:t>Row</w:t>
            </w:r>
          </w:p>
        </w:tc>
        <w:tc>
          <w:tcPr>
            <w:tcW w:w="1229" w:type="dxa"/>
            <w:tcBorders>
              <w:top w:val="nil"/>
              <w:left w:val="nil"/>
              <w:bottom w:val="single" w:sz="4" w:space="0" w:color="BFBFBF"/>
              <w:right w:val="single" w:sz="4" w:space="0" w:color="BFBFBF"/>
            </w:tcBorders>
            <w:shd w:val="clear" w:color="000000" w:fill="F2F2F2"/>
            <w:noWrap/>
            <w:vAlign w:val="center"/>
            <w:hideMark/>
          </w:tcPr>
          <w:p w14:paraId="6F635546" w14:textId="23845A7D" w:rsidR="008902C5" w:rsidRPr="002E10EB" w:rsidRDefault="008902C5" w:rsidP="008902C5">
            <w:pPr>
              <w:jc w:val="right"/>
              <w:rPr>
                <w:rFonts w:eastAsia="Times New Roman"/>
                <w:color w:val="C00000"/>
                <w:sz w:val="18"/>
                <w:szCs w:val="18"/>
              </w:rPr>
            </w:pPr>
            <w:r w:rsidRPr="002E10EB">
              <w:rPr>
                <w:rFonts w:cs="Arial"/>
                <w:color w:val="C00000"/>
                <w:sz w:val="18"/>
                <w:szCs w:val="18"/>
              </w:rPr>
              <w:t>60</w:t>
            </w:r>
          </w:p>
        </w:tc>
        <w:tc>
          <w:tcPr>
            <w:tcW w:w="1229" w:type="dxa"/>
            <w:tcBorders>
              <w:top w:val="nil"/>
              <w:left w:val="nil"/>
              <w:bottom w:val="single" w:sz="4" w:space="0" w:color="BFBFBF"/>
              <w:right w:val="single" w:sz="4" w:space="0" w:color="BFBFBF"/>
            </w:tcBorders>
            <w:shd w:val="clear" w:color="000000" w:fill="F2F2F2"/>
            <w:noWrap/>
            <w:vAlign w:val="center"/>
            <w:hideMark/>
          </w:tcPr>
          <w:p w14:paraId="50CB5F3B" w14:textId="62107631" w:rsidR="008902C5" w:rsidRPr="002E10EB" w:rsidRDefault="008902C5" w:rsidP="008902C5">
            <w:pPr>
              <w:jc w:val="right"/>
              <w:rPr>
                <w:rFonts w:eastAsia="Times New Roman"/>
                <w:color w:val="C00000"/>
                <w:sz w:val="18"/>
                <w:szCs w:val="18"/>
              </w:rPr>
            </w:pPr>
            <w:r w:rsidRPr="002E10EB">
              <w:rPr>
                <w:rFonts w:cs="Arial"/>
                <w:color w:val="C00000"/>
                <w:sz w:val="18"/>
                <w:szCs w:val="18"/>
              </w:rPr>
              <w:t>118</w:t>
            </w:r>
          </w:p>
        </w:tc>
        <w:tc>
          <w:tcPr>
            <w:tcW w:w="1229" w:type="dxa"/>
            <w:tcBorders>
              <w:top w:val="nil"/>
              <w:left w:val="nil"/>
              <w:bottom w:val="single" w:sz="4" w:space="0" w:color="BFBFBF"/>
              <w:right w:val="single" w:sz="4" w:space="0" w:color="BFBFBF"/>
            </w:tcBorders>
            <w:shd w:val="clear" w:color="000000" w:fill="F2F2F2"/>
            <w:noWrap/>
            <w:vAlign w:val="center"/>
            <w:hideMark/>
          </w:tcPr>
          <w:p w14:paraId="25113D91" w14:textId="23699A1E" w:rsidR="008902C5" w:rsidRPr="002E10EB" w:rsidRDefault="008902C5" w:rsidP="008902C5">
            <w:pPr>
              <w:jc w:val="right"/>
              <w:rPr>
                <w:rFonts w:eastAsia="Times New Roman"/>
                <w:color w:val="C00000"/>
                <w:sz w:val="18"/>
                <w:szCs w:val="18"/>
              </w:rPr>
            </w:pPr>
            <w:r w:rsidRPr="002E10EB">
              <w:rPr>
                <w:rFonts w:cs="Arial"/>
                <w:color w:val="C00000"/>
                <w:sz w:val="18"/>
                <w:szCs w:val="18"/>
              </w:rPr>
              <w:t>142</w:t>
            </w:r>
          </w:p>
        </w:tc>
        <w:tc>
          <w:tcPr>
            <w:tcW w:w="1229" w:type="dxa"/>
            <w:tcBorders>
              <w:top w:val="nil"/>
              <w:left w:val="nil"/>
              <w:bottom w:val="single" w:sz="4" w:space="0" w:color="BFBFBF"/>
              <w:right w:val="single" w:sz="4" w:space="0" w:color="BFBFBF"/>
            </w:tcBorders>
            <w:shd w:val="clear" w:color="000000" w:fill="F2F2F2"/>
            <w:noWrap/>
            <w:vAlign w:val="center"/>
            <w:hideMark/>
          </w:tcPr>
          <w:p w14:paraId="2173A311" w14:textId="2DE5A90D" w:rsidR="008902C5" w:rsidRPr="002E10EB" w:rsidRDefault="008902C5" w:rsidP="008902C5">
            <w:pPr>
              <w:jc w:val="right"/>
              <w:rPr>
                <w:rFonts w:eastAsia="Times New Roman"/>
                <w:color w:val="C00000"/>
                <w:sz w:val="18"/>
                <w:szCs w:val="18"/>
              </w:rPr>
            </w:pPr>
            <w:r w:rsidRPr="002E10EB">
              <w:rPr>
                <w:rFonts w:cs="Arial"/>
                <w:color w:val="C00000"/>
                <w:sz w:val="18"/>
                <w:szCs w:val="18"/>
              </w:rPr>
              <w:t>143</w:t>
            </w:r>
          </w:p>
        </w:tc>
        <w:tc>
          <w:tcPr>
            <w:tcW w:w="1229" w:type="dxa"/>
            <w:tcBorders>
              <w:top w:val="nil"/>
              <w:left w:val="nil"/>
              <w:bottom w:val="single" w:sz="4" w:space="0" w:color="BFBFBF"/>
              <w:right w:val="single" w:sz="4" w:space="0" w:color="BFBFBF"/>
            </w:tcBorders>
            <w:shd w:val="clear" w:color="000000" w:fill="F2F2F2"/>
            <w:noWrap/>
            <w:vAlign w:val="center"/>
            <w:hideMark/>
          </w:tcPr>
          <w:p w14:paraId="6C439046" w14:textId="4B88C508" w:rsidR="008902C5" w:rsidRPr="002E10EB" w:rsidRDefault="008902C5" w:rsidP="008902C5">
            <w:pPr>
              <w:jc w:val="right"/>
              <w:rPr>
                <w:rFonts w:eastAsia="Times New Roman"/>
                <w:color w:val="C00000"/>
                <w:sz w:val="18"/>
                <w:szCs w:val="18"/>
              </w:rPr>
            </w:pPr>
            <w:r w:rsidRPr="002E10EB">
              <w:rPr>
                <w:rFonts w:cs="Arial"/>
                <w:color w:val="C00000"/>
                <w:sz w:val="18"/>
                <w:szCs w:val="18"/>
              </w:rPr>
              <w:t>148</w:t>
            </w:r>
          </w:p>
        </w:tc>
        <w:tc>
          <w:tcPr>
            <w:tcW w:w="1230" w:type="dxa"/>
            <w:tcBorders>
              <w:top w:val="nil"/>
              <w:left w:val="nil"/>
              <w:bottom w:val="single" w:sz="4" w:space="0" w:color="BFBFBF"/>
              <w:right w:val="single" w:sz="4" w:space="0" w:color="auto"/>
            </w:tcBorders>
            <w:shd w:val="clear" w:color="000000" w:fill="F2F2F2"/>
            <w:noWrap/>
            <w:vAlign w:val="center"/>
            <w:hideMark/>
          </w:tcPr>
          <w:p w14:paraId="7702CA1B" w14:textId="4B1874F1" w:rsidR="008902C5" w:rsidRPr="002E10EB" w:rsidRDefault="008902C5" w:rsidP="008902C5">
            <w:pPr>
              <w:jc w:val="right"/>
              <w:rPr>
                <w:rFonts w:eastAsia="Times New Roman"/>
                <w:color w:val="C00000"/>
                <w:sz w:val="18"/>
                <w:szCs w:val="18"/>
              </w:rPr>
            </w:pPr>
            <w:r w:rsidRPr="002E10EB">
              <w:rPr>
                <w:rFonts w:cs="Arial"/>
                <w:color w:val="C00000"/>
                <w:sz w:val="18"/>
                <w:szCs w:val="18"/>
              </w:rPr>
              <w:t>73</w:t>
            </w:r>
          </w:p>
        </w:tc>
      </w:tr>
      <w:tr w:rsidR="008902C5" w:rsidRPr="00887119" w14:paraId="4BC5CF19" w14:textId="77777777" w:rsidTr="00CC6BC1">
        <w:trPr>
          <w:trHeight w:val="402"/>
        </w:trPr>
        <w:tc>
          <w:tcPr>
            <w:tcW w:w="1975" w:type="dxa"/>
            <w:tcBorders>
              <w:top w:val="nil"/>
              <w:left w:val="single" w:sz="4" w:space="0" w:color="auto"/>
              <w:bottom w:val="single" w:sz="4" w:space="0" w:color="auto"/>
              <w:right w:val="single" w:sz="4" w:space="0" w:color="auto"/>
            </w:tcBorders>
            <w:noWrap/>
            <w:vAlign w:val="center"/>
            <w:hideMark/>
          </w:tcPr>
          <w:p w14:paraId="2FC92A49" w14:textId="77777777" w:rsidR="008902C5" w:rsidRPr="00887119" w:rsidRDefault="008902C5" w:rsidP="008902C5">
            <w:pPr>
              <w:rPr>
                <w:rFonts w:eastAsia="Times New Roman"/>
                <w:color w:val="000000"/>
                <w:sz w:val="18"/>
                <w:szCs w:val="18"/>
              </w:rPr>
            </w:pPr>
            <w:r w:rsidRPr="00887119">
              <w:rPr>
                <w:color w:val="000000"/>
                <w:sz w:val="18"/>
                <w:szCs w:val="18"/>
              </w:rPr>
              <w:t>Single</w:t>
            </w:r>
          </w:p>
        </w:tc>
        <w:tc>
          <w:tcPr>
            <w:tcW w:w="1229" w:type="dxa"/>
            <w:tcBorders>
              <w:top w:val="nil"/>
              <w:left w:val="nil"/>
              <w:bottom w:val="single" w:sz="4" w:space="0" w:color="auto"/>
              <w:right w:val="single" w:sz="4" w:space="0" w:color="BFBFBF"/>
            </w:tcBorders>
            <w:noWrap/>
            <w:vAlign w:val="center"/>
            <w:hideMark/>
          </w:tcPr>
          <w:p w14:paraId="5367F61B" w14:textId="514F7286" w:rsidR="008902C5" w:rsidRPr="002E10EB" w:rsidRDefault="008902C5" w:rsidP="008902C5">
            <w:pPr>
              <w:jc w:val="right"/>
              <w:rPr>
                <w:rFonts w:eastAsia="Times New Roman"/>
                <w:color w:val="C00000"/>
                <w:sz w:val="18"/>
                <w:szCs w:val="18"/>
              </w:rPr>
            </w:pPr>
            <w:r w:rsidRPr="002E10EB">
              <w:rPr>
                <w:rFonts w:cs="Arial"/>
                <w:color w:val="C00000"/>
                <w:sz w:val="18"/>
                <w:szCs w:val="18"/>
              </w:rPr>
              <w:t>410</w:t>
            </w:r>
          </w:p>
        </w:tc>
        <w:tc>
          <w:tcPr>
            <w:tcW w:w="1229" w:type="dxa"/>
            <w:tcBorders>
              <w:top w:val="nil"/>
              <w:left w:val="nil"/>
              <w:bottom w:val="single" w:sz="4" w:space="0" w:color="auto"/>
              <w:right w:val="single" w:sz="4" w:space="0" w:color="BFBFBF"/>
            </w:tcBorders>
            <w:noWrap/>
            <w:vAlign w:val="center"/>
            <w:hideMark/>
          </w:tcPr>
          <w:p w14:paraId="56593D81" w14:textId="679C44FA" w:rsidR="008902C5" w:rsidRPr="002E10EB" w:rsidRDefault="008902C5" w:rsidP="008902C5">
            <w:pPr>
              <w:jc w:val="right"/>
              <w:rPr>
                <w:rFonts w:eastAsia="Times New Roman"/>
                <w:color w:val="C00000"/>
                <w:sz w:val="18"/>
                <w:szCs w:val="18"/>
              </w:rPr>
            </w:pPr>
            <w:r w:rsidRPr="002E10EB">
              <w:rPr>
                <w:rFonts w:cs="Arial"/>
                <w:color w:val="C00000"/>
                <w:sz w:val="18"/>
                <w:szCs w:val="18"/>
              </w:rPr>
              <w:t>474</w:t>
            </w:r>
          </w:p>
        </w:tc>
        <w:tc>
          <w:tcPr>
            <w:tcW w:w="1229" w:type="dxa"/>
            <w:tcBorders>
              <w:top w:val="nil"/>
              <w:left w:val="nil"/>
              <w:bottom w:val="single" w:sz="4" w:space="0" w:color="auto"/>
              <w:right w:val="single" w:sz="4" w:space="0" w:color="BFBFBF"/>
            </w:tcBorders>
            <w:noWrap/>
            <w:vAlign w:val="center"/>
            <w:hideMark/>
          </w:tcPr>
          <w:p w14:paraId="38995395" w14:textId="6957CBDF" w:rsidR="008902C5" w:rsidRPr="002E10EB" w:rsidRDefault="008902C5" w:rsidP="008902C5">
            <w:pPr>
              <w:jc w:val="right"/>
              <w:rPr>
                <w:rFonts w:eastAsia="Times New Roman"/>
                <w:color w:val="C00000"/>
                <w:sz w:val="18"/>
                <w:szCs w:val="18"/>
              </w:rPr>
            </w:pPr>
            <w:r w:rsidRPr="002E10EB">
              <w:rPr>
                <w:rFonts w:cs="Arial"/>
                <w:color w:val="C00000"/>
                <w:sz w:val="18"/>
                <w:szCs w:val="18"/>
              </w:rPr>
              <w:t>637</w:t>
            </w:r>
          </w:p>
        </w:tc>
        <w:tc>
          <w:tcPr>
            <w:tcW w:w="1229" w:type="dxa"/>
            <w:tcBorders>
              <w:top w:val="nil"/>
              <w:left w:val="nil"/>
              <w:bottom w:val="single" w:sz="4" w:space="0" w:color="auto"/>
              <w:right w:val="single" w:sz="4" w:space="0" w:color="BFBFBF"/>
            </w:tcBorders>
            <w:noWrap/>
            <w:vAlign w:val="center"/>
            <w:hideMark/>
          </w:tcPr>
          <w:p w14:paraId="6D284D2C" w14:textId="5ACF4F95" w:rsidR="008902C5" w:rsidRPr="002E10EB" w:rsidRDefault="008902C5" w:rsidP="008902C5">
            <w:pPr>
              <w:jc w:val="right"/>
              <w:rPr>
                <w:rFonts w:eastAsia="Times New Roman"/>
                <w:color w:val="C00000"/>
                <w:sz w:val="18"/>
                <w:szCs w:val="18"/>
              </w:rPr>
            </w:pPr>
            <w:r w:rsidRPr="002E10EB">
              <w:rPr>
                <w:rFonts w:cs="Arial"/>
                <w:color w:val="C00000"/>
                <w:sz w:val="18"/>
                <w:szCs w:val="18"/>
              </w:rPr>
              <w:t>742</w:t>
            </w:r>
          </w:p>
        </w:tc>
        <w:tc>
          <w:tcPr>
            <w:tcW w:w="1229" w:type="dxa"/>
            <w:tcBorders>
              <w:top w:val="nil"/>
              <w:left w:val="nil"/>
              <w:bottom w:val="single" w:sz="4" w:space="0" w:color="auto"/>
              <w:right w:val="single" w:sz="4" w:space="0" w:color="BFBFBF"/>
            </w:tcBorders>
            <w:noWrap/>
            <w:vAlign w:val="center"/>
            <w:hideMark/>
          </w:tcPr>
          <w:p w14:paraId="3E258D37" w14:textId="7C4C09EA" w:rsidR="008902C5" w:rsidRPr="002E10EB" w:rsidRDefault="008902C5" w:rsidP="008902C5">
            <w:pPr>
              <w:jc w:val="right"/>
              <w:rPr>
                <w:rFonts w:eastAsia="Times New Roman"/>
                <w:color w:val="C00000"/>
                <w:sz w:val="18"/>
                <w:szCs w:val="18"/>
              </w:rPr>
            </w:pPr>
            <w:r w:rsidRPr="002E10EB">
              <w:rPr>
                <w:rFonts w:cs="Arial"/>
                <w:color w:val="C00000"/>
                <w:sz w:val="18"/>
                <w:szCs w:val="18"/>
              </w:rPr>
              <w:t>580</w:t>
            </w:r>
          </w:p>
        </w:tc>
        <w:tc>
          <w:tcPr>
            <w:tcW w:w="1230" w:type="dxa"/>
            <w:tcBorders>
              <w:top w:val="nil"/>
              <w:left w:val="nil"/>
              <w:bottom w:val="single" w:sz="4" w:space="0" w:color="auto"/>
              <w:right w:val="single" w:sz="4" w:space="0" w:color="auto"/>
            </w:tcBorders>
            <w:noWrap/>
            <w:vAlign w:val="center"/>
            <w:hideMark/>
          </w:tcPr>
          <w:p w14:paraId="41A7571D" w14:textId="105A9C81" w:rsidR="008902C5" w:rsidRPr="002E10EB" w:rsidRDefault="008902C5" w:rsidP="008902C5">
            <w:pPr>
              <w:jc w:val="right"/>
              <w:rPr>
                <w:rFonts w:eastAsia="Times New Roman"/>
                <w:color w:val="C00000"/>
                <w:sz w:val="18"/>
                <w:szCs w:val="18"/>
              </w:rPr>
            </w:pPr>
            <w:r w:rsidRPr="002E10EB">
              <w:rPr>
                <w:rFonts w:cs="Arial"/>
                <w:color w:val="C00000"/>
                <w:sz w:val="18"/>
                <w:szCs w:val="18"/>
              </w:rPr>
              <w:t>365</w:t>
            </w:r>
          </w:p>
        </w:tc>
      </w:tr>
      <w:tr w:rsidR="008902C5" w:rsidRPr="00887119" w14:paraId="380B338E" w14:textId="77777777" w:rsidTr="00CC6BC1">
        <w:trPr>
          <w:trHeight w:val="402"/>
        </w:trPr>
        <w:tc>
          <w:tcPr>
            <w:tcW w:w="1975" w:type="dxa"/>
            <w:tcBorders>
              <w:top w:val="nil"/>
              <w:left w:val="single" w:sz="4" w:space="0" w:color="auto"/>
              <w:bottom w:val="single" w:sz="4" w:space="0" w:color="auto"/>
              <w:right w:val="single" w:sz="4" w:space="0" w:color="auto"/>
            </w:tcBorders>
            <w:shd w:val="clear" w:color="000000" w:fill="F2F2F2"/>
            <w:noWrap/>
            <w:vAlign w:val="center"/>
            <w:hideMark/>
          </w:tcPr>
          <w:p w14:paraId="7EA6CA92" w14:textId="77777777" w:rsidR="008902C5" w:rsidRPr="00887119" w:rsidRDefault="008902C5" w:rsidP="008902C5">
            <w:pPr>
              <w:rPr>
                <w:rFonts w:eastAsia="Times New Roman"/>
                <w:color w:val="000000"/>
                <w:sz w:val="18"/>
                <w:szCs w:val="18"/>
              </w:rPr>
            </w:pPr>
            <w:r w:rsidRPr="00887119">
              <w:rPr>
                <w:color w:val="000000"/>
                <w:sz w:val="18"/>
                <w:szCs w:val="18"/>
              </w:rPr>
              <w:t>% of total dwellings</w:t>
            </w:r>
          </w:p>
        </w:tc>
        <w:tc>
          <w:tcPr>
            <w:tcW w:w="1229" w:type="dxa"/>
            <w:tcBorders>
              <w:top w:val="nil"/>
              <w:left w:val="nil"/>
              <w:bottom w:val="single" w:sz="4" w:space="0" w:color="auto"/>
              <w:right w:val="single" w:sz="4" w:space="0" w:color="BFBFBF"/>
            </w:tcBorders>
            <w:shd w:val="clear" w:color="000000" w:fill="F2F2F2"/>
            <w:noWrap/>
            <w:vAlign w:val="center"/>
            <w:hideMark/>
          </w:tcPr>
          <w:p w14:paraId="5FB630BC" w14:textId="5814D594" w:rsidR="008902C5" w:rsidRPr="002E10EB" w:rsidRDefault="008902C5" w:rsidP="008902C5">
            <w:pPr>
              <w:jc w:val="right"/>
              <w:rPr>
                <w:rFonts w:eastAsia="Times New Roman"/>
                <w:color w:val="C00000"/>
                <w:sz w:val="18"/>
                <w:szCs w:val="18"/>
              </w:rPr>
            </w:pPr>
            <w:r w:rsidRPr="002E10EB">
              <w:rPr>
                <w:rFonts w:cs="Arial"/>
                <w:color w:val="C00000"/>
                <w:sz w:val="18"/>
                <w:szCs w:val="18"/>
              </w:rPr>
              <w:t>1.5%</w:t>
            </w:r>
          </w:p>
        </w:tc>
        <w:tc>
          <w:tcPr>
            <w:tcW w:w="1229" w:type="dxa"/>
            <w:tcBorders>
              <w:top w:val="nil"/>
              <w:left w:val="nil"/>
              <w:bottom w:val="single" w:sz="4" w:space="0" w:color="auto"/>
              <w:right w:val="single" w:sz="4" w:space="0" w:color="BFBFBF"/>
            </w:tcBorders>
            <w:shd w:val="clear" w:color="000000" w:fill="F2F2F2"/>
            <w:noWrap/>
            <w:vAlign w:val="center"/>
            <w:hideMark/>
          </w:tcPr>
          <w:p w14:paraId="6B787323" w14:textId="1E221861" w:rsidR="008902C5" w:rsidRPr="002E10EB" w:rsidRDefault="008902C5" w:rsidP="008902C5">
            <w:pPr>
              <w:jc w:val="right"/>
              <w:rPr>
                <w:rFonts w:eastAsia="Times New Roman"/>
                <w:color w:val="C00000"/>
                <w:sz w:val="18"/>
                <w:szCs w:val="18"/>
              </w:rPr>
            </w:pPr>
            <w:r w:rsidRPr="002E10EB">
              <w:rPr>
                <w:rFonts w:cs="Arial"/>
                <w:color w:val="C00000"/>
                <w:sz w:val="18"/>
                <w:szCs w:val="18"/>
              </w:rPr>
              <w:t>1.9%</w:t>
            </w:r>
          </w:p>
        </w:tc>
        <w:tc>
          <w:tcPr>
            <w:tcW w:w="1229" w:type="dxa"/>
            <w:tcBorders>
              <w:top w:val="nil"/>
              <w:left w:val="nil"/>
              <w:bottom w:val="single" w:sz="4" w:space="0" w:color="auto"/>
              <w:right w:val="single" w:sz="4" w:space="0" w:color="BFBFBF"/>
            </w:tcBorders>
            <w:shd w:val="clear" w:color="000000" w:fill="F2F2F2"/>
            <w:noWrap/>
            <w:vAlign w:val="center"/>
            <w:hideMark/>
          </w:tcPr>
          <w:p w14:paraId="06E5F390" w14:textId="3F20B7BC" w:rsidR="008902C5" w:rsidRPr="002E10EB" w:rsidRDefault="008902C5" w:rsidP="008902C5">
            <w:pPr>
              <w:jc w:val="right"/>
              <w:rPr>
                <w:rFonts w:eastAsia="Times New Roman"/>
                <w:color w:val="C00000"/>
                <w:sz w:val="18"/>
                <w:szCs w:val="18"/>
              </w:rPr>
            </w:pPr>
            <w:r w:rsidRPr="002E10EB">
              <w:rPr>
                <w:rFonts w:cs="Arial"/>
                <w:color w:val="C00000"/>
                <w:sz w:val="18"/>
                <w:szCs w:val="18"/>
              </w:rPr>
              <w:t>2.0%</w:t>
            </w:r>
          </w:p>
        </w:tc>
        <w:tc>
          <w:tcPr>
            <w:tcW w:w="1229" w:type="dxa"/>
            <w:tcBorders>
              <w:top w:val="nil"/>
              <w:left w:val="nil"/>
              <w:bottom w:val="single" w:sz="4" w:space="0" w:color="auto"/>
              <w:right w:val="single" w:sz="4" w:space="0" w:color="BFBFBF"/>
            </w:tcBorders>
            <w:shd w:val="clear" w:color="000000" w:fill="F2F2F2"/>
            <w:noWrap/>
            <w:vAlign w:val="center"/>
            <w:hideMark/>
          </w:tcPr>
          <w:p w14:paraId="3EBD99E1" w14:textId="4F3DBDAE" w:rsidR="008902C5" w:rsidRPr="002E10EB" w:rsidRDefault="008902C5" w:rsidP="008902C5">
            <w:pPr>
              <w:jc w:val="right"/>
              <w:rPr>
                <w:rFonts w:eastAsia="Times New Roman"/>
                <w:color w:val="C00000"/>
                <w:sz w:val="18"/>
                <w:szCs w:val="18"/>
              </w:rPr>
            </w:pPr>
            <w:r w:rsidRPr="002E10EB">
              <w:rPr>
                <w:rFonts w:cs="Arial"/>
                <w:color w:val="C00000"/>
                <w:sz w:val="18"/>
                <w:szCs w:val="18"/>
              </w:rPr>
              <w:t>2.2%</w:t>
            </w:r>
          </w:p>
        </w:tc>
        <w:tc>
          <w:tcPr>
            <w:tcW w:w="1229" w:type="dxa"/>
            <w:tcBorders>
              <w:top w:val="nil"/>
              <w:left w:val="nil"/>
              <w:bottom w:val="single" w:sz="4" w:space="0" w:color="auto"/>
              <w:right w:val="single" w:sz="4" w:space="0" w:color="BFBFBF"/>
            </w:tcBorders>
            <w:shd w:val="clear" w:color="000000" w:fill="F2F2F2"/>
            <w:noWrap/>
            <w:vAlign w:val="center"/>
            <w:hideMark/>
          </w:tcPr>
          <w:p w14:paraId="0AC519EB" w14:textId="11659FBD" w:rsidR="008902C5" w:rsidRPr="002E10EB" w:rsidRDefault="008902C5" w:rsidP="008902C5">
            <w:pPr>
              <w:jc w:val="right"/>
              <w:rPr>
                <w:rFonts w:eastAsia="Times New Roman"/>
                <w:color w:val="C00000"/>
                <w:sz w:val="18"/>
                <w:szCs w:val="18"/>
              </w:rPr>
            </w:pPr>
            <w:r w:rsidRPr="002E10EB">
              <w:rPr>
                <w:rFonts w:cs="Arial"/>
                <w:color w:val="C00000"/>
                <w:sz w:val="18"/>
                <w:szCs w:val="18"/>
              </w:rPr>
              <w:t>1.9%</w:t>
            </w:r>
          </w:p>
        </w:tc>
        <w:tc>
          <w:tcPr>
            <w:tcW w:w="1230" w:type="dxa"/>
            <w:tcBorders>
              <w:top w:val="nil"/>
              <w:left w:val="nil"/>
              <w:bottom w:val="single" w:sz="4" w:space="0" w:color="auto"/>
              <w:right w:val="single" w:sz="4" w:space="0" w:color="auto"/>
            </w:tcBorders>
            <w:shd w:val="clear" w:color="000000" w:fill="F2F2F2"/>
            <w:noWrap/>
            <w:vAlign w:val="center"/>
            <w:hideMark/>
          </w:tcPr>
          <w:p w14:paraId="4680034B" w14:textId="612F4832" w:rsidR="008902C5" w:rsidRPr="002E10EB" w:rsidRDefault="008902C5" w:rsidP="008902C5">
            <w:pPr>
              <w:jc w:val="right"/>
              <w:rPr>
                <w:rFonts w:eastAsia="Times New Roman"/>
                <w:color w:val="C00000"/>
                <w:sz w:val="18"/>
                <w:szCs w:val="18"/>
              </w:rPr>
            </w:pPr>
            <w:r w:rsidRPr="002E10EB">
              <w:rPr>
                <w:rFonts w:cs="Arial"/>
                <w:color w:val="C00000"/>
                <w:sz w:val="18"/>
                <w:szCs w:val="18"/>
              </w:rPr>
              <w:t>1.8%</w:t>
            </w:r>
          </w:p>
        </w:tc>
      </w:tr>
    </w:tbl>
    <w:p w14:paraId="20C5AA3A" w14:textId="77777777" w:rsidR="00952F0E" w:rsidRPr="00887119" w:rsidRDefault="00952F0E" w:rsidP="00952F0E">
      <w:pPr>
        <w:pStyle w:val="Source"/>
      </w:pPr>
      <w:r w:rsidRPr="00887119">
        <w:t>Source: derived from Statistics Canada Table 46-10-0087</w:t>
      </w:r>
    </w:p>
    <w:p w14:paraId="5A202C2A" w14:textId="77777777" w:rsidR="00952F0E" w:rsidRPr="00887119" w:rsidRDefault="00952F0E" w:rsidP="00952F0E"/>
    <w:p w14:paraId="069FE3AD" w14:textId="335E4A45" w:rsidR="006D45D5" w:rsidRPr="00887119" w:rsidRDefault="006D45D5" w:rsidP="006D45D5">
      <w:r w:rsidRPr="00887119">
        <w:t>Provincial permit activity increased from 1,098 units in 2018 to a peak of 1,622 in 2021, before moderating to 1,361 in 2023, a possible response to interest rate increases dampening construction activity. Apartment permits grew from 477 in 2018 to 759 in 2023, suggesting that multi-unit development has represented an increasing share of the pipeline, which represents a positive signal for rental supply production. Single-detached permits peaked in 2021 (742 units) and declined sharply to 365 in 2023, reflecting the combined effects of rising construction costs and higher mortgage rates constraining new ownership supply. The shift toward apartments in the permit mix is encouraging, but the absolute volume of purpose-built rental construction remains modest relative to the scale of identified rental demand and core housing need.</w:t>
      </w:r>
    </w:p>
    <w:p w14:paraId="3EEE12C1" w14:textId="77777777" w:rsidR="006D45D5" w:rsidRPr="00887119" w:rsidRDefault="006D45D5" w:rsidP="006D45D5"/>
    <w:p w14:paraId="4E5244B6" w14:textId="5EEFBEE6" w:rsidR="006D45D5" w:rsidRPr="00887119" w:rsidRDefault="006D45D5" w:rsidP="006D45D5">
      <w:r w:rsidRPr="00887119">
        <w:t xml:space="preserve">Year-over-year volatility in total permit volumes can reflect the influence of a small number of large multi-unit projects </w:t>
      </w:r>
      <w:r w:rsidR="00D01E90" w:rsidRPr="00887119">
        <w:t xml:space="preserve">(especially so </w:t>
      </w:r>
      <w:r w:rsidRPr="00887119">
        <w:t xml:space="preserve">a smaller market like </w:t>
      </w:r>
      <w:r w:rsidR="00402288" w:rsidRPr="00402288">
        <w:rPr>
          <w:color w:val="C00000"/>
        </w:rPr>
        <w:t>PEI</w:t>
      </w:r>
      <w:r w:rsidR="00D01E90" w:rsidRPr="00887119">
        <w:t>)</w:t>
      </w:r>
      <w:r w:rsidRPr="00887119">
        <w:t xml:space="preserve">, so trend lines should be interpreted with some caution. </w:t>
      </w:r>
    </w:p>
    <w:p w14:paraId="4CB533AB" w14:textId="77777777" w:rsidR="00952F0E" w:rsidRPr="00887119" w:rsidRDefault="00952F0E" w:rsidP="00952F0E"/>
    <w:p w14:paraId="5E8C0E98" w14:textId="77777777" w:rsidR="00952F0E" w:rsidRPr="00887119" w:rsidRDefault="00952F0E" w:rsidP="00842B20">
      <w:pPr>
        <w:pStyle w:val="Heading2"/>
      </w:pPr>
      <w:bookmarkStart w:id="89" w:name="_Toc223686644"/>
      <w:bookmarkStart w:id="90" w:name="_Toc225869010"/>
      <w:bookmarkStart w:id="91" w:name="_Toc229051957"/>
      <w:bookmarkStart w:id="92" w:name="_Toc237957440"/>
      <w:r w:rsidRPr="00887119">
        <w:t>RENTAL MARKET</w:t>
      </w:r>
      <w:bookmarkEnd w:id="89"/>
      <w:bookmarkEnd w:id="90"/>
      <w:bookmarkEnd w:id="91"/>
      <w:bookmarkEnd w:id="92"/>
    </w:p>
    <w:p w14:paraId="2DCF5DC0" w14:textId="4CBD9066" w:rsidR="001B2EE8" w:rsidRPr="00887119" w:rsidRDefault="001B2EE8" w:rsidP="001B2EE8">
      <w:r w:rsidRPr="00887119">
        <w:t xml:space="preserve">The rental market is often where housing vulnerability is most acute and most quickly transmitted to households. Renters are disproportionately represented in core housing need across Canada, and rental market conditions (particularly, low vacancy rates and rent escalation) are among the most direct drivers of housing precarity. In </w:t>
      </w:r>
      <w:r w:rsidR="00402288" w:rsidRPr="00402288">
        <w:rPr>
          <w:color w:val="C00000"/>
        </w:rPr>
        <w:t>PEI</w:t>
      </w:r>
      <w:r w:rsidRPr="00887119">
        <w:t>, the rapid population growth of recent years has intensified rental market stress, where demand has</w:t>
      </w:r>
      <w:r w:rsidR="000C15A9" w:rsidRPr="00887119">
        <w:t xml:space="preserve"> mostly</w:t>
      </w:r>
      <w:r w:rsidRPr="00887119">
        <w:t xml:space="preserve"> outpaced new supply and vacancy rates have remained persistently low. A vacancy rate below 3% is widely recognized as indicative of a market under stress, and sustained rent growth that outpaces income growth creates an escalating affordability deficit that is difficult to reverse once established.</w:t>
      </w:r>
    </w:p>
    <w:p w14:paraId="5A10341F" w14:textId="77777777" w:rsidR="00952F0E" w:rsidRPr="00887119" w:rsidRDefault="00952F0E" w:rsidP="00952F0E"/>
    <w:p w14:paraId="3AAC754F" w14:textId="77777777" w:rsidR="00952F0E" w:rsidRPr="00887119" w:rsidRDefault="00952F0E" w:rsidP="00952F0E">
      <w:pPr>
        <w:pStyle w:val="Heading3"/>
      </w:pPr>
      <w:r w:rsidRPr="00887119">
        <w:t>Market Type</w:t>
      </w:r>
    </w:p>
    <w:p w14:paraId="051D2EB2" w14:textId="21B5D5FC" w:rsidR="00952F0E" w:rsidRPr="00887119" w:rsidRDefault="00952F0E" w:rsidP="00952F0E">
      <w:r w:rsidRPr="00887119">
        <w:rPr>
          <w:rStyle w:val="Figure-textChar"/>
        </w:rPr>
        <w:fldChar w:fldCharType="begin"/>
      </w:r>
      <w:r w:rsidRPr="00887119">
        <w:rPr>
          <w:rStyle w:val="Figure-textChar"/>
        </w:rPr>
        <w:instrText xml:space="preserve"> REF _Ref223425977 \h  \* MERGEFORMAT </w:instrText>
      </w:r>
      <w:r w:rsidRPr="00887119">
        <w:rPr>
          <w:rStyle w:val="Figure-textChar"/>
        </w:rPr>
      </w:r>
      <w:r w:rsidRPr="00887119">
        <w:rPr>
          <w:rStyle w:val="Figure-textChar"/>
        </w:rPr>
        <w:fldChar w:fldCharType="separate"/>
      </w:r>
      <w:r w:rsidR="008D4BDE" w:rsidRPr="008D4BDE">
        <w:rPr>
          <w:rStyle w:val="Figure-textChar"/>
        </w:rPr>
        <w:t>Table 8.4</w:t>
      </w:r>
      <w:r w:rsidRPr="00887119">
        <w:rPr>
          <w:rStyle w:val="Figure-textChar"/>
        </w:rPr>
        <w:fldChar w:fldCharType="end"/>
      </w:r>
      <w:r w:rsidRPr="00887119">
        <w:t xml:space="preserve"> </w:t>
      </w:r>
      <w:r w:rsidR="00CF7984" w:rsidRPr="00887119">
        <w:t xml:space="preserve">breaks down the primary and secondary rental markets by dwelling size at the provincial level, providing a baseline for understanding the composition and relative stability of rental supply across </w:t>
      </w:r>
      <w:r w:rsidR="00402288" w:rsidRPr="00402288">
        <w:rPr>
          <w:color w:val="C00000"/>
        </w:rPr>
        <w:t>PEI</w:t>
      </w:r>
      <w:r w:rsidR="00CF7984" w:rsidRPr="00887119">
        <w:t>.</w:t>
      </w:r>
    </w:p>
    <w:p w14:paraId="4B9511B8" w14:textId="77777777" w:rsidR="00952F0E" w:rsidRPr="00887119" w:rsidRDefault="00952F0E" w:rsidP="00952F0E"/>
    <w:p w14:paraId="30D59C62" w14:textId="169E7FB9" w:rsidR="00952F0E" w:rsidRPr="00887119" w:rsidRDefault="00952F0E" w:rsidP="00952F0E">
      <w:pPr>
        <w:pStyle w:val="Caption"/>
      </w:pPr>
      <w:bookmarkStart w:id="93" w:name="_Ref223425977"/>
      <w:r w:rsidRPr="00887119">
        <w:t xml:space="preserve">Table </w:t>
      </w:r>
      <w:fldSimple w:instr=" STYLEREF 1 \s ">
        <w:r w:rsidR="008D4BDE">
          <w:rPr>
            <w:noProof/>
          </w:rPr>
          <w:t>8</w:t>
        </w:r>
      </w:fldSimple>
      <w:r w:rsidR="00EE1FE9">
        <w:t>.</w:t>
      </w:r>
      <w:fldSimple w:instr=" SEQ Table \* ARABIC \s 1 ">
        <w:r w:rsidR="008D4BDE">
          <w:rPr>
            <w:noProof/>
          </w:rPr>
          <w:t>4</w:t>
        </w:r>
      </w:fldSimple>
      <w:bookmarkEnd w:id="93"/>
      <w:r w:rsidRPr="00887119">
        <w:t>: Primary and secondary rental markets by dwelling size share, 2021</w:t>
      </w:r>
      <w:r w:rsidR="00097649" w:rsidRPr="00887119">
        <w:t xml:space="preserve">, </w:t>
      </w:r>
      <w:r w:rsidR="00386D28" w:rsidRPr="00887119">
        <w:t>p</w:t>
      </w:r>
      <w:r w:rsidR="00097649" w:rsidRPr="00887119">
        <w:t>rovince</w:t>
      </w:r>
    </w:p>
    <w:tbl>
      <w:tblPr>
        <w:tblW w:w="9355" w:type="dxa"/>
        <w:tblLayout w:type="fixed"/>
        <w:tblLook w:val="04A0" w:firstRow="1" w:lastRow="0" w:firstColumn="1" w:lastColumn="0" w:noHBand="0" w:noVBand="1"/>
      </w:tblPr>
      <w:tblGrid>
        <w:gridCol w:w="3955"/>
        <w:gridCol w:w="2700"/>
        <w:gridCol w:w="2700"/>
      </w:tblGrid>
      <w:tr w:rsidR="008B2D3A" w:rsidRPr="00887119" w14:paraId="6B824A95" w14:textId="77777777" w:rsidTr="00274840">
        <w:trPr>
          <w:trHeight w:val="402"/>
          <w:tblHeader/>
        </w:trPr>
        <w:tc>
          <w:tcPr>
            <w:tcW w:w="395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02089C3A" w14:textId="77777777" w:rsidR="008B2D3A" w:rsidRPr="00887119" w:rsidRDefault="008B2D3A" w:rsidP="008B2D3A">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Dwelling size</w:t>
            </w:r>
          </w:p>
        </w:tc>
        <w:tc>
          <w:tcPr>
            <w:tcW w:w="27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F5E157E" w14:textId="77777777" w:rsidR="008B2D3A" w:rsidRPr="00887119" w:rsidRDefault="008B2D3A" w:rsidP="008B2D3A">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Primary market</w:t>
            </w:r>
          </w:p>
        </w:tc>
        <w:tc>
          <w:tcPr>
            <w:tcW w:w="27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76B53FF" w14:textId="77777777" w:rsidR="008B2D3A" w:rsidRPr="00887119" w:rsidRDefault="008B2D3A" w:rsidP="008B2D3A">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Secondary market</w:t>
            </w:r>
          </w:p>
        </w:tc>
      </w:tr>
      <w:tr w:rsidR="008B2D3A" w:rsidRPr="00887119" w14:paraId="754B4C30" w14:textId="77777777" w:rsidTr="008B2D3A">
        <w:trPr>
          <w:trHeight w:val="402"/>
        </w:trPr>
        <w:tc>
          <w:tcPr>
            <w:tcW w:w="3955" w:type="dxa"/>
            <w:tcBorders>
              <w:top w:val="nil"/>
              <w:left w:val="single" w:sz="4" w:space="0" w:color="auto"/>
              <w:bottom w:val="single" w:sz="4" w:space="0" w:color="auto"/>
              <w:right w:val="single" w:sz="4" w:space="0" w:color="auto"/>
            </w:tcBorders>
            <w:shd w:val="clear" w:color="000000" w:fill="F2F2F2"/>
            <w:noWrap/>
            <w:vAlign w:val="center"/>
            <w:hideMark/>
          </w:tcPr>
          <w:p w14:paraId="0074142B" w14:textId="77777777" w:rsidR="008B2D3A" w:rsidRPr="00887119" w:rsidRDefault="008B2D3A" w:rsidP="008B2D3A">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Total primary market rental units</w:t>
            </w:r>
          </w:p>
        </w:tc>
        <w:tc>
          <w:tcPr>
            <w:tcW w:w="2700" w:type="dxa"/>
            <w:tcBorders>
              <w:top w:val="nil"/>
              <w:left w:val="nil"/>
              <w:bottom w:val="single" w:sz="4" w:space="0" w:color="auto"/>
              <w:right w:val="single" w:sz="4" w:space="0" w:color="BFBFBF"/>
            </w:tcBorders>
            <w:shd w:val="clear" w:color="000000" w:fill="F2F2F2"/>
            <w:noWrap/>
            <w:vAlign w:val="center"/>
            <w:hideMark/>
          </w:tcPr>
          <w:p w14:paraId="0036679A"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8,350</w:t>
            </w:r>
          </w:p>
        </w:tc>
        <w:tc>
          <w:tcPr>
            <w:tcW w:w="2700" w:type="dxa"/>
            <w:tcBorders>
              <w:top w:val="nil"/>
              <w:left w:val="nil"/>
              <w:bottom w:val="single" w:sz="4" w:space="0" w:color="auto"/>
              <w:right w:val="single" w:sz="4" w:space="0" w:color="auto"/>
            </w:tcBorders>
            <w:shd w:val="clear" w:color="000000" w:fill="F2F2F2"/>
            <w:noWrap/>
            <w:vAlign w:val="center"/>
            <w:hideMark/>
          </w:tcPr>
          <w:p w14:paraId="42313857"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11,640</w:t>
            </w:r>
          </w:p>
        </w:tc>
      </w:tr>
      <w:tr w:rsidR="008B2D3A" w:rsidRPr="00887119" w14:paraId="01130731" w14:textId="77777777" w:rsidTr="008B2D3A">
        <w:trPr>
          <w:trHeight w:val="402"/>
        </w:trPr>
        <w:tc>
          <w:tcPr>
            <w:tcW w:w="3955" w:type="dxa"/>
            <w:tcBorders>
              <w:top w:val="nil"/>
              <w:left w:val="single" w:sz="4" w:space="0" w:color="auto"/>
              <w:bottom w:val="single" w:sz="4" w:space="0" w:color="BFBFBF"/>
              <w:right w:val="single" w:sz="4" w:space="0" w:color="auto"/>
            </w:tcBorders>
            <w:noWrap/>
            <w:vAlign w:val="center"/>
            <w:hideMark/>
          </w:tcPr>
          <w:p w14:paraId="64B6B510" w14:textId="77777777" w:rsidR="008B2D3A" w:rsidRPr="00887119" w:rsidRDefault="008B2D3A" w:rsidP="008B2D3A">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Studio units</w:t>
            </w:r>
          </w:p>
        </w:tc>
        <w:tc>
          <w:tcPr>
            <w:tcW w:w="2700" w:type="dxa"/>
            <w:tcBorders>
              <w:top w:val="nil"/>
              <w:left w:val="nil"/>
              <w:bottom w:val="single" w:sz="4" w:space="0" w:color="BFBFBF"/>
              <w:right w:val="single" w:sz="4" w:space="0" w:color="BFBFBF"/>
            </w:tcBorders>
            <w:noWrap/>
            <w:vAlign w:val="center"/>
            <w:hideMark/>
          </w:tcPr>
          <w:p w14:paraId="504D08BE"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2700" w:type="dxa"/>
            <w:tcBorders>
              <w:top w:val="nil"/>
              <w:left w:val="nil"/>
              <w:bottom w:val="single" w:sz="4" w:space="0" w:color="BFBFBF"/>
              <w:right w:val="single" w:sz="4" w:space="0" w:color="auto"/>
            </w:tcBorders>
            <w:noWrap/>
            <w:vAlign w:val="center"/>
            <w:hideMark/>
          </w:tcPr>
          <w:p w14:paraId="36554A60"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0%</w:t>
            </w:r>
          </w:p>
        </w:tc>
      </w:tr>
      <w:tr w:rsidR="008B2D3A" w:rsidRPr="00887119" w14:paraId="6D1BA572" w14:textId="77777777" w:rsidTr="008B2D3A">
        <w:trPr>
          <w:trHeight w:val="402"/>
        </w:trPr>
        <w:tc>
          <w:tcPr>
            <w:tcW w:w="3955" w:type="dxa"/>
            <w:tcBorders>
              <w:top w:val="nil"/>
              <w:left w:val="single" w:sz="4" w:space="0" w:color="auto"/>
              <w:bottom w:val="single" w:sz="4" w:space="0" w:color="BFBFBF"/>
              <w:right w:val="single" w:sz="4" w:space="0" w:color="auto"/>
            </w:tcBorders>
            <w:shd w:val="clear" w:color="000000" w:fill="F2F2F2"/>
            <w:noWrap/>
            <w:vAlign w:val="center"/>
            <w:hideMark/>
          </w:tcPr>
          <w:p w14:paraId="52078CC3" w14:textId="77777777" w:rsidR="008B2D3A" w:rsidRPr="00887119" w:rsidRDefault="008B2D3A" w:rsidP="008B2D3A">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1 bedroom units</w:t>
            </w:r>
          </w:p>
        </w:tc>
        <w:tc>
          <w:tcPr>
            <w:tcW w:w="2700" w:type="dxa"/>
            <w:tcBorders>
              <w:top w:val="nil"/>
              <w:left w:val="nil"/>
              <w:bottom w:val="single" w:sz="4" w:space="0" w:color="BFBFBF"/>
              <w:right w:val="single" w:sz="4" w:space="0" w:color="BFBFBF"/>
            </w:tcBorders>
            <w:shd w:val="clear" w:color="000000" w:fill="F2F2F2"/>
            <w:noWrap/>
            <w:vAlign w:val="center"/>
            <w:hideMark/>
          </w:tcPr>
          <w:p w14:paraId="06AFE3E5"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c>
          <w:tcPr>
            <w:tcW w:w="2700" w:type="dxa"/>
            <w:tcBorders>
              <w:top w:val="nil"/>
              <w:left w:val="nil"/>
              <w:bottom w:val="single" w:sz="4" w:space="0" w:color="BFBFBF"/>
              <w:right w:val="single" w:sz="4" w:space="0" w:color="auto"/>
            </w:tcBorders>
            <w:shd w:val="clear" w:color="000000" w:fill="F2F2F2"/>
            <w:noWrap/>
            <w:vAlign w:val="center"/>
            <w:hideMark/>
          </w:tcPr>
          <w:p w14:paraId="24C678F9"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w:t>
            </w:r>
          </w:p>
        </w:tc>
      </w:tr>
      <w:tr w:rsidR="008B2D3A" w:rsidRPr="00887119" w14:paraId="650D0792" w14:textId="77777777" w:rsidTr="008B2D3A">
        <w:trPr>
          <w:trHeight w:val="402"/>
        </w:trPr>
        <w:tc>
          <w:tcPr>
            <w:tcW w:w="3955" w:type="dxa"/>
            <w:tcBorders>
              <w:top w:val="nil"/>
              <w:left w:val="single" w:sz="4" w:space="0" w:color="auto"/>
              <w:bottom w:val="single" w:sz="4" w:space="0" w:color="BFBFBF"/>
              <w:right w:val="single" w:sz="4" w:space="0" w:color="auto"/>
            </w:tcBorders>
            <w:noWrap/>
            <w:vAlign w:val="center"/>
            <w:hideMark/>
          </w:tcPr>
          <w:p w14:paraId="58A70112" w14:textId="77777777" w:rsidR="008B2D3A" w:rsidRPr="00887119" w:rsidRDefault="008B2D3A" w:rsidP="008B2D3A">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2 bedroom units</w:t>
            </w:r>
          </w:p>
        </w:tc>
        <w:tc>
          <w:tcPr>
            <w:tcW w:w="2700" w:type="dxa"/>
            <w:tcBorders>
              <w:top w:val="nil"/>
              <w:left w:val="nil"/>
              <w:bottom w:val="single" w:sz="4" w:space="0" w:color="BFBFBF"/>
              <w:right w:val="single" w:sz="4" w:space="0" w:color="BFBFBF"/>
            </w:tcBorders>
            <w:noWrap/>
            <w:vAlign w:val="center"/>
            <w:hideMark/>
          </w:tcPr>
          <w:p w14:paraId="19E0F6B8"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67%</w:t>
            </w:r>
          </w:p>
        </w:tc>
        <w:tc>
          <w:tcPr>
            <w:tcW w:w="2700" w:type="dxa"/>
            <w:tcBorders>
              <w:top w:val="nil"/>
              <w:left w:val="nil"/>
              <w:bottom w:val="single" w:sz="4" w:space="0" w:color="BFBFBF"/>
              <w:right w:val="single" w:sz="4" w:space="0" w:color="auto"/>
            </w:tcBorders>
            <w:noWrap/>
            <w:vAlign w:val="center"/>
            <w:hideMark/>
          </w:tcPr>
          <w:p w14:paraId="6665A8E3"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34%</w:t>
            </w:r>
          </w:p>
        </w:tc>
      </w:tr>
      <w:tr w:rsidR="008B2D3A" w:rsidRPr="00887119" w14:paraId="103B3E37" w14:textId="77777777" w:rsidTr="008B2D3A">
        <w:trPr>
          <w:trHeight w:val="402"/>
        </w:trPr>
        <w:tc>
          <w:tcPr>
            <w:tcW w:w="3955" w:type="dxa"/>
            <w:tcBorders>
              <w:top w:val="nil"/>
              <w:left w:val="single" w:sz="4" w:space="0" w:color="auto"/>
              <w:bottom w:val="single" w:sz="4" w:space="0" w:color="auto"/>
              <w:right w:val="single" w:sz="4" w:space="0" w:color="auto"/>
            </w:tcBorders>
            <w:shd w:val="clear" w:color="000000" w:fill="F2F2F2"/>
            <w:noWrap/>
            <w:vAlign w:val="center"/>
            <w:hideMark/>
          </w:tcPr>
          <w:p w14:paraId="3FE85696" w14:textId="77777777" w:rsidR="008B2D3A" w:rsidRPr="00887119" w:rsidRDefault="008B2D3A" w:rsidP="008B2D3A">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3+ bedroom units</w:t>
            </w:r>
          </w:p>
        </w:tc>
        <w:tc>
          <w:tcPr>
            <w:tcW w:w="2700" w:type="dxa"/>
            <w:tcBorders>
              <w:top w:val="nil"/>
              <w:left w:val="nil"/>
              <w:bottom w:val="single" w:sz="4" w:space="0" w:color="auto"/>
              <w:right w:val="single" w:sz="4" w:space="0" w:color="BFBFBF"/>
            </w:tcBorders>
            <w:shd w:val="clear" w:color="000000" w:fill="F2F2F2"/>
            <w:noWrap/>
            <w:vAlign w:val="center"/>
            <w:hideMark/>
          </w:tcPr>
          <w:p w14:paraId="4F4E9D92"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w:t>
            </w:r>
          </w:p>
        </w:tc>
        <w:tc>
          <w:tcPr>
            <w:tcW w:w="2700" w:type="dxa"/>
            <w:tcBorders>
              <w:top w:val="nil"/>
              <w:left w:val="nil"/>
              <w:bottom w:val="single" w:sz="4" w:space="0" w:color="auto"/>
              <w:right w:val="single" w:sz="4" w:space="0" w:color="auto"/>
            </w:tcBorders>
            <w:shd w:val="clear" w:color="000000" w:fill="F2F2F2"/>
            <w:noWrap/>
            <w:vAlign w:val="center"/>
            <w:hideMark/>
          </w:tcPr>
          <w:p w14:paraId="15FFC528" w14:textId="77777777" w:rsidR="008B2D3A" w:rsidRPr="002E10EB" w:rsidRDefault="008B2D3A" w:rsidP="008B2D3A">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38%</w:t>
            </w:r>
          </w:p>
        </w:tc>
      </w:tr>
    </w:tbl>
    <w:p w14:paraId="54F358B4" w14:textId="77777777" w:rsidR="00952F0E" w:rsidRPr="00887119" w:rsidRDefault="00952F0E" w:rsidP="00952F0E">
      <w:pPr>
        <w:pStyle w:val="Source"/>
      </w:pPr>
      <w:r w:rsidRPr="00887119">
        <w:t>Source: derived from CMHC Rental Market Survey and Statistics Canada Table 98-10-0240</w:t>
      </w:r>
    </w:p>
    <w:p w14:paraId="169EC563" w14:textId="77777777" w:rsidR="00952F0E" w:rsidRPr="00887119" w:rsidRDefault="00952F0E" w:rsidP="00952F0E"/>
    <w:p w14:paraId="45E7BEF7" w14:textId="422DF242" w:rsidR="00CF7984" w:rsidRPr="00887119" w:rsidRDefault="004B52C9" w:rsidP="00CF7984">
      <w:r w:rsidRPr="00887119">
        <w:t xml:space="preserve">As of 2021, </w:t>
      </w:r>
      <w:r w:rsidR="00402288" w:rsidRPr="00402288">
        <w:rPr>
          <w:color w:val="C00000"/>
        </w:rPr>
        <w:t>PEI</w:t>
      </w:r>
      <w:r w:rsidR="00CF7984" w:rsidRPr="00887119">
        <w:t xml:space="preserve">’s rental market </w:t>
      </w:r>
      <w:r w:rsidRPr="00887119">
        <w:t>was</w:t>
      </w:r>
      <w:r w:rsidR="00CF7984" w:rsidRPr="00887119">
        <w:t xml:space="preserve"> split between 8,350 primary market (purpose-built rental) units and 11,640 secondary market units, meaning that the majority of rental supply consist</w:t>
      </w:r>
      <w:r w:rsidRPr="00887119">
        <w:t>ed</w:t>
      </w:r>
      <w:r w:rsidR="00CF7984" w:rsidRPr="00887119">
        <w:t xml:space="preserve"> of units not purpose-built for long-term rental. This reliance on the secondary market has implications for supply stability</w:t>
      </w:r>
      <w:r w:rsidRPr="00887119">
        <w:t xml:space="preserve">, namely that </w:t>
      </w:r>
      <w:r w:rsidR="00CF7984" w:rsidRPr="00887119">
        <w:t>secondary market units are more vulnerable to withdrawal as owners may sell, convert to personal use, or shift to short-term rental</w:t>
      </w:r>
      <w:r w:rsidRPr="00887119">
        <w:t xml:space="preserve"> (where permitted)</w:t>
      </w:r>
      <w:r w:rsidR="00CF7984" w:rsidRPr="00887119">
        <w:t>. In rural areas, where purpose-built rental</w:t>
      </w:r>
      <w:r w:rsidRPr="00887119">
        <w:t>s</w:t>
      </w:r>
      <w:r w:rsidR="00CF7984" w:rsidRPr="00887119">
        <w:t xml:space="preserve"> </w:t>
      </w:r>
      <w:r w:rsidRPr="00887119">
        <w:t>are</w:t>
      </w:r>
      <w:r w:rsidR="00CF7984" w:rsidRPr="00887119">
        <w:t xml:space="preserve"> virtually absent, this vulnerability is more pronounced</w:t>
      </w:r>
      <w:r w:rsidR="007E77D7" w:rsidRPr="00887119">
        <w:t xml:space="preserve"> as</w:t>
      </w:r>
      <w:r w:rsidR="00CF7984" w:rsidRPr="00887119">
        <w:t xml:space="preserve"> </w:t>
      </w:r>
      <w:r w:rsidR="00F4432F" w:rsidRPr="00887119">
        <w:t>most of the</w:t>
      </w:r>
      <w:r w:rsidR="00CF7984" w:rsidRPr="00887119">
        <w:t xml:space="preserve"> rental supply could theoretically exit the market under adverse conditions.</w:t>
      </w:r>
    </w:p>
    <w:p w14:paraId="6695EA16" w14:textId="77777777" w:rsidR="00CF7984" w:rsidRPr="00887119" w:rsidRDefault="00CF7984" w:rsidP="00CF7984"/>
    <w:p w14:paraId="20423E76" w14:textId="64EA79C4" w:rsidR="00CF7984" w:rsidRPr="00887119" w:rsidRDefault="00CF7984" w:rsidP="00CF7984">
      <w:r w:rsidRPr="00887119">
        <w:t>The unit size distribution differs markedly between the primary and secondary markets. The primary market is dominated by two-bedroom units (67%), while the secondary market shows a much broader spread, and 38% three-plus bedroom. This means the secondary market is the primary source of both smaller and larger rental units in the province. The relative scarcity of studio and one-bedroom units in the purpose-built primary market is particularly relevant given the concentration of single-person households in urban areas, as it indicates that the most affordable small-unit rental supply is also the most precarious.</w:t>
      </w:r>
    </w:p>
    <w:p w14:paraId="039B5817" w14:textId="77777777" w:rsidR="00952F0E" w:rsidRPr="00887119" w:rsidRDefault="00952F0E" w:rsidP="00952F0E"/>
    <w:p w14:paraId="798F22EC" w14:textId="77777777" w:rsidR="00952F0E" w:rsidRPr="00887119" w:rsidRDefault="00952F0E" w:rsidP="00952F0E">
      <w:pPr>
        <w:pStyle w:val="Heading3"/>
      </w:pPr>
      <w:r w:rsidRPr="00887119">
        <w:t>Rents and Vacancy</w:t>
      </w:r>
    </w:p>
    <w:p w14:paraId="033BBD43" w14:textId="33EE7818" w:rsidR="00952F0E" w:rsidRPr="00887119" w:rsidRDefault="002A7700" w:rsidP="00952F0E">
      <w:r w:rsidRPr="00887119">
        <w:rPr>
          <w:rStyle w:val="Figure-textChar"/>
        </w:rPr>
        <w:fldChar w:fldCharType="begin"/>
      </w:r>
      <w:r w:rsidRPr="00887119">
        <w:rPr>
          <w:rStyle w:val="Figure-textChar"/>
        </w:rPr>
        <w:instrText xml:space="preserve"> REF _Ref228441514 \h  \* MERGEFORMAT </w:instrText>
      </w:r>
      <w:r w:rsidRPr="00887119">
        <w:rPr>
          <w:rStyle w:val="Figure-textChar"/>
        </w:rPr>
      </w:r>
      <w:r w:rsidRPr="00887119">
        <w:rPr>
          <w:rStyle w:val="Figure-textChar"/>
        </w:rPr>
        <w:fldChar w:fldCharType="separate"/>
      </w:r>
      <w:r w:rsidR="008D4BDE" w:rsidRPr="008D4BDE">
        <w:rPr>
          <w:rStyle w:val="Figure-textChar"/>
        </w:rPr>
        <w:t>Figure 8.1</w:t>
      </w:r>
      <w:r w:rsidRPr="00887119">
        <w:rPr>
          <w:rStyle w:val="Figure-textChar"/>
        </w:rPr>
        <w:fldChar w:fldCharType="end"/>
      </w:r>
      <w:r w:rsidR="00952F0E" w:rsidRPr="00887119">
        <w:t xml:space="preserve"> </w:t>
      </w:r>
      <w:r w:rsidR="00792431" w:rsidRPr="00887119">
        <w:t xml:space="preserve">presents the </w:t>
      </w:r>
      <w:r w:rsidR="009B615B" w:rsidRPr="00887119">
        <w:t>year-over-year</w:t>
      </w:r>
      <w:r w:rsidR="00792431" w:rsidRPr="00887119">
        <w:t xml:space="preserve"> change in average primary market rents and pay (i.e., wages and salaries) alongside the most recent vacancy rate, enabling a concurrent assessment of affordability pressure and market tightness</w:t>
      </w:r>
      <w:r w:rsidR="0004006E" w:rsidRPr="00887119">
        <w:t>.</w:t>
      </w:r>
    </w:p>
    <w:p w14:paraId="25D85AD4" w14:textId="77777777" w:rsidR="00952F0E" w:rsidRPr="00887119" w:rsidRDefault="00952F0E" w:rsidP="00952F0E"/>
    <w:p w14:paraId="1C515BD4" w14:textId="0D8D165B" w:rsidR="00C44C35" w:rsidRPr="00887119" w:rsidRDefault="00C44C35" w:rsidP="00C44C35">
      <w:pPr>
        <w:pStyle w:val="Caption"/>
      </w:pPr>
      <w:bookmarkStart w:id="94" w:name="_Ref228441514"/>
      <w:r w:rsidRPr="00887119">
        <w:lastRenderedPageBreak/>
        <w:t xml:space="preserve">Figure </w:t>
      </w:r>
      <w:fldSimple w:instr=" STYLEREF 1 \s ">
        <w:r w:rsidR="008D4BDE">
          <w:rPr>
            <w:noProof/>
          </w:rPr>
          <w:t>8</w:t>
        </w:r>
      </w:fldSimple>
      <w:r w:rsidR="00A6003E" w:rsidRPr="00887119">
        <w:t>.</w:t>
      </w:r>
      <w:fldSimple w:instr=" SEQ Figure \* ARABIC \s 1 ">
        <w:r w:rsidR="008D4BDE">
          <w:rPr>
            <w:noProof/>
          </w:rPr>
          <w:t>1</w:t>
        </w:r>
      </w:fldSimple>
      <w:bookmarkEnd w:id="94"/>
      <w:r w:rsidRPr="00887119">
        <w:t xml:space="preserve">: Change in average </w:t>
      </w:r>
      <w:r w:rsidR="008E6A86" w:rsidRPr="00887119">
        <w:t xml:space="preserve">primary market </w:t>
      </w:r>
      <w:r w:rsidRPr="00887119">
        <w:t xml:space="preserve">rents and </w:t>
      </w:r>
      <w:r w:rsidR="00E24025" w:rsidRPr="00887119">
        <w:t>pay</w:t>
      </w:r>
      <w:r w:rsidR="008E6A86" w:rsidRPr="00887119">
        <w:t xml:space="preserve"> versus primary market vacancy (with healthy vacancy range), province</w:t>
      </w:r>
    </w:p>
    <w:p w14:paraId="7F16B5D9" w14:textId="2F045DD6" w:rsidR="00952F0E" w:rsidRPr="00887119" w:rsidRDefault="007C4193" w:rsidP="00952F0E">
      <w:pPr>
        <w:pStyle w:val="Source"/>
      </w:pPr>
      <w:r w:rsidRPr="00887119">
        <w:rPr>
          <w:noProof/>
        </w:rPr>
        <w:drawing>
          <wp:inline distT="0" distB="0" distL="0" distR="0" wp14:anchorId="66ECFF09" wp14:editId="3162BC53">
            <wp:extent cx="5943600" cy="2449830"/>
            <wp:effectExtent l="0" t="0" r="0" b="7620"/>
            <wp:docPr id="522906936" name="Chart 1">
              <a:extLst xmlns:a="http://schemas.openxmlformats.org/drawingml/2006/main">
                <a:ext uri="{FF2B5EF4-FFF2-40B4-BE49-F238E27FC236}">
                  <a16:creationId xmlns:a16="http://schemas.microsoft.com/office/drawing/2014/main" id="{71B575D7-FF22-40B4-8DD4-4FF5E187A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952F0E" w:rsidRPr="00887119">
        <w:t xml:space="preserve">Source: </w:t>
      </w:r>
      <w:r w:rsidR="00D50A38" w:rsidRPr="00887119">
        <w:t xml:space="preserve">derived from </w:t>
      </w:r>
      <w:r w:rsidR="00952F0E" w:rsidRPr="00887119">
        <w:t>CMHC Rental Market Survey and Statistics Canada Table 14-10-0204</w:t>
      </w:r>
    </w:p>
    <w:p w14:paraId="254B5300" w14:textId="77777777" w:rsidR="00952F0E" w:rsidRPr="00887119" w:rsidRDefault="00952F0E" w:rsidP="00952F0E"/>
    <w:p w14:paraId="4C560C16" w14:textId="41091C4E" w:rsidR="00CA2716" w:rsidRPr="00887119" w:rsidRDefault="00402288" w:rsidP="00CA2716">
      <w:r w:rsidRPr="00402288">
        <w:rPr>
          <w:color w:val="C00000"/>
        </w:rPr>
        <w:t>PEI</w:t>
      </w:r>
      <w:r w:rsidR="00CA2716" w:rsidRPr="00887119">
        <w:t>’s primary rental market has experienced sustained vacancy rate pressures in recent years, particularly in urban areas where population growth has outpaced new rental supply additions. A vacancy rate below 3% is widely recognized as indicative of a market under stress. At that threshold, renters have limited choice, landlords have reduced incentive to maintain or improve units, and households facing eviction or searching for new accommodation face considerable risk of displacement. Where vacancy rates approach zero in specific unit sizes, the market is functionally inaccessible to new entrants in that category.</w:t>
      </w:r>
    </w:p>
    <w:p w14:paraId="1C1A8761" w14:textId="77777777" w:rsidR="00CA2716" w:rsidRPr="00887119" w:rsidRDefault="00CA2716" w:rsidP="00CA2716"/>
    <w:p w14:paraId="40C8507B" w14:textId="47749530" w:rsidR="00CA2716" w:rsidRPr="00887119" w:rsidRDefault="00CA2716" w:rsidP="00CA2716">
      <w:r w:rsidRPr="00887119">
        <w:t>Rent increases that substantially outpace general inflation or provincial wage growth represent a compounding affordability problem</w:t>
      </w:r>
      <w:r w:rsidR="008D042D" w:rsidRPr="00887119">
        <w:t>, being that</w:t>
      </w:r>
      <w:r w:rsidRPr="00887119">
        <w:t xml:space="preserve"> each year of above-income rent growth widens the gap between what existing renters pay and what new renters must pay, and progressively erodes the purchasing power of lower-income households seeking to enter or remain in the rental market. This dynamic is particularly consequential in urban </w:t>
      </w:r>
      <w:r w:rsidR="00402288" w:rsidRPr="00402288">
        <w:rPr>
          <w:color w:val="C00000"/>
        </w:rPr>
        <w:t>PEI</w:t>
      </w:r>
      <w:r w:rsidRPr="00887119">
        <w:t>, where renter incomes</w:t>
      </w:r>
      <w:r w:rsidR="008D042D" w:rsidRPr="00887119">
        <w:t xml:space="preserve"> </w:t>
      </w:r>
      <w:r w:rsidRPr="00887119">
        <w:t xml:space="preserve">have not kept pace with the rent increases driven by sustained low vacancy. In rural areas, while rents are </w:t>
      </w:r>
      <w:r w:rsidR="005937B4" w:rsidRPr="00887119">
        <w:t>often</w:t>
      </w:r>
      <w:r w:rsidRPr="00887119">
        <w:t xml:space="preserve"> lower, the combination of very limited rental supply and lower household incomes produces comparable or greater affordability stress relative to earning capacity.</w:t>
      </w:r>
    </w:p>
    <w:p w14:paraId="7447A5E1" w14:textId="77777777" w:rsidR="00952F0E" w:rsidRPr="00887119" w:rsidRDefault="00952F0E" w:rsidP="00952F0E"/>
    <w:p w14:paraId="7BB39E26" w14:textId="77777777" w:rsidR="00952F0E" w:rsidRPr="00887119" w:rsidRDefault="00952F0E" w:rsidP="00952F0E">
      <w:pPr>
        <w:pStyle w:val="Heading3"/>
      </w:pPr>
      <w:r w:rsidRPr="00887119">
        <w:t>Short-term Rentals</w:t>
      </w:r>
    </w:p>
    <w:p w14:paraId="76FD54A6" w14:textId="6978D6B3" w:rsidR="00E538A8" w:rsidRPr="00887119" w:rsidRDefault="00E538A8" w:rsidP="00E538A8">
      <w:r w:rsidRPr="00887119">
        <w:t xml:space="preserve">This section examines the extent and character of the short-term rental (STR) market across </w:t>
      </w:r>
      <w:r w:rsidR="00402288" w:rsidRPr="00402288">
        <w:rPr>
          <w:color w:val="C00000"/>
        </w:rPr>
        <w:t>PEI</w:t>
      </w:r>
      <w:r w:rsidRPr="00887119">
        <w:t xml:space="preserve">’s geographic categories. Short-term rentals have emerged as an increasingly influential factor in housing markets across Canada, and in </w:t>
      </w:r>
      <w:r w:rsidR="00402288" w:rsidRPr="00402288">
        <w:rPr>
          <w:color w:val="C00000"/>
        </w:rPr>
        <w:t>PEI</w:t>
      </w:r>
      <w:r w:rsidRPr="00887119">
        <w:t xml:space="preserve"> </w:t>
      </w:r>
      <w:r w:rsidR="00C43BCC" w:rsidRPr="00887119">
        <w:t>where there is a notable</w:t>
      </w:r>
      <w:r w:rsidRPr="00887119">
        <w:t xml:space="preserve"> tourism economy</w:t>
      </w:r>
      <w:r w:rsidR="00C43BCC" w:rsidRPr="00887119">
        <w:t>.</w:t>
      </w:r>
    </w:p>
    <w:p w14:paraId="6FA54E40" w14:textId="77777777" w:rsidR="00E538A8" w:rsidRPr="00887119" w:rsidRDefault="00E538A8" w:rsidP="00E538A8"/>
    <w:p w14:paraId="33B7E776" w14:textId="0F33B356" w:rsidR="00E538A8" w:rsidRPr="00887119" w:rsidRDefault="0007277D" w:rsidP="00E538A8">
      <w:r w:rsidRPr="00887119">
        <w:t>R</w:t>
      </w:r>
      <w:r w:rsidR="00E538A8" w:rsidRPr="00887119">
        <w:t xml:space="preserve">ural urban-adjacent areas account for 59% of all provincial STRs (2,216 units) and the highest STR share of total dwellings (9%). This reflects the tourism geography of </w:t>
      </w:r>
      <w:r w:rsidR="00402288" w:rsidRPr="00402288">
        <w:rPr>
          <w:color w:val="C00000"/>
        </w:rPr>
        <w:t>PEI</w:t>
      </w:r>
      <w:r w:rsidRPr="00887119">
        <w:t xml:space="preserve"> where</w:t>
      </w:r>
      <w:r w:rsidR="00E538A8" w:rsidRPr="00887119">
        <w:t xml:space="preserve"> coastal and rural communities that attract visitors are also those where STR penetration most directly competes with available long-term rental supply. </w:t>
      </w:r>
    </w:p>
    <w:p w14:paraId="4CB3C769" w14:textId="77777777" w:rsidR="00952F0E" w:rsidRPr="00887119" w:rsidRDefault="00952F0E" w:rsidP="00952F0E"/>
    <w:p w14:paraId="1E325BD1" w14:textId="4E467CB6" w:rsidR="00952F0E" w:rsidRPr="00887119" w:rsidRDefault="00952F0E" w:rsidP="00952F0E">
      <w:r w:rsidRPr="00887119">
        <w:rPr>
          <w:rStyle w:val="Figure-textChar"/>
        </w:rPr>
        <w:fldChar w:fldCharType="begin"/>
      </w:r>
      <w:r w:rsidRPr="00887119">
        <w:rPr>
          <w:rStyle w:val="Figure-textChar"/>
        </w:rPr>
        <w:instrText xml:space="preserve"> REF _Ref223542193 \h  \* MERGEFORMAT </w:instrText>
      </w:r>
      <w:r w:rsidRPr="00887119">
        <w:rPr>
          <w:rStyle w:val="Figure-textChar"/>
        </w:rPr>
      </w:r>
      <w:r w:rsidRPr="00887119">
        <w:rPr>
          <w:rStyle w:val="Figure-textChar"/>
        </w:rPr>
        <w:fldChar w:fldCharType="separate"/>
      </w:r>
      <w:r w:rsidR="008D4BDE" w:rsidRPr="008D4BDE">
        <w:rPr>
          <w:rStyle w:val="Figure-textChar"/>
        </w:rPr>
        <w:t>Table 8.5</w:t>
      </w:r>
      <w:r w:rsidRPr="00887119">
        <w:rPr>
          <w:rStyle w:val="Figure-textChar"/>
        </w:rPr>
        <w:fldChar w:fldCharType="end"/>
      </w:r>
      <w:r w:rsidRPr="00887119">
        <w:t xml:space="preserve"> </w:t>
      </w:r>
      <w:r w:rsidR="00E538A8" w:rsidRPr="00887119">
        <w:t>quantifies the current scale of short-term rental activity and potential long-term dwelling estimates by geographic category, providing a basis for understanding where STR activity is most concentrated and where regulatory intervention could most meaningfully recover long-term rental supply.</w:t>
      </w:r>
    </w:p>
    <w:p w14:paraId="27328253" w14:textId="77777777" w:rsidR="00E538A8" w:rsidRPr="00887119" w:rsidRDefault="00E538A8" w:rsidP="00952F0E"/>
    <w:p w14:paraId="0CF92650" w14:textId="11D385C5" w:rsidR="00952F0E" w:rsidRPr="00887119" w:rsidRDefault="00952F0E" w:rsidP="00952F0E">
      <w:pPr>
        <w:pStyle w:val="Caption"/>
      </w:pPr>
      <w:bookmarkStart w:id="95" w:name="_Ref223542193"/>
      <w:r w:rsidRPr="00887119">
        <w:t xml:space="preserve">Table </w:t>
      </w:r>
      <w:fldSimple w:instr=" STYLEREF 1 \s ">
        <w:r w:rsidR="008D4BDE">
          <w:rPr>
            <w:noProof/>
          </w:rPr>
          <w:t>8</w:t>
        </w:r>
      </w:fldSimple>
      <w:r w:rsidR="00EE1FE9">
        <w:t>.</w:t>
      </w:r>
      <w:fldSimple w:instr=" SEQ Table \* ARABIC \s 1 ">
        <w:r w:rsidR="008D4BDE">
          <w:rPr>
            <w:noProof/>
          </w:rPr>
          <w:t>5</w:t>
        </w:r>
      </w:fldSimple>
      <w:bookmarkEnd w:id="95"/>
      <w:r w:rsidRPr="00887119">
        <w:t xml:space="preserve">: Short-term rental (STR) and potential long-term dwellings (PLTDs) by </w:t>
      </w:r>
      <w:r w:rsidR="005B0028" w:rsidRPr="00887119">
        <w:t>geographic category</w:t>
      </w:r>
    </w:p>
    <w:tbl>
      <w:tblPr>
        <w:tblW w:w="9350" w:type="dxa"/>
        <w:tblLayout w:type="fixed"/>
        <w:tblLook w:val="04A0" w:firstRow="1" w:lastRow="0" w:firstColumn="1" w:lastColumn="0" w:noHBand="0" w:noVBand="1"/>
      </w:tblPr>
      <w:tblGrid>
        <w:gridCol w:w="2065"/>
        <w:gridCol w:w="1214"/>
        <w:gridCol w:w="1214"/>
        <w:gridCol w:w="1214"/>
        <w:gridCol w:w="1214"/>
        <w:gridCol w:w="1214"/>
        <w:gridCol w:w="1215"/>
      </w:tblGrid>
      <w:tr w:rsidR="004E1A14" w:rsidRPr="00887119" w14:paraId="42525F74" w14:textId="77777777" w:rsidTr="00274840">
        <w:trPr>
          <w:trHeight w:val="755"/>
        </w:trPr>
        <w:tc>
          <w:tcPr>
            <w:tcW w:w="206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5CF79064" w14:textId="77777777" w:rsidR="004E1A14" w:rsidRPr="00887119" w:rsidRDefault="004E1A14" w:rsidP="000A035B">
            <w:pPr>
              <w:spacing w:line="240" w:lineRule="auto"/>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Geography</w:t>
            </w:r>
          </w:p>
        </w:tc>
        <w:tc>
          <w:tcPr>
            <w:tcW w:w="121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96ED454" w14:textId="77777777" w:rsidR="009C7ABA" w:rsidRPr="00887119" w:rsidRDefault="004E1A14"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STR</w:t>
            </w:r>
            <w:r w:rsidR="009C7ABA" w:rsidRPr="00887119">
              <w:rPr>
                <w:rFonts w:eastAsia="Times New Roman" w:cs="Arial"/>
                <w:color w:val="FFFFFF"/>
                <w:kern w:val="0"/>
                <w:sz w:val="18"/>
                <w:szCs w:val="18"/>
                <w:lang w:eastAsia="en-CA"/>
                <w14:ligatures w14:val="none"/>
              </w:rPr>
              <w:t xml:space="preserve"> </w:t>
            </w:r>
          </w:p>
          <w:p w14:paraId="206B3C93" w14:textId="058E1E8A" w:rsidR="004E1A14" w:rsidRPr="00887119" w:rsidRDefault="009C7ABA"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(2025)</w:t>
            </w:r>
          </w:p>
        </w:tc>
        <w:tc>
          <w:tcPr>
            <w:tcW w:w="121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CFF8AA0" w14:textId="77777777" w:rsidR="004E1A14" w:rsidRPr="00887119" w:rsidRDefault="004E1A14"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Share of total dwellings</w:t>
            </w:r>
          </w:p>
        </w:tc>
        <w:tc>
          <w:tcPr>
            <w:tcW w:w="121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0275F0F3" w14:textId="77777777" w:rsidR="004E1A14" w:rsidRPr="00887119" w:rsidRDefault="004E1A14"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Change since 2019*</w:t>
            </w:r>
          </w:p>
        </w:tc>
        <w:tc>
          <w:tcPr>
            <w:tcW w:w="121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B327E09" w14:textId="77777777" w:rsidR="004E1A14" w:rsidRPr="00887119" w:rsidRDefault="004E1A14"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PLTD</w:t>
            </w:r>
          </w:p>
          <w:p w14:paraId="01A93F12" w14:textId="5B1A1D26" w:rsidR="009C7ABA" w:rsidRPr="00887119" w:rsidRDefault="009C7ABA"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(2025)</w:t>
            </w:r>
          </w:p>
        </w:tc>
        <w:tc>
          <w:tcPr>
            <w:tcW w:w="121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4E55022" w14:textId="77777777" w:rsidR="004E1A14" w:rsidRPr="00887119" w:rsidRDefault="004E1A14"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Share of total dwellings</w:t>
            </w:r>
          </w:p>
        </w:tc>
        <w:tc>
          <w:tcPr>
            <w:tcW w:w="1215"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7C401AD5" w14:textId="77777777" w:rsidR="004E1A14" w:rsidRPr="00887119" w:rsidRDefault="004E1A14" w:rsidP="000A035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Change since 2019*</w:t>
            </w:r>
          </w:p>
        </w:tc>
      </w:tr>
      <w:tr w:rsidR="004E1A14" w:rsidRPr="00887119" w14:paraId="2F11EE5F" w14:textId="77777777" w:rsidTr="004E1A14">
        <w:trPr>
          <w:trHeight w:val="402"/>
        </w:trPr>
        <w:tc>
          <w:tcPr>
            <w:tcW w:w="2065" w:type="dxa"/>
            <w:tcBorders>
              <w:top w:val="nil"/>
              <w:left w:val="single" w:sz="4" w:space="0" w:color="auto"/>
              <w:bottom w:val="single" w:sz="4" w:space="0" w:color="auto"/>
              <w:right w:val="single" w:sz="4" w:space="0" w:color="auto"/>
            </w:tcBorders>
            <w:shd w:val="clear" w:color="000000" w:fill="F2F2F2"/>
            <w:noWrap/>
            <w:vAlign w:val="center"/>
            <w:hideMark/>
          </w:tcPr>
          <w:p w14:paraId="6D24CB91" w14:textId="77777777" w:rsidR="004E1A14" w:rsidRPr="00887119" w:rsidRDefault="004E1A14" w:rsidP="000A035B">
            <w:pPr>
              <w:spacing w:line="240" w:lineRule="auto"/>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Province</w:t>
            </w:r>
          </w:p>
        </w:tc>
        <w:tc>
          <w:tcPr>
            <w:tcW w:w="1214" w:type="dxa"/>
            <w:tcBorders>
              <w:top w:val="nil"/>
              <w:left w:val="nil"/>
              <w:bottom w:val="single" w:sz="4" w:space="0" w:color="auto"/>
              <w:right w:val="single" w:sz="4" w:space="0" w:color="auto"/>
            </w:tcBorders>
            <w:shd w:val="clear" w:color="000000" w:fill="F2F2F2"/>
            <w:noWrap/>
            <w:vAlign w:val="center"/>
            <w:hideMark/>
          </w:tcPr>
          <w:p w14:paraId="37A25F21"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3,770</w:t>
            </w:r>
          </w:p>
        </w:tc>
        <w:tc>
          <w:tcPr>
            <w:tcW w:w="1214" w:type="dxa"/>
            <w:tcBorders>
              <w:top w:val="nil"/>
              <w:left w:val="nil"/>
              <w:bottom w:val="single" w:sz="4" w:space="0" w:color="auto"/>
              <w:right w:val="single" w:sz="4" w:space="0" w:color="BFBFBF"/>
            </w:tcBorders>
            <w:shd w:val="clear" w:color="000000" w:fill="F2F2F2"/>
            <w:noWrap/>
            <w:vAlign w:val="center"/>
            <w:hideMark/>
          </w:tcPr>
          <w:p w14:paraId="6B284CBA"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214" w:type="dxa"/>
            <w:tcBorders>
              <w:top w:val="nil"/>
              <w:left w:val="nil"/>
              <w:bottom w:val="single" w:sz="4" w:space="0" w:color="auto"/>
              <w:right w:val="single" w:sz="4" w:space="0" w:color="auto"/>
            </w:tcBorders>
            <w:shd w:val="clear" w:color="000000" w:fill="F2F2F2"/>
            <w:noWrap/>
            <w:vAlign w:val="center"/>
            <w:hideMark/>
          </w:tcPr>
          <w:p w14:paraId="04147050"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w:t>
            </w:r>
          </w:p>
        </w:tc>
        <w:tc>
          <w:tcPr>
            <w:tcW w:w="1214" w:type="dxa"/>
            <w:tcBorders>
              <w:top w:val="nil"/>
              <w:left w:val="nil"/>
              <w:bottom w:val="single" w:sz="4" w:space="0" w:color="auto"/>
              <w:right w:val="single" w:sz="4" w:space="0" w:color="auto"/>
            </w:tcBorders>
            <w:shd w:val="clear" w:color="000000" w:fill="F2F2F2"/>
            <w:noWrap/>
            <w:vAlign w:val="center"/>
            <w:hideMark/>
          </w:tcPr>
          <w:p w14:paraId="1F25608A"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1,409</w:t>
            </w:r>
          </w:p>
        </w:tc>
        <w:tc>
          <w:tcPr>
            <w:tcW w:w="1214" w:type="dxa"/>
            <w:tcBorders>
              <w:top w:val="nil"/>
              <w:left w:val="nil"/>
              <w:bottom w:val="single" w:sz="4" w:space="0" w:color="auto"/>
              <w:right w:val="single" w:sz="4" w:space="0" w:color="BFBFBF"/>
            </w:tcBorders>
            <w:shd w:val="clear" w:color="000000" w:fill="F2F2F2"/>
            <w:noWrap/>
            <w:vAlign w:val="center"/>
            <w:hideMark/>
          </w:tcPr>
          <w:p w14:paraId="77F55FCD"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15" w:type="dxa"/>
            <w:tcBorders>
              <w:top w:val="nil"/>
              <w:left w:val="nil"/>
              <w:bottom w:val="single" w:sz="4" w:space="0" w:color="auto"/>
              <w:right w:val="single" w:sz="4" w:space="0" w:color="auto"/>
            </w:tcBorders>
            <w:shd w:val="clear" w:color="000000" w:fill="F2F2F2"/>
            <w:noWrap/>
            <w:vAlign w:val="center"/>
            <w:hideMark/>
          </w:tcPr>
          <w:p w14:paraId="1B693B3A"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r>
      <w:tr w:rsidR="004E1A14" w:rsidRPr="00887119" w14:paraId="02FBF373" w14:textId="77777777" w:rsidTr="004E1A14">
        <w:trPr>
          <w:trHeight w:val="402"/>
        </w:trPr>
        <w:tc>
          <w:tcPr>
            <w:tcW w:w="2065" w:type="dxa"/>
            <w:tcBorders>
              <w:top w:val="nil"/>
              <w:left w:val="single" w:sz="4" w:space="0" w:color="auto"/>
              <w:bottom w:val="single" w:sz="4" w:space="0" w:color="BFBFBF"/>
              <w:right w:val="single" w:sz="4" w:space="0" w:color="auto"/>
            </w:tcBorders>
            <w:shd w:val="clear" w:color="auto" w:fill="FFFFFF" w:themeFill="background1"/>
            <w:noWrap/>
            <w:vAlign w:val="center"/>
            <w:hideMark/>
          </w:tcPr>
          <w:p w14:paraId="50D1B23B" w14:textId="77777777" w:rsidR="004E1A14" w:rsidRPr="00887119" w:rsidRDefault="004E1A14" w:rsidP="000A035B">
            <w:pPr>
              <w:spacing w:line="240" w:lineRule="auto"/>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Urban</w:t>
            </w:r>
          </w:p>
        </w:tc>
        <w:tc>
          <w:tcPr>
            <w:tcW w:w="1214" w:type="dxa"/>
            <w:tcBorders>
              <w:top w:val="nil"/>
              <w:left w:val="nil"/>
              <w:bottom w:val="single" w:sz="4" w:space="0" w:color="BFBFBF"/>
              <w:right w:val="single" w:sz="4" w:space="0" w:color="auto"/>
            </w:tcBorders>
            <w:shd w:val="clear" w:color="auto" w:fill="FFFFFF" w:themeFill="background1"/>
            <w:noWrap/>
            <w:vAlign w:val="center"/>
            <w:hideMark/>
          </w:tcPr>
          <w:p w14:paraId="17AF6B76"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764</w:t>
            </w:r>
          </w:p>
        </w:tc>
        <w:tc>
          <w:tcPr>
            <w:tcW w:w="1214" w:type="dxa"/>
            <w:tcBorders>
              <w:top w:val="nil"/>
              <w:left w:val="nil"/>
              <w:bottom w:val="single" w:sz="4" w:space="0" w:color="BFBFBF"/>
              <w:right w:val="single" w:sz="4" w:space="0" w:color="BFBFBF"/>
            </w:tcBorders>
            <w:shd w:val="clear" w:color="auto" w:fill="FFFFFF" w:themeFill="background1"/>
            <w:noWrap/>
            <w:vAlign w:val="center"/>
            <w:hideMark/>
          </w:tcPr>
          <w:p w14:paraId="3FBA422B"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214" w:type="dxa"/>
            <w:tcBorders>
              <w:top w:val="nil"/>
              <w:left w:val="nil"/>
              <w:bottom w:val="single" w:sz="4" w:space="0" w:color="BFBFBF"/>
              <w:right w:val="single" w:sz="4" w:space="0" w:color="auto"/>
            </w:tcBorders>
            <w:shd w:val="clear" w:color="auto" w:fill="FFFFFF" w:themeFill="background1"/>
            <w:noWrap/>
            <w:vAlign w:val="center"/>
            <w:hideMark/>
          </w:tcPr>
          <w:p w14:paraId="67893D37"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-28%</w:t>
            </w:r>
          </w:p>
        </w:tc>
        <w:tc>
          <w:tcPr>
            <w:tcW w:w="1214" w:type="dxa"/>
            <w:tcBorders>
              <w:top w:val="nil"/>
              <w:left w:val="nil"/>
              <w:bottom w:val="single" w:sz="4" w:space="0" w:color="BFBFBF"/>
              <w:right w:val="single" w:sz="4" w:space="0" w:color="auto"/>
            </w:tcBorders>
            <w:shd w:val="clear" w:color="auto" w:fill="FFFFFF" w:themeFill="background1"/>
            <w:noWrap/>
            <w:vAlign w:val="center"/>
            <w:hideMark/>
          </w:tcPr>
          <w:p w14:paraId="16FE5FC5"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417</w:t>
            </w:r>
          </w:p>
        </w:tc>
        <w:tc>
          <w:tcPr>
            <w:tcW w:w="1214" w:type="dxa"/>
            <w:tcBorders>
              <w:top w:val="nil"/>
              <w:left w:val="nil"/>
              <w:bottom w:val="single" w:sz="4" w:space="0" w:color="BFBFBF"/>
              <w:right w:val="single" w:sz="4" w:space="0" w:color="BFBFBF"/>
            </w:tcBorders>
            <w:shd w:val="clear" w:color="auto" w:fill="FFFFFF" w:themeFill="background1"/>
            <w:noWrap/>
            <w:vAlign w:val="center"/>
            <w:hideMark/>
          </w:tcPr>
          <w:p w14:paraId="37ACB48D"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215" w:type="dxa"/>
            <w:tcBorders>
              <w:top w:val="nil"/>
              <w:left w:val="nil"/>
              <w:bottom w:val="single" w:sz="4" w:space="0" w:color="BFBFBF"/>
              <w:right w:val="single" w:sz="4" w:space="0" w:color="auto"/>
            </w:tcBorders>
            <w:shd w:val="clear" w:color="auto" w:fill="FFFFFF" w:themeFill="background1"/>
            <w:noWrap/>
            <w:vAlign w:val="center"/>
            <w:hideMark/>
          </w:tcPr>
          <w:p w14:paraId="77975099"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r>
      <w:tr w:rsidR="004E1A14" w:rsidRPr="00887119" w14:paraId="389CBD1C" w14:textId="77777777" w:rsidTr="004E1A14">
        <w:trPr>
          <w:trHeight w:val="402"/>
        </w:trPr>
        <w:tc>
          <w:tcPr>
            <w:tcW w:w="2065" w:type="dxa"/>
            <w:tcBorders>
              <w:top w:val="nil"/>
              <w:left w:val="single" w:sz="4" w:space="0" w:color="auto"/>
              <w:bottom w:val="single" w:sz="4" w:space="0" w:color="BFBFBF"/>
              <w:right w:val="single" w:sz="4" w:space="0" w:color="auto"/>
            </w:tcBorders>
            <w:shd w:val="clear" w:color="auto" w:fill="F2F2F2" w:themeFill="background1" w:themeFillShade="F2"/>
            <w:noWrap/>
            <w:vAlign w:val="center"/>
            <w:hideMark/>
          </w:tcPr>
          <w:p w14:paraId="16B72B9E" w14:textId="77777777" w:rsidR="004E1A14" w:rsidRPr="00887119" w:rsidRDefault="004E1A14" w:rsidP="000A035B">
            <w:pPr>
              <w:spacing w:line="240" w:lineRule="auto"/>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Small urban</w:t>
            </w:r>
          </w:p>
        </w:tc>
        <w:tc>
          <w:tcPr>
            <w:tcW w:w="1214" w:type="dxa"/>
            <w:tcBorders>
              <w:top w:val="nil"/>
              <w:left w:val="nil"/>
              <w:bottom w:val="single" w:sz="4" w:space="0" w:color="BFBFBF"/>
              <w:right w:val="single" w:sz="4" w:space="0" w:color="auto"/>
            </w:tcBorders>
            <w:shd w:val="clear" w:color="auto" w:fill="F2F2F2" w:themeFill="background1" w:themeFillShade="F2"/>
            <w:noWrap/>
            <w:vAlign w:val="center"/>
            <w:hideMark/>
          </w:tcPr>
          <w:p w14:paraId="0C10FFA8"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327</w:t>
            </w:r>
          </w:p>
        </w:tc>
        <w:tc>
          <w:tcPr>
            <w:tcW w:w="1214"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032C7D71"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214" w:type="dxa"/>
            <w:tcBorders>
              <w:top w:val="nil"/>
              <w:left w:val="nil"/>
              <w:bottom w:val="single" w:sz="4" w:space="0" w:color="BFBFBF"/>
              <w:right w:val="single" w:sz="4" w:space="0" w:color="auto"/>
            </w:tcBorders>
            <w:shd w:val="clear" w:color="auto" w:fill="F2F2F2" w:themeFill="background1" w:themeFillShade="F2"/>
            <w:noWrap/>
            <w:vAlign w:val="center"/>
            <w:hideMark/>
          </w:tcPr>
          <w:p w14:paraId="5CD50E5F"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14" w:type="dxa"/>
            <w:tcBorders>
              <w:top w:val="nil"/>
              <w:left w:val="nil"/>
              <w:bottom w:val="single" w:sz="4" w:space="0" w:color="BFBFBF"/>
              <w:right w:val="single" w:sz="4" w:space="0" w:color="auto"/>
            </w:tcBorders>
            <w:shd w:val="clear" w:color="auto" w:fill="F2F2F2" w:themeFill="background1" w:themeFillShade="F2"/>
            <w:noWrap/>
            <w:vAlign w:val="center"/>
            <w:hideMark/>
          </w:tcPr>
          <w:p w14:paraId="749546CD"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129</w:t>
            </w:r>
          </w:p>
        </w:tc>
        <w:tc>
          <w:tcPr>
            <w:tcW w:w="1214"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1DCA13B8"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w:t>
            </w:r>
          </w:p>
        </w:tc>
        <w:tc>
          <w:tcPr>
            <w:tcW w:w="1215" w:type="dxa"/>
            <w:tcBorders>
              <w:top w:val="nil"/>
              <w:left w:val="nil"/>
              <w:bottom w:val="single" w:sz="4" w:space="0" w:color="BFBFBF"/>
              <w:right w:val="single" w:sz="4" w:space="0" w:color="auto"/>
            </w:tcBorders>
            <w:shd w:val="clear" w:color="auto" w:fill="F2F2F2" w:themeFill="background1" w:themeFillShade="F2"/>
            <w:noWrap/>
            <w:vAlign w:val="center"/>
            <w:hideMark/>
          </w:tcPr>
          <w:p w14:paraId="6C634D63"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+50%</w:t>
            </w:r>
          </w:p>
        </w:tc>
      </w:tr>
      <w:tr w:rsidR="004E1A14" w:rsidRPr="00887119" w14:paraId="50788141" w14:textId="77777777" w:rsidTr="004E1A14">
        <w:trPr>
          <w:trHeight w:val="402"/>
        </w:trPr>
        <w:tc>
          <w:tcPr>
            <w:tcW w:w="2065" w:type="dxa"/>
            <w:tcBorders>
              <w:top w:val="nil"/>
              <w:left w:val="single" w:sz="4" w:space="0" w:color="auto"/>
              <w:bottom w:val="single" w:sz="4" w:space="0" w:color="BFBFBF"/>
              <w:right w:val="single" w:sz="4" w:space="0" w:color="auto"/>
            </w:tcBorders>
            <w:shd w:val="clear" w:color="auto" w:fill="FFFFFF" w:themeFill="background1"/>
            <w:noWrap/>
            <w:vAlign w:val="center"/>
            <w:hideMark/>
          </w:tcPr>
          <w:p w14:paraId="700FB59C" w14:textId="77777777" w:rsidR="004E1A14" w:rsidRPr="00887119" w:rsidRDefault="004E1A14" w:rsidP="000A035B">
            <w:pPr>
              <w:spacing w:line="240" w:lineRule="auto"/>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Rural (urban adjacent)</w:t>
            </w:r>
          </w:p>
        </w:tc>
        <w:tc>
          <w:tcPr>
            <w:tcW w:w="1214" w:type="dxa"/>
            <w:tcBorders>
              <w:top w:val="nil"/>
              <w:left w:val="nil"/>
              <w:bottom w:val="single" w:sz="4" w:space="0" w:color="BFBFBF"/>
              <w:right w:val="single" w:sz="4" w:space="0" w:color="auto"/>
            </w:tcBorders>
            <w:shd w:val="clear" w:color="auto" w:fill="FFFFFF" w:themeFill="background1"/>
            <w:noWrap/>
            <w:vAlign w:val="center"/>
            <w:hideMark/>
          </w:tcPr>
          <w:p w14:paraId="25B704BB"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2,216</w:t>
            </w:r>
          </w:p>
        </w:tc>
        <w:tc>
          <w:tcPr>
            <w:tcW w:w="1214" w:type="dxa"/>
            <w:tcBorders>
              <w:top w:val="nil"/>
              <w:left w:val="nil"/>
              <w:bottom w:val="single" w:sz="4" w:space="0" w:color="BFBFBF"/>
              <w:right w:val="single" w:sz="4" w:space="0" w:color="BFBFBF"/>
            </w:tcBorders>
            <w:shd w:val="clear" w:color="auto" w:fill="FFFFFF" w:themeFill="background1"/>
            <w:noWrap/>
            <w:vAlign w:val="center"/>
            <w:hideMark/>
          </w:tcPr>
          <w:p w14:paraId="793D3280"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9%</w:t>
            </w:r>
          </w:p>
        </w:tc>
        <w:tc>
          <w:tcPr>
            <w:tcW w:w="1214" w:type="dxa"/>
            <w:tcBorders>
              <w:top w:val="nil"/>
              <w:left w:val="nil"/>
              <w:bottom w:val="single" w:sz="4" w:space="0" w:color="BFBFBF"/>
              <w:right w:val="single" w:sz="4" w:space="0" w:color="auto"/>
            </w:tcBorders>
            <w:shd w:val="clear" w:color="auto" w:fill="FFFFFF" w:themeFill="background1"/>
            <w:noWrap/>
            <w:vAlign w:val="center"/>
            <w:hideMark/>
          </w:tcPr>
          <w:p w14:paraId="3BC75E06"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214" w:type="dxa"/>
            <w:tcBorders>
              <w:top w:val="nil"/>
              <w:left w:val="nil"/>
              <w:bottom w:val="single" w:sz="4" w:space="0" w:color="BFBFBF"/>
              <w:right w:val="single" w:sz="4" w:space="0" w:color="auto"/>
            </w:tcBorders>
            <w:shd w:val="clear" w:color="auto" w:fill="FFFFFF" w:themeFill="background1"/>
            <w:noWrap/>
            <w:vAlign w:val="center"/>
            <w:hideMark/>
          </w:tcPr>
          <w:p w14:paraId="6A6EDA07"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694</w:t>
            </w:r>
          </w:p>
        </w:tc>
        <w:tc>
          <w:tcPr>
            <w:tcW w:w="1214" w:type="dxa"/>
            <w:tcBorders>
              <w:top w:val="nil"/>
              <w:left w:val="nil"/>
              <w:bottom w:val="single" w:sz="4" w:space="0" w:color="BFBFBF"/>
              <w:right w:val="single" w:sz="4" w:space="0" w:color="BFBFBF"/>
            </w:tcBorders>
            <w:shd w:val="clear" w:color="auto" w:fill="FFFFFF" w:themeFill="background1"/>
            <w:noWrap/>
            <w:vAlign w:val="center"/>
            <w:hideMark/>
          </w:tcPr>
          <w:p w14:paraId="39AF342E"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w:t>
            </w:r>
          </w:p>
        </w:tc>
        <w:tc>
          <w:tcPr>
            <w:tcW w:w="1215" w:type="dxa"/>
            <w:tcBorders>
              <w:top w:val="nil"/>
              <w:left w:val="nil"/>
              <w:bottom w:val="single" w:sz="4" w:space="0" w:color="BFBFBF"/>
              <w:right w:val="single" w:sz="4" w:space="0" w:color="auto"/>
            </w:tcBorders>
            <w:shd w:val="clear" w:color="auto" w:fill="FFFFFF" w:themeFill="background1"/>
            <w:noWrap/>
            <w:vAlign w:val="center"/>
            <w:hideMark/>
          </w:tcPr>
          <w:p w14:paraId="1171A94C"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+56%</w:t>
            </w:r>
          </w:p>
        </w:tc>
      </w:tr>
      <w:tr w:rsidR="004E1A14" w:rsidRPr="00887119" w14:paraId="11334E50" w14:textId="77777777" w:rsidTr="004E1A14">
        <w:trPr>
          <w:trHeight w:val="402"/>
        </w:trPr>
        <w:tc>
          <w:tcPr>
            <w:tcW w:w="206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A0380BE" w14:textId="77777777" w:rsidR="004E1A14" w:rsidRPr="00887119" w:rsidRDefault="004E1A14" w:rsidP="000A035B">
            <w:pPr>
              <w:spacing w:line="240" w:lineRule="auto"/>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Rural (remote)</w:t>
            </w:r>
          </w:p>
        </w:tc>
        <w:tc>
          <w:tcPr>
            <w:tcW w:w="1214" w:type="dxa"/>
            <w:tcBorders>
              <w:top w:val="nil"/>
              <w:left w:val="nil"/>
              <w:bottom w:val="single" w:sz="4" w:space="0" w:color="auto"/>
              <w:right w:val="single" w:sz="4" w:space="0" w:color="auto"/>
            </w:tcBorders>
            <w:shd w:val="clear" w:color="auto" w:fill="F2F2F2" w:themeFill="background1" w:themeFillShade="F2"/>
            <w:noWrap/>
            <w:vAlign w:val="center"/>
            <w:hideMark/>
          </w:tcPr>
          <w:p w14:paraId="336EC29B"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463</w:t>
            </w:r>
          </w:p>
        </w:tc>
        <w:tc>
          <w:tcPr>
            <w:tcW w:w="1214" w:type="dxa"/>
            <w:tcBorders>
              <w:top w:val="nil"/>
              <w:left w:val="nil"/>
              <w:bottom w:val="single" w:sz="4" w:space="0" w:color="auto"/>
              <w:right w:val="single" w:sz="4" w:space="0" w:color="BFBFBF"/>
            </w:tcBorders>
            <w:shd w:val="clear" w:color="auto" w:fill="F2F2F2" w:themeFill="background1" w:themeFillShade="F2"/>
            <w:noWrap/>
            <w:vAlign w:val="center"/>
            <w:hideMark/>
          </w:tcPr>
          <w:p w14:paraId="3B2C7605"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w:t>
            </w:r>
          </w:p>
        </w:tc>
        <w:tc>
          <w:tcPr>
            <w:tcW w:w="1214" w:type="dxa"/>
            <w:tcBorders>
              <w:top w:val="nil"/>
              <w:left w:val="nil"/>
              <w:bottom w:val="single" w:sz="4" w:space="0" w:color="auto"/>
              <w:right w:val="single" w:sz="4" w:space="0" w:color="auto"/>
            </w:tcBorders>
            <w:shd w:val="clear" w:color="auto" w:fill="F2F2F2" w:themeFill="background1" w:themeFillShade="F2"/>
            <w:noWrap/>
            <w:vAlign w:val="center"/>
            <w:hideMark/>
          </w:tcPr>
          <w:p w14:paraId="33B8831F"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14" w:type="dxa"/>
            <w:tcBorders>
              <w:top w:val="nil"/>
              <w:left w:val="nil"/>
              <w:bottom w:val="single" w:sz="4" w:space="0" w:color="auto"/>
              <w:right w:val="single" w:sz="4" w:space="0" w:color="auto"/>
            </w:tcBorders>
            <w:shd w:val="clear" w:color="auto" w:fill="F2F2F2" w:themeFill="background1" w:themeFillShade="F2"/>
            <w:noWrap/>
            <w:vAlign w:val="center"/>
            <w:hideMark/>
          </w:tcPr>
          <w:p w14:paraId="488B05EB"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169</w:t>
            </w:r>
          </w:p>
        </w:tc>
        <w:tc>
          <w:tcPr>
            <w:tcW w:w="1214" w:type="dxa"/>
            <w:tcBorders>
              <w:top w:val="nil"/>
              <w:left w:val="nil"/>
              <w:bottom w:val="single" w:sz="4" w:space="0" w:color="auto"/>
              <w:right w:val="single" w:sz="4" w:space="0" w:color="BFBFBF"/>
            </w:tcBorders>
            <w:shd w:val="clear" w:color="auto" w:fill="F2F2F2" w:themeFill="background1" w:themeFillShade="F2"/>
            <w:noWrap/>
            <w:vAlign w:val="center"/>
            <w:hideMark/>
          </w:tcPr>
          <w:p w14:paraId="186ED10E"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w:t>
            </w:r>
          </w:p>
        </w:tc>
        <w:tc>
          <w:tcPr>
            <w:tcW w:w="1215" w:type="dxa"/>
            <w:tcBorders>
              <w:top w:val="nil"/>
              <w:left w:val="nil"/>
              <w:bottom w:val="single" w:sz="4" w:space="0" w:color="auto"/>
              <w:right w:val="single" w:sz="4" w:space="0" w:color="auto"/>
            </w:tcBorders>
            <w:shd w:val="clear" w:color="auto" w:fill="F2F2F2" w:themeFill="background1" w:themeFillShade="F2"/>
            <w:noWrap/>
            <w:vAlign w:val="center"/>
            <w:hideMark/>
          </w:tcPr>
          <w:p w14:paraId="6E56C0E7" w14:textId="77777777" w:rsidR="004E1A14" w:rsidRPr="002E10EB" w:rsidRDefault="004E1A14" w:rsidP="000A035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+20%</w:t>
            </w:r>
          </w:p>
        </w:tc>
      </w:tr>
    </w:tbl>
    <w:p w14:paraId="495E3C57" w14:textId="78501838" w:rsidR="00952F0E" w:rsidRPr="00887119" w:rsidRDefault="004E1A14" w:rsidP="00952F0E">
      <w:pPr>
        <w:pStyle w:val="Source"/>
      </w:pPr>
      <w:r w:rsidRPr="00887119">
        <w:t xml:space="preserve"> </w:t>
      </w:r>
      <w:r w:rsidR="00952F0E" w:rsidRPr="00887119">
        <w:t>* 2019 used instead of 2020 to mark pre-pandemic levels</w:t>
      </w:r>
    </w:p>
    <w:p w14:paraId="3F3DAC26" w14:textId="77777777" w:rsidR="00952F0E" w:rsidRPr="00887119" w:rsidRDefault="00952F0E" w:rsidP="00952F0E">
      <w:pPr>
        <w:pStyle w:val="Source"/>
      </w:pPr>
      <w:r w:rsidRPr="00887119">
        <w:t xml:space="preserve">Source: derived from </w:t>
      </w:r>
      <w:proofErr w:type="spellStart"/>
      <w:r w:rsidRPr="00887119">
        <w:t>AirDNA</w:t>
      </w:r>
      <w:proofErr w:type="spellEnd"/>
      <w:r w:rsidRPr="00887119">
        <w:t xml:space="preserve">© Property Performance Data and adapted Statistics Canada methodology </w:t>
      </w:r>
      <w:r w:rsidRPr="00887119">
        <w:rPr>
          <w:rStyle w:val="FootnoteReference"/>
        </w:rPr>
        <w:footnoteReference w:id="26"/>
      </w:r>
    </w:p>
    <w:p w14:paraId="3C01FFC7" w14:textId="77777777" w:rsidR="00952F0E" w:rsidRPr="00887119" w:rsidRDefault="00952F0E" w:rsidP="00952F0E"/>
    <w:p w14:paraId="43F5131A" w14:textId="7930A11D" w:rsidR="00553D55" w:rsidRPr="00887119" w:rsidRDefault="00553D55" w:rsidP="00553D55">
      <w:r w:rsidRPr="00887119">
        <w:t xml:space="preserve">Provincial STR totals have declined modestly since 2019 (-5%), but this aggregate figure masks important divergences across geographic categories. Urban areas have seen a </w:t>
      </w:r>
      <w:r w:rsidR="00FC24CB" w:rsidRPr="00887119">
        <w:t>considerable</w:t>
      </w:r>
      <w:r w:rsidRPr="00887119">
        <w:t xml:space="preserve"> decline (-28</w:t>
      </w:r>
      <w:r w:rsidR="00FC24CB" w:rsidRPr="00887119">
        <w:t>%); whereas, r</w:t>
      </w:r>
      <w:r w:rsidRPr="00887119">
        <w:t>ural urban-adjacent areas have seen STR counts increase (+4%) alongside a 56% increase in potential long-term dwellings. This pattern suggests that in rural tourist areas, the STR market is not only large relative to total housing supply but is also becoming more concentrated in units that could otherwise serve as long-term rental housing. In those communities, short-term rental activity represents a more direct displacement pressure on already limited rental supply than aggregate provincial figures would suggest.</w:t>
      </w:r>
    </w:p>
    <w:p w14:paraId="2BEAB160" w14:textId="77777777" w:rsidR="00553D55" w:rsidRPr="00887119" w:rsidRDefault="00553D55" w:rsidP="00553D55"/>
    <w:p w14:paraId="65A37D0D" w14:textId="5A6593C9" w:rsidR="00553D55" w:rsidRPr="00887119" w:rsidRDefault="00553D55" w:rsidP="00553D55">
      <w:r w:rsidRPr="00887119">
        <w:t xml:space="preserve">Provincially, 1,409 units are estimated as potential long-term dwellings </w:t>
      </w:r>
      <w:r w:rsidR="0046161B" w:rsidRPr="00887119">
        <w:t xml:space="preserve">(i.e., </w:t>
      </w:r>
      <w:r w:rsidRPr="00887119">
        <w:t>STRs that could plausibly function as long-term housing if regulatory or market conditions changed</w:t>
      </w:r>
      <w:r w:rsidR="0046161B" w:rsidRPr="00887119">
        <w:t>)</w:t>
      </w:r>
      <w:r w:rsidRPr="00887119">
        <w:t>. The extent to which these units would actually convert depends on regulatory intervention, platform policy changes, and owner willingness. Nevertheless, the potential long-term dwelling figure provides a useful upper-bound estimate of the supply that current STR activity may be displacing from the long-term rental pool, and is particularly meaningful in rural urban-adjacent areas, where 694 potential long-term dwellings represent 3% of total dwellings in that category</w:t>
      </w:r>
      <w:r w:rsidR="0046161B" w:rsidRPr="00887119">
        <w:t>,</w:t>
      </w:r>
      <w:r w:rsidRPr="00887119">
        <w:t xml:space="preserve"> a non-trivial share of the available rental base.</w:t>
      </w:r>
    </w:p>
    <w:p w14:paraId="27720738" w14:textId="77777777" w:rsidR="00952F0E" w:rsidRPr="00887119" w:rsidRDefault="00952F0E" w:rsidP="00952F0E"/>
    <w:p w14:paraId="5C8BABE2" w14:textId="77777777" w:rsidR="00952F0E" w:rsidRPr="00887119" w:rsidRDefault="00952F0E" w:rsidP="00842B20">
      <w:pPr>
        <w:pStyle w:val="Heading2"/>
      </w:pPr>
      <w:bookmarkStart w:id="96" w:name="_Toc223686645"/>
      <w:bookmarkStart w:id="97" w:name="_Toc225869011"/>
      <w:bookmarkStart w:id="98" w:name="_Toc229051958"/>
      <w:bookmarkStart w:id="99" w:name="_Toc237957441"/>
      <w:r w:rsidRPr="00887119">
        <w:t>HOMEOWNERSHIP MARKET</w:t>
      </w:r>
      <w:bookmarkEnd w:id="96"/>
      <w:bookmarkEnd w:id="97"/>
      <w:bookmarkEnd w:id="98"/>
      <w:bookmarkEnd w:id="99"/>
    </w:p>
    <w:p w14:paraId="754DF44F" w14:textId="1C3DF50D" w:rsidR="00952F0E" w:rsidRPr="00887119" w:rsidRDefault="00637214" w:rsidP="00952F0E">
      <w:r w:rsidRPr="00887119">
        <w:rPr>
          <w:rStyle w:val="Figure-textChar"/>
        </w:rPr>
        <w:fldChar w:fldCharType="begin"/>
      </w:r>
      <w:r w:rsidRPr="00887119">
        <w:rPr>
          <w:rStyle w:val="Figure-textChar"/>
        </w:rPr>
        <w:instrText xml:space="preserve"> REF _Ref228441539 \h  \* MERGEFORMAT </w:instrText>
      </w:r>
      <w:r w:rsidRPr="00887119">
        <w:rPr>
          <w:rStyle w:val="Figure-textChar"/>
        </w:rPr>
      </w:r>
      <w:r w:rsidRPr="00887119">
        <w:rPr>
          <w:rStyle w:val="Figure-textChar"/>
        </w:rPr>
        <w:fldChar w:fldCharType="separate"/>
      </w:r>
      <w:r w:rsidR="008D4BDE" w:rsidRPr="008D4BDE">
        <w:rPr>
          <w:rStyle w:val="Figure-textChar"/>
        </w:rPr>
        <w:t>Figure 8.2</w:t>
      </w:r>
      <w:r w:rsidRPr="00887119">
        <w:rPr>
          <w:rStyle w:val="Figure-textChar"/>
        </w:rPr>
        <w:fldChar w:fldCharType="end"/>
      </w:r>
      <w:r w:rsidR="00952F0E" w:rsidRPr="00887119">
        <w:t xml:space="preserve"> </w:t>
      </w:r>
      <w:r w:rsidR="009B615B" w:rsidRPr="00887119">
        <w:t>presents the year-over-year change in average sale prices alongside</w:t>
      </w:r>
      <w:r w:rsidR="00A80517" w:rsidRPr="00887119">
        <w:t xml:space="preserve"> average pay (i.e., wages and salaries) at the provincial level</w:t>
      </w:r>
      <w:r w:rsidR="009B615B" w:rsidRPr="00887119">
        <w:t xml:space="preserve">, with </w:t>
      </w:r>
      <w:r w:rsidR="00A80517" w:rsidRPr="00887119">
        <w:rPr>
          <w:rStyle w:val="Figure-textChar"/>
        </w:rPr>
        <w:fldChar w:fldCharType="begin"/>
      </w:r>
      <w:r w:rsidR="00A80517" w:rsidRPr="00887119">
        <w:rPr>
          <w:rStyle w:val="Figure-textChar"/>
        </w:rPr>
        <w:instrText xml:space="preserve"> REF _Ref228536043 \h  \* MERGEFORMAT </w:instrText>
      </w:r>
      <w:r w:rsidR="00A80517" w:rsidRPr="00887119">
        <w:rPr>
          <w:rStyle w:val="Figure-textChar"/>
        </w:rPr>
      </w:r>
      <w:r w:rsidR="00A80517" w:rsidRPr="00887119">
        <w:rPr>
          <w:rStyle w:val="Figure-textChar"/>
        </w:rPr>
        <w:fldChar w:fldCharType="separate"/>
      </w:r>
      <w:r w:rsidR="008D4BDE" w:rsidRPr="008D4BDE">
        <w:rPr>
          <w:rStyle w:val="Figure-textChar"/>
        </w:rPr>
        <w:t>Table 8.6</w:t>
      </w:r>
      <w:r w:rsidR="00A80517" w:rsidRPr="00887119">
        <w:rPr>
          <w:rStyle w:val="Figure-textChar"/>
        </w:rPr>
        <w:fldChar w:fldCharType="end"/>
      </w:r>
      <w:r w:rsidR="009B615B" w:rsidRPr="00887119">
        <w:t xml:space="preserve"> disaggregating average sale prices </w:t>
      </w:r>
      <w:r w:rsidR="009B615B" w:rsidRPr="00887119">
        <w:lastRenderedPageBreak/>
        <w:t xml:space="preserve">by geographic category to illustrate how ownership market conditions have evolved differently across urban and rural </w:t>
      </w:r>
      <w:r w:rsidR="00402288" w:rsidRPr="00402288">
        <w:rPr>
          <w:color w:val="C00000"/>
        </w:rPr>
        <w:t>PEI</w:t>
      </w:r>
      <w:r w:rsidR="009B615B" w:rsidRPr="00887119">
        <w:t>.</w:t>
      </w:r>
    </w:p>
    <w:p w14:paraId="4AA27A87" w14:textId="77777777" w:rsidR="00952F0E" w:rsidRPr="00887119" w:rsidRDefault="00952F0E" w:rsidP="00952F0E"/>
    <w:p w14:paraId="60A2283B" w14:textId="0CF3F84E" w:rsidR="008D64FF" w:rsidRPr="00887119" w:rsidRDefault="008D64FF" w:rsidP="008D64FF">
      <w:pPr>
        <w:pStyle w:val="Caption"/>
      </w:pPr>
      <w:bookmarkStart w:id="100" w:name="_Ref228441539"/>
      <w:r w:rsidRPr="00887119">
        <w:t xml:space="preserve">Figure </w:t>
      </w:r>
      <w:fldSimple w:instr=" STYLEREF 1 \s ">
        <w:r w:rsidR="008D4BDE">
          <w:rPr>
            <w:noProof/>
          </w:rPr>
          <w:t>8</w:t>
        </w:r>
      </w:fldSimple>
      <w:r w:rsidR="00A6003E" w:rsidRPr="00887119">
        <w:t>.</w:t>
      </w:r>
      <w:fldSimple w:instr=" SEQ Figure \* ARABIC \s 1 ">
        <w:r w:rsidR="008D4BDE">
          <w:rPr>
            <w:noProof/>
          </w:rPr>
          <w:t>2</w:t>
        </w:r>
      </w:fldSimple>
      <w:bookmarkEnd w:id="100"/>
      <w:r w:rsidRPr="00887119">
        <w:t xml:space="preserve">: </w:t>
      </w:r>
      <w:r w:rsidR="00AE375B" w:rsidRPr="00887119">
        <w:t>Year-over-year change</w:t>
      </w:r>
      <w:r w:rsidRPr="00887119">
        <w:t xml:space="preserve"> in average house prices and pay, provincial</w:t>
      </w:r>
    </w:p>
    <w:p w14:paraId="51072279" w14:textId="0BD9ABC6" w:rsidR="00952F0E" w:rsidRPr="00887119" w:rsidRDefault="00BF700B" w:rsidP="00952F0E">
      <w:pPr>
        <w:pStyle w:val="Source"/>
      </w:pPr>
      <w:r w:rsidRPr="00887119">
        <w:rPr>
          <w:noProof/>
        </w:rPr>
        <w:drawing>
          <wp:inline distT="0" distB="0" distL="0" distR="0" wp14:anchorId="51E47A7C" wp14:editId="33DF87FB">
            <wp:extent cx="5857875" cy="2743200"/>
            <wp:effectExtent l="0" t="0" r="0" b="0"/>
            <wp:docPr id="1213562873" name="Chart 1">
              <a:extLst xmlns:a="http://schemas.openxmlformats.org/drawingml/2006/main">
                <a:ext uri="{FF2B5EF4-FFF2-40B4-BE49-F238E27FC236}">
                  <a16:creationId xmlns:a16="http://schemas.microsoft.com/office/drawing/2014/main" id="{63CA80FE-204B-4F0D-BE54-3C9A3F2CA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952F0E" w:rsidRPr="00887119">
        <w:t xml:space="preserve">Source: </w:t>
      </w:r>
      <w:r w:rsidR="00D50A38" w:rsidRPr="00887119">
        <w:t xml:space="preserve">derived from </w:t>
      </w:r>
      <w:r w:rsidR="00402288" w:rsidRPr="00402288">
        <w:rPr>
          <w:color w:val="C00000"/>
        </w:rPr>
        <w:t>PEI</w:t>
      </w:r>
      <w:r w:rsidR="00952F0E" w:rsidRPr="00887119">
        <w:t>REA MLS® and Statistics Canada Table 14-10-0204</w:t>
      </w:r>
    </w:p>
    <w:p w14:paraId="19C26AA1" w14:textId="77777777" w:rsidR="00952F0E" w:rsidRPr="00887119" w:rsidRDefault="00952F0E" w:rsidP="00952F0E"/>
    <w:p w14:paraId="3F884D22" w14:textId="43B9E511" w:rsidR="008D64FF" w:rsidRPr="00887119" w:rsidRDefault="008D64FF" w:rsidP="008D64FF">
      <w:pPr>
        <w:pStyle w:val="Caption"/>
      </w:pPr>
      <w:bookmarkStart w:id="101" w:name="_Ref228536043"/>
      <w:r w:rsidRPr="00887119">
        <w:t xml:space="preserve">Table </w:t>
      </w:r>
      <w:fldSimple w:instr=" STYLEREF 1 \s ">
        <w:r w:rsidR="008D4BDE">
          <w:rPr>
            <w:noProof/>
          </w:rPr>
          <w:t>8</w:t>
        </w:r>
      </w:fldSimple>
      <w:r w:rsidR="00EE1FE9">
        <w:t>.</w:t>
      </w:r>
      <w:fldSimple w:instr=" SEQ Table \* ARABIC \s 1 ">
        <w:r w:rsidR="008D4BDE">
          <w:rPr>
            <w:noProof/>
          </w:rPr>
          <w:t>6</w:t>
        </w:r>
      </w:fldSimple>
      <w:bookmarkEnd w:id="101"/>
      <w:r w:rsidRPr="00887119">
        <w:t xml:space="preserve">: Average sale price by </w:t>
      </w:r>
      <w:r w:rsidR="007E0B75" w:rsidRPr="00887119">
        <w:t xml:space="preserve">selected </w:t>
      </w:r>
      <w:r w:rsidRPr="00887119">
        <w:t>year and geograph</w:t>
      </w:r>
      <w:r w:rsidR="007E0B75" w:rsidRPr="00887119">
        <w:t>ic category</w:t>
      </w:r>
    </w:p>
    <w:tbl>
      <w:tblPr>
        <w:tblW w:w="9355" w:type="dxa"/>
        <w:tblLayout w:type="fixed"/>
        <w:tblLook w:val="04A0" w:firstRow="1" w:lastRow="0" w:firstColumn="1" w:lastColumn="0" w:noHBand="0" w:noVBand="1"/>
      </w:tblPr>
      <w:tblGrid>
        <w:gridCol w:w="2875"/>
        <w:gridCol w:w="2160"/>
        <w:gridCol w:w="2160"/>
        <w:gridCol w:w="2160"/>
      </w:tblGrid>
      <w:tr w:rsidR="00DB4BF3" w:rsidRPr="00887119" w14:paraId="2CD56B28" w14:textId="77777777" w:rsidTr="00274840">
        <w:trPr>
          <w:trHeight w:val="402"/>
          <w:tblHeader/>
        </w:trPr>
        <w:tc>
          <w:tcPr>
            <w:tcW w:w="287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2FB27DEF" w14:textId="77777777" w:rsidR="00DB4BF3" w:rsidRPr="00887119" w:rsidRDefault="00DB4BF3" w:rsidP="00DB4BF3">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Geography</w:t>
            </w:r>
          </w:p>
        </w:tc>
        <w:tc>
          <w:tcPr>
            <w:tcW w:w="216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D95FB16" w14:textId="77777777" w:rsidR="00DB4BF3" w:rsidRPr="00887119" w:rsidRDefault="00DB4BF3" w:rsidP="00DB4BF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2020</w:t>
            </w:r>
          </w:p>
        </w:tc>
        <w:tc>
          <w:tcPr>
            <w:tcW w:w="216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2DCE5CDA" w14:textId="77777777" w:rsidR="00DB4BF3" w:rsidRPr="00887119" w:rsidRDefault="00DB4BF3" w:rsidP="00DB4BF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2025</w:t>
            </w:r>
          </w:p>
        </w:tc>
        <w:tc>
          <w:tcPr>
            <w:tcW w:w="2160" w:type="dxa"/>
            <w:tcBorders>
              <w:top w:val="single" w:sz="4" w:space="0" w:color="auto"/>
              <w:left w:val="single" w:sz="4" w:space="0" w:color="BFBFBF"/>
              <w:bottom w:val="single" w:sz="4" w:space="0" w:color="auto"/>
              <w:right w:val="single" w:sz="4" w:space="0" w:color="auto"/>
            </w:tcBorders>
            <w:shd w:val="clear" w:color="auto" w:fill="42618C" w:themeFill="accent3"/>
            <w:noWrap/>
            <w:vAlign w:val="center"/>
            <w:hideMark/>
          </w:tcPr>
          <w:p w14:paraId="60CCD35C" w14:textId="77777777" w:rsidR="00DB4BF3" w:rsidRPr="00887119" w:rsidRDefault="00DB4BF3" w:rsidP="00DB4BF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Change</w:t>
            </w:r>
          </w:p>
        </w:tc>
      </w:tr>
      <w:tr w:rsidR="00DB4BF3" w:rsidRPr="00887119" w14:paraId="2541A4F6" w14:textId="77777777" w:rsidTr="00DB4BF3">
        <w:trPr>
          <w:trHeight w:val="402"/>
        </w:trPr>
        <w:tc>
          <w:tcPr>
            <w:tcW w:w="2875" w:type="dxa"/>
            <w:tcBorders>
              <w:top w:val="nil"/>
              <w:left w:val="single" w:sz="4" w:space="0" w:color="auto"/>
              <w:bottom w:val="single" w:sz="4" w:space="0" w:color="auto"/>
              <w:right w:val="single" w:sz="4" w:space="0" w:color="auto"/>
            </w:tcBorders>
            <w:shd w:val="clear" w:color="000000" w:fill="F2F2F2"/>
            <w:noWrap/>
            <w:vAlign w:val="center"/>
            <w:hideMark/>
          </w:tcPr>
          <w:p w14:paraId="127CA53E" w14:textId="77777777" w:rsidR="00DB4BF3" w:rsidRPr="00887119" w:rsidRDefault="00DB4BF3" w:rsidP="00DB4BF3">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Province</w:t>
            </w:r>
          </w:p>
        </w:tc>
        <w:tc>
          <w:tcPr>
            <w:tcW w:w="2160" w:type="dxa"/>
            <w:tcBorders>
              <w:top w:val="nil"/>
              <w:left w:val="nil"/>
              <w:bottom w:val="single" w:sz="4" w:space="0" w:color="auto"/>
              <w:right w:val="single" w:sz="4" w:space="0" w:color="BFBFBF"/>
            </w:tcBorders>
            <w:shd w:val="clear" w:color="000000" w:fill="F2F2F2"/>
            <w:noWrap/>
            <w:vAlign w:val="center"/>
            <w:hideMark/>
          </w:tcPr>
          <w:p w14:paraId="52DBE87B"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$303,000</w:t>
            </w:r>
          </w:p>
        </w:tc>
        <w:tc>
          <w:tcPr>
            <w:tcW w:w="2160" w:type="dxa"/>
            <w:tcBorders>
              <w:top w:val="nil"/>
              <w:left w:val="nil"/>
              <w:bottom w:val="single" w:sz="4" w:space="0" w:color="auto"/>
              <w:right w:val="single" w:sz="4" w:space="0" w:color="auto"/>
            </w:tcBorders>
            <w:shd w:val="clear" w:color="000000" w:fill="F2F2F2"/>
            <w:noWrap/>
            <w:vAlign w:val="center"/>
            <w:hideMark/>
          </w:tcPr>
          <w:p w14:paraId="59728FEC"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$404,200</w:t>
            </w:r>
          </w:p>
        </w:tc>
        <w:tc>
          <w:tcPr>
            <w:tcW w:w="2160" w:type="dxa"/>
            <w:tcBorders>
              <w:top w:val="nil"/>
              <w:left w:val="single" w:sz="4" w:space="0" w:color="BFBFBF"/>
              <w:bottom w:val="single" w:sz="4" w:space="0" w:color="auto"/>
              <w:right w:val="single" w:sz="4" w:space="0" w:color="auto"/>
            </w:tcBorders>
            <w:shd w:val="clear" w:color="000000" w:fill="F2F2F2"/>
            <w:noWrap/>
            <w:vAlign w:val="center"/>
            <w:hideMark/>
          </w:tcPr>
          <w:p w14:paraId="1B083764"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+33%</w:t>
            </w:r>
          </w:p>
        </w:tc>
      </w:tr>
      <w:tr w:rsidR="00DB4BF3" w:rsidRPr="00887119" w14:paraId="0D52DD4D" w14:textId="77777777" w:rsidTr="00DB4BF3">
        <w:trPr>
          <w:trHeight w:val="402"/>
        </w:trPr>
        <w:tc>
          <w:tcPr>
            <w:tcW w:w="2875" w:type="dxa"/>
            <w:tcBorders>
              <w:top w:val="nil"/>
              <w:left w:val="single" w:sz="4" w:space="0" w:color="auto"/>
              <w:bottom w:val="single" w:sz="4" w:space="0" w:color="BFBFBF"/>
              <w:right w:val="single" w:sz="4" w:space="0" w:color="auto"/>
            </w:tcBorders>
            <w:shd w:val="clear" w:color="auto" w:fill="FFFFFF" w:themeFill="background1"/>
            <w:noWrap/>
            <w:vAlign w:val="center"/>
            <w:hideMark/>
          </w:tcPr>
          <w:p w14:paraId="6B445E19" w14:textId="77777777" w:rsidR="00DB4BF3" w:rsidRPr="00887119" w:rsidRDefault="00DB4BF3" w:rsidP="00DB4BF3">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Urban</w:t>
            </w:r>
          </w:p>
        </w:tc>
        <w:tc>
          <w:tcPr>
            <w:tcW w:w="2160" w:type="dxa"/>
            <w:tcBorders>
              <w:top w:val="nil"/>
              <w:left w:val="nil"/>
              <w:bottom w:val="single" w:sz="4" w:space="0" w:color="BFBFBF"/>
              <w:right w:val="single" w:sz="4" w:space="0" w:color="BFBFBF"/>
            </w:tcBorders>
            <w:shd w:val="clear" w:color="auto" w:fill="FFFFFF" w:themeFill="background1"/>
            <w:noWrap/>
            <w:vAlign w:val="center"/>
            <w:hideMark/>
          </w:tcPr>
          <w:p w14:paraId="38DAC9B6"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$313,900</w:t>
            </w:r>
          </w:p>
        </w:tc>
        <w:tc>
          <w:tcPr>
            <w:tcW w:w="2160" w:type="dxa"/>
            <w:tcBorders>
              <w:top w:val="nil"/>
              <w:left w:val="nil"/>
              <w:bottom w:val="single" w:sz="4" w:space="0" w:color="BFBFBF"/>
              <w:right w:val="single" w:sz="4" w:space="0" w:color="auto"/>
            </w:tcBorders>
            <w:shd w:val="clear" w:color="auto" w:fill="FFFFFF" w:themeFill="background1"/>
            <w:noWrap/>
            <w:vAlign w:val="center"/>
            <w:hideMark/>
          </w:tcPr>
          <w:p w14:paraId="3C7922DC"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$438,400</w:t>
            </w:r>
          </w:p>
        </w:tc>
        <w:tc>
          <w:tcPr>
            <w:tcW w:w="2160" w:type="dxa"/>
            <w:tcBorders>
              <w:top w:val="nil"/>
              <w:left w:val="single" w:sz="4" w:space="0" w:color="BFBFBF"/>
              <w:bottom w:val="single" w:sz="4" w:space="0" w:color="BFBFBF"/>
              <w:right w:val="single" w:sz="4" w:space="0" w:color="auto"/>
            </w:tcBorders>
            <w:shd w:val="clear" w:color="auto" w:fill="FFFFFF" w:themeFill="background1"/>
            <w:noWrap/>
            <w:vAlign w:val="center"/>
            <w:hideMark/>
          </w:tcPr>
          <w:p w14:paraId="0E3B204D"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+40%</w:t>
            </w:r>
          </w:p>
        </w:tc>
      </w:tr>
      <w:tr w:rsidR="00DB4BF3" w:rsidRPr="00887119" w14:paraId="3410E6A8" w14:textId="77777777" w:rsidTr="00DB4BF3">
        <w:trPr>
          <w:trHeight w:val="402"/>
        </w:trPr>
        <w:tc>
          <w:tcPr>
            <w:tcW w:w="2875" w:type="dxa"/>
            <w:tcBorders>
              <w:top w:val="nil"/>
              <w:left w:val="single" w:sz="4" w:space="0" w:color="auto"/>
              <w:bottom w:val="single" w:sz="4" w:space="0" w:color="BFBFBF"/>
              <w:right w:val="single" w:sz="4" w:space="0" w:color="auto"/>
            </w:tcBorders>
            <w:shd w:val="clear" w:color="auto" w:fill="F2F2F2" w:themeFill="background1" w:themeFillShade="F2"/>
            <w:noWrap/>
            <w:vAlign w:val="center"/>
            <w:hideMark/>
          </w:tcPr>
          <w:p w14:paraId="3F0096B5" w14:textId="77777777" w:rsidR="00DB4BF3" w:rsidRPr="00887119" w:rsidRDefault="00DB4BF3" w:rsidP="00DB4BF3">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Small urban</w:t>
            </w:r>
          </w:p>
        </w:tc>
        <w:tc>
          <w:tcPr>
            <w:tcW w:w="2160" w:type="dxa"/>
            <w:tcBorders>
              <w:top w:val="nil"/>
              <w:left w:val="nil"/>
              <w:bottom w:val="single" w:sz="4" w:space="0" w:color="BFBFBF"/>
              <w:right w:val="single" w:sz="4" w:space="0" w:color="BFBFBF"/>
            </w:tcBorders>
            <w:shd w:val="clear" w:color="auto" w:fill="F2F2F2" w:themeFill="background1" w:themeFillShade="F2"/>
            <w:noWrap/>
            <w:vAlign w:val="center"/>
            <w:hideMark/>
          </w:tcPr>
          <w:p w14:paraId="14A27F63"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$266,100</w:t>
            </w:r>
          </w:p>
        </w:tc>
        <w:tc>
          <w:tcPr>
            <w:tcW w:w="2160" w:type="dxa"/>
            <w:tcBorders>
              <w:top w:val="nil"/>
              <w:left w:val="nil"/>
              <w:bottom w:val="single" w:sz="4" w:space="0" w:color="BFBFBF"/>
              <w:right w:val="single" w:sz="4" w:space="0" w:color="auto"/>
            </w:tcBorders>
            <w:shd w:val="clear" w:color="auto" w:fill="F2F2F2" w:themeFill="background1" w:themeFillShade="F2"/>
            <w:noWrap/>
            <w:vAlign w:val="center"/>
            <w:hideMark/>
          </w:tcPr>
          <w:p w14:paraId="38FDC671"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$362,500</w:t>
            </w:r>
          </w:p>
        </w:tc>
        <w:tc>
          <w:tcPr>
            <w:tcW w:w="2160" w:type="dxa"/>
            <w:tcBorders>
              <w:top w:val="nil"/>
              <w:left w:val="single" w:sz="4" w:space="0" w:color="BFBFBF"/>
              <w:bottom w:val="single" w:sz="4" w:space="0" w:color="BFBFBF"/>
              <w:right w:val="single" w:sz="4" w:space="0" w:color="auto"/>
            </w:tcBorders>
            <w:shd w:val="clear" w:color="auto" w:fill="F2F2F2" w:themeFill="background1" w:themeFillShade="F2"/>
            <w:noWrap/>
            <w:vAlign w:val="center"/>
            <w:hideMark/>
          </w:tcPr>
          <w:p w14:paraId="7AB2AFD8"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+36%</w:t>
            </w:r>
          </w:p>
        </w:tc>
      </w:tr>
      <w:tr w:rsidR="00DB4BF3" w:rsidRPr="00887119" w14:paraId="5EB595FE" w14:textId="77777777" w:rsidTr="00DB4BF3">
        <w:trPr>
          <w:trHeight w:val="402"/>
        </w:trPr>
        <w:tc>
          <w:tcPr>
            <w:tcW w:w="2875" w:type="dxa"/>
            <w:tcBorders>
              <w:top w:val="nil"/>
              <w:left w:val="single" w:sz="4" w:space="0" w:color="auto"/>
              <w:bottom w:val="single" w:sz="4" w:space="0" w:color="BFBFBF"/>
              <w:right w:val="single" w:sz="4" w:space="0" w:color="auto"/>
            </w:tcBorders>
            <w:shd w:val="clear" w:color="auto" w:fill="FFFFFF" w:themeFill="background1"/>
            <w:noWrap/>
            <w:vAlign w:val="center"/>
            <w:hideMark/>
          </w:tcPr>
          <w:p w14:paraId="076D982C" w14:textId="77777777" w:rsidR="00DB4BF3" w:rsidRPr="00887119" w:rsidRDefault="00DB4BF3" w:rsidP="00DB4BF3">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Rural (urban adjacent)</w:t>
            </w:r>
          </w:p>
        </w:tc>
        <w:tc>
          <w:tcPr>
            <w:tcW w:w="2160" w:type="dxa"/>
            <w:tcBorders>
              <w:top w:val="nil"/>
              <w:left w:val="nil"/>
              <w:bottom w:val="single" w:sz="4" w:space="0" w:color="BFBFBF"/>
              <w:right w:val="single" w:sz="4" w:space="0" w:color="BFBFBF"/>
            </w:tcBorders>
            <w:shd w:val="clear" w:color="auto" w:fill="FFFFFF" w:themeFill="background1"/>
            <w:noWrap/>
            <w:vAlign w:val="center"/>
            <w:hideMark/>
          </w:tcPr>
          <w:p w14:paraId="12737AFF"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$293,500</w:t>
            </w:r>
          </w:p>
        </w:tc>
        <w:tc>
          <w:tcPr>
            <w:tcW w:w="2160" w:type="dxa"/>
            <w:tcBorders>
              <w:top w:val="nil"/>
              <w:left w:val="nil"/>
              <w:bottom w:val="single" w:sz="4" w:space="0" w:color="BFBFBF"/>
              <w:right w:val="single" w:sz="4" w:space="0" w:color="auto"/>
            </w:tcBorders>
            <w:shd w:val="clear" w:color="auto" w:fill="FFFFFF" w:themeFill="background1"/>
            <w:noWrap/>
            <w:vAlign w:val="center"/>
            <w:hideMark/>
          </w:tcPr>
          <w:p w14:paraId="73424626"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$390,100</w:t>
            </w:r>
          </w:p>
        </w:tc>
        <w:tc>
          <w:tcPr>
            <w:tcW w:w="2160" w:type="dxa"/>
            <w:tcBorders>
              <w:top w:val="nil"/>
              <w:left w:val="single" w:sz="4" w:space="0" w:color="BFBFBF"/>
              <w:bottom w:val="single" w:sz="4" w:space="0" w:color="BFBFBF"/>
              <w:right w:val="single" w:sz="4" w:space="0" w:color="auto"/>
            </w:tcBorders>
            <w:shd w:val="clear" w:color="auto" w:fill="FFFFFF" w:themeFill="background1"/>
            <w:noWrap/>
            <w:vAlign w:val="center"/>
            <w:hideMark/>
          </w:tcPr>
          <w:p w14:paraId="508A24E0"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+33%</w:t>
            </w:r>
          </w:p>
        </w:tc>
      </w:tr>
      <w:tr w:rsidR="00DB4BF3" w:rsidRPr="00887119" w14:paraId="2AE6FC5F" w14:textId="77777777" w:rsidTr="00DB4BF3">
        <w:trPr>
          <w:trHeight w:val="402"/>
        </w:trPr>
        <w:tc>
          <w:tcPr>
            <w:tcW w:w="287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7480B56" w14:textId="77777777" w:rsidR="00DB4BF3" w:rsidRPr="00887119" w:rsidRDefault="00DB4BF3" w:rsidP="00DB4BF3">
            <w:pPr>
              <w:spacing w:line="240" w:lineRule="auto"/>
              <w:jc w:val="left"/>
              <w:rPr>
                <w:rFonts w:eastAsia="Times New Roman" w:cs="Arial"/>
                <w:kern w:val="0"/>
                <w:sz w:val="18"/>
                <w:szCs w:val="18"/>
                <w:lang w:eastAsia="en-CA"/>
                <w14:ligatures w14:val="none"/>
              </w:rPr>
            </w:pPr>
            <w:r w:rsidRPr="00887119">
              <w:rPr>
                <w:rFonts w:eastAsia="Times New Roman" w:cs="Arial"/>
                <w:kern w:val="0"/>
                <w:sz w:val="18"/>
                <w:szCs w:val="18"/>
                <w:lang w:eastAsia="en-CA"/>
                <w14:ligatures w14:val="none"/>
              </w:rPr>
              <w:t>Rural (remote)</w:t>
            </w:r>
          </w:p>
        </w:tc>
        <w:tc>
          <w:tcPr>
            <w:tcW w:w="2160" w:type="dxa"/>
            <w:tcBorders>
              <w:top w:val="nil"/>
              <w:left w:val="nil"/>
              <w:bottom w:val="single" w:sz="4" w:space="0" w:color="auto"/>
              <w:right w:val="single" w:sz="4" w:space="0" w:color="BFBFBF"/>
            </w:tcBorders>
            <w:shd w:val="clear" w:color="auto" w:fill="F2F2F2" w:themeFill="background1" w:themeFillShade="F2"/>
            <w:noWrap/>
            <w:vAlign w:val="center"/>
            <w:hideMark/>
          </w:tcPr>
          <w:p w14:paraId="21E7C8D2"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$268,700</w:t>
            </w:r>
          </w:p>
        </w:tc>
        <w:tc>
          <w:tcPr>
            <w:tcW w:w="2160" w:type="dxa"/>
            <w:tcBorders>
              <w:top w:val="nil"/>
              <w:left w:val="nil"/>
              <w:bottom w:val="single" w:sz="4" w:space="0" w:color="auto"/>
              <w:right w:val="single" w:sz="4" w:space="0" w:color="auto"/>
            </w:tcBorders>
            <w:shd w:val="clear" w:color="auto" w:fill="F2F2F2" w:themeFill="background1" w:themeFillShade="F2"/>
            <w:noWrap/>
            <w:vAlign w:val="center"/>
            <w:hideMark/>
          </w:tcPr>
          <w:p w14:paraId="540FED64"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$337,400</w:t>
            </w:r>
          </w:p>
        </w:tc>
        <w:tc>
          <w:tcPr>
            <w:tcW w:w="2160" w:type="dxa"/>
            <w:tcBorders>
              <w:top w:val="nil"/>
              <w:left w:val="single" w:sz="4" w:space="0" w:color="BFBFBF"/>
              <w:bottom w:val="single" w:sz="4" w:space="0" w:color="auto"/>
              <w:right w:val="single" w:sz="4" w:space="0" w:color="auto"/>
            </w:tcBorders>
            <w:shd w:val="clear" w:color="auto" w:fill="F2F2F2" w:themeFill="background1" w:themeFillShade="F2"/>
            <w:noWrap/>
            <w:vAlign w:val="center"/>
            <w:hideMark/>
          </w:tcPr>
          <w:p w14:paraId="0212EBA6" w14:textId="77777777" w:rsidR="00DB4BF3" w:rsidRPr="002E10EB" w:rsidRDefault="00DB4BF3" w:rsidP="00DB4BF3">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+26%</w:t>
            </w:r>
          </w:p>
        </w:tc>
      </w:tr>
    </w:tbl>
    <w:p w14:paraId="530C279A" w14:textId="5A9BA39F" w:rsidR="00DB4BF3" w:rsidRPr="00887119" w:rsidRDefault="008D64FF" w:rsidP="008D64FF">
      <w:pPr>
        <w:pStyle w:val="Source"/>
      </w:pPr>
      <w:r w:rsidRPr="00887119">
        <w:t xml:space="preserve">Source: </w:t>
      </w:r>
      <w:r w:rsidR="003168A8" w:rsidRPr="00887119">
        <w:t xml:space="preserve">derived from </w:t>
      </w:r>
      <w:r w:rsidR="00402288" w:rsidRPr="00402288">
        <w:rPr>
          <w:color w:val="C00000"/>
        </w:rPr>
        <w:t>PEI</w:t>
      </w:r>
      <w:r w:rsidRPr="00887119">
        <w:t xml:space="preserve">REA MLS® </w:t>
      </w:r>
    </w:p>
    <w:p w14:paraId="5007A650" w14:textId="77777777" w:rsidR="008D64FF" w:rsidRPr="00887119" w:rsidRDefault="008D64FF" w:rsidP="008D64FF"/>
    <w:p w14:paraId="0D10A50F" w14:textId="44607D93" w:rsidR="00B76D67" w:rsidRPr="00887119" w:rsidRDefault="00B76D67" w:rsidP="00B76D67">
      <w:r w:rsidRPr="00887119">
        <w:t>Average sale prices have increased substantially across all geographic categories since 2020, with the steepest appreciation occurring in urban areas (+40%) and small urban areas (+36%), compared to rural urban-adjacent (+33%) and rural remote (+26%). Urban areas now show the highest average prices at $438,400, reflecting the intersection of strong demand from in-migration</w:t>
      </w:r>
      <w:r w:rsidR="00E82525" w:rsidRPr="00887119">
        <w:t xml:space="preserve"> and </w:t>
      </w:r>
      <w:r w:rsidRPr="00887119">
        <w:t xml:space="preserve">constrained supply. While rural remote prices remain lower in absolute terms ($337,400), their 26% increase over five years represents a meaningful erosion of what was once the </w:t>
      </w:r>
      <w:r w:rsidR="006272C5" w:rsidRPr="00887119">
        <w:t>more</w:t>
      </w:r>
      <w:r w:rsidRPr="00887119">
        <w:t xml:space="preserve"> accessible ownership market in the province for lower-income households.</w:t>
      </w:r>
    </w:p>
    <w:p w14:paraId="5298EA5E" w14:textId="77777777" w:rsidR="00B76D67" w:rsidRPr="00887119" w:rsidRDefault="00B76D67" w:rsidP="00B76D67"/>
    <w:p w14:paraId="4F6401A6" w14:textId="613BDE81" w:rsidR="00B76D67" w:rsidRPr="00887119" w:rsidRDefault="00B76D67" w:rsidP="00B76D67">
      <w:r w:rsidRPr="00887119">
        <w:t>Across all categories, price growth has eroded the entry-level ownership market that was historically accessible to younger and lower-income buyers. In urban areas, this has direct implications for the rental market</w:t>
      </w:r>
      <w:r w:rsidR="0066257F" w:rsidRPr="00887119">
        <w:t>. H</w:t>
      </w:r>
      <w:r w:rsidRPr="00887119">
        <w:t xml:space="preserve">ouseholds who might otherwise transition out of renting into homeownership are remaining in the rental market longer, sustaining demand pressure on an </w:t>
      </w:r>
      <w:r w:rsidRPr="00887119">
        <w:lastRenderedPageBreak/>
        <w:t>already constrained rental supply. In rural areas, where ownership has historically been more attainable, the pace of appreciation risks excluding lower-income households from ownership for the first time, without a corresponding rental market that could absorb that demand.</w:t>
      </w:r>
    </w:p>
    <w:p w14:paraId="4AA00D8D" w14:textId="77777777" w:rsidR="00B76D67" w:rsidRPr="00887119" w:rsidRDefault="00B76D67" w:rsidP="00B76D67"/>
    <w:p w14:paraId="7934C8AA" w14:textId="1843603D" w:rsidR="00B76D67" w:rsidRPr="00887119" w:rsidRDefault="00B76D67" w:rsidP="00B76D67">
      <w:r w:rsidRPr="00887119">
        <w:t xml:space="preserve">Lower prices in rural remote areas do not necessarily translate into greater affordability in practice. With median renter household incomes </w:t>
      </w:r>
      <w:r w:rsidR="00356584" w:rsidRPr="00887119">
        <w:t>estimated at</w:t>
      </w:r>
      <w:r w:rsidRPr="00887119">
        <w:t xml:space="preserve"> $28,000 in rural remote areas, even lower home prices remain difficult to access through conventional mortgage financing</w:t>
      </w:r>
      <w:r w:rsidR="00021DA1" w:rsidRPr="00887119">
        <w:t>.</w:t>
      </w:r>
    </w:p>
    <w:p w14:paraId="6107D41B" w14:textId="77777777" w:rsidR="00952F0E" w:rsidRPr="00887119" w:rsidRDefault="00952F0E" w:rsidP="00952F0E"/>
    <w:p w14:paraId="0460F3C4" w14:textId="77777777" w:rsidR="00952F0E" w:rsidRPr="00887119" w:rsidRDefault="00952F0E" w:rsidP="00842B20">
      <w:pPr>
        <w:pStyle w:val="Heading2"/>
      </w:pPr>
      <w:bookmarkStart w:id="102" w:name="_Toc223686646"/>
      <w:bookmarkStart w:id="103" w:name="_Toc225869012"/>
      <w:bookmarkStart w:id="104" w:name="_Toc229051959"/>
      <w:bookmarkStart w:id="105" w:name="_Toc237957442"/>
      <w:r w:rsidRPr="00887119">
        <w:t>AFFORDABLE HOUSING</w:t>
      </w:r>
      <w:bookmarkEnd w:id="102"/>
      <w:bookmarkEnd w:id="103"/>
      <w:bookmarkEnd w:id="104"/>
      <w:bookmarkEnd w:id="105"/>
    </w:p>
    <w:p w14:paraId="0A676574" w14:textId="66F80B32" w:rsidR="00952F0E" w:rsidRPr="00887119" w:rsidRDefault="00952F0E" w:rsidP="00952F0E">
      <w:r w:rsidRPr="00887119">
        <w:rPr>
          <w:rStyle w:val="Figure-textChar"/>
        </w:rPr>
        <w:fldChar w:fldCharType="begin"/>
      </w:r>
      <w:r w:rsidRPr="00887119">
        <w:rPr>
          <w:rStyle w:val="Figure-textChar"/>
        </w:rPr>
        <w:instrText xml:space="preserve"> REF _Ref223276151 \h  \* MERGEFORMAT </w:instrText>
      </w:r>
      <w:r w:rsidRPr="00887119">
        <w:rPr>
          <w:rStyle w:val="Figure-textChar"/>
        </w:rPr>
      </w:r>
      <w:r w:rsidRPr="00887119">
        <w:rPr>
          <w:rStyle w:val="Figure-textChar"/>
        </w:rPr>
        <w:fldChar w:fldCharType="separate"/>
      </w:r>
      <w:r w:rsidR="008D4BDE" w:rsidRPr="008D4BDE">
        <w:rPr>
          <w:rStyle w:val="Figure-textChar"/>
        </w:rPr>
        <w:t>Table 8.7</w:t>
      </w:r>
      <w:r w:rsidRPr="00887119">
        <w:rPr>
          <w:rStyle w:val="Figure-textChar"/>
        </w:rPr>
        <w:fldChar w:fldCharType="end"/>
      </w:r>
      <w:r w:rsidRPr="00887119">
        <w:t xml:space="preserve"> </w:t>
      </w:r>
      <w:r w:rsidR="002114D5" w:rsidRPr="00887119">
        <w:t>estimates the share of existing rental units that are affordable to very-low and low income households by geographic category, establishing the distribution of affordable rental supply across the province and identifying where gaps between need and available supply are most significant.</w:t>
      </w:r>
    </w:p>
    <w:p w14:paraId="3BABC737" w14:textId="77777777" w:rsidR="00952F0E" w:rsidRPr="00887119" w:rsidRDefault="00952F0E" w:rsidP="00952F0E"/>
    <w:p w14:paraId="48066C09" w14:textId="79FBBA55" w:rsidR="00952F0E" w:rsidRPr="00887119" w:rsidRDefault="00952F0E" w:rsidP="00952F0E">
      <w:pPr>
        <w:pStyle w:val="Caption"/>
      </w:pPr>
      <w:bookmarkStart w:id="106" w:name="_Ref223276151"/>
      <w:r w:rsidRPr="00887119">
        <w:t xml:space="preserve">Table </w:t>
      </w:r>
      <w:fldSimple w:instr=" STYLEREF 1 \s ">
        <w:r w:rsidR="008D4BDE">
          <w:rPr>
            <w:noProof/>
          </w:rPr>
          <w:t>8</w:t>
        </w:r>
      </w:fldSimple>
      <w:r w:rsidR="00EE1FE9">
        <w:t>.</w:t>
      </w:r>
      <w:fldSimple w:instr=" SEQ Table \* ARABIC \s 1 ">
        <w:r w:rsidR="008D4BDE">
          <w:rPr>
            <w:noProof/>
          </w:rPr>
          <w:t>7</w:t>
        </w:r>
      </w:fldSimple>
      <w:bookmarkEnd w:id="106"/>
      <w:r w:rsidRPr="00887119">
        <w:t>: Rental units afforded by low</w:t>
      </w:r>
      <w:r w:rsidR="002A5452">
        <w:t>-</w:t>
      </w:r>
      <w:r w:rsidRPr="00887119">
        <w:t xml:space="preserve"> and very</w:t>
      </w:r>
      <w:r w:rsidR="002A5452">
        <w:t xml:space="preserve"> </w:t>
      </w:r>
      <w:r w:rsidRPr="00887119">
        <w:t>low</w:t>
      </w:r>
      <w:r w:rsidR="002A5452">
        <w:t>-</w:t>
      </w:r>
      <w:r w:rsidRPr="00887119">
        <w:t xml:space="preserve">income households by </w:t>
      </w:r>
      <w:r w:rsidR="00F55162" w:rsidRPr="00887119">
        <w:t>geographic category</w:t>
      </w:r>
      <w:r w:rsidRPr="00887119">
        <w:t>, 2021</w:t>
      </w:r>
    </w:p>
    <w:tbl>
      <w:tblPr>
        <w:tblW w:w="9350" w:type="dxa"/>
        <w:tblLayout w:type="fixed"/>
        <w:tblLook w:val="04A0" w:firstRow="1" w:lastRow="0" w:firstColumn="1" w:lastColumn="0" w:noHBand="0" w:noVBand="1"/>
      </w:tblPr>
      <w:tblGrid>
        <w:gridCol w:w="4491"/>
        <w:gridCol w:w="971"/>
        <w:gridCol w:w="972"/>
        <w:gridCol w:w="972"/>
        <w:gridCol w:w="972"/>
        <w:gridCol w:w="972"/>
      </w:tblGrid>
      <w:tr w:rsidR="008655BB" w:rsidRPr="00887119" w14:paraId="214FE0F8" w14:textId="77777777" w:rsidTr="00274840">
        <w:trPr>
          <w:trHeight w:val="402"/>
          <w:tblHeader/>
        </w:trPr>
        <w:tc>
          <w:tcPr>
            <w:tcW w:w="4491"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3F715656" w14:textId="77777777" w:rsidR="008655BB" w:rsidRPr="00887119" w:rsidRDefault="008655BB" w:rsidP="008655BB">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Variable</w:t>
            </w:r>
          </w:p>
        </w:tc>
        <w:tc>
          <w:tcPr>
            <w:tcW w:w="971"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7A09FFB9" w14:textId="77777777" w:rsidR="008655BB" w:rsidRPr="00887119" w:rsidRDefault="008655BB" w:rsidP="008655B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97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8C1D695" w14:textId="77777777" w:rsidR="008655BB" w:rsidRPr="00887119" w:rsidRDefault="008655BB" w:rsidP="008655B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97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F51F7A8" w14:textId="77777777" w:rsidR="008655BB" w:rsidRPr="00887119" w:rsidRDefault="008655BB" w:rsidP="008655B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97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696C6AA" w14:textId="77777777" w:rsidR="008655BB" w:rsidRPr="00887119" w:rsidRDefault="008655BB" w:rsidP="008655B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972"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21505169" w14:textId="77777777" w:rsidR="008655BB" w:rsidRPr="00887119" w:rsidRDefault="008655BB" w:rsidP="008655B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r>
      <w:tr w:rsidR="008655BB" w:rsidRPr="00887119" w14:paraId="400A0CE6" w14:textId="77777777" w:rsidTr="008655BB">
        <w:trPr>
          <w:trHeight w:val="402"/>
        </w:trPr>
        <w:tc>
          <w:tcPr>
            <w:tcW w:w="4491" w:type="dxa"/>
            <w:tcBorders>
              <w:top w:val="nil"/>
              <w:left w:val="single" w:sz="4" w:space="0" w:color="auto"/>
              <w:bottom w:val="single" w:sz="4" w:space="0" w:color="auto"/>
              <w:right w:val="nil"/>
            </w:tcBorders>
            <w:shd w:val="clear" w:color="000000" w:fill="F2F2F2"/>
            <w:noWrap/>
            <w:vAlign w:val="center"/>
            <w:hideMark/>
          </w:tcPr>
          <w:p w14:paraId="107649F0" w14:textId="77777777" w:rsidR="008655BB" w:rsidRPr="00887119" w:rsidRDefault="008655BB" w:rsidP="008655B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Total rental units</w:t>
            </w:r>
          </w:p>
        </w:tc>
        <w:tc>
          <w:tcPr>
            <w:tcW w:w="971" w:type="dxa"/>
            <w:tcBorders>
              <w:top w:val="nil"/>
              <w:left w:val="single" w:sz="4" w:space="0" w:color="auto"/>
              <w:bottom w:val="single" w:sz="4" w:space="0" w:color="auto"/>
              <w:right w:val="single" w:sz="4" w:space="0" w:color="auto"/>
            </w:tcBorders>
            <w:shd w:val="clear" w:color="000000" w:fill="F2F2F2"/>
            <w:noWrap/>
            <w:vAlign w:val="center"/>
            <w:hideMark/>
          </w:tcPr>
          <w:p w14:paraId="24FF2660"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19,870</w:t>
            </w:r>
          </w:p>
        </w:tc>
        <w:tc>
          <w:tcPr>
            <w:tcW w:w="972" w:type="dxa"/>
            <w:tcBorders>
              <w:top w:val="nil"/>
              <w:left w:val="nil"/>
              <w:bottom w:val="single" w:sz="4" w:space="0" w:color="auto"/>
              <w:right w:val="single" w:sz="4" w:space="0" w:color="BFBFBF"/>
            </w:tcBorders>
            <w:shd w:val="clear" w:color="000000" w:fill="F2F2F2"/>
            <w:noWrap/>
            <w:vAlign w:val="center"/>
            <w:hideMark/>
          </w:tcPr>
          <w:p w14:paraId="401C30E9"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13,780</w:t>
            </w:r>
          </w:p>
        </w:tc>
        <w:tc>
          <w:tcPr>
            <w:tcW w:w="972" w:type="dxa"/>
            <w:tcBorders>
              <w:top w:val="nil"/>
              <w:left w:val="nil"/>
              <w:bottom w:val="single" w:sz="4" w:space="0" w:color="auto"/>
              <w:right w:val="single" w:sz="4" w:space="0" w:color="BFBFBF"/>
            </w:tcBorders>
            <w:shd w:val="clear" w:color="000000" w:fill="F2F2F2"/>
            <w:noWrap/>
            <w:vAlign w:val="center"/>
            <w:hideMark/>
          </w:tcPr>
          <w:p w14:paraId="148D20DB"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3,265</w:t>
            </w:r>
          </w:p>
        </w:tc>
        <w:tc>
          <w:tcPr>
            <w:tcW w:w="972" w:type="dxa"/>
            <w:tcBorders>
              <w:top w:val="nil"/>
              <w:left w:val="nil"/>
              <w:bottom w:val="single" w:sz="4" w:space="0" w:color="auto"/>
              <w:right w:val="single" w:sz="4" w:space="0" w:color="BFBFBF"/>
            </w:tcBorders>
            <w:shd w:val="clear" w:color="000000" w:fill="F2F2F2"/>
            <w:noWrap/>
            <w:vAlign w:val="center"/>
            <w:hideMark/>
          </w:tcPr>
          <w:p w14:paraId="05322C9B"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1,895</w:t>
            </w:r>
          </w:p>
        </w:tc>
        <w:tc>
          <w:tcPr>
            <w:tcW w:w="972" w:type="dxa"/>
            <w:tcBorders>
              <w:top w:val="nil"/>
              <w:left w:val="nil"/>
              <w:bottom w:val="single" w:sz="4" w:space="0" w:color="auto"/>
              <w:right w:val="single" w:sz="4" w:space="0" w:color="auto"/>
            </w:tcBorders>
            <w:shd w:val="clear" w:color="000000" w:fill="F2F2F2"/>
            <w:noWrap/>
            <w:vAlign w:val="center"/>
            <w:hideMark/>
          </w:tcPr>
          <w:p w14:paraId="70E5EEE0"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650</w:t>
            </w:r>
          </w:p>
        </w:tc>
      </w:tr>
      <w:tr w:rsidR="008655BB" w:rsidRPr="00887119" w14:paraId="7F5BE7E2" w14:textId="77777777" w:rsidTr="008655BB">
        <w:trPr>
          <w:trHeight w:val="402"/>
        </w:trPr>
        <w:tc>
          <w:tcPr>
            <w:tcW w:w="4491" w:type="dxa"/>
            <w:tcBorders>
              <w:top w:val="nil"/>
              <w:left w:val="single" w:sz="4" w:space="0" w:color="auto"/>
              <w:bottom w:val="single" w:sz="4" w:space="0" w:color="BFBFBF"/>
              <w:right w:val="nil"/>
            </w:tcBorders>
            <w:noWrap/>
            <w:vAlign w:val="center"/>
            <w:hideMark/>
          </w:tcPr>
          <w:p w14:paraId="5C9DA167" w14:textId="77777777" w:rsidR="008655BB" w:rsidRPr="00887119" w:rsidRDefault="008655BB" w:rsidP="008655B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Rental units afforded by very-low income households</w:t>
            </w:r>
          </w:p>
        </w:tc>
        <w:tc>
          <w:tcPr>
            <w:tcW w:w="971" w:type="dxa"/>
            <w:tcBorders>
              <w:top w:val="nil"/>
              <w:left w:val="single" w:sz="4" w:space="0" w:color="auto"/>
              <w:bottom w:val="single" w:sz="4" w:space="0" w:color="BFBFBF"/>
              <w:right w:val="single" w:sz="4" w:space="0" w:color="auto"/>
            </w:tcBorders>
            <w:noWrap/>
            <w:vAlign w:val="center"/>
            <w:hideMark/>
          </w:tcPr>
          <w:p w14:paraId="2645E20F"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1,355</w:t>
            </w:r>
          </w:p>
        </w:tc>
        <w:tc>
          <w:tcPr>
            <w:tcW w:w="972" w:type="dxa"/>
            <w:tcBorders>
              <w:top w:val="nil"/>
              <w:left w:val="nil"/>
              <w:bottom w:val="single" w:sz="4" w:space="0" w:color="BFBFBF"/>
              <w:right w:val="single" w:sz="4" w:space="0" w:color="BFBFBF"/>
            </w:tcBorders>
            <w:noWrap/>
            <w:vAlign w:val="center"/>
            <w:hideMark/>
          </w:tcPr>
          <w:p w14:paraId="6B456621"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570</w:t>
            </w:r>
          </w:p>
        </w:tc>
        <w:tc>
          <w:tcPr>
            <w:tcW w:w="972" w:type="dxa"/>
            <w:tcBorders>
              <w:top w:val="nil"/>
              <w:left w:val="nil"/>
              <w:bottom w:val="single" w:sz="4" w:space="0" w:color="BFBFBF"/>
              <w:right w:val="single" w:sz="4" w:space="0" w:color="BFBFBF"/>
            </w:tcBorders>
            <w:noWrap/>
            <w:vAlign w:val="center"/>
            <w:hideMark/>
          </w:tcPr>
          <w:p w14:paraId="606BE61D"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175</w:t>
            </w:r>
          </w:p>
        </w:tc>
        <w:tc>
          <w:tcPr>
            <w:tcW w:w="972" w:type="dxa"/>
            <w:tcBorders>
              <w:top w:val="nil"/>
              <w:left w:val="nil"/>
              <w:bottom w:val="single" w:sz="4" w:space="0" w:color="BFBFBF"/>
              <w:right w:val="single" w:sz="4" w:space="0" w:color="BFBFBF"/>
            </w:tcBorders>
            <w:noWrap/>
            <w:vAlign w:val="center"/>
            <w:hideMark/>
          </w:tcPr>
          <w:p w14:paraId="2667D68E"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230</w:t>
            </w:r>
          </w:p>
        </w:tc>
        <w:tc>
          <w:tcPr>
            <w:tcW w:w="972" w:type="dxa"/>
            <w:tcBorders>
              <w:top w:val="nil"/>
              <w:left w:val="nil"/>
              <w:bottom w:val="single" w:sz="4" w:space="0" w:color="BFBFBF"/>
              <w:right w:val="single" w:sz="4" w:space="0" w:color="auto"/>
            </w:tcBorders>
            <w:noWrap/>
            <w:vAlign w:val="center"/>
            <w:hideMark/>
          </w:tcPr>
          <w:p w14:paraId="789ECE43"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110</w:t>
            </w:r>
          </w:p>
        </w:tc>
      </w:tr>
      <w:tr w:rsidR="008655BB" w:rsidRPr="00887119" w14:paraId="67DC7CE3" w14:textId="77777777" w:rsidTr="008655BB">
        <w:trPr>
          <w:trHeight w:val="402"/>
        </w:trPr>
        <w:tc>
          <w:tcPr>
            <w:tcW w:w="4491" w:type="dxa"/>
            <w:tcBorders>
              <w:top w:val="nil"/>
              <w:left w:val="single" w:sz="4" w:space="0" w:color="auto"/>
              <w:bottom w:val="nil"/>
              <w:right w:val="nil"/>
            </w:tcBorders>
            <w:shd w:val="clear" w:color="000000" w:fill="F2F2F2"/>
            <w:noWrap/>
            <w:vAlign w:val="center"/>
            <w:hideMark/>
          </w:tcPr>
          <w:p w14:paraId="03DBB993" w14:textId="77777777" w:rsidR="008655BB" w:rsidRPr="00887119" w:rsidRDefault="008655BB" w:rsidP="008655B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Rental units afforded by low income households</w:t>
            </w:r>
          </w:p>
        </w:tc>
        <w:tc>
          <w:tcPr>
            <w:tcW w:w="971" w:type="dxa"/>
            <w:tcBorders>
              <w:top w:val="nil"/>
              <w:left w:val="single" w:sz="4" w:space="0" w:color="auto"/>
              <w:bottom w:val="nil"/>
              <w:right w:val="single" w:sz="4" w:space="0" w:color="auto"/>
            </w:tcBorders>
            <w:shd w:val="clear" w:color="000000" w:fill="F2F2F2"/>
            <w:noWrap/>
            <w:vAlign w:val="center"/>
            <w:hideMark/>
          </w:tcPr>
          <w:p w14:paraId="1F6AE23E"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6,845</w:t>
            </w:r>
          </w:p>
        </w:tc>
        <w:tc>
          <w:tcPr>
            <w:tcW w:w="972" w:type="dxa"/>
            <w:tcBorders>
              <w:top w:val="nil"/>
              <w:left w:val="nil"/>
              <w:bottom w:val="nil"/>
              <w:right w:val="single" w:sz="4" w:space="0" w:color="BFBFBF"/>
            </w:tcBorders>
            <w:shd w:val="clear" w:color="000000" w:fill="F2F2F2"/>
            <w:noWrap/>
            <w:vAlign w:val="center"/>
            <w:hideMark/>
          </w:tcPr>
          <w:p w14:paraId="6BB3B96E"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4,260</w:t>
            </w:r>
          </w:p>
        </w:tc>
        <w:tc>
          <w:tcPr>
            <w:tcW w:w="972" w:type="dxa"/>
            <w:tcBorders>
              <w:top w:val="nil"/>
              <w:left w:val="nil"/>
              <w:bottom w:val="nil"/>
              <w:right w:val="single" w:sz="4" w:space="0" w:color="BFBFBF"/>
            </w:tcBorders>
            <w:shd w:val="clear" w:color="000000" w:fill="F2F2F2"/>
            <w:noWrap/>
            <w:vAlign w:val="center"/>
            <w:hideMark/>
          </w:tcPr>
          <w:p w14:paraId="68DDAE17"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1,140</w:t>
            </w:r>
          </w:p>
        </w:tc>
        <w:tc>
          <w:tcPr>
            <w:tcW w:w="972" w:type="dxa"/>
            <w:tcBorders>
              <w:top w:val="nil"/>
              <w:left w:val="nil"/>
              <w:bottom w:val="nil"/>
              <w:right w:val="single" w:sz="4" w:space="0" w:color="BFBFBF"/>
            </w:tcBorders>
            <w:shd w:val="clear" w:color="000000" w:fill="F2F2F2"/>
            <w:noWrap/>
            <w:vAlign w:val="center"/>
            <w:hideMark/>
          </w:tcPr>
          <w:p w14:paraId="1B6C8F62"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835</w:t>
            </w:r>
          </w:p>
        </w:tc>
        <w:tc>
          <w:tcPr>
            <w:tcW w:w="972" w:type="dxa"/>
            <w:tcBorders>
              <w:top w:val="nil"/>
              <w:left w:val="nil"/>
              <w:bottom w:val="nil"/>
              <w:right w:val="single" w:sz="4" w:space="0" w:color="auto"/>
            </w:tcBorders>
            <w:shd w:val="clear" w:color="000000" w:fill="F2F2F2"/>
            <w:noWrap/>
            <w:vAlign w:val="center"/>
            <w:hideMark/>
          </w:tcPr>
          <w:p w14:paraId="2EC57313"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235</w:t>
            </w:r>
          </w:p>
        </w:tc>
      </w:tr>
      <w:tr w:rsidR="008655BB" w:rsidRPr="00887119" w14:paraId="1AB7586E" w14:textId="77777777" w:rsidTr="008655BB">
        <w:trPr>
          <w:trHeight w:val="402"/>
        </w:trPr>
        <w:tc>
          <w:tcPr>
            <w:tcW w:w="4491" w:type="dxa"/>
            <w:tcBorders>
              <w:top w:val="single" w:sz="4" w:space="0" w:color="auto"/>
              <w:left w:val="single" w:sz="4" w:space="0" w:color="auto"/>
              <w:bottom w:val="single" w:sz="4" w:space="0" w:color="BFBFBF"/>
              <w:right w:val="nil"/>
            </w:tcBorders>
            <w:noWrap/>
            <w:vAlign w:val="center"/>
            <w:hideMark/>
          </w:tcPr>
          <w:p w14:paraId="10AFFA44" w14:textId="77777777" w:rsidR="008655BB" w:rsidRPr="00887119" w:rsidRDefault="008655BB" w:rsidP="008655B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Total rental units considered affordable</w:t>
            </w:r>
          </w:p>
        </w:tc>
        <w:tc>
          <w:tcPr>
            <w:tcW w:w="971" w:type="dxa"/>
            <w:tcBorders>
              <w:top w:val="single" w:sz="4" w:space="0" w:color="auto"/>
              <w:left w:val="single" w:sz="4" w:space="0" w:color="auto"/>
              <w:bottom w:val="single" w:sz="4" w:space="0" w:color="BFBFBF"/>
              <w:right w:val="single" w:sz="4" w:space="0" w:color="auto"/>
            </w:tcBorders>
            <w:noWrap/>
            <w:vAlign w:val="center"/>
            <w:hideMark/>
          </w:tcPr>
          <w:p w14:paraId="4A20C876"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8,200</w:t>
            </w:r>
          </w:p>
        </w:tc>
        <w:tc>
          <w:tcPr>
            <w:tcW w:w="972" w:type="dxa"/>
            <w:tcBorders>
              <w:top w:val="single" w:sz="4" w:space="0" w:color="auto"/>
              <w:left w:val="nil"/>
              <w:bottom w:val="single" w:sz="4" w:space="0" w:color="BFBFBF"/>
              <w:right w:val="single" w:sz="4" w:space="0" w:color="BFBFBF"/>
            </w:tcBorders>
            <w:noWrap/>
            <w:vAlign w:val="center"/>
            <w:hideMark/>
          </w:tcPr>
          <w:p w14:paraId="1D727A51"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4,830</w:t>
            </w:r>
          </w:p>
        </w:tc>
        <w:tc>
          <w:tcPr>
            <w:tcW w:w="972" w:type="dxa"/>
            <w:tcBorders>
              <w:top w:val="single" w:sz="4" w:space="0" w:color="auto"/>
              <w:left w:val="nil"/>
              <w:bottom w:val="single" w:sz="4" w:space="0" w:color="BFBFBF"/>
              <w:right w:val="single" w:sz="4" w:space="0" w:color="BFBFBF"/>
            </w:tcBorders>
            <w:noWrap/>
            <w:vAlign w:val="center"/>
            <w:hideMark/>
          </w:tcPr>
          <w:p w14:paraId="4BCB2BF9"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1,315</w:t>
            </w:r>
          </w:p>
        </w:tc>
        <w:tc>
          <w:tcPr>
            <w:tcW w:w="972" w:type="dxa"/>
            <w:tcBorders>
              <w:top w:val="single" w:sz="4" w:space="0" w:color="auto"/>
              <w:left w:val="nil"/>
              <w:bottom w:val="single" w:sz="4" w:space="0" w:color="BFBFBF"/>
              <w:right w:val="single" w:sz="4" w:space="0" w:color="BFBFBF"/>
            </w:tcBorders>
            <w:noWrap/>
            <w:vAlign w:val="center"/>
            <w:hideMark/>
          </w:tcPr>
          <w:p w14:paraId="4C62D249"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1,065</w:t>
            </w:r>
          </w:p>
        </w:tc>
        <w:tc>
          <w:tcPr>
            <w:tcW w:w="972" w:type="dxa"/>
            <w:tcBorders>
              <w:top w:val="single" w:sz="4" w:space="0" w:color="auto"/>
              <w:left w:val="nil"/>
              <w:bottom w:val="single" w:sz="4" w:space="0" w:color="BFBFBF"/>
              <w:right w:val="single" w:sz="4" w:space="0" w:color="auto"/>
            </w:tcBorders>
            <w:noWrap/>
            <w:vAlign w:val="center"/>
            <w:hideMark/>
          </w:tcPr>
          <w:p w14:paraId="062A2AC4"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345</w:t>
            </w:r>
          </w:p>
        </w:tc>
      </w:tr>
      <w:tr w:rsidR="008655BB" w:rsidRPr="00887119" w14:paraId="2F6CB7E6" w14:textId="77777777" w:rsidTr="008655BB">
        <w:trPr>
          <w:trHeight w:val="402"/>
        </w:trPr>
        <w:tc>
          <w:tcPr>
            <w:tcW w:w="4491" w:type="dxa"/>
            <w:tcBorders>
              <w:top w:val="nil"/>
              <w:left w:val="single" w:sz="4" w:space="0" w:color="auto"/>
              <w:bottom w:val="single" w:sz="4" w:space="0" w:color="auto"/>
              <w:right w:val="nil"/>
            </w:tcBorders>
            <w:shd w:val="clear" w:color="000000" w:fill="F2F2F2"/>
            <w:noWrap/>
            <w:vAlign w:val="center"/>
            <w:hideMark/>
          </w:tcPr>
          <w:p w14:paraId="06C8226C" w14:textId="77777777" w:rsidR="008655BB" w:rsidRPr="00887119" w:rsidRDefault="008655BB" w:rsidP="008655B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Share of rental units considered affordable</w:t>
            </w:r>
          </w:p>
        </w:tc>
        <w:tc>
          <w:tcPr>
            <w:tcW w:w="971" w:type="dxa"/>
            <w:tcBorders>
              <w:top w:val="nil"/>
              <w:left w:val="single" w:sz="4" w:space="0" w:color="auto"/>
              <w:bottom w:val="single" w:sz="4" w:space="0" w:color="auto"/>
              <w:right w:val="single" w:sz="4" w:space="0" w:color="auto"/>
            </w:tcBorders>
            <w:shd w:val="clear" w:color="000000" w:fill="F2F2F2"/>
            <w:noWrap/>
            <w:vAlign w:val="center"/>
            <w:hideMark/>
          </w:tcPr>
          <w:p w14:paraId="46DD2E06"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41%</w:t>
            </w:r>
          </w:p>
        </w:tc>
        <w:tc>
          <w:tcPr>
            <w:tcW w:w="972" w:type="dxa"/>
            <w:tcBorders>
              <w:top w:val="nil"/>
              <w:left w:val="nil"/>
              <w:bottom w:val="single" w:sz="4" w:space="0" w:color="auto"/>
              <w:right w:val="single" w:sz="4" w:space="0" w:color="BFBFBF"/>
            </w:tcBorders>
            <w:shd w:val="clear" w:color="000000" w:fill="F2F2F2"/>
            <w:noWrap/>
            <w:vAlign w:val="center"/>
            <w:hideMark/>
          </w:tcPr>
          <w:p w14:paraId="3B3C8334"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w:t>
            </w:r>
          </w:p>
        </w:tc>
        <w:tc>
          <w:tcPr>
            <w:tcW w:w="972" w:type="dxa"/>
            <w:tcBorders>
              <w:top w:val="nil"/>
              <w:left w:val="nil"/>
              <w:bottom w:val="single" w:sz="4" w:space="0" w:color="auto"/>
              <w:right w:val="single" w:sz="4" w:space="0" w:color="BFBFBF"/>
            </w:tcBorders>
            <w:shd w:val="clear" w:color="000000" w:fill="F2F2F2"/>
            <w:noWrap/>
            <w:vAlign w:val="center"/>
            <w:hideMark/>
          </w:tcPr>
          <w:p w14:paraId="1B82336A"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40%</w:t>
            </w:r>
          </w:p>
        </w:tc>
        <w:tc>
          <w:tcPr>
            <w:tcW w:w="972" w:type="dxa"/>
            <w:tcBorders>
              <w:top w:val="nil"/>
              <w:left w:val="nil"/>
              <w:bottom w:val="single" w:sz="4" w:space="0" w:color="auto"/>
              <w:right w:val="single" w:sz="4" w:space="0" w:color="BFBFBF"/>
            </w:tcBorders>
            <w:shd w:val="clear" w:color="000000" w:fill="F2F2F2"/>
            <w:noWrap/>
            <w:vAlign w:val="center"/>
            <w:hideMark/>
          </w:tcPr>
          <w:p w14:paraId="6CFB34F5"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56%</w:t>
            </w:r>
          </w:p>
        </w:tc>
        <w:tc>
          <w:tcPr>
            <w:tcW w:w="972" w:type="dxa"/>
            <w:tcBorders>
              <w:top w:val="nil"/>
              <w:left w:val="nil"/>
              <w:bottom w:val="single" w:sz="4" w:space="0" w:color="auto"/>
              <w:right w:val="single" w:sz="4" w:space="0" w:color="auto"/>
            </w:tcBorders>
            <w:shd w:val="clear" w:color="000000" w:fill="F2F2F2"/>
            <w:noWrap/>
            <w:vAlign w:val="center"/>
            <w:hideMark/>
          </w:tcPr>
          <w:p w14:paraId="7C2B97D5" w14:textId="77777777" w:rsidR="008655BB" w:rsidRPr="002E10EB" w:rsidRDefault="008655BB" w:rsidP="008655BB">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53%</w:t>
            </w:r>
          </w:p>
        </w:tc>
      </w:tr>
    </w:tbl>
    <w:p w14:paraId="147CCEA5" w14:textId="29472687" w:rsidR="00952F0E" w:rsidRPr="00887119" w:rsidRDefault="00952F0E" w:rsidP="00952F0E">
      <w:pPr>
        <w:pStyle w:val="Source"/>
      </w:pPr>
      <w:r w:rsidRPr="00887119">
        <w:t xml:space="preserve">Source: </w:t>
      </w:r>
      <w:r w:rsidR="00D50A38" w:rsidRPr="00887119">
        <w:t xml:space="preserve">derived from </w:t>
      </w:r>
      <w:r w:rsidRPr="00887119">
        <w:t>Housing Assessment Resource Tools (HART)</w:t>
      </w:r>
      <w:r w:rsidRPr="00887119">
        <w:rPr>
          <w:rStyle w:val="FootnoteReference"/>
        </w:rPr>
        <w:footnoteReference w:id="27"/>
      </w:r>
    </w:p>
    <w:p w14:paraId="13104345" w14:textId="77777777" w:rsidR="00952F0E" w:rsidRPr="00887119" w:rsidRDefault="00952F0E" w:rsidP="00952F0E"/>
    <w:p w14:paraId="1D41FFA5" w14:textId="522F3D62" w:rsidR="00546395" w:rsidRPr="00887119" w:rsidRDefault="000B66F6" w:rsidP="00546395">
      <w:r w:rsidRPr="00887119">
        <w:t>R</w:t>
      </w:r>
      <w:r w:rsidR="00546395" w:rsidRPr="00887119">
        <w:t>ural urban-adjacent (56%) and rural remote (53%) show higher affordable shares than urban (35%) and the provincial average (41%). However, these shares must be read alongside the absolute counts</w:t>
      </w:r>
      <w:r w:rsidRPr="00887119">
        <w:t>.</w:t>
      </w:r>
      <w:r w:rsidR="00546395" w:rsidRPr="00887119">
        <w:t xml:space="preserve"> </w:t>
      </w:r>
      <w:r w:rsidRPr="00887119">
        <w:t>U</w:t>
      </w:r>
      <w:r w:rsidR="00546395" w:rsidRPr="00887119">
        <w:t>rban areas contain 4,830 units affordable to low and very-</w:t>
      </w:r>
      <w:r w:rsidR="004B39AB" w:rsidRPr="00887119">
        <w:t>low-income</w:t>
      </w:r>
      <w:r w:rsidR="00546395" w:rsidRPr="00887119">
        <w:t xml:space="preserve"> households compared to just 345 in rural remote areas. Given that poverty and core housing need are concentrated in urban markets, the urban affordable inventory is where the demand-supply gap is most consequential. The 570 units affordable to very-</w:t>
      </w:r>
      <w:r w:rsidR="004B39AB" w:rsidRPr="00887119">
        <w:t>low-income</w:t>
      </w:r>
      <w:r w:rsidR="00546395" w:rsidRPr="00887119">
        <w:t xml:space="preserve"> households in urban areas </w:t>
      </w:r>
      <w:r w:rsidR="009101D6" w:rsidRPr="00887119">
        <w:t>(</w:t>
      </w:r>
      <w:r w:rsidR="00546395" w:rsidRPr="00887119">
        <w:t xml:space="preserve">relative to the scale of </w:t>
      </w:r>
      <w:r w:rsidR="00502CB4" w:rsidRPr="00887119">
        <w:t xml:space="preserve">urban </w:t>
      </w:r>
      <w:r w:rsidR="00546395" w:rsidRPr="00887119">
        <w:t>very-</w:t>
      </w:r>
      <w:r w:rsidR="004B39AB" w:rsidRPr="00887119">
        <w:t>low-income</w:t>
      </w:r>
      <w:r w:rsidR="00546395" w:rsidRPr="00887119">
        <w:t xml:space="preserve"> </w:t>
      </w:r>
      <w:r w:rsidR="00502CB4" w:rsidRPr="00887119">
        <w:t>earners</w:t>
      </w:r>
      <w:r w:rsidR="009101D6" w:rsidRPr="00887119">
        <w:t>)</w:t>
      </w:r>
      <w:r w:rsidR="00546395" w:rsidRPr="00887119">
        <w:t xml:space="preserve"> represents the most acute segment of unmet need.</w:t>
      </w:r>
    </w:p>
    <w:p w14:paraId="7D449902" w14:textId="7CF14DAC" w:rsidR="00546395" w:rsidRPr="00887119" w:rsidRDefault="00546395" w:rsidP="00546395"/>
    <w:p w14:paraId="213EE898" w14:textId="77777777" w:rsidR="00141FEA" w:rsidRPr="00887119" w:rsidRDefault="00141FEA" w:rsidP="00141FEA"/>
    <w:p w14:paraId="58F48A7F" w14:textId="77777777" w:rsidR="00952F0E" w:rsidRPr="00887119" w:rsidRDefault="00952F0E" w:rsidP="00842B20">
      <w:pPr>
        <w:pStyle w:val="Heading2"/>
      </w:pPr>
      <w:bookmarkStart w:id="107" w:name="_Toc223686647"/>
      <w:bookmarkStart w:id="108" w:name="_Toc225869014"/>
      <w:bookmarkStart w:id="109" w:name="_Toc229051961"/>
      <w:bookmarkStart w:id="110" w:name="_Toc237957443"/>
      <w:r w:rsidRPr="00887119">
        <w:lastRenderedPageBreak/>
        <w:t>SUBSIDIZED HOUSING</w:t>
      </w:r>
      <w:bookmarkEnd w:id="107"/>
      <w:bookmarkEnd w:id="108"/>
      <w:bookmarkEnd w:id="109"/>
      <w:bookmarkEnd w:id="110"/>
    </w:p>
    <w:p w14:paraId="38720613" w14:textId="7F3A277C" w:rsidR="00952F0E" w:rsidRPr="00887119" w:rsidRDefault="00952F0E" w:rsidP="00952F0E">
      <w:r w:rsidRPr="00887119">
        <w:rPr>
          <w:rStyle w:val="Figure-textChar"/>
        </w:rPr>
        <w:fldChar w:fldCharType="begin"/>
      </w:r>
      <w:r w:rsidRPr="00887119">
        <w:rPr>
          <w:rStyle w:val="Figure-textChar"/>
        </w:rPr>
        <w:instrText xml:space="preserve"> REF _Ref223276453 \h  \* MERGEFORMAT </w:instrText>
      </w:r>
      <w:r w:rsidRPr="00887119">
        <w:rPr>
          <w:rStyle w:val="Figure-textChar"/>
        </w:rPr>
      </w:r>
      <w:r w:rsidRPr="00887119">
        <w:rPr>
          <w:rStyle w:val="Figure-textChar"/>
        </w:rPr>
        <w:fldChar w:fldCharType="separate"/>
      </w:r>
      <w:r w:rsidR="008D4BDE" w:rsidRPr="008D4BDE">
        <w:rPr>
          <w:rStyle w:val="Figure-textChar"/>
        </w:rPr>
        <w:t>Table 8.8</w:t>
      </w:r>
      <w:r w:rsidRPr="00887119">
        <w:rPr>
          <w:rStyle w:val="Figure-textChar"/>
        </w:rPr>
        <w:fldChar w:fldCharType="end"/>
      </w:r>
      <w:r w:rsidRPr="00887119">
        <w:t xml:space="preserve"> </w:t>
      </w:r>
      <w:r w:rsidR="00A118D9" w:rsidRPr="00887119">
        <w:t>presents the current stock of subsidized rental units as a share of total rental units by geographic category, establishing the distribution of publicly supported housing supply across the province and highlighting where the non-market base is least developed relative to need.</w:t>
      </w:r>
    </w:p>
    <w:p w14:paraId="095FDBE0" w14:textId="77777777" w:rsidR="00952F0E" w:rsidRPr="00887119" w:rsidRDefault="00952F0E" w:rsidP="00952F0E"/>
    <w:p w14:paraId="3D82D31A" w14:textId="3516CC9A" w:rsidR="00952F0E" w:rsidRPr="00887119" w:rsidRDefault="00952F0E" w:rsidP="00952F0E">
      <w:pPr>
        <w:pStyle w:val="Caption"/>
      </w:pPr>
      <w:bookmarkStart w:id="111" w:name="_Ref223276453"/>
      <w:r w:rsidRPr="00887119">
        <w:t xml:space="preserve">Table </w:t>
      </w:r>
      <w:fldSimple w:instr=" STYLEREF 1 \s ">
        <w:r w:rsidR="008D4BDE">
          <w:rPr>
            <w:noProof/>
          </w:rPr>
          <w:t>8</w:t>
        </w:r>
      </w:fldSimple>
      <w:r w:rsidR="00EE1FE9">
        <w:t>.</w:t>
      </w:r>
      <w:fldSimple w:instr=" SEQ Table \* ARABIC \s 1 ">
        <w:r w:rsidR="008D4BDE">
          <w:rPr>
            <w:noProof/>
          </w:rPr>
          <w:t>8</w:t>
        </w:r>
      </w:fldSimple>
      <w:bookmarkEnd w:id="111"/>
      <w:r w:rsidRPr="00887119">
        <w:t>: Subsidized rental housing by geography</w:t>
      </w:r>
      <w:r w:rsidR="00EA6426" w:rsidRPr="00887119">
        <w:t xml:space="preserve"> category</w:t>
      </w:r>
      <w:r w:rsidRPr="00887119">
        <w:t>, 2021</w:t>
      </w:r>
    </w:p>
    <w:tbl>
      <w:tblPr>
        <w:tblW w:w="9355" w:type="dxa"/>
        <w:tblLayout w:type="fixed"/>
        <w:tblLook w:val="04A0" w:firstRow="1" w:lastRow="0" w:firstColumn="1" w:lastColumn="0" w:noHBand="0" w:noVBand="1"/>
      </w:tblPr>
      <w:tblGrid>
        <w:gridCol w:w="3955"/>
        <w:gridCol w:w="1080"/>
        <w:gridCol w:w="1080"/>
        <w:gridCol w:w="1080"/>
        <w:gridCol w:w="1080"/>
        <w:gridCol w:w="1080"/>
      </w:tblGrid>
      <w:tr w:rsidR="00F64E27" w:rsidRPr="00887119" w14:paraId="79056CA6" w14:textId="77777777" w:rsidTr="00274840">
        <w:trPr>
          <w:trHeight w:val="402"/>
          <w:tblHeader/>
        </w:trPr>
        <w:tc>
          <w:tcPr>
            <w:tcW w:w="395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24DD8A9C" w14:textId="77777777" w:rsidR="00F64E27" w:rsidRPr="00887119" w:rsidRDefault="00F64E27" w:rsidP="00F64E27">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Variable</w:t>
            </w:r>
          </w:p>
        </w:tc>
        <w:tc>
          <w:tcPr>
            <w:tcW w:w="108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21B529E" w14:textId="77777777" w:rsidR="00F64E27" w:rsidRPr="00887119" w:rsidRDefault="00F64E27" w:rsidP="00F64E27">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08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90B4D29" w14:textId="77777777" w:rsidR="00F64E27" w:rsidRPr="00887119" w:rsidRDefault="00F64E27" w:rsidP="00F64E27">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08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19C0765" w14:textId="77777777" w:rsidR="00F64E27" w:rsidRPr="00887119" w:rsidRDefault="00F64E27" w:rsidP="00F64E27">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08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9D47DF0" w14:textId="77777777" w:rsidR="00F64E27" w:rsidRPr="00887119" w:rsidRDefault="00F64E27" w:rsidP="00F64E27">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08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17F04EA2" w14:textId="77777777" w:rsidR="00F64E27" w:rsidRPr="00887119" w:rsidRDefault="00F64E27" w:rsidP="00F64E27">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r>
      <w:tr w:rsidR="00F64E27" w:rsidRPr="00887119" w14:paraId="188878D6" w14:textId="77777777" w:rsidTr="00F64E27">
        <w:trPr>
          <w:trHeight w:val="402"/>
        </w:trPr>
        <w:tc>
          <w:tcPr>
            <w:tcW w:w="3955" w:type="dxa"/>
            <w:tcBorders>
              <w:top w:val="nil"/>
              <w:left w:val="single" w:sz="4" w:space="0" w:color="auto"/>
              <w:bottom w:val="single" w:sz="4" w:space="0" w:color="auto"/>
              <w:right w:val="single" w:sz="4" w:space="0" w:color="auto"/>
            </w:tcBorders>
            <w:shd w:val="clear" w:color="000000" w:fill="F2F2F2"/>
            <w:noWrap/>
            <w:vAlign w:val="center"/>
            <w:hideMark/>
          </w:tcPr>
          <w:p w14:paraId="6026074D" w14:textId="77777777" w:rsidR="00F64E27" w:rsidRPr="00887119" w:rsidRDefault="00F64E27" w:rsidP="00F64E27">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Total rental units</w:t>
            </w:r>
          </w:p>
        </w:tc>
        <w:tc>
          <w:tcPr>
            <w:tcW w:w="1080" w:type="dxa"/>
            <w:tcBorders>
              <w:top w:val="nil"/>
              <w:left w:val="nil"/>
              <w:bottom w:val="single" w:sz="4" w:space="0" w:color="auto"/>
              <w:right w:val="single" w:sz="4" w:space="0" w:color="auto"/>
            </w:tcBorders>
            <w:shd w:val="clear" w:color="000000" w:fill="F2F2F2"/>
            <w:noWrap/>
            <w:vAlign w:val="center"/>
            <w:hideMark/>
          </w:tcPr>
          <w:p w14:paraId="2DF2FD80"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19,870</w:t>
            </w:r>
          </w:p>
        </w:tc>
        <w:tc>
          <w:tcPr>
            <w:tcW w:w="1080" w:type="dxa"/>
            <w:tcBorders>
              <w:top w:val="nil"/>
              <w:left w:val="nil"/>
              <w:bottom w:val="single" w:sz="4" w:space="0" w:color="auto"/>
              <w:right w:val="single" w:sz="4" w:space="0" w:color="BFBFBF"/>
            </w:tcBorders>
            <w:shd w:val="clear" w:color="000000" w:fill="F2F2F2"/>
            <w:noWrap/>
            <w:vAlign w:val="center"/>
            <w:hideMark/>
          </w:tcPr>
          <w:p w14:paraId="6EFAB0C1"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13,780</w:t>
            </w:r>
          </w:p>
        </w:tc>
        <w:tc>
          <w:tcPr>
            <w:tcW w:w="1080" w:type="dxa"/>
            <w:tcBorders>
              <w:top w:val="nil"/>
              <w:left w:val="nil"/>
              <w:bottom w:val="single" w:sz="4" w:space="0" w:color="auto"/>
              <w:right w:val="single" w:sz="4" w:space="0" w:color="BFBFBF"/>
            </w:tcBorders>
            <w:shd w:val="clear" w:color="000000" w:fill="F2F2F2"/>
            <w:noWrap/>
            <w:vAlign w:val="center"/>
            <w:hideMark/>
          </w:tcPr>
          <w:p w14:paraId="225BCD68"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3,265</w:t>
            </w:r>
          </w:p>
        </w:tc>
        <w:tc>
          <w:tcPr>
            <w:tcW w:w="1080" w:type="dxa"/>
            <w:tcBorders>
              <w:top w:val="nil"/>
              <w:left w:val="nil"/>
              <w:bottom w:val="single" w:sz="4" w:space="0" w:color="auto"/>
              <w:right w:val="single" w:sz="4" w:space="0" w:color="BFBFBF"/>
            </w:tcBorders>
            <w:shd w:val="clear" w:color="000000" w:fill="F2F2F2"/>
            <w:noWrap/>
            <w:vAlign w:val="center"/>
            <w:hideMark/>
          </w:tcPr>
          <w:p w14:paraId="36E3DAD6"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1,895</w:t>
            </w:r>
          </w:p>
        </w:tc>
        <w:tc>
          <w:tcPr>
            <w:tcW w:w="1080" w:type="dxa"/>
            <w:tcBorders>
              <w:top w:val="nil"/>
              <w:left w:val="nil"/>
              <w:bottom w:val="single" w:sz="4" w:space="0" w:color="auto"/>
              <w:right w:val="single" w:sz="4" w:space="0" w:color="auto"/>
            </w:tcBorders>
            <w:shd w:val="clear" w:color="000000" w:fill="F2F2F2"/>
            <w:noWrap/>
            <w:vAlign w:val="center"/>
            <w:hideMark/>
          </w:tcPr>
          <w:p w14:paraId="5E4F053A"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650</w:t>
            </w:r>
          </w:p>
        </w:tc>
      </w:tr>
      <w:tr w:rsidR="00F64E27" w:rsidRPr="00887119" w14:paraId="53B90F20" w14:textId="77777777" w:rsidTr="00F64E27">
        <w:trPr>
          <w:trHeight w:val="402"/>
        </w:trPr>
        <w:tc>
          <w:tcPr>
            <w:tcW w:w="3955" w:type="dxa"/>
            <w:tcBorders>
              <w:top w:val="nil"/>
              <w:left w:val="single" w:sz="4" w:space="0" w:color="auto"/>
              <w:bottom w:val="single" w:sz="4" w:space="0" w:color="BFBFBF"/>
              <w:right w:val="single" w:sz="4" w:space="0" w:color="auto"/>
            </w:tcBorders>
            <w:noWrap/>
            <w:vAlign w:val="center"/>
            <w:hideMark/>
          </w:tcPr>
          <w:p w14:paraId="46905966" w14:textId="77777777" w:rsidR="00F64E27" w:rsidRPr="00887119" w:rsidRDefault="00F64E27" w:rsidP="00F64E27">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Subsidized rental units</w:t>
            </w:r>
          </w:p>
        </w:tc>
        <w:tc>
          <w:tcPr>
            <w:tcW w:w="1080" w:type="dxa"/>
            <w:tcBorders>
              <w:top w:val="nil"/>
              <w:left w:val="nil"/>
              <w:bottom w:val="single" w:sz="4" w:space="0" w:color="BFBFBF"/>
              <w:right w:val="single" w:sz="4" w:space="0" w:color="auto"/>
            </w:tcBorders>
            <w:noWrap/>
            <w:vAlign w:val="center"/>
            <w:hideMark/>
          </w:tcPr>
          <w:p w14:paraId="2AC2659D"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3,585</w:t>
            </w:r>
          </w:p>
        </w:tc>
        <w:tc>
          <w:tcPr>
            <w:tcW w:w="1080" w:type="dxa"/>
            <w:tcBorders>
              <w:top w:val="nil"/>
              <w:left w:val="nil"/>
              <w:bottom w:val="single" w:sz="4" w:space="0" w:color="BFBFBF"/>
              <w:right w:val="single" w:sz="4" w:space="0" w:color="BFBFBF"/>
            </w:tcBorders>
            <w:noWrap/>
            <w:vAlign w:val="center"/>
            <w:hideMark/>
          </w:tcPr>
          <w:p w14:paraId="4CC6D35A"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2,355</w:t>
            </w:r>
          </w:p>
        </w:tc>
        <w:tc>
          <w:tcPr>
            <w:tcW w:w="1080" w:type="dxa"/>
            <w:tcBorders>
              <w:top w:val="nil"/>
              <w:left w:val="nil"/>
              <w:bottom w:val="single" w:sz="4" w:space="0" w:color="BFBFBF"/>
              <w:right w:val="single" w:sz="4" w:space="0" w:color="BFBFBF"/>
            </w:tcBorders>
            <w:noWrap/>
            <w:vAlign w:val="center"/>
            <w:hideMark/>
          </w:tcPr>
          <w:p w14:paraId="02A709AD"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850</w:t>
            </w:r>
          </w:p>
        </w:tc>
        <w:tc>
          <w:tcPr>
            <w:tcW w:w="1080" w:type="dxa"/>
            <w:tcBorders>
              <w:top w:val="nil"/>
              <w:left w:val="nil"/>
              <w:bottom w:val="single" w:sz="4" w:space="0" w:color="BFBFBF"/>
              <w:right w:val="single" w:sz="4" w:space="0" w:color="BFBFBF"/>
            </w:tcBorders>
            <w:noWrap/>
            <w:vAlign w:val="center"/>
            <w:hideMark/>
          </w:tcPr>
          <w:p w14:paraId="5D2AED7D"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125</w:t>
            </w:r>
          </w:p>
        </w:tc>
        <w:tc>
          <w:tcPr>
            <w:tcW w:w="1080" w:type="dxa"/>
            <w:tcBorders>
              <w:top w:val="nil"/>
              <w:left w:val="nil"/>
              <w:bottom w:val="single" w:sz="4" w:space="0" w:color="BFBFBF"/>
              <w:right w:val="single" w:sz="4" w:space="0" w:color="auto"/>
            </w:tcBorders>
            <w:noWrap/>
            <w:vAlign w:val="center"/>
            <w:hideMark/>
          </w:tcPr>
          <w:p w14:paraId="52E5C4BB"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r w:rsidR="00F64E27" w:rsidRPr="00887119" w14:paraId="79DBDF76" w14:textId="77777777" w:rsidTr="00F64E27">
        <w:trPr>
          <w:trHeight w:val="402"/>
        </w:trPr>
        <w:tc>
          <w:tcPr>
            <w:tcW w:w="3955" w:type="dxa"/>
            <w:tcBorders>
              <w:top w:val="nil"/>
              <w:left w:val="single" w:sz="4" w:space="0" w:color="auto"/>
              <w:bottom w:val="single" w:sz="4" w:space="0" w:color="auto"/>
              <w:right w:val="single" w:sz="4" w:space="0" w:color="auto"/>
            </w:tcBorders>
            <w:shd w:val="clear" w:color="000000" w:fill="F2F2F2"/>
            <w:noWrap/>
            <w:vAlign w:val="center"/>
            <w:hideMark/>
          </w:tcPr>
          <w:p w14:paraId="7D862C9E" w14:textId="77777777" w:rsidR="00F64E27" w:rsidRPr="00887119" w:rsidRDefault="00F64E27" w:rsidP="00F64E27">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Subsidized units as share of total rental units</w:t>
            </w:r>
          </w:p>
        </w:tc>
        <w:tc>
          <w:tcPr>
            <w:tcW w:w="1080" w:type="dxa"/>
            <w:tcBorders>
              <w:top w:val="nil"/>
              <w:left w:val="nil"/>
              <w:bottom w:val="single" w:sz="4" w:space="0" w:color="auto"/>
              <w:right w:val="single" w:sz="4" w:space="0" w:color="auto"/>
            </w:tcBorders>
            <w:shd w:val="clear" w:color="000000" w:fill="F2F2F2"/>
            <w:noWrap/>
            <w:vAlign w:val="center"/>
            <w:hideMark/>
          </w:tcPr>
          <w:p w14:paraId="1F6A9C1E"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18%</w:t>
            </w:r>
          </w:p>
        </w:tc>
        <w:tc>
          <w:tcPr>
            <w:tcW w:w="1080" w:type="dxa"/>
            <w:tcBorders>
              <w:top w:val="nil"/>
              <w:left w:val="nil"/>
              <w:bottom w:val="single" w:sz="4" w:space="0" w:color="auto"/>
              <w:right w:val="single" w:sz="4" w:space="0" w:color="BFBFBF"/>
            </w:tcBorders>
            <w:shd w:val="clear" w:color="000000" w:fill="F2F2F2"/>
            <w:noWrap/>
            <w:vAlign w:val="center"/>
            <w:hideMark/>
          </w:tcPr>
          <w:p w14:paraId="4230D457"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17%</w:t>
            </w:r>
          </w:p>
        </w:tc>
        <w:tc>
          <w:tcPr>
            <w:tcW w:w="1080" w:type="dxa"/>
            <w:tcBorders>
              <w:top w:val="nil"/>
              <w:left w:val="nil"/>
              <w:bottom w:val="single" w:sz="4" w:space="0" w:color="auto"/>
              <w:right w:val="single" w:sz="4" w:space="0" w:color="BFBFBF"/>
            </w:tcBorders>
            <w:shd w:val="clear" w:color="000000" w:fill="F2F2F2"/>
            <w:noWrap/>
            <w:vAlign w:val="center"/>
            <w:hideMark/>
          </w:tcPr>
          <w:p w14:paraId="664EE100"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26%</w:t>
            </w:r>
          </w:p>
        </w:tc>
        <w:tc>
          <w:tcPr>
            <w:tcW w:w="1080" w:type="dxa"/>
            <w:tcBorders>
              <w:top w:val="nil"/>
              <w:left w:val="nil"/>
              <w:bottom w:val="single" w:sz="4" w:space="0" w:color="auto"/>
              <w:right w:val="single" w:sz="4" w:space="0" w:color="BFBFBF"/>
            </w:tcBorders>
            <w:shd w:val="clear" w:color="000000" w:fill="F2F2F2"/>
            <w:noWrap/>
            <w:vAlign w:val="center"/>
            <w:hideMark/>
          </w:tcPr>
          <w:p w14:paraId="7B1A9D34"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7%</w:t>
            </w:r>
          </w:p>
        </w:tc>
        <w:tc>
          <w:tcPr>
            <w:tcW w:w="1080" w:type="dxa"/>
            <w:tcBorders>
              <w:top w:val="nil"/>
              <w:left w:val="nil"/>
              <w:bottom w:val="single" w:sz="4" w:space="0" w:color="auto"/>
              <w:right w:val="single" w:sz="4" w:space="0" w:color="auto"/>
            </w:tcBorders>
            <w:shd w:val="clear" w:color="000000" w:fill="F2F2F2"/>
            <w:noWrap/>
            <w:vAlign w:val="center"/>
            <w:hideMark/>
          </w:tcPr>
          <w:p w14:paraId="470DDCC9" w14:textId="77777777" w:rsidR="00F64E27" w:rsidRPr="002E10EB" w:rsidRDefault="00F64E27" w:rsidP="00F64E27">
            <w:pPr>
              <w:spacing w:line="240" w:lineRule="auto"/>
              <w:jc w:val="right"/>
              <w:rPr>
                <w:rFonts w:eastAsia="Times New Roman" w:cs="Arial"/>
                <w:color w:val="C00000"/>
                <w:kern w:val="0"/>
                <w:sz w:val="18"/>
                <w:szCs w:val="18"/>
                <w:lang w:eastAsia="en-CA"/>
                <w14:ligatures w14:val="none"/>
              </w:rPr>
            </w:pPr>
            <w:r w:rsidRPr="002E10EB">
              <w:rPr>
                <w:rFonts w:eastAsia="Times New Roman" w:cs="Arial"/>
                <w:color w:val="C00000"/>
                <w:kern w:val="0"/>
                <w:sz w:val="18"/>
                <w:szCs w:val="18"/>
                <w:lang w:eastAsia="en-CA"/>
                <w14:ligatures w14:val="none"/>
              </w:rPr>
              <w:t>x</w:t>
            </w:r>
          </w:p>
        </w:tc>
      </w:tr>
    </w:tbl>
    <w:p w14:paraId="6334B4C4" w14:textId="5D0BCE45" w:rsidR="00952F0E" w:rsidRPr="00887119" w:rsidRDefault="00952F0E" w:rsidP="00952F0E">
      <w:pPr>
        <w:pStyle w:val="Source"/>
      </w:pPr>
      <w:r w:rsidRPr="00887119">
        <w:t xml:space="preserve">Source: </w:t>
      </w:r>
      <w:r w:rsidR="00D50A38" w:rsidRPr="00887119">
        <w:t xml:space="preserve">derived from </w:t>
      </w:r>
      <w:r w:rsidRPr="00887119">
        <w:t>Statistics Canada 2021 Census Profile</w:t>
      </w:r>
    </w:p>
    <w:p w14:paraId="7807BF22" w14:textId="77777777" w:rsidR="00952F0E" w:rsidRPr="00887119" w:rsidRDefault="00952F0E" w:rsidP="00952F0E"/>
    <w:p w14:paraId="7308CD1E" w14:textId="5416B56C" w:rsidR="00A118D9" w:rsidRPr="00887119" w:rsidRDefault="00A118D9" w:rsidP="00A118D9">
      <w:r w:rsidRPr="00887119">
        <w:t xml:space="preserve">Subsidized rental housing is heavily concentrated in urban (17%) and small urban (26%) areas, which together account for the vast majority of the province’s 3,585 subsidized units. Rural urban-adjacent areas have a subsidized share of only 7%, and rural remote data is suppressed, suggesting very limited or no subsidized supply in those categories. This geographic concentration is understandable given the economies of scale and service proximity required to operate subsidized housing, but it also means that very-low-income households in rural areas have </w:t>
      </w:r>
      <w:r w:rsidR="001C7DCB" w:rsidRPr="00887119">
        <w:t>limited</w:t>
      </w:r>
      <w:r w:rsidRPr="00887119">
        <w:t xml:space="preserve"> access to non-market housing within their communities. Even small urban areas, which have the highest subsidized share at 26% of rental units, face a meaningful gap between subsidized supply and the scale of households requiring it. </w:t>
      </w:r>
    </w:p>
    <w:p w14:paraId="13C02477" w14:textId="77777777" w:rsidR="00952F0E" w:rsidRPr="00887119" w:rsidRDefault="00952F0E" w:rsidP="00952F0E"/>
    <w:p w14:paraId="4D43A6E5" w14:textId="77777777" w:rsidR="00952F0E" w:rsidRPr="00887119" w:rsidRDefault="00952F0E" w:rsidP="00842B20">
      <w:pPr>
        <w:pStyle w:val="Heading2"/>
      </w:pPr>
      <w:bookmarkStart w:id="112" w:name="_Toc223686648"/>
      <w:bookmarkStart w:id="113" w:name="_Toc225869015"/>
      <w:bookmarkStart w:id="114" w:name="_Toc229051962"/>
      <w:bookmarkStart w:id="115" w:name="_Toc237957444"/>
      <w:r w:rsidRPr="00887119">
        <w:t>NON-MARKET HOUSING</w:t>
      </w:r>
      <w:bookmarkEnd w:id="112"/>
      <w:bookmarkEnd w:id="113"/>
      <w:bookmarkEnd w:id="114"/>
      <w:bookmarkEnd w:id="115"/>
    </w:p>
    <w:p w14:paraId="5E233015" w14:textId="716C41EB" w:rsidR="00962626" w:rsidRPr="00887119" w:rsidRDefault="00962626" w:rsidP="00962626">
      <w:r w:rsidRPr="00887119">
        <w:t>The non-market sector includes a broader array of housing types that serve populations at different points along the housing continuum, from emergency and transitional accommodation through to long-term stable housing at below-market rents. It represents the primary response to housing need that the private market does not serve, such as very low- and low-income households, individuals with complex needs, people exiting homelessness, and populations requiring specific accessibility or cultural accommodations.</w:t>
      </w:r>
    </w:p>
    <w:p w14:paraId="06F86F9F" w14:textId="77777777" w:rsidR="00962626" w:rsidRPr="00887119" w:rsidRDefault="00962626" w:rsidP="00962626"/>
    <w:p w14:paraId="03DEE003" w14:textId="77777777" w:rsidR="00962626" w:rsidRPr="00887119" w:rsidRDefault="00962626" w:rsidP="00962626">
      <w:r w:rsidRPr="00887119">
        <w:t xml:space="preserve">The non-market sector also functions as a buffer that moderates private rental market demand. Where non-market supply is limited relative to need, households who would otherwise be served by subsidized or supportive housing compete directly with low-income market renters for affordable private rental units. Conversely, a well-resourced non-market sector can reduce pressure on emergency systems (e.g., shelters, hospitals, and correctional facilities) that are frequently called upon to absorb unmet housing need. </w:t>
      </w:r>
    </w:p>
    <w:p w14:paraId="3E99757F" w14:textId="77777777" w:rsidR="004A5135" w:rsidRPr="00887119" w:rsidRDefault="004A5135" w:rsidP="004A5135"/>
    <w:p w14:paraId="58B5476A" w14:textId="78001670" w:rsidR="008A51F6" w:rsidRPr="00887119" w:rsidRDefault="004A5135" w:rsidP="008A51F6">
      <w:r w:rsidRPr="00887119">
        <w:rPr>
          <w:rStyle w:val="Figure-textChar"/>
        </w:rPr>
        <w:fldChar w:fldCharType="begin"/>
      </w:r>
      <w:r w:rsidRPr="00887119">
        <w:rPr>
          <w:rStyle w:val="Figure-textChar"/>
        </w:rPr>
        <w:instrText xml:space="preserve"> REF _Ref228194453 \h  \* MERGEFORMAT </w:instrText>
      </w:r>
      <w:r w:rsidRPr="00887119">
        <w:rPr>
          <w:rStyle w:val="Figure-textChar"/>
        </w:rPr>
      </w:r>
      <w:r w:rsidRPr="00887119">
        <w:rPr>
          <w:rStyle w:val="Figure-textChar"/>
        </w:rPr>
        <w:fldChar w:fldCharType="separate"/>
      </w:r>
      <w:r w:rsidR="008D4BDE" w:rsidRPr="008D4BDE">
        <w:rPr>
          <w:rStyle w:val="Figure-textChar"/>
        </w:rPr>
        <w:t>Table 8.9</w:t>
      </w:r>
      <w:r w:rsidRPr="00887119">
        <w:rPr>
          <w:rStyle w:val="Figure-textChar"/>
        </w:rPr>
        <w:fldChar w:fldCharType="end"/>
      </w:r>
      <w:r w:rsidRPr="00887119">
        <w:t xml:space="preserve"> </w:t>
      </w:r>
      <w:r w:rsidR="008A51F6" w:rsidRPr="00887119">
        <w:t>presents a summary of the non-market housing inventory</w:t>
      </w:r>
      <w:r w:rsidR="00363B73" w:rsidRPr="00887119">
        <w:t xml:space="preserve"> (the sum of beds and units)</w:t>
      </w:r>
      <w:r w:rsidR="008A51F6" w:rsidRPr="00887119">
        <w:t xml:space="preserve"> by housing type and by geography. Note that the inventory may not be exhaustive due to the </w:t>
      </w:r>
      <w:r w:rsidR="008A51F6" w:rsidRPr="00887119">
        <w:lastRenderedPageBreak/>
        <w:t>decentralized nature of the sector and variability in data availability. Some providers or units may not be captured, and certain data points may be incomplete, approximate, or absent.</w:t>
      </w:r>
    </w:p>
    <w:p w14:paraId="6C67355F" w14:textId="3D818EEA" w:rsidR="004A5135" w:rsidRPr="00887119" w:rsidRDefault="004A5135" w:rsidP="004A5135"/>
    <w:p w14:paraId="4E777120" w14:textId="0AB45364" w:rsidR="004A5135" w:rsidRPr="00887119" w:rsidRDefault="004A5135" w:rsidP="004A5135">
      <w:pPr>
        <w:pStyle w:val="Caption"/>
      </w:pPr>
      <w:bookmarkStart w:id="116" w:name="_Ref228194453"/>
      <w:r w:rsidRPr="00887119">
        <w:t xml:space="preserve">Table </w:t>
      </w:r>
      <w:fldSimple w:instr=" STYLEREF 1 \s ">
        <w:r w:rsidR="008D4BDE">
          <w:rPr>
            <w:noProof/>
          </w:rPr>
          <w:t>8</w:t>
        </w:r>
      </w:fldSimple>
      <w:r w:rsidR="00EE1FE9">
        <w:t>.</w:t>
      </w:r>
      <w:fldSimple w:instr=" SEQ Table \* ARABIC \s 1 ">
        <w:r w:rsidR="008D4BDE">
          <w:rPr>
            <w:noProof/>
          </w:rPr>
          <w:t>9</w:t>
        </w:r>
      </w:fldSimple>
      <w:bookmarkEnd w:id="116"/>
      <w:r w:rsidRPr="00887119">
        <w:t>: Summary of non-market housing</w:t>
      </w:r>
      <w:r w:rsidR="00992CEB" w:rsidRPr="00887119">
        <w:t xml:space="preserve"> (beds + units)</w:t>
      </w:r>
      <w:r w:rsidRPr="00887119">
        <w:t xml:space="preserve"> by type of housing and geograph</w:t>
      </w:r>
      <w:r w:rsidR="00FA58E4" w:rsidRPr="00887119">
        <w:t>ic category</w:t>
      </w:r>
      <w:r w:rsidRPr="00887119">
        <w:t>, Spring 2026</w:t>
      </w:r>
    </w:p>
    <w:tbl>
      <w:tblPr>
        <w:tblW w:w="9355" w:type="dxa"/>
        <w:tblLayout w:type="fixed"/>
        <w:tblLook w:val="04A0" w:firstRow="1" w:lastRow="0" w:firstColumn="1" w:lastColumn="0" w:noHBand="0" w:noVBand="1"/>
      </w:tblPr>
      <w:tblGrid>
        <w:gridCol w:w="2335"/>
        <w:gridCol w:w="1404"/>
        <w:gridCol w:w="1404"/>
        <w:gridCol w:w="1404"/>
        <w:gridCol w:w="1404"/>
        <w:gridCol w:w="1404"/>
      </w:tblGrid>
      <w:tr w:rsidR="002328EB" w:rsidRPr="00887119" w14:paraId="4522E60F" w14:textId="77777777" w:rsidTr="00274840">
        <w:trPr>
          <w:trHeight w:val="458"/>
          <w:tblHeader/>
        </w:trPr>
        <w:tc>
          <w:tcPr>
            <w:tcW w:w="233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132BDA8D" w14:textId="77777777" w:rsidR="002328EB" w:rsidRPr="00887119" w:rsidRDefault="002328EB" w:rsidP="002328EB">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Variables</w:t>
            </w:r>
          </w:p>
        </w:tc>
        <w:tc>
          <w:tcPr>
            <w:tcW w:w="14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46C09C6" w14:textId="77777777" w:rsidR="002328EB" w:rsidRPr="00887119" w:rsidRDefault="002328EB" w:rsidP="002328E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4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76BEBEF" w14:textId="77777777" w:rsidR="002328EB" w:rsidRPr="00887119" w:rsidRDefault="002328EB" w:rsidP="002328E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4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2470D6A" w14:textId="77777777" w:rsidR="002328EB" w:rsidRPr="00887119" w:rsidRDefault="002328EB" w:rsidP="002328E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40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ADA49F7" w14:textId="77777777" w:rsidR="002328EB" w:rsidRPr="00887119" w:rsidRDefault="002328EB" w:rsidP="002328E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404"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35453E2" w14:textId="77777777" w:rsidR="002328EB" w:rsidRPr="00887119" w:rsidRDefault="002328EB" w:rsidP="002328EB">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r>
      <w:tr w:rsidR="002328EB" w:rsidRPr="00887119" w14:paraId="7E9D02AC" w14:textId="77777777" w:rsidTr="002328EB">
        <w:trPr>
          <w:trHeight w:val="402"/>
        </w:trPr>
        <w:tc>
          <w:tcPr>
            <w:tcW w:w="2335" w:type="dxa"/>
            <w:tcBorders>
              <w:top w:val="nil"/>
              <w:left w:val="single" w:sz="4" w:space="0" w:color="auto"/>
              <w:bottom w:val="nil"/>
              <w:right w:val="single" w:sz="4" w:space="0" w:color="auto"/>
            </w:tcBorders>
            <w:shd w:val="clear" w:color="000000" w:fill="F2F2F2"/>
            <w:noWrap/>
            <w:vAlign w:val="center"/>
            <w:hideMark/>
          </w:tcPr>
          <w:p w14:paraId="66E0A8EF" w14:textId="77777777"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Total</w:t>
            </w:r>
          </w:p>
        </w:tc>
        <w:tc>
          <w:tcPr>
            <w:tcW w:w="1404" w:type="dxa"/>
            <w:tcBorders>
              <w:top w:val="nil"/>
              <w:left w:val="nil"/>
              <w:bottom w:val="nil"/>
              <w:right w:val="single" w:sz="4" w:space="0" w:color="auto"/>
            </w:tcBorders>
            <w:shd w:val="clear" w:color="000000" w:fill="F2F2F2"/>
            <w:noWrap/>
            <w:vAlign w:val="center"/>
            <w:hideMark/>
          </w:tcPr>
          <w:p w14:paraId="53BDD0B5"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3,286</w:t>
            </w:r>
          </w:p>
        </w:tc>
        <w:tc>
          <w:tcPr>
            <w:tcW w:w="1404" w:type="dxa"/>
            <w:tcBorders>
              <w:top w:val="nil"/>
              <w:left w:val="nil"/>
              <w:bottom w:val="nil"/>
              <w:right w:val="single" w:sz="4" w:space="0" w:color="BFBFBF"/>
            </w:tcBorders>
            <w:shd w:val="clear" w:color="000000" w:fill="F2F2F2"/>
            <w:noWrap/>
            <w:vAlign w:val="center"/>
            <w:hideMark/>
          </w:tcPr>
          <w:p w14:paraId="7DCF3481"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1,775</w:t>
            </w:r>
          </w:p>
        </w:tc>
        <w:tc>
          <w:tcPr>
            <w:tcW w:w="1404" w:type="dxa"/>
            <w:tcBorders>
              <w:top w:val="nil"/>
              <w:left w:val="nil"/>
              <w:bottom w:val="nil"/>
              <w:right w:val="single" w:sz="4" w:space="0" w:color="BFBFBF"/>
            </w:tcBorders>
            <w:shd w:val="clear" w:color="000000" w:fill="F2F2F2"/>
            <w:noWrap/>
            <w:vAlign w:val="center"/>
            <w:hideMark/>
          </w:tcPr>
          <w:p w14:paraId="111E2A3C"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604</w:t>
            </w:r>
          </w:p>
        </w:tc>
        <w:tc>
          <w:tcPr>
            <w:tcW w:w="1404" w:type="dxa"/>
            <w:tcBorders>
              <w:top w:val="nil"/>
              <w:left w:val="nil"/>
              <w:bottom w:val="nil"/>
              <w:right w:val="single" w:sz="4" w:space="0" w:color="BFBFBF"/>
            </w:tcBorders>
            <w:shd w:val="clear" w:color="000000" w:fill="F2F2F2"/>
            <w:noWrap/>
            <w:vAlign w:val="center"/>
            <w:hideMark/>
          </w:tcPr>
          <w:p w14:paraId="4D46EC87"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167</w:t>
            </w:r>
          </w:p>
        </w:tc>
        <w:tc>
          <w:tcPr>
            <w:tcW w:w="1404" w:type="dxa"/>
            <w:tcBorders>
              <w:top w:val="nil"/>
              <w:left w:val="nil"/>
              <w:bottom w:val="nil"/>
              <w:right w:val="single" w:sz="4" w:space="0" w:color="auto"/>
            </w:tcBorders>
            <w:shd w:val="clear" w:color="000000" w:fill="F2F2F2"/>
            <w:noWrap/>
            <w:vAlign w:val="center"/>
            <w:hideMark/>
          </w:tcPr>
          <w:p w14:paraId="34ECE1BE"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214</w:t>
            </w:r>
          </w:p>
        </w:tc>
      </w:tr>
      <w:tr w:rsidR="002328EB" w:rsidRPr="00887119" w14:paraId="1154BA75" w14:textId="77777777" w:rsidTr="002328EB">
        <w:trPr>
          <w:trHeight w:val="402"/>
        </w:trPr>
        <w:tc>
          <w:tcPr>
            <w:tcW w:w="2335" w:type="dxa"/>
            <w:tcBorders>
              <w:top w:val="single" w:sz="4" w:space="0" w:color="auto"/>
              <w:left w:val="single" w:sz="4" w:space="0" w:color="auto"/>
              <w:bottom w:val="single" w:sz="4" w:space="0" w:color="BFBFBF"/>
              <w:right w:val="single" w:sz="4" w:space="0" w:color="auto"/>
            </w:tcBorders>
            <w:shd w:val="clear" w:color="000000" w:fill="FFFFFF"/>
            <w:noWrap/>
            <w:vAlign w:val="center"/>
            <w:hideMark/>
          </w:tcPr>
          <w:p w14:paraId="687C79B7" w14:textId="56E7DFB9"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Affordable (</w:t>
            </w:r>
            <w:r w:rsidR="00280268" w:rsidRPr="00887119">
              <w:rPr>
                <w:rFonts w:eastAsia="Times New Roman" w:cs="Arial"/>
                <w:color w:val="0D0D0D"/>
                <w:kern w:val="0"/>
                <w:sz w:val="18"/>
                <w:szCs w:val="18"/>
                <w:lang w:eastAsia="en-CA"/>
                <w14:ligatures w14:val="none"/>
              </w:rPr>
              <w:t>n</w:t>
            </w:r>
            <w:r w:rsidRPr="00887119">
              <w:rPr>
                <w:rFonts w:eastAsia="Times New Roman" w:cs="Arial"/>
                <w:color w:val="0D0D0D"/>
                <w:kern w:val="0"/>
                <w:sz w:val="18"/>
                <w:szCs w:val="18"/>
                <w:lang w:eastAsia="en-CA"/>
                <w14:ligatures w14:val="none"/>
              </w:rPr>
              <w:t>on-</w:t>
            </w:r>
            <w:r w:rsidR="00280268" w:rsidRPr="00887119">
              <w:rPr>
                <w:rFonts w:eastAsia="Times New Roman" w:cs="Arial"/>
                <w:color w:val="0D0D0D"/>
                <w:kern w:val="0"/>
                <w:sz w:val="18"/>
                <w:szCs w:val="18"/>
                <w:lang w:eastAsia="en-CA"/>
                <w14:ligatures w14:val="none"/>
              </w:rPr>
              <w:t>m</w:t>
            </w:r>
            <w:r w:rsidRPr="00887119">
              <w:rPr>
                <w:rFonts w:eastAsia="Times New Roman" w:cs="Arial"/>
                <w:color w:val="0D0D0D"/>
                <w:kern w:val="0"/>
                <w:sz w:val="18"/>
                <w:szCs w:val="18"/>
                <w:lang w:eastAsia="en-CA"/>
                <w14:ligatures w14:val="none"/>
              </w:rPr>
              <w:t>arket)</w:t>
            </w:r>
          </w:p>
        </w:tc>
        <w:tc>
          <w:tcPr>
            <w:tcW w:w="1404" w:type="dxa"/>
            <w:tcBorders>
              <w:top w:val="single" w:sz="4" w:space="0" w:color="auto"/>
              <w:left w:val="nil"/>
              <w:bottom w:val="single" w:sz="4" w:space="0" w:color="BFBFBF"/>
              <w:right w:val="single" w:sz="4" w:space="0" w:color="auto"/>
            </w:tcBorders>
            <w:shd w:val="clear" w:color="000000" w:fill="FFFFFF"/>
            <w:noWrap/>
            <w:vAlign w:val="center"/>
            <w:hideMark/>
          </w:tcPr>
          <w:p w14:paraId="0A565DCA"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2,232</w:t>
            </w:r>
          </w:p>
        </w:tc>
        <w:tc>
          <w:tcPr>
            <w:tcW w:w="1404" w:type="dxa"/>
            <w:tcBorders>
              <w:top w:val="single" w:sz="4" w:space="0" w:color="auto"/>
              <w:left w:val="nil"/>
              <w:bottom w:val="single" w:sz="4" w:space="0" w:color="BFBFBF"/>
              <w:right w:val="single" w:sz="4" w:space="0" w:color="BFBFBF"/>
            </w:tcBorders>
            <w:shd w:val="clear" w:color="000000" w:fill="FFFFFF"/>
            <w:noWrap/>
            <w:vAlign w:val="center"/>
            <w:hideMark/>
          </w:tcPr>
          <w:p w14:paraId="2008EFF7"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1,274</w:t>
            </w:r>
          </w:p>
        </w:tc>
        <w:tc>
          <w:tcPr>
            <w:tcW w:w="1404" w:type="dxa"/>
            <w:tcBorders>
              <w:top w:val="single" w:sz="4" w:space="0" w:color="auto"/>
              <w:left w:val="nil"/>
              <w:bottom w:val="single" w:sz="4" w:space="0" w:color="BFBFBF"/>
              <w:right w:val="single" w:sz="4" w:space="0" w:color="BFBFBF"/>
            </w:tcBorders>
            <w:shd w:val="clear" w:color="000000" w:fill="FFFFFF"/>
            <w:noWrap/>
            <w:vAlign w:val="center"/>
            <w:hideMark/>
          </w:tcPr>
          <w:p w14:paraId="11EA917A"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576</w:t>
            </w:r>
          </w:p>
        </w:tc>
        <w:tc>
          <w:tcPr>
            <w:tcW w:w="1404" w:type="dxa"/>
            <w:tcBorders>
              <w:top w:val="single" w:sz="4" w:space="0" w:color="auto"/>
              <w:left w:val="nil"/>
              <w:bottom w:val="single" w:sz="4" w:space="0" w:color="BFBFBF"/>
              <w:right w:val="single" w:sz="4" w:space="0" w:color="BFBFBF"/>
            </w:tcBorders>
            <w:shd w:val="clear" w:color="000000" w:fill="FFFFFF"/>
            <w:noWrap/>
            <w:vAlign w:val="center"/>
            <w:hideMark/>
          </w:tcPr>
          <w:p w14:paraId="6EDBB861"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112</w:t>
            </w:r>
          </w:p>
        </w:tc>
        <w:tc>
          <w:tcPr>
            <w:tcW w:w="1404" w:type="dxa"/>
            <w:tcBorders>
              <w:top w:val="single" w:sz="4" w:space="0" w:color="auto"/>
              <w:left w:val="nil"/>
              <w:bottom w:val="single" w:sz="4" w:space="0" w:color="BFBFBF"/>
              <w:right w:val="single" w:sz="4" w:space="0" w:color="auto"/>
            </w:tcBorders>
            <w:shd w:val="clear" w:color="000000" w:fill="FFFFFF"/>
            <w:noWrap/>
            <w:vAlign w:val="center"/>
            <w:hideMark/>
          </w:tcPr>
          <w:p w14:paraId="7E3D50E1"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214</w:t>
            </w:r>
          </w:p>
        </w:tc>
      </w:tr>
      <w:tr w:rsidR="002328EB" w:rsidRPr="00887119" w14:paraId="49637A31" w14:textId="77777777" w:rsidTr="002328EB">
        <w:trPr>
          <w:trHeight w:val="402"/>
        </w:trPr>
        <w:tc>
          <w:tcPr>
            <w:tcW w:w="2335" w:type="dxa"/>
            <w:tcBorders>
              <w:top w:val="nil"/>
              <w:left w:val="single" w:sz="4" w:space="0" w:color="auto"/>
              <w:bottom w:val="single" w:sz="4" w:space="0" w:color="BFBFBF"/>
              <w:right w:val="single" w:sz="4" w:space="0" w:color="auto"/>
            </w:tcBorders>
            <w:shd w:val="clear" w:color="000000" w:fill="F2F2F2"/>
            <w:noWrap/>
            <w:vAlign w:val="center"/>
            <w:hideMark/>
          </w:tcPr>
          <w:p w14:paraId="7A81D193" w14:textId="77777777"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Co-operative</w:t>
            </w:r>
          </w:p>
        </w:tc>
        <w:tc>
          <w:tcPr>
            <w:tcW w:w="1404" w:type="dxa"/>
            <w:tcBorders>
              <w:top w:val="nil"/>
              <w:left w:val="nil"/>
              <w:bottom w:val="single" w:sz="4" w:space="0" w:color="BFBFBF"/>
              <w:right w:val="single" w:sz="4" w:space="0" w:color="auto"/>
            </w:tcBorders>
            <w:shd w:val="clear" w:color="000000" w:fill="F2F2F2"/>
            <w:noWrap/>
            <w:vAlign w:val="center"/>
            <w:hideMark/>
          </w:tcPr>
          <w:p w14:paraId="6151E1A5"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301</w:t>
            </w:r>
          </w:p>
        </w:tc>
        <w:tc>
          <w:tcPr>
            <w:tcW w:w="1404" w:type="dxa"/>
            <w:tcBorders>
              <w:top w:val="nil"/>
              <w:left w:val="nil"/>
              <w:bottom w:val="single" w:sz="4" w:space="0" w:color="BFBFBF"/>
              <w:right w:val="single" w:sz="4" w:space="0" w:color="BFBFBF"/>
            </w:tcBorders>
            <w:shd w:val="clear" w:color="000000" w:fill="F2F2F2"/>
            <w:noWrap/>
            <w:vAlign w:val="center"/>
            <w:hideMark/>
          </w:tcPr>
          <w:p w14:paraId="4BD822FA"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231</w:t>
            </w:r>
          </w:p>
        </w:tc>
        <w:tc>
          <w:tcPr>
            <w:tcW w:w="1404" w:type="dxa"/>
            <w:tcBorders>
              <w:top w:val="nil"/>
              <w:left w:val="nil"/>
              <w:bottom w:val="single" w:sz="4" w:space="0" w:color="BFBFBF"/>
              <w:right w:val="single" w:sz="4" w:space="0" w:color="BFBFBF"/>
            </w:tcBorders>
            <w:shd w:val="clear" w:color="000000" w:fill="F2F2F2"/>
            <w:noWrap/>
            <w:vAlign w:val="center"/>
            <w:hideMark/>
          </w:tcPr>
          <w:p w14:paraId="3DC2AB1C"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w:t>
            </w:r>
          </w:p>
        </w:tc>
        <w:tc>
          <w:tcPr>
            <w:tcW w:w="1404" w:type="dxa"/>
            <w:tcBorders>
              <w:top w:val="nil"/>
              <w:left w:val="nil"/>
              <w:bottom w:val="single" w:sz="4" w:space="0" w:color="BFBFBF"/>
              <w:right w:val="single" w:sz="4" w:space="0" w:color="BFBFBF"/>
            </w:tcBorders>
            <w:shd w:val="clear" w:color="000000" w:fill="F2F2F2"/>
            <w:noWrap/>
            <w:vAlign w:val="center"/>
            <w:hideMark/>
          </w:tcPr>
          <w:p w14:paraId="702B264A"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55</w:t>
            </w:r>
          </w:p>
        </w:tc>
        <w:tc>
          <w:tcPr>
            <w:tcW w:w="1404" w:type="dxa"/>
            <w:tcBorders>
              <w:top w:val="nil"/>
              <w:left w:val="nil"/>
              <w:bottom w:val="single" w:sz="4" w:space="0" w:color="BFBFBF"/>
              <w:right w:val="single" w:sz="4" w:space="0" w:color="auto"/>
            </w:tcBorders>
            <w:shd w:val="clear" w:color="000000" w:fill="F2F2F2"/>
            <w:noWrap/>
            <w:vAlign w:val="center"/>
            <w:hideMark/>
          </w:tcPr>
          <w:p w14:paraId="4268CBE9"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r>
      <w:tr w:rsidR="002328EB" w:rsidRPr="00887119" w14:paraId="79ADC67A" w14:textId="77777777" w:rsidTr="002328EB">
        <w:trPr>
          <w:trHeight w:val="402"/>
        </w:trPr>
        <w:tc>
          <w:tcPr>
            <w:tcW w:w="2335" w:type="dxa"/>
            <w:tcBorders>
              <w:top w:val="nil"/>
              <w:left w:val="single" w:sz="4" w:space="0" w:color="auto"/>
              <w:bottom w:val="single" w:sz="4" w:space="0" w:color="BFBFBF"/>
              <w:right w:val="single" w:sz="4" w:space="0" w:color="auto"/>
            </w:tcBorders>
            <w:shd w:val="clear" w:color="000000" w:fill="FFFFFF"/>
            <w:noWrap/>
            <w:vAlign w:val="center"/>
            <w:hideMark/>
          </w:tcPr>
          <w:p w14:paraId="08538DC2" w14:textId="77777777"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Emergency Shelter</w:t>
            </w:r>
          </w:p>
        </w:tc>
        <w:tc>
          <w:tcPr>
            <w:tcW w:w="1404" w:type="dxa"/>
            <w:tcBorders>
              <w:top w:val="nil"/>
              <w:left w:val="nil"/>
              <w:bottom w:val="single" w:sz="4" w:space="0" w:color="BFBFBF"/>
              <w:right w:val="single" w:sz="4" w:space="0" w:color="auto"/>
            </w:tcBorders>
            <w:shd w:val="clear" w:color="000000" w:fill="FFFFFF"/>
            <w:noWrap/>
            <w:vAlign w:val="center"/>
            <w:hideMark/>
          </w:tcPr>
          <w:p w14:paraId="08720ACB"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109</w:t>
            </w:r>
          </w:p>
        </w:tc>
        <w:tc>
          <w:tcPr>
            <w:tcW w:w="1404" w:type="dxa"/>
            <w:tcBorders>
              <w:top w:val="nil"/>
              <w:left w:val="nil"/>
              <w:bottom w:val="single" w:sz="4" w:space="0" w:color="BFBFBF"/>
              <w:right w:val="single" w:sz="4" w:space="0" w:color="BFBFBF"/>
            </w:tcBorders>
            <w:shd w:val="clear" w:color="000000" w:fill="FFFFFF"/>
            <w:noWrap/>
            <w:vAlign w:val="center"/>
            <w:hideMark/>
          </w:tcPr>
          <w:p w14:paraId="2C11392E"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104</w:t>
            </w:r>
          </w:p>
        </w:tc>
        <w:tc>
          <w:tcPr>
            <w:tcW w:w="1404" w:type="dxa"/>
            <w:tcBorders>
              <w:top w:val="nil"/>
              <w:left w:val="nil"/>
              <w:bottom w:val="single" w:sz="4" w:space="0" w:color="BFBFBF"/>
              <w:right w:val="single" w:sz="4" w:space="0" w:color="BFBFBF"/>
            </w:tcBorders>
            <w:shd w:val="clear" w:color="000000" w:fill="FFFFFF"/>
            <w:noWrap/>
            <w:vAlign w:val="center"/>
            <w:hideMark/>
          </w:tcPr>
          <w:p w14:paraId="2BCB5668"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BFBFBF"/>
              <w:right w:val="single" w:sz="4" w:space="0" w:color="BFBFBF"/>
            </w:tcBorders>
            <w:shd w:val="clear" w:color="000000" w:fill="FFFFFF"/>
            <w:noWrap/>
            <w:vAlign w:val="center"/>
            <w:hideMark/>
          </w:tcPr>
          <w:p w14:paraId="32BE8C34"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BFBFBF"/>
              <w:right w:val="single" w:sz="4" w:space="0" w:color="auto"/>
            </w:tcBorders>
            <w:shd w:val="clear" w:color="000000" w:fill="FFFFFF"/>
            <w:noWrap/>
            <w:vAlign w:val="center"/>
            <w:hideMark/>
          </w:tcPr>
          <w:p w14:paraId="5315781D"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r>
      <w:tr w:rsidR="002328EB" w:rsidRPr="00887119" w14:paraId="15C2DDC6" w14:textId="77777777" w:rsidTr="002328EB">
        <w:trPr>
          <w:trHeight w:val="402"/>
        </w:trPr>
        <w:tc>
          <w:tcPr>
            <w:tcW w:w="2335" w:type="dxa"/>
            <w:tcBorders>
              <w:top w:val="nil"/>
              <w:left w:val="single" w:sz="4" w:space="0" w:color="auto"/>
              <w:bottom w:val="single" w:sz="4" w:space="0" w:color="BFBFBF"/>
              <w:right w:val="single" w:sz="4" w:space="0" w:color="auto"/>
            </w:tcBorders>
            <w:shd w:val="clear" w:color="000000" w:fill="F2F2F2"/>
            <w:noWrap/>
            <w:vAlign w:val="center"/>
            <w:hideMark/>
          </w:tcPr>
          <w:p w14:paraId="1AA41D46" w14:textId="77777777"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Group Home</w:t>
            </w:r>
          </w:p>
        </w:tc>
        <w:tc>
          <w:tcPr>
            <w:tcW w:w="1404" w:type="dxa"/>
            <w:tcBorders>
              <w:top w:val="nil"/>
              <w:left w:val="nil"/>
              <w:bottom w:val="single" w:sz="4" w:space="0" w:color="BFBFBF"/>
              <w:right w:val="single" w:sz="4" w:space="0" w:color="auto"/>
            </w:tcBorders>
            <w:shd w:val="clear" w:color="000000" w:fill="F2F2F2"/>
            <w:noWrap/>
            <w:vAlign w:val="center"/>
            <w:hideMark/>
          </w:tcPr>
          <w:p w14:paraId="2503D016"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22</w:t>
            </w:r>
          </w:p>
        </w:tc>
        <w:tc>
          <w:tcPr>
            <w:tcW w:w="1404" w:type="dxa"/>
            <w:tcBorders>
              <w:top w:val="nil"/>
              <w:left w:val="nil"/>
              <w:bottom w:val="single" w:sz="4" w:space="0" w:color="BFBFBF"/>
              <w:right w:val="single" w:sz="4" w:space="0" w:color="BFBFBF"/>
            </w:tcBorders>
            <w:shd w:val="clear" w:color="000000" w:fill="F2F2F2"/>
            <w:noWrap/>
            <w:vAlign w:val="center"/>
            <w:hideMark/>
          </w:tcPr>
          <w:p w14:paraId="63843BAA"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w:t>
            </w:r>
          </w:p>
        </w:tc>
        <w:tc>
          <w:tcPr>
            <w:tcW w:w="1404" w:type="dxa"/>
            <w:tcBorders>
              <w:top w:val="nil"/>
              <w:left w:val="nil"/>
              <w:bottom w:val="single" w:sz="4" w:space="0" w:color="BFBFBF"/>
              <w:right w:val="single" w:sz="4" w:space="0" w:color="BFBFBF"/>
            </w:tcBorders>
            <w:shd w:val="clear" w:color="000000" w:fill="F2F2F2"/>
            <w:noWrap/>
            <w:vAlign w:val="center"/>
            <w:hideMark/>
          </w:tcPr>
          <w:p w14:paraId="62F1D926"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BFBFBF"/>
              <w:right w:val="single" w:sz="4" w:space="0" w:color="BFBFBF"/>
            </w:tcBorders>
            <w:shd w:val="clear" w:color="000000" w:fill="F2F2F2"/>
            <w:noWrap/>
            <w:vAlign w:val="center"/>
            <w:hideMark/>
          </w:tcPr>
          <w:p w14:paraId="73247253"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BFBFBF"/>
              <w:right w:val="single" w:sz="4" w:space="0" w:color="auto"/>
            </w:tcBorders>
            <w:shd w:val="clear" w:color="000000" w:fill="F2F2F2"/>
            <w:noWrap/>
            <w:vAlign w:val="center"/>
            <w:hideMark/>
          </w:tcPr>
          <w:p w14:paraId="5842CD17"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r>
      <w:tr w:rsidR="002328EB" w:rsidRPr="00887119" w14:paraId="0FBF6935" w14:textId="77777777" w:rsidTr="002328EB">
        <w:trPr>
          <w:trHeight w:val="402"/>
        </w:trPr>
        <w:tc>
          <w:tcPr>
            <w:tcW w:w="2335" w:type="dxa"/>
            <w:tcBorders>
              <w:top w:val="nil"/>
              <w:left w:val="single" w:sz="4" w:space="0" w:color="auto"/>
              <w:bottom w:val="single" w:sz="4" w:space="0" w:color="BFBFBF"/>
              <w:right w:val="single" w:sz="4" w:space="0" w:color="auto"/>
            </w:tcBorders>
            <w:shd w:val="clear" w:color="000000" w:fill="FFFFFF"/>
            <w:noWrap/>
            <w:vAlign w:val="center"/>
            <w:hideMark/>
          </w:tcPr>
          <w:p w14:paraId="6FC2B66A" w14:textId="77777777"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Subsidized Market</w:t>
            </w:r>
          </w:p>
        </w:tc>
        <w:tc>
          <w:tcPr>
            <w:tcW w:w="1404" w:type="dxa"/>
            <w:tcBorders>
              <w:top w:val="nil"/>
              <w:left w:val="nil"/>
              <w:bottom w:val="single" w:sz="4" w:space="0" w:color="BFBFBF"/>
              <w:right w:val="single" w:sz="4" w:space="0" w:color="auto"/>
            </w:tcBorders>
            <w:shd w:val="clear" w:color="000000" w:fill="FFFFFF"/>
            <w:noWrap/>
            <w:vAlign w:val="center"/>
            <w:hideMark/>
          </w:tcPr>
          <w:p w14:paraId="1BDCF746"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473</w:t>
            </w:r>
          </w:p>
        </w:tc>
        <w:tc>
          <w:tcPr>
            <w:tcW w:w="1404" w:type="dxa"/>
            <w:tcBorders>
              <w:top w:val="nil"/>
              <w:left w:val="nil"/>
              <w:bottom w:val="single" w:sz="4" w:space="0" w:color="BFBFBF"/>
              <w:right w:val="single" w:sz="4" w:space="0" w:color="BFBFBF"/>
            </w:tcBorders>
            <w:shd w:val="clear" w:color="000000" w:fill="FFFFFF"/>
            <w:noWrap/>
            <w:vAlign w:val="center"/>
            <w:hideMark/>
          </w:tcPr>
          <w:p w14:paraId="2F053B6C"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w:t>
            </w:r>
          </w:p>
        </w:tc>
        <w:tc>
          <w:tcPr>
            <w:tcW w:w="1404" w:type="dxa"/>
            <w:tcBorders>
              <w:top w:val="nil"/>
              <w:left w:val="nil"/>
              <w:bottom w:val="single" w:sz="4" w:space="0" w:color="BFBFBF"/>
              <w:right w:val="single" w:sz="4" w:space="0" w:color="BFBFBF"/>
            </w:tcBorders>
            <w:shd w:val="clear" w:color="000000" w:fill="FFFFFF"/>
            <w:noWrap/>
            <w:vAlign w:val="center"/>
            <w:hideMark/>
          </w:tcPr>
          <w:p w14:paraId="76C55F7E"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BFBFBF"/>
              <w:right w:val="single" w:sz="4" w:space="0" w:color="BFBFBF"/>
            </w:tcBorders>
            <w:shd w:val="clear" w:color="000000" w:fill="FFFFFF"/>
            <w:noWrap/>
            <w:vAlign w:val="center"/>
            <w:hideMark/>
          </w:tcPr>
          <w:p w14:paraId="0CED6CFF"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BFBFBF"/>
              <w:right w:val="single" w:sz="4" w:space="0" w:color="auto"/>
            </w:tcBorders>
            <w:shd w:val="clear" w:color="000000" w:fill="FFFFFF"/>
            <w:noWrap/>
            <w:vAlign w:val="center"/>
            <w:hideMark/>
          </w:tcPr>
          <w:p w14:paraId="0B7B2ECF"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r>
      <w:tr w:rsidR="002328EB" w:rsidRPr="00887119" w14:paraId="57320C22" w14:textId="77777777" w:rsidTr="002328EB">
        <w:trPr>
          <w:trHeight w:val="402"/>
        </w:trPr>
        <w:tc>
          <w:tcPr>
            <w:tcW w:w="2335" w:type="dxa"/>
            <w:tcBorders>
              <w:top w:val="nil"/>
              <w:left w:val="single" w:sz="4" w:space="0" w:color="auto"/>
              <w:bottom w:val="single" w:sz="4" w:space="0" w:color="BFBFBF"/>
              <w:right w:val="single" w:sz="4" w:space="0" w:color="auto"/>
            </w:tcBorders>
            <w:shd w:val="clear" w:color="000000" w:fill="F2F2F2"/>
            <w:noWrap/>
            <w:vAlign w:val="center"/>
            <w:hideMark/>
          </w:tcPr>
          <w:p w14:paraId="3D33DDF6" w14:textId="77777777"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Supportive</w:t>
            </w:r>
          </w:p>
        </w:tc>
        <w:tc>
          <w:tcPr>
            <w:tcW w:w="1404" w:type="dxa"/>
            <w:tcBorders>
              <w:top w:val="nil"/>
              <w:left w:val="nil"/>
              <w:bottom w:val="single" w:sz="4" w:space="0" w:color="BFBFBF"/>
              <w:right w:val="single" w:sz="4" w:space="0" w:color="auto"/>
            </w:tcBorders>
            <w:shd w:val="clear" w:color="000000" w:fill="F2F2F2"/>
            <w:noWrap/>
            <w:vAlign w:val="center"/>
            <w:hideMark/>
          </w:tcPr>
          <w:p w14:paraId="09D6F9B1"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109</w:t>
            </w:r>
          </w:p>
        </w:tc>
        <w:tc>
          <w:tcPr>
            <w:tcW w:w="1404" w:type="dxa"/>
            <w:tcBorders>
              <w:top w:val="nil"/>
              <w:left w:val="nil"/>
              <w:bottom w:val="single" w:sz="4" w:space="0" w:color="BFBFBF"/>
              <w:right w:val="single" w:sz="4" w:space="0" w:color="BFBFBF"/>
            </w:tcBorders>
            <w:shd w:val="clear" w:color="000000" w:fill="F2F2F2"/>
            <w:noWrap/>
            <w:vAlign w:val="center"/>
            <w:hideMark/>
          </w:tcPr>
          <w:p w14:paraId="0167DB01"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99</w:t>
            </w:r>
          </w:p>
        </w:tc>
        <w:tc>
          <w:tcPr>
            <w:tcW w:w="1404" w:type="dxa"/>
            <w:tcBorders>
              <w:top w:val="nil"/>
              <w:left w:val="nil"/>
              <w:bottom w:val="single" w:sz="4" w:space="0" w:color="BFBFBF"/>
              <w:right w:val="single" w:sz="4" w:space="0" w:color="BFBFBF"/>
            </w:tcBorders>
            <w:shd w:val="clear" w:color="000000" w:fill="F2F2F2"/>
            <w:noWrap/>
            <w:vAlign w:val="center"/>
            <w:hideMark/>
          </w:tcPr>
          <w:p w14:paraId="08496300"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w:t>
            </w:r>
          </w:p>
        </w:tc>
        <w:tc>
          <w:tcPr>
            <w:tcW w:w="1404" w:type="dxa"/>
            <w:tcBorders>
              <w:top w:val="nil"/>
              <w:left w:val="nil"/>
              <w:bottom w:val="single" w:sz="4" w:space="0" w:color="BFBFBF"/>
              <w:right w:val="single" w:sz="4" w:space="0" w:color="BFBFBF"/>
            </w:tcBorders>
            <w:shd w:val="clear" w:color="000000" w:fill="F2F2F2"/>
            <w:noWrap/>
            <w:vAlign w:val="center"/>
            <w:hideMark/>
          </w:tcPr>
          <w:p w14:paraId="02679BDF"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BFBFBF"/>
              <w:right w:val="single" w:sz="4" w:space="0" w:color="auto"/>
            </w:tcBorders>
            <w:shd w:val="clear" w:color="000000" w:fill="F2F2F2"/>
            <w:noWrap/>
            <w:vAlign w:val="center"/>
            <w:hideMark/>
          </w:tcPr>
          <w:p w14:paraId="5BD360B6"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r>
      <w:tr w:rsidR="002328EB" w:rsidRPr="00887119" w14:paraId="3ACA0428" w14:textId="77777777" w:rsidTr="002328EB">
        <w:trPr>
          <w:trHeight w:val="402"/>
        </w:trPr>
        <w:tc>
          <w:tcPr>
            <w:tcW w:w="2335" w:type="dxa"/>
            <w:tcBorders>
              <w:top w:val="nil"/>
              <w:left w:val="single" w:sz="4" w:space="0" w:color="auto"/>
              <w:bottom w:val="single" w:sz="4" w:space="0" w:color="auto"/>
              <w:right w:val="single" w:sz="4" w:space="0" w:color="auto"/>
            </w:tcBorders>
            <w:shd w:val="clear" w:color="000000" w:fill="FFFFFF"/>
            <w:noWrap/>
            <w:vAlign w:val="center"/>
            <w:hideMark/>
          </w:tcPr>
          <w:p w14:paraId="36085DA0" w14:textId="77777777" w:rsidR="002328EB" w:rsidRPr="00887119" w:rsidRDefault="002328EB" w:rsidP="002328EB">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Transitional</w:t>
            </w:r>
          </w:p>
        </w:tc>
        <w:tc>
          <w:tcPr>
            <w:tcW w:w="1404" w:type="dxa"/>
            <w:tcBorders>
              <w:top w:val="nil"/>
              <w:left w:val="nil"/>
              <w:bottom w:val="single" w:sz="4" w:space="0" w:color="auto"/>
              <w:right w:val="single" w:sz="4" w:space="0" w:color="auto"/>
            </w:tcBorders>
            <w:shd w:val="clear" w:color="000000" w:fill="FFFFFF"/>
            <w:noWrap/>
            <w:vAlign w:val="center"/>
            <w:hideMark/>
          </w:tcPr>
          <w:p w14:paraId="79FCA4D4"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40</w:t>
            </w:r>
          </w:p>
        </w:tc>
        <w:tc>
          <w:tcPr>
            <w:tcW w:w="1404" w:type="dxa"/>
            <w:tcBorders>
              <w:top w:val="nil"/>
              <w:left w:val="nil"/>
              <w:bottom w:val="single" w:sz="4" w:space="0" w:color="auto"/>
              <w:right w:val="single" w:sz="4" w:space="0" w:color="BFBFBF"/>
            </w:tcBorders>
            <w:shd w:val="clear" w:color="000000" w:fill="FFFFFF"/>
            <w:noWrap/>
            <w:vAlign w:val="center"/>
            <w:hideMark/>
          </w:tcPr>
          <w:p w14:paraId="47389467"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37</w:t>
            </w:r>
          </w:p>
        </w:tc>
        <w:tc>
          <w:tcPr>
            <w:tcW w:w="1404" w:type="dxa"/>
            <w:tcBorders>
              <w:top w:val="nil"/>
              <w:left w:val="nil"/>
              <w:bottom w:val="single" w:sz="4" w:space="0" w:color="auto"/>
              <w:right w:val="single" w:sz="4" w:space="0" w:color="BFBFBF"/>
            </w:tcBorders>
            <w:shd w:val="clear" w:color="000000" w:fill="FFFFFF"/>
            <w:noWrap/>
            <w:vAlign w:val="center"/>
            <w:hideMark/>
          </w:tcPr>
          <w:p w14:paraId="60A209A9"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w:t>
            </w:r>
          </w:p>
        </w:tc>
        <w:tc>
          <w:tcPr>
            <w:tcW w:w="1404" w:type="dxa"/>
            <w:tcBorders>
              <w:top w:val="nil"/>
              <w:left w:val="nil"/>
              <w:bottom w:val="single" w:sz="4" w:space="0" w:color="auto"/>
              <w:right w:val="single" w:sz="4" w:space="0" w:color="BFBFBF"/>
            </w:tcBorders>
            <w:shd w:val="clear" w:color="000000" w:fill="FFFFFF"/>
            <w:noWrap/>
            <w:vAlign w:val="center"/>
            <w:hideMark/>
          </w:tcPr>
          <w:p w14:paraId="435974DB"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c>
          <w:tcPr>
            <w:tcW w:w="1404" w:type="dxa"/>
            <w:tcBorders>
              <w:top w:val="nil"/>
              <w:left w:val="nil"/>
              <w:bottom w:val="single" w:sz="4" w:space="0" w:color="auto"/>
              <w:right w:val="single" w:sz="4" w:space="0" w:color="auto"/>
            </w:tcBorders>
            <w:shd w:val="clear" w:color="000000" w:fill="FFFFFF"/>
            <w:noWrap/>
            <w:vAlign w:val="center"/>
            <w:hideMark/>
          </w:tcPr>
          <w:p w14:paraId="59E4D4F1" w14:textId="77777777" w:rsidR="002328EB" w:rsidRPr="00E043E3" w:rsidRDefault="002328EB" w:rsidP="002328EB">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w:t>
            </w:r>
          </w:p>
        </w:tc>
      </w:tr>
    </w:tbl>
    <w:p w14:paraId="7ECCD543" w14:textId="77777777" w:rsidR="004A5135" w:rsidRPr="00887119" w:rsidRDefault="004A5135" w:rsidP="004A5135">
      <w:pPr>
        <w:pStyle w:val="Source"/>
      </w:pPr>
      <w:r w:rsidRPr="00887119">
        <w:t>Source: survey of non-market stakeholders</w:t>
      </w:r>
    </w:p>
    <w:p w14:paraId="131E6E05" w14:textId="77777777" w:rsidR="004A5135" w:rsidRPr="00887119" w:rsidRDefault="004A5135" w:rsidP="004A5135"/>
    <w:p w14:paraId="081371B0" w14:textId="2F0929C8" w:rsidR="0060432A" w:rsidRPr="00887119" w:rsidRDefault="0060432A" w:rsidP="0060432A">
      <w:r w:rsidRPr="00887119">
        <w:t xml:space="preserve">The provincial non-market inventory of 3,286 units and beds should be read in the context of the core housing need estimates presented in </w:t>
      </w:r>
      <w:r w:rsidRPr="00887119">
        <w:rPr>
          <w:rStyle w:val="Figure-textChar"/>
        </w:rPr>
        <w:t xml:space="preserve">Section </w:t>
      </w:r>
      <w:r w:rsidRPr="00887119">
        <w:rPr>
          <w:rStyle w:val="Figure-textChar"/>
        </w:rPr>
        <w:fldChar w:fldCharType="begin"/>
      </w:r>
      <w:r w:rsidRPr="00887119">
        <w:rPr>
          <w:rStyle w:val="Figure-textChar"/>
        </w:rPr>
        <w:instrText xml:space="preserve"> REF _Ref228537018 \r \h  \* MERGEFORMAT </w:instrText>
      </w:r>
      <w:r w:rsidRPr="00887119">
        <w:rPr>
          <w:rStyle w:val="Figure-textChar"/>
        </w:rPr>
      </w:r>
      <w:r w:rsidRPr="00887119">
        <w:rPr>
          <w:rStyle w:val="Figure-textChar"/>
        </w:rPr>
        <w:fldChar w:fldCharType="separate"/>
      </w:r>
      <w:r w:rsidR="008D4BDE">
        <w:rPr>
          <w:rStyle w:val="Figure-textChar"/>
        </w:rPr>
        <w:t>9</w:t>
      </w:r>
      <w:r w:rsidRPr="00887119">
        <w:rPr>
          <w:rStyle w:val="Figure-textChar"/>
        </w:rPr>
        <w:fldChar w:fldCharType="end"/>
      </w:r>
      <w:r w:rsidRPr="00887119">
        <w:t xml:space="preserve">. The majority of this supply </w:t>
      </w:r>
      <w:r w:rsidR="00B86ABB" w:rsidRPr="00887119">
        <w:t>(</w:t>
      </w:r>
      <w:r w:rsidRPr="00887119">
        <w:t>2,232 units of affordable non-market housing</w:t>
      </w:r>
      <w:r w:rsidR="00B86ABB" w:rsidRPr="00887119">
        <w:t>)</w:t>
      </w:r>
      <w:r w:rsidRPr="00887119">
        <w:t xml:space="preserve"> is concentrated in urban and small urban areas, where approximately 1,850 emergency, supportive, transitional, and cooperative units are also located. Rural urban-adjacent and rural remote areas together account for only 381 units, virtually all of which are affordable non-market housing with no emergency shelter, supportive, or transitional capacity. For the renting population in rural communities experiencing housing instability, there is </w:t>
      </w:r>
      <w:r w:rsidR="00B86ABB" w:rsidRPr="00887119">
        <w:t>limited</w:t>
      </w:r>
      <w:r w:rsidRPr="00887119">
        <w:t xml:space="preserve"> local non-market housing continuum to navigate.</w:t>
      </w:r>
    </w:p>
    <w:p w14:paraId="6CFD1146" w14:textId="77777777" w:rsidR="0060432A" w:rsidRPr="00887119" w:rsidRDefault="0060432A" w:rsidP="0060432A"/>
    <w:p w14:paraId="438CAE4E" w14:textId="2556A808" w:rsidR="0060432A" w:rsidRPr="00887119" w:rsidRDefault="0060432A" w:rsidP="0060432A">
      <w:r w:rsidRPr="00887119">
        <w:t>The composition of the non-market inventory reflects a system where crisis-response capacity is concentrated in urban areas (104 of 109 emergency shelter beds; 99 of 109 supportive housing units), while stable long-term non-market housing is more broadly distributed. The absence of transitional and supportive housing outside of urban and small urban areas points to a gap in the continuum of care for rural residents experiencing acute housing need</w:t>
      </w:r>
      <w:r w:rsidR="009304C2" w:rsidRPr="00887119">
        <w:t>.</w:t>
      </w:r>
    </w:p>
    <w:p w14:paraId="0707B431" w14:textId="77777777" w:rsidR="0060432A" w:rsidRPr="00887119" w:rsidRDefault="0060432A" w:rsidP="0060432A"/>
    <w:p w14:paraId="740F791D" w14:textId="349F8C46" w:rsidR="00952F0E" w:rsidRPr="00887119" w:rsidRDefault="0060432A" w:rsidP="0060432A">
      <w:r w:rsidRPr="00887119">
        <w:t xml:space="preserve">Co-operative and affordable non-market units serve a somewhat different population than emergency and transitional housing </w:t>
      </w:r>
      <w:r w:rsidR="009304C2" w:rsidRPr="00887119">
        <w:t>(</w:t>
      </w:r>
      <w:r w:rsidRPr="00887119">
        <w:t>typically lower-income households and seniors rather than individuals in acute crisis</w:t>
      </w:r>
      <w:r w:rsidR="009304C2" w:rsidRPr="00887119">
        <w:t>)</w:t>
      </w:r>
      <w:r w:rsidRPr="00887119">
        <w:t xml:space="preserve">. The 301 co-operative units in the province are predominantly located in urban (231) and rural urban-adjacent (55) areas, with minimal presence in small urban and none in rural remote communities. </w:t>
      </w:r>
      <w:r w:rsidR="00952F0E" w:rsidRPr="00887119">
        <w:br w:type="page"/>
      </w:r>
    </w:p>
    <w:p w14:paraId="10A64EB7" w14:textId="77777777" w:rsidR="00952F0E" w:rsidRPr="00887119" w:rsidRDefault="00952F0E" w:rsidP="00842B20">
      <w:pPr>
        <w:pStyle w:val="Heading1"/>
      </w:pPr>
      <w:bookmarkStart w:id="117" w:name="_Toc223686649"/>
      <w:bookmarkStart w:id="118" w:name="_Toc225869016"/>
      <w:bookmarkStart w:id="119" w:name="_Ref228537018"/>
      <w:bookmarkStart w:id="120" w:name="_Toc229051963"/>
      <w:bookmarkStart w:id="121" w:name="_Toc237957445"/>
      <w:r w:rsidRPr="00887119">
        <w:lastRenderedPageBreak/>
        <w:t>HOUSING NEED</w:t>
      </w:r>
      <w:bookmarkEnd w:id="117"/>
      <w:bookmarkEnd w:id="118"/>
      <w:bookmarkEnd w:id="119"/>
      <w:bookmarkEnd w:id="120"/>
      <w:bookmarkEnd w:id="121"/>
    </w:p>
    <w:p w14:paraId="57267BA6" w14:textId="77777777" w:rsidR="00952F0E" w:rsidRPr="00887119" w:rsidRDefault="00952F0E" w:rsidP="00952F0E"/>
    <w:p w14:paraId="0964450F" w14:textId="77777777" w:rsidR="006F710D" w:rsidRPr="00887119" w:rsidRDefault="006F710D" w:rsidP="006F710D">
      <w:bookmarkStart w:id="122" w:name="_Hlk223437361"/>
      <w:bookmarkStart w:id="123" w:name="_Toc222480671"/>
      <w:bookmarkStart w:id="124" w:name="_Toc222480670"/>
      <w:r w:rsidRPr="00887119">
        <w:t>This section is the analytical core of the Housing Needs Assessment, synthesizing the demographic, economic, and housing profile data into a determination of the scale, nature, and distribution of housing need across the province and by geographic category.</w:t>
      </w:r>
    </w:p>
    <w:p w14:paraId="66BA0F03" w14:textId="77777777" w:rsidR="006F710D" w:rsidRPr="00887119" w:rsidRDefault="006F710D" w:rsidP="006F710D"/>
    <w:p w14:paraId="0ADED9A2" w14:textId="77777777" w:rsidR="006F710D" w:rsidRPr="00887119" w:rsidRDefault="006F710D" w:rsidP="006F710D">
      <w:r w:rsidRPr="00887119">
        <w:t>This section is what distinguishes a Housing Needs Assessment from a housing market study or a demographic report. It translates data about who lives across the province and what housing exists into a direct answer to the central policy question: are residents’ housing needs being met? The federal requirements under the CCBF and HAF frameworks specifically require that HNAs address core housing need by income category, household size, and tenure, making this section critical not only for provincial and local planning but for accessing federal funding programs.</w:t>
      </w:r>
    </w:p>
    <w:bookmarkEnd w:id="122"/>
    <w:p w14:paraId="6912FEA1" w14:textId="77777777" w:rsidR="00952F0E" w:rsidRPr="00887119" w:rsidRDefault="00952F0E" w:rsidP="00952F0E"/>
    <w:p w14:paraId="18BF5B9B" w14:textId="77777777" w:rsidR="00952F0E" w:rsidRPr="00887119" w:rsidRDefault="00952F0E" w:rsidP="00842B20">
      <w:pPr>
        <w:pStyle w:val="Heading2"/>
      </w:pPr>
      <w:bookmarkStart w:id="125" w:name="_Toc223686650"/>
      <w:bookmarkStart w:id="126" w:name="_Toc225869017"/>
      <w:bookmarkStart w:id="127" w:name="_Ref228646278"/>
      <w:bookmarkStart w:id="128" w:name="_Toc229051964"/>
      <w:bookmarkStart w:id="129" w:name="_Toc237957446"/>
      <w:r w:rsidRPr="00887119">
        <w:t>INDICATOR SUMMARY</w:t>
      </w:r>
      <w:bookmarkEnd w:id="123"/>
      <w:bookmarkEnd w:id="125"/>
      <w:bookmarkEnd w:id="126"/>
      <w:bookmarkEnd w:id="127"/>
      <w:bookmarkEnd w:id="128"/>
      <w:bookmarkEnd w:id="129"/>
    </w:p>
    <w:p w14:paraId="0029F91E" w14:textId="77777777" w:rsidR="00952F0E" w:rsidRPr="00887119" w:rsidRDefault="00952F0E" w:rsidP="00952F0E">
      <w:r w:rsidRPr="00887119">
        <w:t>Core housing need is the federal government's primary measure of housing precarity and is made up of three dimensions: affordability, adequacy, and suitability. It often used to benchmark community performance and track progress over time. The disaggregation by tenure is particularly important: renters consistently experience core housing need at rates two to three times higher than owners across Canada, and a report that presents only aggregate figures obscures this structural inequality.</w:t>
      </w:r>
    </w:p>
    <w:p w14:paraId="6546A307" w14:textId="77777777" w:rsidR="00952F0E" w:rsidRPr="00887119" w:rsidRDefault="00952F0E" w:rsidP="00952F0E"/>
    <w:p w14:paraId="61E9270C" w14:textId="7856356A" w:rsidR="00952F0E" w:rsidRPr="00887119" w:rsidRDefault="00952F0E" w:rsidP="00952F0E">
      <w:r w:rsidRPr="00887119">
        <w:rPr>
          <w:rStyle w:val="Figure-textChar"/>
        </w:rPr>
        <w:fldChar w:fldCharType="begin"/>
      </w:r>
      <w:r w:rsidRPr="00887119">
        <w:rPr>
          <w:rStyle w:val="Figure-textChar"/>
        </w:rPr>
        <w:instrText xml:space="preserve"> REF _Ref223276599 \h  \* MERGEFORMAT </w:instrText>
      </w:r>
      <w:r w:rsidRPr="00887119">
        <w:rPr>
          <w:rStyle w:val="Figure-textChar"/>
        </w:rPr>
      </w:r>
      <w:r w:rsidRPr="00887119">
        <w:rPr>
          <w:rStyle w:val="Figure-textChar"/>
        </w:rPr>
        <w:fldChar w:fldCharType="separate"/>
      </w:r>
      <w:r w:rsidR="008D4BDE" w:rsidRPr="008D4BDE">
        <w:rPr>
          <w:rStyle w:val="Figure-textChar"/>
        </w:rPr>
        <w:t>Table 9.1</w:t>
      </w:r>
      <w:r w:rsidRPr="00887119">
        <w:rPr>
          <w:rStyle w:val="Figure-textChar"/>
        </w:rPr>
        <w:fldChar w:fldCharType="end"/>
      </w:r>
      <w:r w:rsidRPr="00887119">
        <w:t xml:space="preserve"> </w:t>
      </w:r>
      <w:r w:rsidR="007D3707" w:rsidRPr="00887119">
        <w:t xml:space="preserve">presents the provincial core housing need profile across the three dimensions, disaggregated by tenure. This provides the baseline against which geographic category variations in </w:t>
      </w:r>
      <w:r w:rsidR="007D3707" w:rsidRPr="00887119">
        <w:rPr>
          <w:rStyle w:val="Figure-textChar"/>
        </w:rPr>
        <w:fldChar w:fldCharType="begin"/>
      </w:r>
      <w:r w:rsidR="007D3707" w:rsidRPr="00887119">
        <w:rPr>
          <w:rStyle w:val="Figure-textChar"/>
        </w:rPr>
        <w:instrText xml:space="preserve"> REF _Ref228645479 \h  \* MERGEFORMAT </w:instrText>
      </w:r>
      <w:r w:rsidR="007D3707" w:rsidRPr="00887119">
        <w:rPr>
          <w:rStyle w:val="Figure-textChar"/>
        </w:rPr>
      </w:r>
      <w:r w:rsidR="007D3707" w:rsidRPr="00887119">
        <w:rPr>
          <w:rStyle w:val="Figure-textChar"/>
        </w:rPr>
        <w:fldChar w:fldCharType="separate"/>
      </w:r>
      <w:r w:rsidR="008D4BDE" w:rsidRPr="008D4BDE">
        <w:rPr>
          <w:rStyle w:val="Figure-textChar"/>
        </w:rPr>
        <w:t>Table 9.2</w:t>
      </w:r>
      <w:r w:rsidR="007D3707" w:rsidRPr="00887119">
        <w:rPr>
          <w:rStyle w:val="Figure-textChar"/>
        </w:rPr>
        <w:fldChar w:fldCharType="end"/>
      </w:r>
      <w:r w:rsidR="007D3707" w:rsidRPr="00887119">
        <w:t xml:space="preserve"> can be interpreted.</w:t>
      </w:r>
    </w:p>
    <w:p w14:paraId="488BE7FA" w14:textId="77777777" w:rsidR="00952F0E" w:rsidRPr="00887119" w:rsidRDefault="00952F0E" w:rsidP="00952F0E"/>
    <w:p w14:paraId="3A4F3BE3" w14:textId="52AC3893" w:rsidR="00952F0E" w:rsidRPr="00887119" w:rsidRDefault="00952F0E" w:rsidP="00952F0E">
      <w:pPr>
        <w:pStyle w:val="Caption"/>
      </w:pPr>
      <w:bookmarkStart w:id="130" w:name="_Ref223276599"/>
      <w:r w:rsidRPr="00887119">
        <w:t xml:space="preserve">Table </w:t>
      </w:r>
      <w:fldSimple w:instr=" STYLEREF 1 \s ">
        <w:r w:rsidR="008D4BDE">
          <w:rPr>
            <w:noProof/>
          </w:rPr>
          <w:t>9</w:t>
        </w:r>
      </w:fldSimple>
      <w:r w:rsidR="00EE1FE9">
        <w:t>.</w:t>
      </w:r>
      <w:fldSimple w:instr=" SEQ Table \* ARABIC \s 1 ">
        <w:r w:rsidR="008D4BDE">
          <w:rPr>
            <w:noProof/>
          </w:rPr>
          <w:t>1</w:t>
        </w:r>
      </w:fldSimple>
      <w:bookmarkEnd w:id="130"/>
      <w:r w:rsidRPr="00887119">
        <w:t>: Summary of housing need indicators</w:t>
      </w:r>
      <w:r w:rsidR="008556A8" w:rsidRPr="00887119">
        <w:t xml:space="preserve"> by tenure</w:t>
      </w:r>
      <w:r w:rsidRPr="00887119">
        <w:t>, 2021</w:t>
      </w:r>
      <w:r w:rsidR="002A5452">
        <w:t>, province</w:t>
      </w:r>
    </w:p>
    <w:tbl>
      <w:tblPr>
        <w:tblW w:w="9355" w:type="dxa"/>
        <w:tblLayout w:type="fixed"/>
        <w:tblLook w:val="04A0" w:firstRow="1" w:lastRow="0" w:firstColumn="1" w:lastColumn="0" w:noHBand="0" w:noVBand="1"/>
      </w:tblPr>
      <w:tblGrid>
        <w:gridCol w:w="3595"/>
        <w:gridCol w:w="1920"/>
        <w:gridCol w:w="1920"/>
        <w:gridCol w:w="1920"/>
      </w:tblGrid>
      <w:tr w:rsidR="00952F0E" w:rsidRPr="00887119" w14:paraId="5797152F" w14:textId="77777777" w:rsidTr="00AA4E3C">
        <w:trPr>
          <w:trHeight w:val="402"/>
          <w:tblHeader/>
        </w:trPr>
        <w:tc>
          <w:tcPr>
            <w:tcW w:w="3595" w:type="dxa"/>
            <w:tcBorders>
              <w:top w:val="single" w:sz="4" w:space="0" w:color="auto"/>
              <w:left w:val="single" w:sz="4" w:space="0" w:color="auto"/>
              <w:bottom w:val="single" w:sz="4" w:space="0" w:color="auto"/>
              <w:right w:val="single" w:sz="4" w:space="0" w:color="000000"/>
            </w:tcBorders>
            <w:shd w:val="clear" w:color="auto" w:fill="42618C" w:themeFill="accent3"/>
            <w:noWrap/>
            <w:vAlign w:val="center"/>
            <w:hideMark/>
          </w:tcPr>
          <w:p w14:paraId="0CB933AF" w14:textId="77777777" w:rsidR="00952F0E" w:rsidRPr="00887119" w:rsidRDefault="00952F0E" w:rsidP="00CC6BC1">
            <w:pPr>
              <w:rPr>
                <w:rFonts w:eastAsia="Times New Roman"/>
                <w:color w:val="FFFFFF"/>
                <w:sz w:val="18"/>
                <w:szCs w:val="18"/>
              </w:rPr>
            </w:pPr>
            <w:r w:rsidRPr="00887119">
              <w:rPr>
                <w:rFonts w:eastAsia="Times New Roman"/>
                <w:color w:val="FFFFFF"/>
                <w:sz w:val="18"/>
                <w:szCs w:val="18"/>
              </w:rPr>
              <w:t>Housing need categories</w:t>
            </w:r>
          </w:p>
        </w:tc>
        <w:tc>
          <w:tcPr>
            <w:tcW w:w="192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800673D"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Total</w:t>
            </w:r>
          </w:p>
        </w:tc>
        <w:tc>
          <w:tcPr>
            <w:tcW w:w="192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2855E83"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Owner</w:t>
            </w:r>
          </w:p>
        </w:tc>
        <w:tc>
          <w:tcPr>
            <w:tcW w:w="192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518788C7"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Renter</w:t>
            </w:r>
          </w:p>
        </w:tc>
      </w:tr>
      <w:tr w:rsidR="00AD27E7" w:rsidRPr="00887119" w14:paraId="20987F75" w14:textId="77777777" w:rsidTr="00CC6BC1">
        <w:trPr>
          <w:trHeight w:val="402"/>
        </w:trPr>
        <w:tc>
          <w:tcPr>
            <w:tcW w:w="3595"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5A148337" w14:textId="77777777" w:rsidR="00AD27E7" w:rsidRPr="00887119" w:rsidRDefault="00AD27E7" w:rsidP="00AD27E7">
            <w:pPr>
              <w:rPr>
                <w:rFonts w:eastAsia="Times New Roman"/>
                <w:color w:val="0D0D0D"/>
                <w:sz w:val="18"/>
                <w:szCs w:val="18"/>
              </w:rPr>
            </w:pPr>
            <w:r w:rsidRPr="00887119">
              <w:rPr>
                <w:rFonts w:eastAsia="Times New Roman"/>
                <w:color w:val="0D0D0D"/>
                <w:sz w:val="18"/>
                <w:szCs w:val="18"/>
              </w:rPr>
              <w:t>Total households</w:t>
            </w:r>
          </w:p>
        </w:tc>
        <w:tc>
          <w:tcPr>
            <w:tcW w:w="1920" w:type="dxa"/>
            <w:tcBorders>
              <w:top w:val="single" w:sz="4" w:space="0" w:color="auto"/>
              <w:left w:val="nil"/>
              <w:bottom w:val="single" w:sz="4" w:space="0" w:color="auto"/>
              <w:right w:val="single" w:sz="4" w:space="0" w:color="BFBFBF"/>
            </w:tcBorders>
            <w:shd w:val="clear" w:color="000000" w:fill="F2F2F2"/>
            <w:noWrap/>
            <w:vAlign w:val="center"/>
            <w:hideMark/>
          </w:tcPr>
          <w:p w14:paraId="5FFAB855" w14:textId="120A984C" w:rsidR="00AD27E7" w:rsidRPr="00E043E3" w:rsidRDefault="00AD27E7" w:rsidP="00AD27E7">
            <w:pPr>
              <w:jc w:val="right"/>
              <w:rPr>
                <w:rFonts w:eastAsia="Times New Roman"/>
                <w:color w:val="C00000"/>
                <w:sz w:val="18"/>
                <w:szCs w:val="18"/>
              </w:rPr>
            </w:pPr>
            <w:r w:rsidRPr="00E043E3">
              <w:rPr>
                <w:rFonts w:cs="Arial"/>
                <w:color w:val="C00000"/>
                <w:sz w:val="18"/>
                <w:szCs w:val="18"/>
              </w:rPr>
              <w:t>64,570</w:t>
            </w:r>
          </w:p>
        </w:tc>
        <w:tc>
          <w:tcPr>
            <w:tcW w:w="1920" w:type="dxa"/>
            <w:tcBorders>
              <w:top w:val="single" w:sz="4" w:space="0" w:color="auto"/>
              <w:left w:val="nil"/>
              <w:bottom w:val="single" w:sz="4" w:space="0" w:color="auto"/>
              <w:right w:val="single" w:sz="4" w:space="0" w:color="BFBFBF"/>
            </w:tcBorders>
            <w:shd w:val="clear" w:color="000000" w:fill="F2F2F2"/>
            <w:noWrap/>
            <w:vAlign w:val="center"/>
            <w:hideMark/>
          </w:tcPr>
          <w:p w14:paraId="307E8F8A" w14:textId="6BD20481" w:rsidR="00AD27E7" w:rsidRPr="00E043E3" w:rsidRDefault="00AD27E7" w:rsidP="00AD27E7">
            <w:pPr>
              <w:jc w:val="right"/>
              <w:rPr>
                <w:rFonts w:eastAsia="Times New Roman"/>
                <w:color w:val="C00000"/>
                <w:sz w:val="18"/>
                <w:szCs w:val="18"/>
              </w:rPr>
            </w:pPr>
            <w:r w:rsidRPr="00E043E3">
              <w:rPr>
                <w:rFonts w:cs="Arial"/>
                <w:color w:val="C00000"/>
                <w:sz w:val="18"/>
                <w:szCs w:val="18"/>
              </w:rPr>
              <w:t>44,420</w:t>
            </w:r>
          </w:p>
        </w:tc>
        <w:tc>
          <w:tcPr>
            <w:tcW w:w="1920" w:type="dxa"/>
            <w:tcBorders>
              <w:top w:val="single" w:sz="4" w:space="0" w:color="auto"/>
              <w:left w:val="nil"/>
              <w:bottom w:val="single" w:sz="4" w:space="0" w:color="auto"/>
              <w:right w:val="single" w:sz="4" w:space="0" w:color="auto"/>
            </w:tcBorders>
            <w:shd w:val="clear" w:color="000000" w:fill="F2F2F2"/>
            <w:noWrap/>
            <w:vAlign w:val="center"/>
            <w:hideMark/>
          </w:tcPr>
          <w:p w14:paraId="025561E0" w14:textId="72A46A29" w:rsidR="00AD27E7" w:rsidRPr="00E043E3" w:rsidRDefault="00AD27E7" w:rsidP="00AD27E7">
            <w:pPr>
              <w:jc w:val="right"/>
              <w:rPr>
                <w:rFonts w:eastAsia="Times New Roman"/>
                <w:color w:val="C00000"/>
                <w:sz w:val="18"/>
                <w:szCs w:val="18"/>
              </w:rPr>
            </w:pPr>
            <w:r w:rsidRPr="00E043E3">
              <w:rPr>
                <w:rFonts w:cs="Arial"/>
                <w:color w:val="C00000"/>
                <w:sz w:val="18"/>
                <w:szCs w:val="18"/>
              </w:rPr>
              <w:t>19,990</w:t>
            </w:r>
          </w:p>
        </w:tc>
      </w:tr>
      <w:tr w:rsidR="00AD27E7" w:rsidRPr="00887119" w14:paraId="0DD01539" w14:textId="77777777" w:rsidTr="00CC6BC1">
        <w:trPr>
          <w:trHeight w:val="402"/>
        </w:trPr>
        <w:tc>
          <w:tcPr>
            <w:tcW w:w="3595" w:type="dxa"/>
            <w:tcBorders>
              <w:top w:val="single" w:sz="4" w:space="0" w:color="auto"/>
              <w:left w:val="single" w:sz="4" w:space="0" w:color="auto"/>
              <w:bottom w:val="single" w:sz="4" w:space="0" w:color="BFBFBF"/>
              <w:right w:val="single" w:sz="4" w:space="0" w:color="000000"/>
            </w:tcBorders>
            <w:noWrap/>
            <w:vAlign w:val="center"/>
            <w:hideMark/>
          </w:tcPr>
          <w:p w14:paraId="155E5E03" w14:textId="77777777" w:rsidR="00AD27E7" w:rsidRPr="00887119" w:rsidRDefault="00AD27E7" w:rsidP="00AD27E7">
            <w:pPr>
              <w:rPr>
                <w:rFonts w:eastAsia="Times New Roman"/>
                <w:color w:val="0D0D0D"/>
                <w:sz w:val="18"/>
                <w:szCs w:val="18"/>
              </w:rPr>
            </w:pPr>
            <w:r w:rsidRPr="00887119">
              <w:rPr>
                <w:rFonts w:eastAsia="Times New Roman"/>
                <w:color w:val="0D0D0D"/>
                <w:sz w:val="18"/>
                <w:szCs w:val="18"/>
              </w:rPr>
              <w:t>Unsuitable dwellings</w:t>
            </w:r>
          </w:p>
        </w:tc>
        <w:tc>
          <w:tcPr>
            <w:tcW w:w="1920" w:type="dxa"/>
            <w:tcBorders>
              <w:top w:val="single" w:sz="4" w:space="0" w:color="auto"/>
              <w:left w:val="nil"/>
              <w:bottom w:val="single" w:sz="4" w:space="0" w:color="BFBFBF"/>
              <w:right w:val="single" w:sz="4" w:space="0" w:color="BFBFBF"/>
            </w:tcBorders>
            <w:noWrap/>
            <w:vAlign w:val="center"/>
            <w:hideMark/>
          </w:tcPr>
          <w:p w14:paraId="60494D8A" w14:textId="44F02F6A" w:rsidR="00AD27E7" w:rsidRPr="00E043E3" w:rsidRDefault="00AD27E7" w:rsidP="00AD27E7">
            <w:pPr>
              <w:jc w:val="right"/>
              <w:rPr>
                <w:rFonts w:eastAsia="Times New Roman"/>
                <w:color w:val="C00000"/>
                <w:sz w:val="18"/>
                <w:szCs w:val="18"/>
              </w:rPr>
            </w:pPr>
            <w:r w:rsidRPr="00E043E3">
              <w:rPr>
                <w:rFonts w:cs="Arial"/>
                <w:color w:val="C00000"/>
                <w:sz w:val="18"/>
                <w:szCs w:val="18"/>
              </w:rPr>
              <w:t>3.1%</w:t>
            </w:r>
          </w:p>
        </w:tc>
        <w:tc>
          <w:tcPr>
            <w:tcW w:w="1920" w:type="dxa"/>
            <w:tcBorders>
              <w:top w:val="single" w:sz="4" w:space="0" w:color="auto"/>
              <w:left w:val="nil"/>
              <w:bottom w:val="single" w:sz="4" w:space="0" w:color="BFBFBF"/>
              <w:right w:val="single" w:sz="4" w:space="0" w:color="BFBFBF"/>
            </w:tcBorders>
            <w:noWrap/>
            <w:vAlign w:val="center"/>
            <w:hideMark/>
          </w:tcPr>
          <w:p w14:paraId="773086AA" w14:textId="3BE88472" w:rsidR="00AD27E7" w:rsidRPr="00E043E3" w:rsidRDefault="00AD27E7" w:rsidP="00AD27E7">
            <w:pPr>
              <w:jc w:val="right"/>
              <w:rPr>
                <w:rFonts w:eastAsia="Times New Roman"/>
                <w:color w:val="C00000"/>
                <w:sz w:val="18"/>
                <w:szCs w:val="18"/>
              </w:rPr>
            </w:pPr>
            <w:r w:rsidRPr="00E043E3">
              <w:rPr>
                <w:rFonts w:cs="Arial"/>
                <w:color w:val="C00000"/>
                <w:sz w:val="18"/>
                <w:szCs w:val="18"/>
              </w:rPr>
              <w:t>1.7%</w:t>
            </w:r>
          </w:p>
        </w:tc>
        <w:tc>
          <w:tcPr>
            <w:tcW w:w="1920" w:type="dxa"/>
            <w:tcBorders>
              <w:top w:val="single" w:sz="4" w:space="0" w:color="auto"/>
              <w:left w:val="nil"/>
              <w:bottom w:val="single" w:sz="4" w:space="0" w:color="BFBFBF"/>
              <w:right w:val="single" w:sz="4" w:space="0" w:color="auto"/>
            </w:tcBorders>
            <w:noWrap/>
            <w:vAlign w:val="center"/>
            <w:hideMark/>
          </w:tcPr>
          <w:p w14:paraId="1BAB184D" w14:textId="1479F18A" w:rsidR="00AD27E7" w:rsidRPr="00E043E3" w:rsidRDefault="00AD27E7" w:rsidP="00AD27E7">
            <w:pPr>
              <w:jc w:val="right"/>
              <w:rPr>
                <w:rFonts w:eastAsia="Times New Roman"/>
                <w:color w:val="C00000"/>
                <w:sz w:val="18"/>
                <w:szCs w:val="18"/>
              </w:rPr>
            </w:pPr>
            <w:r w:rsidRPr="00E043E3">
              <w:rPr>
                <w:rFonts w:cs="Arial"/>
                <w:color w:val="C00000"/>
                <w:sz w:val="18"/>
                <w:szCs w:val="18"/>
              </w:rPr>
              <w:t>6.3%</w:t>
            </w:r>
          </w:p>
        </w:tc>
      </w:tr>
      <w:tr w:rsidR="00AD27E7" w:rsidRPr="00887119" w14:paraId="531DED19" w14:textId="77777777" w:rsidTr="00CC6BC1">
        <w:trPr>
          <w:trHeight w:val="402"/>
        </w:trPr>
        <w:tc>
          <w:tcPr>
            <w:tcW w:w="359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02CAD79E" w14:textId="77777777" w:rsidR="00AD27E7" w:rsidRPr="00887119" w:rsidRDefault="00AD27E7" w:rsidP="00AD27E7">
            <w:pPr>
              <w:rPr>
                <w:rFonts w:eastAsia="Times New Roman"/>
                <w:color w:val="0D0D0D"/>
                <w:sz w:val="18"/>
                <w:szCs w:val="18"/>
              </w:rPr>
            </w:pPr>
            <w:r w:rsidRPr="00887119">
              <w:rPr>
                <w:rFonts w:eastAsia="Times New Roman"/>
                <w:color w:val="0D0D0D"/>
                <w:sz w:val="18"/>
                <w:szCs w:val="18"/>
              </w:rPr>
              <w:t>Inadequate dwellings</w:t>
            </w:r>
          </w:p>
        </w:tc>
        <w:tc>
          <w:tcPr>
            <w:tcW w:w="1920" w:type="dxa"/>
            <w:tcBorders>
              <w:top w:val="nil"/>
              <w:left w:val="nil"/>
              <w:bottom w:val="single" w:sz="4" w:space="0" w:color="BFBFBF"/>
              <w:right w:val="single" w:sz="4" w:space="0" w:color="BFBFBF"/>
            </w:tcBorders>
            <w:shd w:val="clear" w:color="000000" w:fill="F2F2F2"/>
            <w:noWrap/>
            <w:vAlign w:val="center"/>
            <w:hideMark/>
          </w:tcPr>
          <w:p w14:paraId="3ABE8CCF" w14:textId="5641323A" w:rsidR="00AD27E7" w:rsidRPr="00E043E3" w:rsidRDefault="00AD27E7" w:rsidP="00AD27E7">
            <w:pPr>
              <w:jc w:val="right"/>
              <w:rPr>
                <w:rFonts w:eastAsia="Times New Roman"/>
                <w:color w:val="C00000"/>
                <w:sz w:val="18"/>
                <w:szCs w:val="18"/>
              </w:rPr>
            </w:pPr>
            <w:r w:rsidRPr="00E043E3">
              <w:rPr>
                <w:rFonts w:cs="Arial"/>
                <w:color w:val="C00000"/>
                <w:sz w:val="18"/>
                <w:szCs w:val="18"/>
              </w:rPr>
              <w:t>7.1%</w:t>
            </w:r>
          </w:p>
        </w:tc>
        <w:tc>
          <w:tcPr>
            <w:tcW w:w="1920" w:type="dxa"/>
            <w:tcBorders>
              <w:top w:val="nil"/>
              <w:left w:val="nil"/>
              <w:bottom w:val="single" w:sz="4" w:space="0" w:color="BFBFBF"/>
              <w:right w:val="single" w:sz="4" w:space="0" w:color="BFBFBF"/>
            </w:tcBorders>
            <w:shd w:val="clear" w:color="000000" w:fill="F2F2F2"/>
            <w:noWrap/>
            <w:vAlign w:val="center"/>
            <w:hideMark/>
          </w:tcPr>
          <w:p w14:paraId="3B2CB4D2" w14:textId="51285752" w:rsidR="00AD27E7" w:rsidRPr="00E043E3" w:rsidRDefault="00AD27E7" w:rsidP="00AD27E7">
            <w:pPr>
              <w:jc w:val="right"/>
              <w:rPr>
                <w:rFonts w:eastAsia="Times New Roman"/>
                <w:color w:val="C00000"/>
                <w:sz w:val="18"/>
                <w:szCs w:val="18"/>
              </w:rPr>
            </w:pPr>
            <w:r w:rsidRPr="00E043E3">
              <w:rPr>
                <w:rFonts w:cs="Arial"/>
                <w:color w:val="C00000"/>
                <w:sz w:val="18"/>
                <w:szCs w:val="18"/>
              </w:rPr>
              <w:t>7.5%</w:t>
            </w:r>
          </w:p>
        </w:tc>
        <w:tc>
          <w:tcPr>
            <w:tcW w:w="1920" w:type="dxa"/>
            <w:tcBorders>
              <w:top w:val="nil"/>
              <w:left w:val="nil"/>
              <w:bottom w:val="single" w:sz="4" w:space="0" w:color="BFBFBF"/>
              <w:right w:val="single" w:sz="4" w:space="0" w:color="auto"/>
            </w:tcBorders>
            <w:shd w:val="clear" w:color="000000" w:fill="F2F2F2"/>
            <w:noWrap/>
            <w:vAlign w:val="center"/>
            <w:hideMark/>
          </w:tcPr>
          <w:p w14:paraId="3D21C20B" w14:textId="18011C6E" w:rsidR="00AD27E7" w:rsidRPr="00E043E3" w:rsidRDefault="00AD27E7" w:rsidP="00AD27E7">
            <w:pPr>
              <w:jc w:val="right"/>
              <w:rPr>
                <w:rFonts w:eastAsia="Times New Roman"/>
                <w:color w:val="C00000"/>
                <w:sz w:val="18"/>
                <w:szCs w:val="18"/>
              </w:rPr>
            </w:pPr>
            <w:r w:rsidRPr="00E043E3">
              <w:rPr>
                <w:rFonts w:cs="Arial"/>
                <w:color w:val="C00000"/>
                <w:sz w:val="18"/>
                <w:szCs w:val="18"/>
              </w:rPr>
              <w:t>5.8%</w:t>
            </w:r>
          </w:p>
        </w:tc>
      </w:tr>
      <w:tr w:rsidR="00AD27E7" w:rsidRPr="00887119" w14:paraId="6520FA06" w14:textId="77777777" w:rsidTr="00CC6BC1">
        <w:trPr>
          <w:trHeight w:val="402"/>
        </w:trPr>
        <w:tc>
          <w:tcPr>
            <w:tcW w:w="3595" w:type="dxa"/>
            <w:tcBorders>
              <w:top w:val="single" w:sz="4" w:space="0" w:color="BFBFBF"/>
              <w:left w:val="single" w:sz="4" w:space="0" w:color="auto"/>
              <w:bottom w:val="single" w:sz="4" w:space="0" w:color="BFBFBF"/>
              <w:right w:val="single" w:sz="4" w:space="0" w:color="000000"/>
            </w:tcBorders>
            <w:noWrap/>
            <w:vAlign w:val="center"/>
            <w:hideMark/>
          </w:tcPr>
          <w:p w14:paraId="3E1DAE66" w14:textId="77777777" w:rsidR="00AD27E7" w:rsidRPr="00887119" w:rsidRDefault="00AD27E7" w:rsidP="00AD27E7">
            <w:pPr>
              <w:rPr>
                <w:rFonts w:eastAsia="Times New Roman"/>
                <w:color w:val="0D0D0D"/>
                <w:sz w:val="18"/>
                <w:szCs w:val="18"/>
              </w:rPr>
            </w:pPr>
            <w:r w:rsidRPr="00887119">
              <w:rPr>
                <w:rFonts w:eastAsia="Times New Roman"/>
                <w:color w:val="0D0D0D"/>
                <w:sz w:val="18"/>
                <w:szCs w:val="18"/>
              </w:rPr>
              <w:t>Unaffordable dwellings</w:t>
            </w:r>
          </w:p>
        </w:tc>
        <w:tc>
          <w:tcPr>
            <w:tcW w:w="1920" w:type="dxa"/>
            <w:tcBorders>
              <w:top w:val="nil"/>
              <w:left w:val="nil"/>
              <w:bottom w:val="single" w:sz="4" w:space="0" w:color="BFBFBF"/>
              <w:right w:val="single" w:sz="4" w:space="0" w:color="BFBFBF"/>
            </w:tcBorders>
            <w:noWrap/>
            <w:vAlign w:val="center"/>
            <w:hideMark/>
          </w:tcPr>
          <w:p w14:paraId="13B8627D" w14:textId="5B4D660D" w:rsidR="00AD27E7" w:rsidRPr="00E043E3" w:rsidRDefault="00AD27E7" w:rsidP="00AD27E7">
            <w:pPr>
              <w:jc w:val="right"/>
              <w:rPr>
                <w:rFonts w:eastAsia="Times New Roman"/>
                <w:color w:val="C00000"/>
                <w:sz w:val="18"/>
                <w:szCs w:val="18"/>
              </w:rPr>
            </w:pPr>
            <w:r w:rsidRPr="00E043E3">
              <w:rPr>
                <w:rFonts w:cs="Arial"/>
                <w:color w:val="C00000"/>
                <w:sz w:val="18"/>
                <w:szCs w:val="18"/>
              </w:rPr>
              <w:t>15.5%</w:t>
            </w:r>
          </w:p>
        </w:tc>
        <w:tc>
          <w:tcPr>
            <w:tcW w:w="1920" w:type="dxa"/>
            <w:tcBorders>
              <w:top w:val="nil"/>
              <w:left w:val="nil"/>
              <w:bottom w:val="single" w:sz="4" w:space="0" w:color="BFBFBF"/>
              <w:right w:val="single" w:sz="4" w:space="0" w:color="BFBFBF"/>
            </w:tcBorders>
            <w:noWrap/>
            <w:vAlign w:val="center"/>
            <w:hideMark/>
          </w:tcPr>
          <w:p w14:paraId="23A70A50" w14:textId="13AEEC04" w:rsidR="00AD27E7" w:rsidRPr="00E043E3" w:rsidRDefault="00AD27E7" w:rsidP="00AD27E7">
            <w:pPr>
              <w:jc w:val="right"/>
              <w:rPr>
                <w:rFonts w:eastAsia="Times New Roman"/>
                <w:color w:val="C00000"/>
                <w:sz w:val="18"/>
                <w:szCs w:val="18"/>
              </w:rPr>
            </w:pPr>
            <w:r w:rsidRPr="00E043E3">
              <w:rPr>
                <w:rFonts w:cs="Arial"/>
                <w:color w:val="C00000"/>
                <w:sz w:val="18"/>
                <w:szCs w:val="18"/>
              </w:rPr>
              <w:t>8.8%</w:t>
            </w:r>
          </w:p>
        </w:tc>
        <w:tc>
          <w:tcPr>
            <w:tcW w:w="1920" w:type="dxa"/>
            <w:tcBorders>
              <w:top w:val="nil"/>
              <w:left w:val="nil"/>
              <w:bottom w:val="single" w:sz="4" w:space="0" w:color="BFBFBF"/>
              <w:right w:val="single" w:sz="4" w:space="0" w:color="auto"/>
            </w:tcBorders>
            <w:noWrap/>
            <w:vAlign w:val="center"/>
            <w:hideMark/>
          </w:tcPr>
          <w:p w14:paraId="5A435BAE" w14:textId="178C855B" w:rsidR="00AD27E7" w:rsidRPr="00E043E3" w:rsidRDefault="00AD27E7" w:rsidP="00AD27E7">
            <w:pPr>
              <w:jc w:val="right"/>
              <w:rPr>
                <w:rFonts w:eastAsia="Times New Roman"/>
                <w:color w:val="C00000"/>
                <w:sz w:val="18"/>
                <w:szCs w:val="18"/>
              </w:rPr>
            </w:pPr>
            <w:r w:rsidRPr="00E043E3">
              <w:rPr>
                <w:rFonts w:cs="Arial"/>
                <w:color w:val="C00000"/>
                <w:sz w:val="18"/>
                <w:szCs w:val="18"/>
              </w:rPr>
              <w:t>30.2%</w:t>
            </w:r>
          </w:p>
        </w:tc>
      </w:tr>
      <w:tr w:rsidR="00AD27E7" w:rsidRPr="00887119" w14:paraId="310BCA91" w14:textId="77777777" w:rsidTr="00CC6BC1">
        <w:trPr>
          <w:trHeight w:val="402"/>
        </w:trPr>
        <w:tc>
          <w:tcPr>
            <w:tcW w:w="3595" w:type="dxa"/>
            <w:tcBorders>
              <w:top w:val="single" w:sz="4" w:space="0" w:color="BFBFBF"/>
              <w:left w:val="single" w:sz="4" w:space="0" w:color="auto"/>
              <w:bottom w:val="single" w:sz="4" w:space="0" w:color="BFBFBF"/>
              <w:right w:val="single" w:sz="4" w:space="0" w:color="000000"/>
            </w:tcBorders>
            <w:shd w:val="clear" w:color="000000" w:fill="F2F2F2"/>
            <w:noWrap/>
            <w:vAlign w:val="center"/>
            <w:hideMark/>
          </w:tcPr>
          <w:p w14:paraId="3D24B3E3" w14:textId="77777777" w:rsidR="00AD27E7" w:rsidRPr="00887119" w:rsidRDefault="00AD27E7" w:rsidP="00AD27E7">
            <w:pPr>
              <w:rPr>
                <w:rFonts w:eastAsia="Times New Roman"/>
                <w:color w:val="0D0D0D"/>
                <w:sz w:val="18"/>
                <w:szCs w:val="18"/>
              </w:rPr>
            </w:pPr>
            <w:r w:rsidRPr="00887119">
              <w:rPr>
                <w:rFonts w:eastAsia="Times New Roman"/>
                <w:color w:val="0D0D0D"/>
                <w:sz w:val="18"/>
                <w:szCs w:val="18"/>
              </w:rPr>
              <w:t>Deeply unaffordable dwellings *</w:t>
            </w:r>
          </w:p>
        </w:tc>
        <w:tc>
          <w:tcPr>
            <w:tcW w:w="1920" w:type="dxa"/>
            <w:tcBorders>
              <w:top w:val="nil"/>
              <w:left w:val="nil"/>
              <w:bottom w:val="single" w:sz="4" w:space="0" w:color="BFBFBF"/>
              <w:right w:val="single" w:sz="4" w:space="0" w:color="BFBFBF"/>
            </w:tcBorders>
            <w:shd w:val="clear" w:color="000000" w:fill="F2F2F2"/>
            <w:noWrap/>
            <w:vAlign w:val="center"/>
            <w:hideMark/>
          </w:tcPr>
          <w:p w14:paraId="4415E108" w14:textId="5568E882" w:rsidR="00AD27E7" w:rsidRPr="00E043E3" w:rsidRDefault="00AD27E7" w:rsidP="00AD27E7">
            <w:pPr>
              <w:jc w:val="right"/>
              <w:rPr>
                <w:rFonts w:eastAsia="Times New Roman"/>
                <w:color w:val="C00000"/>
                <w:sz w:val="18"/>
                <w:szCs w:val="18"/>
              </w:rPr>
            </w:pPr>
            <w:r w:rsidRPr="00E043E3">
              <w:rPr>
                <w:rFonts w:cs="Arial"/>
                <w:color w:val="C00000"/>
                <w:sz w:val="18"/>
                <w:szCs w:val="18"/>
              </w:rPr>
              <w:t>5.2%</w:t>
            </w:r>
          </w:p>
        </w:tc>
        <w:tc>
          <w:tcPr>
            <w:tcW w:w="1920" w:type="dxa"/>
            <w:tcBorders>
              <w:top w:val="nil"/>
              <w:left w:val="nil"/>
              <w:bottom w:val="single" w:sz="4" w:space="0" w:color="BFBFBF"/>
              <w:right w:val="single" w:sz="4" w:space="0" w:color="BFBFBF"/>
            </w:tcBorders>
            <w:shd w:val="clear" w:color="000000" w:fill="F2F2F2"/>
            <w:noWrap/>
            <w:vAlign w:val="center"/>
            <w:hideMark/>
          </w:tcPr>
          <w:p w14:paraId="1666DA62" w14:textId="5BD63512" w:rsidR="00AD27E7" w:rsidRPr="00E043E3" w:rsidRDefault="00AD27E7" w:rsidP="00AD27E7">
            <w:pPr>
              <w:jc w:val="right"/>
              <w:rPr>
                <w:rFonts w:eastAsia="Times New Roman"/>
                <w:color w:val="C00000"/>
                <w:sz w:val="18"/>
                <w:szCs w:val="18"/>
              </w:rPr>
            </w:pPr>
            <w:r w:rsidRPr="00E043E3">
              <w:rPr>
                <w:rFonts w:cs="Arial"/>
                <w:color w:val="C00000"/>
                <w:sz w:val="18"/>
                <w:szCs w:val="18"/>
              </w:rPr>
              <w:t>2.9%</w:t>
            </w:r>
          </w:p>
        </w:tc>
        <w:tc>
          <w:tcPr>
            <w:tcW w:w="1920" w:type="dxa"/>
            <w:tcBorders>
              <w:top w:val="nil"/>
              <w:left w:val="nil"/>
              <w:bottom w:val="single" w:sz="4" w:space="0" w:color="BFBFBF"/>
              <w:right w:val="single" w:sz="4" w:space="0" w:color="auto"/>
            </w:tcBorders>
            <w:shd w:val="clear" w:color="000000" w:fill="F2F2F2"/>
            <w:noWrap/>
            <w:vAlign w:val="center"/>
            <w:hideMark/>
          </w:tcPr>
          <w:p w14:paraId="02D4995A" w14:textId="0E7A1EA2" w:rsidR="00AD27E7" w:rsidRPr="00E043E3" w:rsidRDefault="00AD27E7" w:rsidP="00AD27E7">
            <w:pPr>
              <w:jc w:val="right"/>
              <w:rPr>
                <w:rFonts w:eastAsia="Times New Roman"/>
                <w:color w:val="C00000"/>
                <w:sz w:val="18"/>
                <w:szCs w:val="18"/>
              </w:rPr>
            </w:pPr>
            <w:r w:rsidRPr="00E043E3">
              <w:rPr>
                <w:rFonts w:cs="Arial"/>
                <w:color w:val="C00000"/>
                <w:sz w:val="18"/>
                <w:szCs w:val="18"/>
              </w:rPr>
              <w:t>10.3%</w:t>
            </w:r>
          </w:p>
        </w:tc>
      </w:tr>
      <w:tr w:rsidR="00AD27E7" w:rsidRPr="00887119" w14:paraId="6B3CCE40" w14:textId="77777777" w:rsidTr="00CC6BC1">
        <w:trPr>
          <w:trHeight w:val="402"/>
        </w:trPr>
        <w:tc>
          <w:tcPr>
            <w:tcW w:w="3595" w:type="dxa"/>
            <w:tcBorders>
              <w:top w:val="single" w:sz="4" w:space="0" w:color="BFBFBF"/>
              <w:left w:val="single" w:sz="4" w:space="0" w:color="auto"/>
              <w:bottom w:val="single" w:sz="4" w:space="0" w:color="BFBFBF"/>
              <w:right w:val="single" w:sz="4" w:space="0" w:color="000000"/>
            </w:tcBorders>
            <w:noWrap/>
            <w:vAlign w:val="center"/>
            <w:hideMark/>
          </w:tcPr>
          <w:p w14:paraId="2C66F159" w14:textId="77777777" w:rsidR="00AD27E7" w:rsidRPr="00887119" w:rsidRDefault="00AD27E7" w:rsidP="00AD27E7">
            <w:pPr>
              <w:rPr>
                <w:rFonts w:eastAsia="Times New Roman"/>
                <w:color w:val="0D0D0D"/>
                <w:sz w:val="18"/>
                <w:szCs w:val="18"/>
              </w:rPr>
            </w:pPr>
            <w:r w:rsidRPr="00887119">
              <w:rPr>
                <w:rFonts w:eastAsia="Times New Roman"/>
                <w:color w:val="0D0D0D"/>
                <w:sz w:val="18"/>
                <w:szCs w:val="18"/>
              </w:rPr>
              <w:t>Households in core need</w:t>
            </w:r>
          </w:p>
        </w:tc>
        <w:tc>
          <w:tcPr>
            <w:tcW w:w="1920" w:type="dxa"/>
            <w:tcBorders>
              <w:top w:val="nil"/>
              <w:left w:val="nil"/>
              <w:bottom w:val="single" w:sz="4" w:space="0" w:color="BFBFBF"/>
              <w:right w:val="single" w:sz="4" w:space="0" w:color="BFBFBF"/>
            </w:tcBorders>
            <w:noWrap/>
            <w:vAlign w:val="center"/>
            <w:hideMark/>
          </w:tcPr>
          <w:p w14:paraId="0445B78E" w14:textId="5B1F1A08" w:rsidR="00AD27E7" w:rsidRPr="00E043E3" w:rsidRDefault="00AD27E7" w:rsidP="00AD27E7">
            <w:pPr>
              <w:jc w:val="right"/>
              <w:rPr>
                <w:rFonts w:eastAsia="Times New Roman"/>
                <w:color w:val="C00000"/>
                <w:sz w:val="18"/>
                <w:szCs w:val="18"/>
              </w:rPr>
            </w:pPr>
            <w:r w:rsidRPr="00E043E3">
              <w:rPr>
                <w:rFonts w:cs="Arial"/>
                <w:color w:val="C00000"/>
                <w:sz w:val="18"/>
                <w:szCs w:val="18"/>
              </w:rPr>
              <w:t>7.0%</w:t>
            </w:r>
          </w:p>
        </w:tc>
        <w:tc>
          <w:tcPr>
            <w:tcW w:w="1920" w:type="dxa"/>
            <w:tcBorders>
              <w:top w:val="nil"/>
              <w:left w:val="nil"/>
              <w:bottom w:val="single" w:sz="4" w:space="0" w:color="BFBFBF"/>
              <w:right w:val="single" w:sz="4" w:space="0" w:color="BFBFBF"/>
            </w:tcBorders>
            <w:noWrap/>
            <w:vAlign w:val="center"/>
            <w:hideMark/>
          </w:tcPr>
          <w:p w14:paraId="019F7C5C" w14:textId="71550142" w:rsidR="00AD27E7" w:rsidRPr="00E043E3" w:rsidRDefault="00AD27E7" w:rsidP="00AD27E7">
            <w:pPr>
              <w:jc w:val="right"/>
              <w:rPr>
                <w:rFonts w:eastAsia="Times New Roman"/>
                <w:color w:val="C00000"/>
                <w:sz w:val="18"/>
                <w:szCs w:val="18"/>
              </w:rPr>
            </w:pPr>
            <w:r w:rsidRPr="00E043E3">
              <w:rPr>
                <w:rFonts w:cs="Arial"/>
                <w:color w:val="C00000"/>
                <w:sz w:val="18"/>
                <w:szCs w:val="18"/>
              </w:rPr>
              <w:t>3.8%</w:t>
            </w:r>
          </w:p>
        </w:tc>
        <w:tc>
          <w:tcPr>
            <w:tcW w:w="1920" w:type="dxa"/>
            <w:tcBorders>
              <w:top w:val="nil"/>
              <w:left w:val="nil"/>
              <w:bottom w:val="single" w:sz="4" w:space="0" w:color="BFBFBF"/>
              <w:right w:val="single" w:sz="4" w:space="0" w:color="auto"/>
            </w:tcBorders>
            <w:noWrap/>
            <w:vAlign w:val="center"/>
            <w:hideMark/>
          </w:tcPr>
          <w:p w14:paraId="5E728A9F" w14:textId="50B241C1" w:rsidR="00AD27E7" w:rsidRPr="00E043E3" w:rsidRDefault="00AD27E7" w:rsidP="00AD27E7">
            <w:pPr>
              <w:jc w:val="right"/>
              <w:rPr>
                <w:rFonts w:eastAsia="Times New Roman"/>
                <w:color w:val="C00000"/>
                <w:sz w:val="18"/>
                <w:szCs w:val="18"/>
              </w:rPr>
            </w:pPr>
            <w:r w:rsidRPr="00E043E3">
              <w:rPr>
                <w:rFonts w:cs="Arial"/>
                <w:color w:val="C00000"/>
                <w:sz w:val="18"/>
                <w:szCs w:val="18"/>
              </w:rPr>
              <w:t>14.1%</w:t>
            </w:r>
          </w:p>
        </w:tc>
      </w:tr>
      <w:tr w:rsidR="00AD27E7" w:rsidRPr="00887119" w14:paraId="640591FE" w14:textId="77777777" w:rsidTr="00CC6BC1">
        <w:trPr>
          <w:trHeight w:val="402"/>
        </w:trPr>
        <w:tc>
          <w:tcPr>
            <w:tcW w:w="3595" w:type="dxa"/>
            <w:tcBorders>
              <w:top w:val="single" w:sz="4" w:space="0" w:color="BFBFBF"/>
              <w:left w:val="single" w:sz="4" w:space="0" w:color="auto"/>
              <w:bottom w:val="single" w:sz="4" w:space="0" w:color="auto"/>
              <w:right w:val="single" w:sz="4" w:space="0" w:color="000000"/>
            </w:tcBorders>
            <w:shd w:val="clear" w:color="000000" w:fill="F2F2F2"/>
            <w:noWrap/>
            <w:vAlign w:val="center"/>
            <w:hideMark/>
          </w:tcPr>
          <w:p w14:paraId="16C16669" w14:textId="77777777" w:rsidR="00AD27E7" w:rsidRPr="00887119" w:rsidRDefault="00AD27E7" w:rsidP="00AD27E7">
            <w:pPr>
              <w:rPr>
                <w:rFonts w:eastAsia="Times New Roman"/>
                <w:color w:val="0D0D0D"/>
                <w:sz w:val="18"/>
                <w:szCs w:val="18"/>
              </w:rPr>
            </w:pPr>
            <w:r w:rsidRPr="00887119">
              <w:rPr>
                <w:rFonts w:eastAsia="Times New Roman"/>
                <w:color w:val="0D0D0D"/>
                <w:sz w:val="18"/>
                <w:szCs w:val="18"/>
              </w:rPr>
              <w:t>Households in extreme need **</w:t>
            </w:r>
          </w:p>
        </w:tc>
        <w:tc>
          <w:tcPr>
            <w:tcW w:w="1920" w:type="dxa"/>
            <w:tcBorders>
              <w:top w:val="nil"/>
              <w:left w:val="nil"/>
              <w:bottom w:val="single" w:sz="4" w:space="0" w:color="auto"/>
              <w:right w:val="single" w:sz="4" w:space="0" w:color="BFBFBF"/>
            </w:tcBorders>
            <w:shd w:val="clear" w:color="000000" w:fill="F2F2F2"/>
            <w:noWrap/>
            <w:vAlign w:val="center"/>
            <w:hideMark/>
          </w:tcPr>
          <w:p w14:paraId="1482990C" w14:textId="2528B2CD" w:rsidR="00AD27E7" w:rsidRPr="00E043E3" w:rsidRDefault="00AD27E7" w:rsidP="00AD27E7">
            <w:pPr>
              <w:jc w:val="right"/>
              <w:rPr>
                <w:rFonts w:eastAsia="Times New Roman"/>
                <w:color w:val="C00000"/>
                <w:sz w:val="18"/>
                <w:szCs w:val="18"/>
              </w:rPr>
            </w:pPr>
            <w:r w:rsidRPr="00E043E3">
              <w:rPr>
                <w:rFonts w:cs="Arial"/>
                <w:color w:val="C00000"/>
                <w:sz w:val="18"/>
                <w:szCs w:val="18"/>
              </w:rPr>
              <w:t>2.6%</w:t>
            </w:r>
          </w:p>
        </w:tc>
        <w:tc>
          <w:tcPr>
            <w:tcW w:w="1920" w:type="dxa"/>
            <w:tcBorders>
              <w:top w:val="nil"/>
              <w:left w:val="nil"/>
              <w:bottom w:val="single" w:sz="4" w:space="0" w:color="auto"/>
              <w:right w:val="single" w:sz="4" w:space="0" w:color="BFBFBF"/>
            </w:tcBorders>
            <w:shd w:val="clear" w:color="000000" w:fill="F2F2F2"/>
            <w:noWrap/>
            <w:vAlign w:val="center"/>
            <w:hideMark/>
          </w:tcPr>
          <w:p w14:paraId="71361F19" w14:textId="751F5B73" w:rsidR="00AD27E7" w:rsidRPr="00E043E3" w:rsidRDefault="00AD27E7" w:rsidP="00AD27E7">
            <w:pPr>
              <w:jc w:val="right"/>
              <w:rPr>
                <w:rFonts w:eastAsia="Times New Roman"/>
                <w:color w:val="C00000"/>
                <w:sz w:val="18"/>
                <w:szCs w:val="18"/>
              </w:rPr>
            </w:pPr>
            <w:r w:rsidRPr="00E043E3">
              <w:rPr>
                <w:rFonts w:cs="Arial"/>
                <w:color w:val="C00000"/>
                <w:sz w:val="18"/>
                <w:szCs w:val="18"/>
              </w:rPr>
              <w:t>1.1%</w:t>
            </w:r>
          </w:p>
        </w:tc>
        <w:tc>
          <w:tcPr>
            <w:tcW w:w="1920" w:type="dxa"/>
            <w:tcBorders>
              <w:top w:val="nil"/>
              <w:left w:val="nil"/>
              <w:bottom w:val="single" w:sz="4" w:space="0" w:color="auto"/>
              <w:right w:val="single" w:sz="4" w:space="0" w:color="auto"/>
            </w:tcBorders>
            <w:shd w:val="clear" w:color="000000" w:fill="F2F2F2"/>
            <w:noWrap/>
            <w:vAlign w:val="center"/>
            <w:hideMark/>
          </w:tcPr>
          <w:p w14:paraId="4453F5B2" w14:textId="73B1A5DC" w:rsidR="00AD27E7" w:rsidRPr="00E043E3" w:rsidRDefault="00AD27E7" w:rsidP="00AD27E7">
            <w:pPr>
              <w:jc w:val="right"/>
              <w:rPr>
                <w:rFonts w:eastAsia="Times New Roman"/>
                <w:color w:val="C00000"/>
                <w:sz w:val="18"/>
                <w:szCs w:val="18"/>
              </w:rPr>
            </w:pPr>
            <w:r w:rsidRPr="00E043E3">
              <w:rPr>
                <w:rFonts w:cs="Arial"/>
                <w:color w:val="C00000"/>
                <w:sz w:val="18"/>
                <w:szCs w:val="18"/>
              </w:rPr>
              <w:t>6.0%</w:t>
            </w:r>
          </w:p>
        </w:tc>
      </w:tr>
    </w:tbl>
    <w:p w14:paraId="44BE9F6E" w14:textId="77777777" w:rsidR="00952F0E" w:rsidRPr="00887119" w:rsidRDefault="00952F0E" w:rsidP="00952F0E">
      <w:pPr>
        <w:pStyle w:val="Source"/>
      </w:pPr>
      <w:r w:rsidRPr="00887119">
        <w:t>* Deeply unaffordable means a household pays 50% or more on shelter costs instead of the typical 30% affordability threshold.</w:t>
      </w:r>
      <w:r w:rsidRPr="00887119">
        <w:br/>
        <w:t>** Extreme need is the definition of core housing need, but modified from the 30% to 50% shelter cost threshold.</w:t>
      </w:r>
    </w:p>
    <w:p w14:paraId="5FF716DA" w14:textId="77777777" w:rsidR="00952F0E" w:rsidRPr="00887119" w:rsidRDefault="00952F0E" w:rsidP="00952F0E">
      <w:pPr>
        <w:pStyle w:val="Source"/>
      </w:pPr>
      <w:r w:rsidRPr="00887119">
        <w:t>Source: derived from Statistics Canada Tables 98-10-0247, 98-10-0624, and 98-10-0622</w:t>
      </w:r>
    </w:p>
    <w:p w14:paraId="25348582" w14:textId="77777777" w:rsidR="00952F0E" w:rsidRPr="00887119" w:rsidRDefault="00952F0E" w:rsidP="00952F0E"/>
    <w:p w14:paraId="25D56465" w14:textId="5649F3F7" w:rsidR="0005175C" w:rsidRPr="00887119" w:rsidRDefault="0005175C" w:rsidP="0005175C">
      <w:pPr>
        <w:pStyle w:val="Caption"/>
      </w:pPr>
      <w:bookmarkStart w:id="131" w:name="_Ref228645479"/>
      <w:r w:rsidRPr="00887119">
        <w:lastRenderedPageBreak/>
        <w:t xml:space="preserve">Table </w:t>
      </w:r>
      <w:fldSimple w:instr=" STYLEREF 1 \s ">
        <w:r w:rsidR="008D4BDE">
          <w:rPr>
            <w:noProof/>
          </w:rPr>
          <w:t>9</w:t>
        </w:r>
      </w:fldSimple>
      <w:r w:rsidR="00EE1FE9">
        <w:t>.</w:t>
      </w:r>
      <w:fldSimple w:instr=" SEQ Table \* ARABIC \s 1 ">
        <w:r w:rsidR="008D4BDE">
          <w:rPr>
            <w:noProof/>
          </w:rPr>
          <w:t>2</w:t>
        </w:r>
      </w:fldSimple>
      <w:bookmarkEnd w:id="131"/>
      <w:r w:rsidRPr="00887119">
        <w:t>: Summary of local housing need indicators by geograph</w:t>
      </w:r>
      <w:r w:rsidR="00451D16" w:rsidRPr="00887119">
        <w:t>ic category</w:t>
      </w:r>
      <w:r w:rsidRPr="00887119">
        <w:t>, 2021</w:t>
      </w:r>
    </w:p>
    <w:tbl>
      <w:tblPr>
        <w:tblW w:w="9355" w:type="dxa"/>
        <w:tblLayout w:type="fixed"/>
        <w:tblLook w:val="04A0" w:firstRow="1" w:lastRow="0" w:firstColumn="1" w:lastColumn="0" w:noHBand="0" w:noVBand="1"/>
      </w:tblPr>
      <w:tblGrid>
        <w:gridCol w:w="1975"/>
        <w:gridCol w:w="1230"/>
        <w:gridCol w:w="1230"/>
        <w:gridCol w:w="1230"/>
        <w:gridCol w:w="1230"/>
        <w:gridCol w:w="1230"/>
        <w:gridCol w:w="1230"/>
      </w:tblGrid>
      <w:tr w:rsidR="008A03A6" w:rsidRPr="00887119" w14:paraId="53C4933E" w14:textId="77777777" w:rsidTr="00AA4E3C">
        <w:trPr>
          <w:trHeight w:val="503"/>
        </w:trPr>
        <w:tc>
          <w:tcPr>
            <w:tcW w:w="197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712B0C3C" w14:textId="77777777" w:rsidR="008A03A6" w:rsidRPr="00887119" w:rsidRDefault="008A03A6" w:rsidP="008A03A6">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Housing need categories</w:t>
            </w:r>
          </w:p>
        </w:tc>
        <w:tc>
          <w:tcPr>
            <w:tcW w:w="1230"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1B813D14" w14:textId="77777777" w:rsidR="008A03A6" w:rsidRPr="00887119" w:rsidRDefault="008A03A6" w:rsidP="008A03A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DAD6CF3" w14:textId="77777777" w:rsidR="008A03A6" w:rsidRPr="00887119" w:rsidRDefault="008A03A6" w:rsidP="008A03A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139793A" w14:textId="77777777" w:rsidR="008A03A6" w:rsidRPr="00887119" w:rsidRDefault="008A03A6" w:rsidP="008A03A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4EC5C77" w14:textId="77777777" w:rsidR="008A03A6" w:rsidRPr="00887119" w:rsidRDefault="008A03A6" w:rsidP="008A03A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23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5AA43C7C" w14:textId="77777777" w:rsidR="008A03A6" w:rsidRPr="00887119" w:rsidRDefault="008A03A6" w:rsidP="008A03A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c>
          <w:tcPr>
            <w:tcW w:w="123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9B15988" w14:textId="60976A1A" w:rsidR="008A03A6" w:rsidRPr="00887119" w:rsidRDefault="00FB7A1C" w:rsidP="008A03A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On-reserve</w:t>
            </w:r>
          </w:p>
        </w:tc>
      </w:tr>
      <w:tr w:rsidR="008A03A6" w:rsidRPr="00887119" w14:paraId="4E0B1E74" w14:textId="77777777" w:rsidTr="002679F2">
        <w:trPr>
          <w:trHeight w:val="402"/>
        </w:trPr>
        <w:tc>
          <w:tcPr>
            <w:tcW w:w="1975" w:type="dxa"/>
            <w:tcBorders>
              <w:top w:val="nil"/>
              <w:left w:val="single" w:sz="4" w:space="0" w:color="auto"/>
              <w:bottom w:val="single" w:sz="4" w:space="0" w:color="auto"/>
              <w:right w:val="nil"/>
            </w:tcBorders>
            <w:shd w:val="clear" w:color="000000" w:fill="F2F2F2"/>
            <w:noWrap/>
            <w:vAlign w:val="center"/>
            <w:hideMark/>
          </w:tcPr>
          <w:p w14:paraId="37518D63" w14:textId="77777777" w:rsidR="008A03A6" w:rsidRPr="00887119" w:rsidRDefault="008A03A6" w:rsidP="008A03A6">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Total households</w:t>
            </w:r>
          </w:p>
        </w:tc>
        <w:tc>
          <w:tcPr>
            <w:tcW w:w="123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EA9DCF7"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64,570</w:t>
            </w:r>
          </w:p>
        </w:tc>
        <w:tc>
          <w:tcPr>
            <w:tcW w:w="1230" w:type="dxa"/>
            <w:tcBorders>
              <w:top w:val="single" w:sz="4" w:space="0" w:color="auto"/>
              <w:left w:val="single" w:sz="4" w:space="0" w:color="auto"/>
              <w:bottom w:val="single" w:sz="4" w:space="0" w:color="auto"/>
              <w:right w:val="single" w:sz="4" w:space="0" w:color="BFBFBF"/>
            </w:tcBorders>
            <w:shd w:val="clear" w:color="000000" w:fill="F2F2F2"/>
            <w:noWrap/>
            <w:vAlign w:val="center"/>
            <w:hideMark/>
          </w:tcPr>
          <w:p w14:paraId="325911E4"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28,565</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1E103797"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9,215</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6F315493"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18,440</w:t>
            </w:r>
          </w:p>
        </w:tc>
        <w:tc>
          <w:tcPr>
            <w:tcW w:w="1230" w:type="dxa"/>
            <w:tcBorders>
              <w:top w:val="single" w:sz="4" w:space="0" w:color="auto"/>
              <w:left w:val="nil"/>
              <w:bottom w:val="single" w:sz="4" w:space="0" w:color="auto"/>
              <w:right w:val="single" w:sz="4" w:space="0" w:color="BFBFBF"/>
            </w:tcBorders>
            <w:shd w:val="clear" w:color="000000" w:fill="F2F2F2"/>
            <w:noWrap/>
            <w:vAlign w:val="center"/>
            <w:hideMark/>
          </w:tcPr>
          <w:p w14:paraId="5286787F"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8,095</w:t>
            </w:r>
          </w:p>
        </w:tc>
        <w:tc>
          <w:tcPr>
            <w:tcW w:w="1230" w:type="dxa"/>
            <w:tcBorders>
              <w:top w:val="single" w:sz="4" w:space="0" w:color="auto"/>
              <w:left w:val="nil"/>
              <w:bottom w:val="single" w:sz="4" w:space="0" w:color="auto"/>
              <w:right w:val="single" w:sz="4" w:space="0" w:color="auto"/>
            </w:tcBorders>
            <w:shd w:val="clear" w:color="000000" w:fill="F2F2F2"/>
            <w:noWrap/>
            <w:vAlign w:val="center"/>
            <w:hideMark/>
          </w:tcPr>
          <w:p w14:paraId="0BC98BF6"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205</w:t>
            </w:r>
          </w:p>
        </w:tc>
      </w:tr>
      <w:tr w:rsidR="008A03A6" w:rsidRPr="00887119" w14:paraId="4534CBF1" w14:textId="77777777" w:rsidTr="002679F2">
        <w:trPr>
          <w:trHeight w:val="402"/>
        </w:trPr>
        <w:tc>
          <w:tcPr>
            <w:tcW w:w="1975" w:type="dxa"/>
            <w:tcBorders>
              <w:top w:val="nil"/>
              <w:left w:val="single" w:sz="4" w:space="0" w:color="auto"/>
              <w:bottom w:val="single" w:sz="4" w:space="0" w:color="BFBFBF"/>
              <w:right w:val="nil"/>
            </w:tcBorders>
            <w:noWrap/>
            <w:vAlign w:val="center"/>
            <w:hideMark/>
          </w:tcPr>
          <w:p w14:paraId="1B9C29ED" w14:textId="77777777" w:rsidR="008A03A6" w:rsidRPr="00887119" w:rsidRDefault="008A03A6" w:rsidP="008A03A6">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Unsuitable dwellings</w:t>
            </w:r>
          </w:p>
        </w:tc>
        <w:tc>
          <w:tcPr>
            <w:tcW w:w="1230" w:type="dxa"/>
            <w:tcBorders>
              <w:top w:val="nil"/>
              <w:left w:val="single" w:sz="4" w:space="0" w:color="auto"/>
              <w:bottom w:val="single" w:sz="4" w:space="0" w:color="BFBFBF"/>
              <w:right w:val="single" w:sz="4" w:space="0" w:color="auto"/>
            </w:tcBorders>
            <w:noWrap/>
            <w:vAlign w:val="center"/>
            <w:hideMark/>
          </w:tcPr>
          <w:p w14:paraId="51011E25"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3.1%</w:t>
            </w:r>
          </w:p>
        </w:tc>
        <w:tc>
          <w:tcPr>
            <w:tcW w:w="1230" w:type="dxa"/>
            <w:tcBorders>
              <w:top w:val="nil"/>
              <w:left w:val="single" w:sz="4" w:space="0" w:color="auto"/>
              <w:bottom w:val="single" w:sz="4" w:space="0" w:color="BFBFBF"/>
              <w:right w:val="single" w:sz="4" w:space="0" w:color="BFBFBF"/>
            </w:tcBorders>
            <w:noWrap/>
            <w:vAlign w:val="center"/>
            <w:hideMark/>
          </w:tcPr>
          <w:p w14:paraId="7E4032FE"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4.1%</w:t>
            </w:r>
          </w:p>
        </w:tc>
        <w:tc>
          <w:tcPr>
            <w:tcW w:w="1230" w:type="dxa"/>
            <w:tcBorders>
              <w:top w:val="nil"/>
              <w:left w:val="nil"/>
              <w:bottom w:val="single" w:sz="4" w:space="0" w:color="BFBFBF"/>
              <w:right w:val="single" w:sz="4" w:space="0" w:color="BFBFBF"/>
            </w:tcBorders>
            <w:noWrap/>
            <w:vAlign w:val="center"/>
            <w:hideMark/>
          </w:tcPr>
          <w:p w14:paraId="7FF136BA"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3.2%</w:t>
            </w:r>
          </w:p>
        </w:tc>
        <w:tc>
          <w:tcPr>
            <w:tcW w:w="1230" w:type="dxa"/>
            <w:tcBorders>
              <w:top w:val="nil"/>
              <w:left w:val="nil"/>
              <w:bottom w:val="single" w:sz="4" w:space="0" w:color="BFBFBF"/>
              <w:right w:val="single" w:sz="4" w:space="0" w:color="BFBFBF"/>
            </w:tcBorders>
            <w:noWrap/>
            <w:vAlign w:val="center"/>
            <w:hideMark/>
          </w:tcPr>
          <w:p w14:paraId="63CD7288"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w:t>
            </w:r>
          </w:p>
        </w:tc>
        <w:tc>
          <w:tcPr>
            <w:tcW w:w="1230" w:type="dxa"/>
            <w:tcBorders>
              <w:top w:val="nil"/>
              <w:left w:val="nil"/>
              <w:bottom w:val="single" w:sz="4" w:space="0" w:color="BFBFBF"/>
              <w:right w:val="single" w:sz="4" w:space="0" w:color="BFBFBF"/>
            </w:tcBorders>
            <w:noWrap/>
            <w:vAlign w:val="center"/>
            <w:hideMark/>
          </w:tcPr>
          <w:p w14:paraId="5BAFBA13"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2.0%</w:t>
            </w:r>
          </w:p>
        </w:tc>
        <w:tc>
          <w:tcPr>
            <w:tcW w:w="1230" w:type="dxa"/>
            <w:tcBorders>
              <w:top w:val="nil"/>
              <w:left w:val="nil"/>
              <w:bottom w:val="single" w:sz="4" w:space="0" w:color="BFBFBF"/>
              <w:right w:val="single" w:sz="4" w:space="0" w:color="auto"/>
            </w:tcBorders>
            <w:noWrap/>
            <w:vAlign w:val="center"/>
            <w:hideMark/>
          </w:tcPr>
          <w:p w14:paraId="7F824F9A"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10.3%</w:t>
            </w:r>
          </w:p>
        </w:tc>
      </w:tr>
      <w:tr w:rsidR="008A03A6" w:rsidRPr="00887119" w14:paraId="3F942674" w14:textId="77777777" w:rsidTr="004858FA">
        <w:trPr>
          <w:trHeight w:val="530"/>
        </w:trPr>
        <w:tc>
          <w:tcPr>
            <w:tcW w:w="1975" w:type="dxa"/>
            <w:tcBorders>
              <w:top w:val="nil"/>
              <w:left w:val="single" w:sz="4" w:space="0" w:color="auto"/>
              <w:bottom w:val="single" w:sz="4" w:space="0" w:color="BFBFBF"/>
              <w:right w:val="nil"/>
            </w:tcBorders>
            <w:shd w:val="clear" w:color="000000" w:fill="F2F2F2"/>
            <w:noWrap/>
            <w:vAlign w:val="center"/>
            <w:hideMark/>
          </w:tcPr>
          <w:p w14:paraId="1580C647" w14:textId="77777777" w:rsidR="008A03A6" w:rsidRPr="00887119" w:rsidRDefault="008A03A6" w:rsidP="008A03A6">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Inadequate dwellings</w:t>
            </w:r>
          </w:p>
        </w:tc>
        <w:tc>
          <w:tcPr>
            <w:tcW w:w="1230" w:type="dxa"/>
            <w:tcBorders>
              <w:top w:val="nil"/>
              <w:left w:val="single" w:sz="4" w:space="0" w:color="auto"/>
              <w:bottom w:val="single" w:sz="4" w:space="0" w:color="BFBFBF"/>
              <w:right w:val="single" w:sz="4" w:space="0" w:color="auto"/>
            </w:tcBorders>
            <w:shd w:val="clear" w:color="000000" w:fill="F2F2F2"/>
            <w:noWrap/>
            <w:vAlign w:val="center"/>
            <w:hideMark/>
          </w:tcPr>
          <w:p w14:paraId="08435096"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7.1%</w:t>
            </w:r>
          </w:p>
        </w:tc>
        <w:tc>
          <w:tcPr>
            <w:tcW w:w="1230" w:type="dxa"/>
            <w:tcBorders>
              <w:top w:val="nil"/>
              <w:left w:val="single" w:sz="4" w:space="0" w:color="auto"/>
              <w:bottom w:val="single" w:sz="4" w:space="0" w:color="BFBFBF"/>
              <w:right w:val="single" w:sz="4" w:space="0" w:color="BFBFBF"/>
            </w:tcBorders>
            <w:shd w:val="clear" w:color="000000" w:fill="F2F2F2"/>
            <w:noWrap/>
            <w:vAlign w:val="center"/>
            <w:hideMark/>
          </w:tcPr>
          <w:p w14:paraId="0FCD568B"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5.5%</w:t>
            </w:r>
          </w:p>
        </w:tc>
        <w:tc>
          <w:tcPr>
            <w:tcW w:w="1230" w:type="dxa"/>
            <w:tcBorders>
              <w:top w:val="nil"/>
              <w:left w:val="nil"/>
              <w:bottom w:val="single" w:sz="4" w:space="0" w:color="BFBFBF"/>
              <w:right w:val="single" w:sz="4" w:space="0" w:color="BFBFBF"/>
            </w:tcBorders>
            <w:shd w:val="clear" w:color="000000" w:fill="F2F2F2"/>
            <w:noWrap/>
            <w:vAlign w:val="center"/>
            <w:hideMark/>
          </w:tcPr>
          <w:p w14:paraId="537DCC91"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7.5%</w:t>
            </w:r>
          </w:p>
        </w:tc>
        <w:tc>
          <w:tcPr>
            <w:tcW w:w="1230" w:type="dxa"/>
            <w:tcBorders>
              <w:top w:val="nil"/>
              <w:left w:val="nil"/>
              <w:bottom w:val="single" w:sz="4" w:space="0" w:color="BFBFBF"/>
              <w:right w:val="single" w:sz="4" w:space="0" w:color="BFBFBF"/>
            </w:tcBorders>
            <w:shd w:val="clear" w:color="000000" w:fill="F2F2F2"/>
            <w:noWrap/>
            <w:vAlign w:val="center"/>
            <w:hideMark/>
          </w:tcPr>
          <w:p w14:paraId="1C1DA7C0"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8.5%</w:t>
            </w:r>
          </w:p>
        </w:tc>
        <w:tc>
          <w:tcPr>
            <w:tcW w:w="1230" w:type="dxa"/>
            <w:tcBorders>
              <w:top w:val="nil"/>
              <w:left w:val="nil"/>
              <w:bottom w:val="single" w:sz="4" w:space="0" w:color="BFBFBF"/>
              <w:right w:val="single" w:sz="4" w:space="0" w:color="BFBFBF"/>
            </w:tcBorders>
            <w:shd w:val="clear" w:color="000000" w:fill="F2F2F2"/>
            <w:noWrap/>
            <w:vAlign w:val="center"/>
            <w:hideMark/>
          </w:tcPr>
          <w:p w14:paraId="38B938C2"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8.0%</w:t>
            </w:r>
          </w:p>
        </w:tc>
        <w:tc>
          <w:tcPr>
            <w:tcW w:w="1230" w:type="dxa"/>
            <w:tcBorders>
              <w:top w:val="nil"/>
              <w:left w:val="nil"/>
              <w:bottom w:val="single" w:sz="4" w:space="0" w:color="BFBFBF"/>
              <w:right w:val="single" w:sz="4" w:space="0" w:color="auto"/>
            </w:tcBorders>
            <w:shd w:val="clear" w:color="000000" w:fill="F2F2F2"/>
            <w:noWrap/>
            <w:vAlign w:val="center"/>
            <w:hideMark/>
          </w:tcPr>
          <w:p w14:paraId="34C3334F"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30.8%</w:t>
            </w:r>
          </w:p>
        </w:tc>
      </w:tr>
      <w:tr w:rsidR="008A03A6" w:rsidRPr="00887119" w14:paraId="0F235DAC" w14:textId="77777777" w:rsidTr="002679F2">
        <w:trPr>
          <w:trHeight w:val="548"/>
        </w:trPr>
        <w:tc>
          <w:tcPr>
            <w:tcW w:w="1975" w:type="dxa"/>
            <w:tcBorders>
              <w:top w:val="nil"/>
              <w:left w:val="single" w:sz="4" w:space="0" w:color="auto"/>
              <w:bottom w:val="single" w:sz="4" w:space="0" w:color="BFBFBF"/>
              <w:right w:val="nil"/>
            </w:tcBorders>
            <w:noWrap/>
            <w:vAlign w:val="center"/>
            <w:hideMark/>
          </w:tcPr>
          <w:p w14:paraId="3194184B" w14:textId="77777777" w:rsidR="008A03A6" w:rsidRPr="00887119" w:rsidRDefault="008A03A6" w:rsidP="008A03A6">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Unaffordable dwellings</w:t>
            </w:r>
          </w:p>
        </w:tc>
        <w:tc>
          <w:tcPr>
            <w:tcW w:w="1230" w:type="dxa"/>
            <w:tcBorders>
              <w:top w:val="nil"/>
              <w:left w:val="single" w:sz="4" w:space="0" w:color="auto"/>
              <w:bottom w:val="single" w:sz="4" w:space="0" w:color="BFBFBF"/>
              <w:right w:val="single" w:sz="4" w:space="0" w:color="auto"/>
            </w:tcBorders>
            <w:noWrap/>
            <w:vAlign w:val="center"/>
            <w:hideMark/>
          </w:tcPr>
          <w:p w14:paraId="1974BB28"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15.5%</w:t>
            </w:r>
          </w:p>
        </w:tc>
        <w:tc>
          <w:tcPr>
            <w:tcW w:w="1230" w:type="dxa"/>
            <w:tcBorders>
              <w:top w:val="nil"/>
              <w:left w:val="single" w:sz="4" w:space="0" w:color="auto"/>
              <w:bottom w:val="single" w:sz="4" w:space="0" w:color="BFBFBF"/>
              <w:right w:val="single" w:sz="4" w:space="0" w:color="BFBFBF"/>
            </w:tcBorders>
            <w:noWrap/>
            <w:vAlign w:val="center"/>
            <w:hideMark/>
          </w:tcPr>
          <w:p w14:paraId="69AE5C3B"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21.5%</w:t>
            </w:r>
          </w:p>
        </w:tc>
        <w:tc>
          <w:tcPr>
            <w:tcW w:w="1230" w:type="dxa"/>
            <w:tcBorders>
              <w:top w:val="nil"/>
              <w:left w:val="nil"/>
              <w:bottom w:val="single" w:sz="4" w:space="0" w:color="BFBFBF"/>
              <w:right w:val="single" w:sz="4" w:space="0" w:color="BFBFBF"/>
            </w:tcBorders>
            <w:noWrap/>
            <w:vAlign w:val="center"/>
            <w:hideMark/>
          </w:tcPr>
          <w:p w14:paraId="61152118"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15.6%</w:t>
            </w:r>
          </w:p>
        </w:tc>
        <w:tc>
          <w:tcPr>
            <w:tcW w:w="1230" w:type="dxa"/>
            <w:tcBorders>
              <w:top w:val="nil"/>
              <w:left w:val="nil"/>
              <w:bottom w:val="single" w:sz="4" w:space="0" w:color="BFBFBF"/>
              <w:right w:val="single" w:sz="4" w:space="0" w:color="BFBFBF"/>
            </w:tcBorders>
            <w:noWrap/>
            <w:vAlign w:val="center"/>
            <w:hideMark/>
          </w:tcPr>
          <w:p w14:paraId="02A37183"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9.0%</w:t>
            </w:r>
          </w:p>
        </w:tc>
        <w:tc>
          <w:tcPr>
            <w:tcW w:w="1230" w:type="dxa"/>
            <w:tcBorders>
              <w:top w:val="nil"/>
              <w:left w:val="nil"/>
              <w:bottom w:val="single" w:sz="4" w:space="0" w:color="BFBFBF"/>
              <w:right w:val="single" w:sz="4" w:space="0" w:color="BFBFBF"/>
            </w:tcBorders>
            <w:noWrap/>
            <w:vAlign w:val="center"/>
            <w:hideMark/>
          </w:tcPr>
          <w:p w14:paraId="53464F42"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6.6%</w:t>
            </w:r>
          </w:p>
        </w:tc>
        <w:tc>
          <w:tcPr>
            <w:tcW w:w="1230" w:type="dxa"/>
            <w:tcBorders>
              <w:top w:val="nil"/>
              <w:left w:val="nil"/>
              <w:bottom w:val="single" w:sz="4" w:space="0" w:color="BFBFBF"/>
              <w:right w:val="single" w:sz="4" w:space="0" w:color="auto"/>
            </w:tcBorders>
            <w:noWrap/>
            <w:vAlign w:val="center"/>
            <w:hideMark/>
          </w:tcPr>
          <w:p w14:paraId="4B5B784F" w14:textId="5CEB8B00"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8A03A6" w:rsidRPr="00887119" w14:paraId="44F7EE20" w14:textId="77777777" w:rsidTr="002679F2">
        <w:trPr>
          <w:trHeight w:val="530"/>
        </w:trPr>
        <w:tc>
          <w:tcPr>
            <w:tcW w:w="1975" w:type="dxa"/>
            <w:tcBorders>
              <w:top w:val="nil"/>
              <w:left w:val="single" w:sz="4" w:space="0" w:color="auto"/>
              <w:bottom w:val="single" w:sz="4" w:space="0" w:color="BFBFBF"/>
              <w:right w:val="nil"/>
            </w:tcBorders>
            <w:shd w:val="clear" w:color="000000" w:fill="F2F2F2"/>
            <w:noWrap/>
            <w:vAlign w:val="center"/>
            <w:hideMark/>
          </w:tcPr>
          <w:p w14:paraId="5ACD4355" w14:textId="77777777" w:rsidR="008A03A6" w:rsidRPr="00887119" w:rsidRDefault="008A03A6" w:rsidP="008A03A6">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Deeply unaffordable dwellings *</w:t>
            </w:r>
          </w:p>
        </w:tc>
        <w:tc>
          <w:tcPr>
            <w:tcW w:w="1230" w:type="dxa"/>
            <w:tcBorders>
              <w:top w:val="nil"/>
              <w:left w:val="single" w:sz="4" w:space="0" w:color="auto"/>
              <w:bottom w:val="single" w:sz="4" w:space="0" w:color="BFBFBF"/>
              <w:right w:val="single" w:sz="4" w:space="0" w:color="auto"/>
            </w:tcBorders>
            <w:shd w:val="clear" w:color="000000" w:fill="F2F2F2"/>
            <w:noWrap/>
            <w:vAlign w:val="center"/>
            <w:hideMark/>
          </w:tcPr>
          <w:p w14:paraId="0F9D0865"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5.2%</w:t>
            </w:r>
          </w:p>
        </w:tc>
        <w:tc>
          <w:tcPr>
            <w:tcW w:w="1230" w:type="dxa"/>
            <w:tcBorders>
              <w:top w:val="nil"/>
              <w:left w:val="single" w:sz="4" w:space="0" w:color="auto"/>
              <w:bottom w:val="single" w:sz="4" w:space="0" w:color="BFBFBF"/>
              <w:right w:val="single" w:sz="4" w:space="0" w:color="BFBFBF"/>
            </w:tcBorders>
            <w:shd w:val="clear" w:color="000000" w:fill="F2F2F2"/>
            <w:noWrap/>
            <w:vAlign w:val="center"/>
            <w:hideMark/>
          </w:tcPr>
          <w:p w14:paraId="41BF4B6B"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7.7%</w:t>
            </w:r>
          </w:p>
        </w:tc>
        <w:tc>
          <w:tcPr>
            <w:tcW w:w="1230" w:type="dxa"/>
            <w:tcBorders>
              <w:top w:val="nil"/>
              <w:left w:val="nil"/>
              <w:bottom w:val="single" w:sz="4" w:space="0" w:color="BFBFBF"/>
              <w:right w:val="single" w:sz="4" w:space="0" w:color="BFBFBF"/>
            </w:tcBorders>
            <w:shd w:val="clear" w:color="000000" w:fill="F2F2F2"/>
            <w:noWrap/>
            <w:vAlign w:val="center"/>
            <w:hideMark/>
          </w:tcPr>
          <w:p w14:paraId="62BD2860"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4.5%</w:t>
            </w:r>
          </w:p>
        </w:tc>
        <w:tc>
          <w:tcPr>
            <w:tcW w:w="1230" w:type="dxa"/>
            <w:tcBorders>
              <w:top w:val="nil"/>
              <w:left w:val="nil"/>
              <w:bottom w:val="single" w:sz="4" w:space="0" w:color="BFBFBF"/>
              <w:right w:val="single" w:sz="4" w:space="0" w:color="BFBFBF"/>
            </w:tcBorders>
            <w:shd w:val="clear" w:color="000000" w:fill="F2F2F2"/>
            <w:noWrap/>
            <w:vAlign w:val="center"/>
            <w:hideMark/>
          </w:tcPr>
          <w:p w14:paraId="0DC2E948"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1.7%</w:t>
            </w:r>
          </w:p>
        </w:tc>
        <w:tc>
          <w:tcPr>
            <w:tcW w:w="1230" w:type="dxa"/>
            <w:tcBorders>
              <w:top w:val="nil"/>
              <w:left w:val="nil"/>
              <w:bottom w:val="single" w:sz="4" w:space="0" w:color="BFBFBF"/>
              <w:right w:val="single" w:sz="4" w:space="0" w:color="BFBFBF"/>
            </w:tcBorders>
            <w:shd w:val="clear" w:color="000000" w:fill="F2F2F2"/>
            <w:noWrap/>
            <w:vAlign w:val="center"/>
            <w:hideMark/>
          </w:tcPr>
          <w:p w14:paraId="097C330C"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w:t>
            </w:r>
          </w:p>
        </w:tc>
        <w:tc>
          <w:tcPr>
            <w:tcW w:w="1230" w:type="dxa"/>
            <w:tcBorders>
              <w:top w:val="nil"/>
              <w:left w:val="nil"/>
              <w:bottom w:val="single" w:sz="4" w:space="0" w:color="BFBFBF"/>
              <w:right w:val="single" w:sz="4" w:space="0" w:color="auto"/>
            </w:tcBorders>
            <w:shd w:val="clear" w:color="000000" w:fill="F2F2F2"/>
            <w:noWrap/>
            <w:vAlign w:val="center"/>
            <w:hideMark/>
          </w:tcPr>
          <w:p w14:paraId="7CBEF633" w14:textId="7FC73718"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8A03A6" w:rsidRPr="00887119" w14:paraId="5B2C8B8E" w14:textId="77777777" w:rsidTr="002679F2">
        <w:trPr>
          <w:trHeight w:val="530"/>
        </w:trPr>
        <w:tc>
          <w:tcPr>
            <w:tcW w:w="1975" w:type="dxa"/>
            <w:tcBorders>
              <w:top w:val="nil"/>
              <w:left w:val="single" w:sz="4" w:space="0" w:color="auto"/>
              <w:bottom w:val="single" w:sz="4" w:space="0" w:color="BFBFBF"/>
              <w:right w:val="nil"/>
            </w:tcBorders>
            <w:noWrap/>
            <w:vAlign w:val="center"/>
            <w:hideMark/>
          </w:tcPr>
          <w:p w14:paraId="7677152B" w14:textId="77777777" w:rsidR="008A03A6" w:rsidRPr="00887119" w:rsidRDefault="008A03A6" w:rsidP="008A03A6">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Households in core need</w:t>
            </w:r>
          </w:p>
        </w:tc>
        <w:tc>
          <w:tcPr>
            <w:tcW w:w="1230" w:type="dxa"/>
            <w:tcBorders>
              <w:top w:val="nil"/>
              <w:left w:val="single" w:sz="4" w:space="0" w:color="auto"/>
              <w:bottom w:val="single" w:sz="4" w:space="0" w:color="BFBFBF"/>
              <w:right w:val="single" w:sz="4" w:space="0" w:color="auto"/>
            </w:tcBorders>
            <w:noWrap/>
            <w:vAlign w:val="center"/>
            <w:hideMark/>
          </w:tcPr>
          <w:p w14:paraId="517400C4"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7.0%</w:t>
            </w:r>
          </w:p>
        </w:tc>
        <w:tc>
          <w:tcPr>
            <w:tcW w:w="1230" w:type="dxa"/>
            <w:tcBorders>
              <w:top w:val="nil"/>
              <w:left w:val="single" w:sz="4" w:space="0" w:color="auto"/>
              <w:bottom w:val="single" w:sz="4" w:space="0" w:color="BFBFBF"/>
              <w:right w:val="single" w:sz="4" w:space="0" w:color="BFBFBF"/>
            </w:tcBorders>
            <w:noWrap/>
            <w:vAlign w:val="center"/>
            <w:hideMark/>
          </w:tcPr>
          <w:p w14:paraId="56062BA2"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7.7%</w:t>
            </w:r>
          </w:p>
        </w:tc>
        <w:tc>
          <w:tcPr>
            <w:tcW w:w="1230" w:type="dxa"/>
            <w:tcBorders>
              <w:top w:val="nil"/>
              <w:left w:val="nil"/>
              <w:bottom w:val="single" w:sz="4" w:space="0" w:color="BFBFBF"/>
              <w:right w:val="single" w:sz="4" w:space="0" w:color="BFBFBF"/>
            </w:tcBorders>
            <w:noWrap/>
            <w:vAlign w:val="center"/>
            <w:hideMark/>
          </w:tcPr>
          <w:p w14:paraId="45C4C4A3"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10.0%</w:t>
            </w:r>
          </w:p>
        </w:tc>
        <w:tc>
          <w:tcPr>
            <w:tcW w:w="1230" w:type="dxa"/>
            <w:tcBorders>
              <w:top w:val="nil"/>
              <w:left w:val="nil"/>
              <w:bottom w:val="single" w:sz="4" w:space="0" w:color="BFBFBF"/>
              <w:right w:val="single" w:sz="4" w:space="0" w:color="BFBFBF"/>
            </w:tcBorders>
            <w:noWrap/>
            <w:vAlign w:val="center"/>
            <w:hideMark/>
          </w:tcPr>
          <w:p w14:paraId="28B87270"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3.2%</w:t>
            </w:r>
          </w:p>
        </w:tc>
        <w:tc>
          <w:tcPr>
            <w:tcW w:w="1230" w:type="dxa"/>
            <w:tcBorders>
              <w:top w:val="nil"/>
              <w:left w:val="nil"/>
              <w:bottom w:val="single" w:sz="4" w:space="0" w:color="BFBFBF"/>
              <w:right w:val="single" w:sz="4" w:space="0" w:color="BFBFBF"/>
            </w:tcBorders>
            <w:noWrap/>
            <w:vAlign w:val="center"/>
            <w:hideMark/>
          </w:tcPr>
          <w:p w14:paraId="470B08A1"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5.8%</w:t>
            </w:r>
          </w:p>
        </w:tc>
        <w:tc>
          <w:tcPr>
            <w:tcW w:w="1230" w:type="dxa"/>
            <w:tcBorders>
              <w:top w:val="nil"/>
              <w:left w:val="nil"/>
              <w:bottom w:val="single" w:sz="4" w:space="0" w:color="BFBFBF"/>
              <w:right w:val="single" w:sz="4" w:space="0" w:color="auto"/>
            </w:tcBorders>
            <w:noWrap/>
            <w:vAlign w:val="center"/>
            <w:hideMark/>
          </w:tcPr>
          <w:p w14:paraId="0D56EF71" w14:textId="2AA557B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8A03A6" w:rsidRPr="00887119" w14:paraId="0815B35E" w14:textId="77777777" w:rsidTr="002679F2">
        <w:trPr>
          <w:trHeight w:val="530"/>
        </w:trPr>
        <w:tc>
          <w:tcPr>
            <w:tcW w:w="1975" w:type="dxa"/>
            <w:tcBorders>
              <w:top w:val="nil"/>
              <w:left w:val="single" w:sz="4" w:space="0" w:color="auto"/>
              <w:bottom w:val="single" w:sz="4" w:space="0" w:color="auto"/>
              <w:right w:val="nil"/>
            </w:tcBorders>
            <w:shd w:val="clear" w:color="000000" w:fill="F2F2F2"/>
            <w:noWrap/>
            <w:vAlign w:val="center"/>
            <w:hideMark/>
          </w:tcPr>
          <w:p w14:paraId="56F2A7B1" w14:textId="77777777" w:rsidR="008A03A6" w:rsidRPr="00887119" w:rsidRDefault="008A03A6" w:rsidP="008A03A6">
            <w:pPr>
              <w:spacing w:line="240" w:lineRule="auto"/>
              <w:jc w:val="left"/>
              <w:rPr>
                <w:rFonts w:eastAsia="Times New Roman" w:cs="Arial"/>
                <w:color w:val="0D0D0D"/>
                <w:kern w:val="0"/>
                <w:sz w:val="18"/>
                <w:szCs w:val="18"/>
                <w:lang w:eastAsia="en-CA"/>
                <w14:ligatures w14:val="none"/>
              </w:rPr>
            </w:pPr>
            <w:r w:rsidRPr="00887119">
              <w:rPr>
                <w:rFonts w:eastAsia="Times New Roman" w:cs="Arial"/>
                <w:color w:val="0D0D0D"/>
                <w:kern w:val="0"/>
                <w:sz w:val="18"/>
                <w:szCs w:val="18"/>
                <w:lang w:eastAsia="en-CA"/>
                <w14:ligatures w14:val="none"/>
              </w:rPr>
              <w:t>Households in extreme need **</w:t>
            </w:r>
          </w:p>
        </w:tc>
        <w:tc>
          <w:tcPr>
            <w:tcW w:w="1230" w:type="dxa"/>
            <w:tcBorders>
              <w:top w:val="nil"/>
              <w:left w:val="single" w:sz="4" w:space="0" w:color="auto"/>
              <w:bottom w:val="single" w:sz="4" w:space="0" w:color="auto"/>
              <w:right w:val="single" w:sz="4" w:space="0" w:color="auto"/>
            </w:tcBorders>
            <w:shd w:val="clear" w:color="000000" w:fill="F2F2F2"/>
            <w:noWrap/>
            <w:vAlign w:val="center"/>
            <w:hideMark/>
          </w:tcPr>
          <w:p w14:paraId="36181ABA"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2.6%</w:t>
            </w:r>
          </w:p>
        </w:tc>
        <w:tc>
          <w:tcPr>
            <w:tcW w:w="1230" w:type="dxa"/>
            <w:tcBorders>
              <w:top w:val="nil"/>
              <w:left w:val="single" w:sz="4" w:space="0" w:color="auto"/>
              <w:bottom w:val="single" w:sz="4" w:space="0" w:color="auto"/>
              <w:right w:val="single" w:sz="4" w:space="0" w:color="BFBFBF"/>
            </w:tcBorders>
            <w:shd w:val="clear" w:color="000000" w:fill="F2F2F2"/>
            <w:noWrap/>
            <w:vAlign w:val="center"/>
            <w:hideMark/>
          </w:tcPr>
          <w:p w14:paraId="2C00E966"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3.8%</w:t>
            </w:r>
          </w:p>
        </w:tc>
        <w:tc>
          <w:tcPr>
            <w:tcW w:w="1230" w:type="dxa"/>
            <w:tcBorders>
              <w:top w:val="nil"/>
              <w:left w:val="nil"/>
              <w:bottom w:val="single" w:sz="4" w:space="0" w:color="auto"/>
              <w:right w:val="single" w:sz="4" w:space="0" w:color="BFBFBF"/>
            </w:tcBorders>
            <w:shd w:val="clear" w:color="000000" w:fill="F2F2F2"/>
            <w:noWrap/>
            <w:vAlign w:val="center"/>
            <w:hideMark/>
          </w:tcPr>
          <w:p w14:paraId="3A06BD7B"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2.1%</w:t>
            </w:r>
          </w:p>
        </w:tc>
        <w:tc>
          <w:tcPr>
            <w:tcW w:w="1230" w:type="dxa"/>
            <w:tcBorders>
              <w:top w:val="nil"/>
              <w:left w:val="nil"/>
              <w:bottom w:val="single" w:sz="4" w:space="0" w:color="auto"/>
              <w:right w:val="single" w:sz="4" w:space="0" w:color="BFBFBF"/>
            </w:tcBorders>
            <w:shd w:val="clear" w:color="000000" w:fill="F2F2F2"/>
            <w:noWrap/>
            <w:vAlign w:val="center"/>
            <w:hideMark/>
          </w:tcPr>
          <w:p w14:paraId="2F9FDFD7"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0.7%</w:t>
            </w:r>
          </w:p>
        </w:tc>
        <w:tc>
          <w:tcPr>
            <w:tcW w:w="1230" w:type="dxa"/>
            <w:tcBorders>
              <w:top w:val="nil"/>
              <w:left w:val="nil"/>
              <w:bottom w:val="single" w:sz="4" w:space="0" w:color="auto"/>
              <w:right w:val="single" w:sz="4" w:space="0" w:color="BFBFBF"/>
            </w:tcBorders>
            <w:shd w:val="clear" w:color="000000" w:fill="F2F2F2"/>
            <w:noWrap/>
            <w:vAlign w:val="center"/>
            <w:hideMark/>
          </w:tcPr>
          <w:p w14:paraId="235B11E0" w14:textId="77777777"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0.6%</w:t>
            </w:r>
          </w:p>
        </w:tc>
        <w:tc>
          <w:tcPr>
            <w:tcW w:w="1230" w:type="dxa"/>
            <w:tcBorders>
              <w:top w:val="nil"/>
              <w:left w:val="nil"/>
              <w:bottom w:val="single" w:sz="4" w:space="0" w:color="auto"/>
              <w:right w:val="single" w:sz="4" w:space="0" w:color="auto"/>
            </w:tcBorders>
            <w:shd w:val="clear" w:color="000000" w:fill="F2F2F2"/>
            <w:noWrap/>
            <w:vAlign w:val="center"/>
            <w:hideMark/>
          </w:tcPr>
          <w:p w14:paraId="77C97EE3" w14:textId="1485E57C" w:rsidR="008A03A6" w:rsidRPr="00E043E3" w:rsidRDefault="008A03A6" w:rsidP="008A03A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bl>
    <w:p w14:paraId="452F88C9" w14:textId="77777777" w:rsidR="007E39E2" w:rsidRPr="00887119" w:rsidRDefault="007E39E2" w:rsidP="007E39E2">
      <w:pPr>
        <w:pStyle w:val="Source"/>
      </w:pPr>
      <w:r w:rsidRPr="00887119">
        <w:t>* Deeply unaffordable means a household pays 50% or more on shelter costs instead of the typical 30% affordability threshold.</w:t>
      </w:r>
      <w:r w:rsidRPr="00887119">
        <w:br/>
        <w:t>** Extreme need is the definition of core housing need, but modified from the 30% to 50% shelter cost threshold.</w:t>
      </w:r>
    </w:p>
    <w:p w14:paraId="4B9F692D" w14:textId="77777777" w:rsidR="007E39E2" w:rsidRPr="00887119" w:rsidRDefault="007E39E2" w:rsidP="007E39E2">
      <w:pPr>
        <w:pStyle w:val="Source"/>
      </w:pPr>
      <w:r w:rsidRPr="00887119">
        <w:t>Source: derived from Statistics Canada Tables 98-10-0247, 98-10-0624, and 98-10-0622</w:t>
      </w:r>
    </w:p>
    <w:p w14:paraId="2640DE44" w14:textId="77777777" w:rsidR="007E39E2" w:rsidRPr="00887119" w:rsidRDefault="007E39E2" w:rsidP="00952F0E"/>
    <w:p w14:paraId="5569D3AF" w14:textId="240BA557" w:rsidR="003E16BD" w:rsidRPr="00887119" w:rsidRDefault="003E16BD" w:rsidP="003E16BD">
      <w:r w:rsidRPr="00887119">
        <w:t xml:space="preserve">Provincially, 7.0% of households are in core housing need. </w:t>
      </w:r>
      <w:r w:rsidR="00795456" w:rsidRPr="00887119">
        <w:t>However, r</w:t>
      </w:r>
      <w:r w:rsidRPr="00887119">
        <w:t>enter core housing need (14.1%) is nearly four times the owner rate (3.8</w:t>
      </w:r>
      <w:r w:rsidR="00795456" w:rsidRPr="00887119">
        <w:t>%)</w:t>
      </w:r>
      <w:r w:rsidRPr="00887119">
        <w:t xml:space="preserve">. The geographic breakdown in </w:t>
      </w:r>
      <w:r w:rsidR="00795456" w:rsidRPr="00887119">
        <w:rPr>
          <w:rStyle w:val="Figure-textChar"/>
        </w:rPr>
        <w:fldChar w:fldCharType="begin"/>
      </w:r>
      <w:r w:rsidR="00795456" w:rsidRPr="00887119">
        <w:rPr>
          <w:rStyle w:val="Figure-textChar"/>
        </w:rPr>
        <w:instrText xml:space="preserve"> REF _Ref228645479 \h  \* MERGEFORMAT </w:instrText>
      </w:r>
      <w:r w:rsidR="00795456" w:rsidRPr="00887119">
        <w:rPr>
          <w:rStyle w:val="Figure-textChar"/>
        </w:rPr>
      </w:r>
      <w:r w:rsidR="00795456" w:rsidRPr="00887119">
        <w:rPr>
          <w:rStyle w:val="Figure-textChar"/>
        </w:rPr>
        <w:fldChar w:fldCharType="separate"/>
      </w:r>
      <w:r w:rsidR="008D4BDE" w:rsidRPr="008D4BDE">
        <w:rPr>
          <w:rStyle w:val="Figure-textChar"/>
        </w:rPr>
        <w:t>Table 9.2</w:t>
      </w:r>
      <w:r w:rsidR="00795456" w:rsidRPr="00887119">
        <w:rPr>
          <w:rStyle w:val="Figure-textChar"/>
        </w:rPr>
        <w:fldChar w:fldCharType="end"/>
      </w:r>
      <w:r w:rsidRPr="00887119">
        <w:t xml:space="preserve"> reveals further variation</w:t>
      </w:r>
      <w:r w:rsidR="00795456" w:rsidRPr="00887119">
        <w:t>:</w:t>
      </w:r>
      <w:r w:rsidRPr="00887119">
        <w:t xml:space="preserve"> small urban areas have the highest core housing need rate (10.0%), followed by urban (7.7%), rural remote (5.8%), and rural urban-adjacent (3.2%). Affordability is the dominant driver of housing need in urban and small urban areas (21.5% and 15.6% of households in unaffordable dwellings, respectively), while adequacy need is more evenly distributed and is notably elevated in rural categories</w:t>
      </w:r>
      <w:r w:rsidR="009E6179" w:rsidRPr="00887119">
        <w:t>. The latter is</w:t>
      </w:r>
      <w:r w:rsidRPr="00887119">
        <w:t xml:space="preserve"> consistent with the older, less maintained housing stock in those areas. On-reserve communities show very high inadequacy rates (30.8%) and unsuitability rates (10.3%)</w:t>
      </w:r>
      <w:r w:rsidR="009E6179" w:rsidRPr="00887119">
        <w:t>.</w:t>
      </w:r>
    </w:p>
    <w:p w14:paraId="57EAC9DA" w14:textId="77777777" w:rsidR="003E16BD" w:rsidRPr="00887119" w:rsidRDefault="003E16BD" w:rsidP="003E16BD"/>
    <w:p w14:paraId="654E828A" w14:textId="3AE4382D" w:rsidR="003E16BD" w:rsidRPr="00887119" w:rsidRDefault="003E16BD" w:rsidP="003E16BD">
      <w:r w:rsidRPr="00887119">
        <w:t xml:space="preserve">The primary driver of housing need differs between urban and rural contexts across </w:t>
      </w:r>
      <w:r w:rsidR="00402288" w:rsidRPr="00402288">
        <w:rPr>
          <w:color w:val="C00000"/>
        </w:rPr>
        <w:t>PEI</w:t>
      </w:r>
      <w:r w:rsidR="00DA5AAA" w:rsidRPr="00887119">
        <w:t>.</w:t>
      </w:r>
      <w:r w:rsidRPr="00887119">
        <w:t xml:space="preserve"> In urban areas, affordability-driven need dominates</w:t>
      </w:r>
      <w:r w:rsidR="00DA5AAA" w:rsidRPr="00887119">
        <w:t>, which suggests a need for</w:t>
      </w:r>
      <w:r w:rsidRPr="00887119">
        <w:t xml:space="preserve"> supply-side interventions and income supports targeting renters in the very </w:t>
      </w:r>
      <w:r w:rsidR="00DA5AAA" w:rsidRPr="00887119">
        <w:t>low- and low-income</w:t>
      </w:r>
      <w:r w:rsidRPr="00887119">
        <w:t xml:space="preserve"> categories. In rural areas, adequacy need is comparatively higher, reflecting an older stock where lower-income homeowners may lack the financial capacity to maintain their dwellings. </w:t>
      </w:r>
    </w:p>
    <w:p w14:paraId="0FF2D9E1" w14:textId="77777777" w:rsidR="003E16BD" w:rsidRPr="00887119" w:rsidRDefault="003E16BD" w:rsidP="003E16BD"/>
    <w:p w14:paraId="729D35DF" w14:textId="6560B5DE" w:rsidR="003E16BD" w:rsidRPr="00887119" w:rsidRDefault="003E16BD" w:rsidP="003E16BD">
      <w:r w:rsidRPr="00887119">
        <w:t xml:space="preserve">Deeply unaffordable and extreme need categories </w:t>
      </w:r>
      <w:r w:rsidR="00DA5AAA" w:rsidRPr="00887119">
        <w:t>(</w:t>
      </w:r>
      <w:r w:rsidRPr="00887119">
        <w:t>where households pay 50% or more of income on shelter</w:t>
      </w:r>
      <w:r w:rsidR="00DA5AAA" w:rsidRPr="00887119">
        <w:t>)</w:t>
      </w:r>
      <w:r w:rsidRPr="00887119">
        <w:t xml:space="preserve"> are concentrated in urban areas (7.7% </w:t>
      </w:r>
      <w:r w:rsidR="008049F3" w:rsidRPr="00887119">
        <w:t>and</w:t>
      </w:r>
      <w:r w:rsidRPr="00887119">
        <w:t xml:space="preserve"> 3.8%</w:t>
      </w:r>
      <w:r w:rsidR="008049F3" w:rsidRPr="00887119">
        <w:t>, respectively</w:t>
      </w:r>
      <w:r w:rsidRPr="00887119">
        <w:t>). These rates represent households at elevated risk of housing loss, and signal an urgent need for deeply affordable and subsidized supply specifically in urban and small urban markets, where the intersection of high rents, constrained vacancy, and lower renter incomes creates conditions most likely to push households into housing crisis.</w:t>
      </w:r>
    </w:p>
    <w:p w14:paraId="0AA6D364" w14:textId="77777777" w:rsidR="00952F0E" w:rsidRPr="00887119" w:rsidRDefault="00952F0E" w:rsidP="00952F0E"/>
    <w:p w14:paraId="3D086770" w14:textId="77777777" w:rsidR="00952F0E" w:rsidRPr="00887119" w:rsidRDefault="00952F0E" w:rsidP="00842B20">
      <w:pPr>
        <w:pStyle w:val="Heading2"/>
      </w:pPr>
      <w:bookmarkStart w:id="132" w:name="_Toc223686651"/>
      <w:bookmarkStart w:id="133" w:name="_Toc225869018"/>
      <w:bookmarkStart w:id="134" w:name="_Toc229051965"/>
      <w:bookmarkStart w:id="135" w:name="_Toc237957447"/>
      <w:r w:rsidRPr="00887119">
        <w:lastRenderedPageBreak/>
        <w:t>INCOME CATEGORIES</w:t>
      </w:r>
      <w:bookmarkEnd w:id="132"/>
      <w:bookmarkEnd w:id="133"/>
      <w:bookmarkEnd w:id="134"/>
      <w:bookmarkEnd w:id="135"/>
    </w:p>
    <w:p w14:paraId="54389E58" w14:textId="7DD16528" w:rsidR="00952F0E" w:rsidRPr="00887119" w:rsidRDefault="00952F0E" w:rsidP="00952F0E">
      <w:r w:rsidRPr="00887119">
        <w:rPr>
          <w:rStyle w:val="Figure-textChar"/>
        </w:rPr>
        <w:fldChar w:fldCharType="begin"/>
      </w:r>
      <w:r w:rsidRPr="00887119">
        <w:rPr>
          <w:rStyle w:val="Figure-textChar"/>
        </w:rPr>
        <w:instrText xml:space="preserve"> REF _Ref223426327 \h  \* MERGEFORMAT </w:instrText>
      </w:r>
      <w:r w:rsidRPr="00887119">
        <w:rPr>
          <w:rStyle w:val="Figure-textChar"/>
        </w:rPr>
      </w:r>
      <w:r w:rsidRPr="00887119">
        <w:rPr>
          <w:rStyle w:val="Figure-textChar"/>
        </w:rPr>
        <w:fldChar w:fldCharType="separate"/>
      </w:r>
      <w:r w:rsidR="008D4BDE" w:rsidRPr="008D4BDE">
        <w:rPr>
          <w:rStyle w:val="Figure-textChar"/>
        </w:rPr>
        <w:t>Table 9.3</w:t>
      </w:r>
      <w:r w:rsidRPr="00887119">
        <w:rPr>
          <w:rStyle w:val="Figure-textChar"/>
        </w:rPr>
        <w:fldChar w:fldCharType="end"/>
      </w:r>
      <w:r w:rsidRPr="00887119">
        <w:t xml:space="preserve"> </w:t>
      </w:r>
      <w:r w:rsidR="004641E1" w:rsidRPr="00887119">
        <w:t>cross-tabulates households in core housing need by income category and household size at the provincial level, providing a granular view of where housing need is concentrated and establishing the income thresholds below which households are unable to meet their housing needs in the current market.</w:t>
      </w:r>
    </w:p>
    <w:p w14:paraId="1FC74C45" w14:textId="77777777" w:rsidR="004641E1" w:rsidRPr="00887119" w:rsidRDefault="004641E1" w:rsidP="00952F0E"/>
    <w:p w14:paraId="1B1F6AA4" w14:textId="7FE250F4" w:rsidR="00952F0E" w:rsidRPr="00887119" w:rsidRDefault="00952F0E" w:rsidP="00952F0E">
      <w:pPr>
        <w:pStyle w:val="Caption"/>
      </w:pPr>
      <w:bookmarkStart w:id="136" w:name="_Ref223426327"/>
      <w:r w:rsidRPr="00887119">
        <w:t xml:space="preserve">Table </w:t>
      </w:r>
      <w:fldSimple w:instr=" STYLEREF 1 \s ">
        <w:r w:rsidR="008D4BDE">
          <w:rPr>
            <w:noProof/>
          </w:rPr>
          <w:t>9</w:t>
        </w:r>
      </w:fldSimple>
      <w:r w:rsidR="00EE1FE9">
        <w:t>.</w:t>
      </w:r>
      <w:fldSimple w:instr=" SEQ Table \* ARABIC \s 1 ">
        <w:r w:rsidR="008D4BDE">
          <w:rPr>
            <w:noProof/>
          </w:rPr>
          <w:t>3</w:t>
        </w:r>
      </w:fldSimple>
      <w:bookmarkEnd w:id="136"/>
      <w:r w:rsidRPr="00887119">
        <w:t>: Households in core housing need by household size and income category, 2021</w:t>
      </w:r>
    </w:p>
    <w:tbl>
      <w:tblPr>
        <w:tblW w:w="9355" w:type="dxa"/>
        <w:tblLayout w:type="fixed"/>
        <w:tblLook w:val="04A0" w:firstRow="1" w:lastRow="0" w:firstColumn="1" w:lastColumn="0" w:noHBand="0" w:noVBand="1"/>
      </w:tblPr>
      <w:tblGrid>
        <w:gridCol w:w="1169"/>
        <w:gridCol w:w="1169"/>
        <w:gridCol w:w="1170"/>
        <w:gridCol w:w="1169"/>
        <w:gridCol w:w="1169"/>
        <w:gridCol w:w="1170"/>
        <w:gridCol w:w="1169"/>
        <w:gridCol w:w="1170"/>
      </w:tblGrid>
      <w:tr w:rsidR="00952F0E" w:rsidRPr="00887119" w14:paraId="300E0827" w14:textId="77777777" w:rsidTr="00AA4E3C">
        <w:trPr>
          <w:trHeight w:val="402"/>
        </w:trPr>
        <w:tc>
          <w:tcPr>
            <w:tcW w:w="1169" w:type="dxa"/>
            <w:tcBorders>
              <w:top w:val="single" w:sz="4" w:space="0" w:color="auto"/>
              <w:left w:val="single" w:sz="4" w:space="0" w:color="auto"/>
              <w:bottom w:val="nil"/>
              <w:right w:val="single" w:sz="4" w:space="0" w:color="BFBFBF"/>
            </w:tcBorders>
            <w:shd w:val="clear" w:color="auto" w:fill="42618C" w:themeFill="accent3"/>
            <w:noWrap/>
            <w:vAlign w:val="center"/>
            <w:hideMark/>
          </w:tcPr>
          <w:p w14:paraId="1F4AD2CC" w14:textId="77777777" w:rsidR="00952F0E" w:rsidRPr="00887119" w:rsidRDefault="00952F0E" w:rsidP="00CC6BC1">
            <w:pPr>
              <w:rPr>
                <w:rFonts w:eastAsia="Times New Roman"/>
                <w:color w:val="FFFFFF"/>
                <w:sz w:val="18"/>
                <w:szCs w:val="18"/>
              </w:rPr>
            </w:pPr>
            <w:r w:rsidRPr="00887119">
              <w:rPr>
                <w:color w:val="FFFFFF"/>
                <w:sz w:val="18"/>
                <w:szCs w:val="18"/>
              </w:rPr>
              <w:t>Income category</w:t>
            </w:r>
          </w:p>
        </w:tc>
        <w:tc>
          <w:tcPr>
            <w:tcW w:w="1169" w:type="dxa"/>
            <w:tcBorders>
              <w:top w:val="single" w:sz="4" w:space="0" w:color="auto"/>
              <w:left w:val="nil"/>
              <w:bottom w:val="nil"/>
              <w:right w:val="single" w:sz="4" w:space="0" w:color="auto"/>
            </w:tcBorders>
            <w:shd w:val="clear" w:color="auto" w:fill="42618C" w:themeFill="accent3"/>
            <w:noWrap/>
            <w:vAlign w:val="center"/>
            <w:hideMark/>
          </w:tcPr>
          <w:p w14:paraId="14859EF3" w14:textId="77777777" w:rsidR="00952F0E" w:rsidRPr="00887119" w:rsidRDefault="00952F0E" w:rsidP="00CC6BC1">
            <w:pPr>
              <w:jc w:val="right"/>
              <w:rPr>
                <w:rFonts w:eastAsia="Times New Roman"/>
                <w:color w:val="FFFFFF"/>
                <w:sz w:val="18"/>
                <w:szCs w:val="18"/>
              </w:rPr>
            </w:pPr>
            <w:r w:rsidRPr="00887119">
              <w:rPr>
                <w:color w:val="FFFFFF"/>
                <w:sz w:val="18"/>
                <w:szCs w:val="18"/>
              </w:rPr>
              <w:t>Max affordable shelter cost</w:t>
            </w:r>
          </w:p>
        </w:tc>
        <w:tc>
          <w:tcPr>
            <w:tcW w:w="1170" w:type="dxa"/>
            <w:tcBorders>
              <w:top w:val="single" w:sz="4" w:space="0" w:color="auto"/>
              <w:left w:val="nil"/>
              <w:bottom w:val="nil"/>
              <w:right w:val="single" w:sz="4" w:space="0" w:color="auto"/>
            </w:tcBorders>
            <w:shd w:val="clear" w:color="auto" w:fill="42618C" w:themeFill="accent3"/>
            <w:noWrap/>
            <w:vAlign w:val="center"/>
            <w:hideMark/>
          </w:tcPr>
          <w:p w14:paraId="652F84A6" w14:textId="77777777" w:rsidR="00952F0E" w:rsidRPr="00887119" w:rsidRDefault="00952F0E" w:rsidP="00CC6BC1">
            <w:pPr>
              <w:jc w:val="right"/>
              <w:rPr>
                <w:rFonts w:eastAsia="Times New Roman"/>
                <w:color w:val="FFFFFF"/>
                <w:sz w:val="18"/>
                <w:szCs w:val="18"/>
              </w:rPr>
            </w:pPr>
            <w:r w:rsidRPr="00887119">
              <w:rPr>
                <w:color w:val="FFFFFF"/>
                <w:sz w:val="18"/>
                <w:szCs w:val="18"/>
              </w:rPr>
              <w:t>Total</w:t>
            </w:r>
          </w:p>
        </w:tc>
        <w:tc>
          <w:tcPr>
            <w:tcW w:w="1169" w:type="dxa"/>
            <w:tcBorders>
              <w:top w:val="nil"/>
              <w:left w:val="nil"/>
              <w:bottom w:val="nil"/>
              <w:right w:val="single" w:sz="4" w:space="0" w:color="BFBFBF"/>
            </w:tcBorders>
            <w:shd w:val="clear" w:color="auto" w:fill="42618C" w:themeFill="accent3"/>
            <w:noWrap/>
            <w:vAlign w:val="center"/>
            <w:hideMark/>
          </w:tcPr>
          <w:p w14:paraId="6B00D33B" w14:textId="77777777" w:rsidR="00952F0E" w:rsidRPr="00887119" w:rsidRDefault="00952F0E" w:rsidP="00CC6BC1">
            <w:pPr>
              <w:jc w:val="right"/>
              <w:rPr>
                <w:rFonts w:eastAsia="Times New Roman"/>
                <w:color w:val="FFFFFF"/>
                <w:sz w:val="18"/>
                <w:szCs w:val="18"/>
              </w:rPr>
            </w:pPr>
            <w:r w:rsidRPr="00887119">
              <w:rPr>
                <w:color w:val="FFFFFF"/>
                <w:sz w:val="18"/>
                <w:szCs w:val="18"/>
              </w:rPr>
              <w:t>1 person HH</w:t>
            </w:r>
          </w:p>
        </w:tc>
        <w:tc>
          <w:tcPr>
            <w:tcW w:w="1169" w:type="dxa"/>
            <w:tcBorders>
              <w:top w:val="nil"/>
              <w:left w:val="nil"/>
              <w:bottom w:val="nil"/>
              <w:right w:val="single" w:sz="4" w:space="0" w:color="BFBFBF"/>
            </w:tcBorders>
            <w:shd w:val="clear" w:color="auto" w:fill="42618C" w:themeFill="accent3"/>
            <w:noWrap/>
            <w:vAlign w:val="center"/>
            <w:hideMark/>
          </w:tcPr>
          <w:p w14:paraId="19B4731A" w14:textId="77777777" w:rsidR="00952F0E" w:rsidRPr="00887119" w:rsidRDefault="00952F0E" w:rsidP="00CC6BC1">
            <w:pPr>
              <w:jc w:val="right"/>
              <w:rPr>
                <w:rFonts w:eastAsia="Times New Roman"/>
                <w:color w:val="FFFFFF"/>
                <w:sz w:val="18"/>
                <w:szCs w:val="18"/>
              </w:rPr>
            </w:pPr>
            <w:r w:rsidRPr="00887119">
              <w:rPr>
                <w:color w:val="FFFFFF"/>
                <w:sz w:val="18"/>
                <w:szCs w:val="18"/>
              </w:rPr>
              <w:t>2 person HH</w:t>
            </w:r>
          </w:p>
        </w:tc>
        <w:tc>
          <w:tcPr>
            <w:tcW w:w="1170" w:type="dxa"/>
            <w:tcBorders>
              <w:top w:val="nil"/>
              <w:left w:val="nil"/>
              <w:bottom w:val="nil"/>
              <w:right w:val="single" w:sz="4" w:space="0" w:color="BFBFBF"/>
            </w:tcBorders>
            <w:shd w:val="clear" w:color="auto" w:fill="42618C" w:themeFill="accent3"/>
            <w:noWrap/>
            <w:vAlign w:val="center"/>
            <w:hideMark/>
          </w:tcPr>
          <w:p w14:paraId="3AB058E1" w14:textId="77777777" w:rsidR="00952F0E" w:rsidRPr="00887119" w:rsidRDefault="00952F0E" w:rsidP="00CC6BC1">
            <w:pPr>
              <w:jc w:val="right"/>
              <w:rPr>
                <w:rFonts w:eastAsia="Times New Roman"/>
                <w:color w:val="FFFFFF"/>
                <w:sz w:val="18"/>
                <w:szCs w:val="18"/>
              </w:rPr>
            </w:pPr>
            <w:r w:rsidRPr="00887119">
              <w:rPr>
                <w:color w:val="FFFFFF"/>
                <w:sz w:val="18"/>
                <w:szCs w:val="18"/>
              </w:rPr>
              <w:t>3 person HH</w:t>
            </w:r>
          </w:p>
        </w:tc>
        <w:tc>
          <w:tcPr>
            <w:tcW w:w="1169" w:type="dxa"/>
            <w:tcBorders>
              <w:top w:val="nil"/>
              <w:left w:val="nil"/>
              <w:bottom w:val="nil"/>
              <w:right w:val="single" w:sz="4" w:space="0" w:color="BFBFBF"/>
            </w:tcBorders>
            <w:shd w:val="clear" w:color="auto" w:fill="42618C" w:themeFill="accent3"/>
            <w:noWrap/>
            <w:vAlign w:val="center"/>
            <w:hideMark/>
          </w:tcPr>
          <w:p w14:paraId="1A4E7E91" w14:textId="77777777" w:rsidR="00952F0E" w:rsidRPr="00887119" w:rsidRDefault="00952F0E" w:rsidP="00CC6BC1">
            <w:pPr>
              <w:jc w:val="right"/>
              <w:rPr>
                <w:rFonts w:eastAsia="Times New Roman"/>
                <w:color w:val="FFFFFF"/>
                <w:sz w:val="18"/>
                <w:szCs w:val="18"/>
              </w:rPr>
            </w:pPr>
            <w:r w:rsidRPr="00887119">
              <w:rPr>
                <w:color w:val="FFFFFF"/>
                <w:sz w:val="18"/>
                <w:szCs w:val="18"/>
              </w:rPr>
              <w:t>4 person HH</w:t>
            </w:r>
          </w:p>
        </w:tc>
        <w:tc>
          <w:tcPr>
            <w:tcW w:w="1170" w:type="dxa"/>
            <w:tcBorders>
              <w:top w:val="nil"/>
              <w:left w:val="nil"/>
              <w:bottom w:val="nil"/>
              <w:right w:val="nil"/>
            </w:tcBorders>
            <w:shd w:val="clear" w:color="auto" w:fill="42618C" w:themeFill="accent3"/>
            <w:noWrap/>
            <w:vAlign w:val="center"/>
            <w:hideMark/>
          </w:tcPr>
          <w:p w14:paraId="505A3773" w14:textId="77777777" w:rsidR="00952F0E" w:rsidRPr="00887119" w:rsidRDefault="00952F0E" w:rsidP="00CC6BC1">
            <w:pPr>
              <w:jc w:val="right"/>
              <w:rPr>
                <w:rFonts w:eastAsia="Times New Roman"/>
                <w:color w:val="FFFFFF"/>
                <w:sz w:val="18"/>
                <w:szCs w:val="18"/>
              </w:rPr>
            </w:pPr>
            <w:r w:rsidRPr="00887119">
              <w:rPr>
                <w:color w:val="FFFFFF"/>
                <w:sz w:val="18"/>
                <w:szCs w:val="18"/>
              </w:rPr>
              <w:t>5+ person HH</w:t>
            </w:r>
          </w:p>
        </w:tc>
      </w:tr>
      <w:tr w:rsidR="00E569D7" w:rsidRPr="00887119" w14:paraId="061F0B9C" w14:textId="77777777" w:rsidTr="00CC6BC1">
        <w:trPr>
          <w:trHeight w:val="402"/>
        </w:trPr>
        <w:tc>
          <w:tcPr>
            <w:tcW w:w="1169" w:type="dxa"/>
            <w:tcBorders>
              <w:top w:val="single" w:sz="4" w:space="0" w:color="auto"/>
              <w:left w:val="single" w:sz="4" w:space="0" w:color="auto"/>
              <w:bottom w:val="single" w:sz="4" w:space="0" w:color="auto"/>
              <w:right w:val="nil"/>
            </w:tcBorders>
            <w:shd w:val="clear" w:color="000000" w:fill="F2F2F2"/>
            <w:noWrap/>
            <w:vAlign w:val="center"/>
            <w:hideMark/>
          </w:tcPr>
          <w:p w14:paraId="255B7DB0" w14:textId="04E74B15" w:rsidR="00E569D7" w:rsidRPr="00887119" w:rsidRDefault="00E569D7" w:rsidP="00E569D7">
            <w:pPr>
              <w:rPr>
                <w:rFonts w:eastAsia="Times New Roman"/>
                <w:color w:val="000000"/>
                <w:sz w:val="18"/>
                <w:szCs w:val="18"/>
              </w:rPr>
            </w:pPr>
            <w:r w:rsidRPr="00887119">
              <w:rPr>
                <w:rFonts w:cs="Arial"/>
                <w:color w:val="000000"/>
                <w:sz w:val="18"/>
                <w:szCs w:val="18"/>
              </w:rPr>
              <w:t>Total</w:t>
            </w:r>
          </w:p>
        </w:tc>
        <w:tc>
          <w:tcPr>
            <w:tcW w:w="1169"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41F18149" w14:textId="5AE086F7" w:rsidR="00E569D7" w:rsidRPr="00E043E3" w:rsidRDefault="00E569D7" w:rsidP="00E569D7">
            <w:pPr>
              <w:jc w:val="right"/>
              <w:rPr>
                <w:rFonts w:eastAsia="Times New Roman"/>
                <w:color w:val="C00000"/>
                <w:sz w:val="18"/>
                <w:szCs w:val="18"/>
              </w:rPr>
            </w:pPr>
            <w:r w:rsidRPr="00E043E3">
              <w:rPr>
                <w:rFonts w:cs="Arial"/>
                <w:color w:val="C00000"/>
                <w:sz w:val="18"/>
                <w:szCs w:val="18"/>
              </w:rPr>
              <w:t> </w:t>
            </w:r>
          </w:p>
        </w:tc>
        <w:tc>
          <w:tcPr>
            <w:tcW w:w="1170" w:type="dxa"/>
            <w:tcBorders>
              <w:top w:val="single" w:sz="4" w:space="0" w:color="auto"/>
              <w:left w:val="nil"/>
              <w:bottom w:val="single" w:sz="4" w:space="0" w:color="auto"/>
              <w:right w:val="single" w:sz="4" w:space="0" w:color="auto"/>
            </w:tcBorders>
            <w:shd w:val="clear" w:color="000000" w:fill="F2F2F2"/>
            <w:noWrap/>
            <w:vAlign w:val="center"/>
            <w:hideMark/>
          </w:tcPr>
          <w:p w14:paraId="68F997C5" w14:textId="7E6FA1BA" w:rsidR="00E569D7" w:rsidRPr="00E043E3" w:rsidRDefault="00E569D7" w:rsidP="00E569D7">
            <w:pPr>
              <w:jc w:val="right"/>
              <w:rPr>
                <w:rFonts w:eastAsia="Times New Roman"/>
                <w:color w:val="C00000"/>
                <w:sz w:val="18"/>
                <w:szCs w:val="18"/>
              </w:rPr>
            </w:pPr>
            <w:r w:rsidRPr="00E043E3">
              <w:rPr>
                <w:rFonts w:cs="Arial"/>
                <w:color w:val="C00000"/>
                <w:sz w:val="18"/>
                <w:szCs w:val="18"/>
              </w:rPr>
              <w:t>4,365</w:t>
            </w:r>
          </w:p>
        </w:tc>
        <w:tc>
          <w:tcPr>
            <w:tcW w:w="1169" w:type="dxa"/>
            <w:tcBorders>
              <w:top w:val="single" w:sz="4" w:space="0" w:color="auto"/>
              <w:left w:val="nil"/>
              <w:bottom w:val="single" w:sz="4" w:space="0" w:color="auto"/>
              <w:right w:val="single" w:sz="4" w:space="0" w:color="BFBFBF"/>
            </w:tcBorders>
            <w:shd w:val="clear" w:color="000000" w:fill="F2F2F2"/>
            <w:noWrap/>
            <w:vAlign w:val="center"/>
            <w:hideMark/>
          </w:tcPr>
          <w:p w14:paraId="4A4060FE" w14:textId="5969209F" w:rsidR="00E569D7" w:rsidRPr="00E043E3" w:rsidRDefault="00E569D7" w:rsidP="00E569D7">
            <w:pPr>
              <w:jc w:val="right"/>
              <w:rPr>
                <w:rFonts w:eastAsia="Times New Roman"/>
                <w:color w:val="C00000"/>
                <w:sz w:val="18"/>
                <w:szCs w:val="18"/>
              </w:rPr>
            </w:pPr>
            <w:r w:rsidRPr="00E043E3">
              <w:rPr>
                <w:rFonts w:cs="Arial"/>
                <w:color w:val="C00000"/>
                <w:sz w:val="18"/>
                <w:szCs w:val="18"/>
              </w:rPr>
              <w:t>2,965</w:t>
            </w:r>
          </w:p>
        </w:tc>
        <w:tc>
          <w:tcPr>
            <w:tcW w:w="1169" w:type="dxa"/>
            <w:tcBorders>
              <w:top w:val="single" w:sz="4" w:space="0" w:color="auto"/>
              <w:left w:val="nil"/>
              <w:bottom w:val="single" w:sz="4" w:space="0" w:color="auto"/>
              <w:right w:val="single" w:sz="4" w:space="0" w:color="BFBFBF"/>
            </w:tcBorders>
            <w:shd w:val="clear" w:color="000000" w:fill="F2F2F2"/>
            <w:noWrap/>
            <w:vAlign w:val="center"/>
            <w:hideMark/>
          </w:tcPr>
          <w:p w14:paraId="22D5D6DA" w14:textId="1D0C138E" w:rsidR="00E569D7" w:rsidRPr="00E043E3" w:rsidRDefault="00E569D7" w:rsidP="00E569D7">
            <w:pPr>
              <w:jc w:val="right"/>
              <w:rPr>
                <w:rFonts w:eastAsia="Times New Roman"/>
                <w:color w:val="C00000"/>
                <w:sz w:val="18"/>
                <w:szCs w:val="18"/>
              </w:rPr>
            </w:pPr>
            <w:r w:rsidRPr="00E043E3">
              <w:rPr>
                <w:rFonts w:cs="Arial"/>
                <w:color w:val="C00000"/>
                <w:sz w:val="18"/>
                <w:szCs w:val="18"/>
              </w:rPr>
              <w:t>790</w:t>
            </w:r>
          </w:p>
        </w:tc>
        <w:tc>
          <w:tcPr>
            <w:tcW w:w="1170" w:type="dxa"/>
            <w:tcBorders>
              <w:top w:val="single" w:sz="4" w:space="0" w:color="auto"/>
              <w:left w:val="nil"/>
              <w:bottom w:val="single" w:sz="4" w:space="0" w:color="auto"/>
              <w:right w:val="single" w:sz="4" w:space="0" w:color="BFBFBF"/>
            </w:tcBorders>
            <w:shd w:val="clear" w:color="000000" w:fill="F2F2F2"/>
            <w:noWrap/>
            <w:vAlign w:val="center"/>
            <w:hideMark/>
          </w:tcPr>
          <w:p w14:paraId="00A0363A" w14:textId="686A6321" w:rsidR="00E569D7" w:rsidRPr="00E043E3" w:rsidRDefault="00E569D7" w:rsidP="00E569D7">
            <w:pPr>
              <w:jc w:val="right"/>
              <w:rPr>
                <w:rFonts w:eastAsia="Times New Roman"/>
                <w:color w:val="C00000"/>
                <w:sz w:val="18"/>
                <w:szCs w:val="18"/>
              </w:rPr>
            </w:pPr>
            <w:r w:rsidRPr="00E043E3">
              <w:rPr>
                <w:rFonts w:cs="Arial"/>
                <w:color w:val="C00000"/>
                <w:sz w:val="18"/>
                <w:szCs w:val="18"/>
              </w:rPr>
              <w:t>365</w:t>
            </w:r>
          </w:p>
        </w:tc>
        <w:tc>
          <w:tcPr>
            <w:tcW w:w="1169" w:type="dxa"/>
            <w:tcBorders>
              <w:top w:val="single" w:sz="4" w:space="0" w:color="auto"/>
              <w:left w:val="nil"/>
              <w:bottom w:val="single" w:sz="4" w:space="0" w:color="auto"/>
              <w:right w:val="single" w:sz="4" w:space="0" w:color="BFBFBF"/>
            </w:tcBorders>
            <w:shd w:val="clear" w:color="000000" w:fill="F2F2F2"/>
            <w:noWrap/>
            <w:vAlign w:val="center"/>
            <w:hideMark/>
          </w:tcPr>
          <w:p w14:paraId="1D4CF80F" w14:textId="78C5CC4A" w:rsidR="00E569D7" w:rsidRPr="00E043E3" w:rsidRDefault="00E569D7" w:rsidP="00E569D7">
            <w:pPr>
              <w:jc w:val="right"/>
              <w:rPr>
                <w:rFonts w:eastAsia="Times New Roman"/>
                <w:color w:val="C00000"/>
                <w:sz w:val="18"/>
                <w:szCs w:val="18"/>
              </w:rPr>
            </w:pPr>
            <w:r w:rsidRPr="00E043E3">
              <w:rPr>
                <w:rFonts w:cs="Arial"/>
                <w:color w:val="C00000"/>
                <w:sz w:val="18"/>
                <w:szCs w:val="18"/>
              </w:rPr>
              <w:t>155</w:t>
            </w:r>
          </w:p>
        </w:tc>
        <w:tc>
          <w:tcPr>
            <w:tcW w:w="1170" w:type="dxa"/>
            <w:tcBorders>
              <w:top w:val="single" w:sz="4" w:space="0" w:color="auto"/>
              <w:left w:val="nil"/>
              <w:bottom w:val="single" w:sz="4" w:space="0" w:color="auto"/>
              <w:right w:val="single" w:sz="4" w:space="0" w:color="auto"/>
            </w:tcBorders>
            <w:shd w:val="clear" w:color="000000" w:fill="F2F2F2"/>
            <w:noWrap/>
            <w:vAlign w:val="center"/>
            <w:hideMark/>
          </w:tcPr>
          <w:p w14:paraId="2CD518A4" w14:textId="115250B7" w:rsidR="00E569D7" w:rsidRPr="00E043E3" w:rsidRDefault="00E569D7" w:rsidP="00E569D7">
            <w:pPr>
              <w:jc w:val="right"/>
              <w:rPr>
                <w:rFonts w:eastAsia="Times New Roman"/>
                <w:color w:val="C00000"/>
                <w:sz w:val="18"/>
                <w:szCs w:val="18"/>
              </w:rPr>
            </w:pPr>
            <w:r w:rsidRPr="00E043E3">
              <w:rPr>
                <w:rFonts w:cs="Arial"/>
                <w:color w:val="C00000"/>
                <w:sz w:val="18"/>
                <w:szCs w:val="18"/>
              </w:rPr>
              <w:t>90</w:t>
            </w:r>
          </w:p>
        </w:tc>
      </w:tr>
      <w:tr w:rsidR="00E569D7" w:rsidRPr="00887119" w14:paraId="6CFF270E" w14:textId="77777777" w:rsidTr="00CC6BC1">
        <w:trPr>
          <w:trHeight w:val="402"/>
        </w:trPr>
        <w:tc>
          <w:tcPr>
            <w:tcW w:w="1169" w:type="dxa"/>
            <w:tcBorders>
              <w:top w:val="nil"/>
              <w:left w:val="single" w:sz="4" w:space="0" w:color="auto"/>
              <w:bottom w:val="single" w:sz="4" w:space="0" w:color="BFBFBF"/>
              <w:right w:val="single" w:sz="4" w:space="0" w:color="BFBFBF"/>
            </w:tcBorders>
            <w:noWrap/>
            <w:vAlign w:val="center"/>
            <w:hideMark/>
          </w:tcPr>
          <w:p w14:paraId="700D0818" w14:textId="7A4C4FFA" w:rsidR="00E569D7" w:rsidRPr="00887119" w:rsidRDefault="00E569D7" w:rsidP="00E569D7">
            <w:pPr>
              <w:rPr>
                <w:rFonts w:eastAsia="Times New Roman"/>
                <w:color w:val="000000"/>
                <w:sz w:val="18"/>
                <w:szCs w:val="18"/>
              </w:rPr>
            </w:pPr>
            <w:r w:rsidRPr="00887119">
              <w:rPr>
                <w:rFonts w:cs="Arial"/>
                <w:color w:val="000000"/>
                <w:sz w:val="18"/>
                <w:szCs w:val="18"/>
              </w:rPr>
              <w:t>Very low</w:t>
            </w:r>
          </w:p>
        </w:tc>
        <w:tc>
          <w:tcPr>
            <w:tcW w:w="1169" w:type="dxa"/>
            <w:tcBorders>
              <w:top w:val="nil"/>
              <w:left w:val="nil"/>
              <w:bottom w:val="single" w:sz="4" w:space="0" w:color="BFBFBF"/>
              <w:right w:val="single" w:sz="4" w:space="0" w:color="auto"/>
            </w:tcBorders>
            <w:noWrap/>
            <w:vAlign w:val="center"/>
            <w:hideMark/>
          </w:tcPr>
          <w:p w14:paraId="3EFC6D8D" w14:textId="4672638D" w:rsidR="00E569D7" w:rsidRPr="00E043E3" w:rsidRDefault="00E569D7" w:rsidP="00E569D7">
            <w:pPr>
              <w:jc w:val="right"/>
              <w:rPr>
                <w:rFonts w:eastAsia="Times New Roman"/>
                <w:color w:val="C00000"/>
                <w:sz w:val="18"/>
                <w:szCs w:val="18"/>
              </w:rPr>
            </w:pPr>
            <w:r w:rsidRPr="00E043E3">
              <w:rPr>
                <w:rFonts w:cs="Arial"/>
                <w:color w:val="C00000"/>
                <w:sz w:val="18"/>
                <w:szCs w:val="18"/>
              </w:rPr>
              <w:t>$348</w:t>
            </w:r>
          </w:p>
        </w:tc>
        <w:tc>
          <w:tcPr>
            <w:tcW w:w="1170" w:type="dxa"/>
            <w:tcBorders>
              <w:top w:val="nil"/>
              <w:left w:val="nil"/>
              <w:bottom w:val="single" w:sz="4" w:space="0" w:color="BFBFBF"/>
              <w:right w:val="single" w:sz="4" w:space="0" w:color="auto"/>
            </w:tcBorders>
            <w:noWrap/>
            <w:vAlign w:val="center"/>
            <w:hideMark/>
          </w:tcPr>
          <w:p w14:paraId="7503A0F2" w14:textId="21D23E83" w:rsidR="00E569D7" w:rsidRPr="00E043E3" w:rsidRDefault="00E569D7" w:rsidP="00E569D7">
            <w:pPr>
              <w:jc w:val="right"/>
              <w:rPr>
                <w:rFonts w:eastAsia="Times New Roman"/>
                <w:color w:val="C00000"/>
                <w:sz w:val="18"/>
                <w:szCs w:val="18"/>
              </w:rPr>
            </w:pPr>
            <w:r w:rsidRPr="00E043E3">
              <w:rPr>
                <w:rFonts w:cs="Arial"/>
                <w:color w:val="C00000"/>
                <w:sz w:val="18"/>
                <w:szCs w:val="18"/>
              </w:rPr>
              <w:t>630</w:t>
            </w:r>
          </w:p>
        </w:tc>
        <w:tc>
          <w:tcPr>
            <w:tcW w:w="1169" w:type="dxa"/>
            <w:tcBorders>
              <w:top w:val="nil"/>
              <w:left w:val="nil"/>
              <w:bottom w:val="single" w:sz="4" w:space="0" w:color="BFBFBF"/>
              <w:right w:val="single" w:sz="4" w:space="0" w:color="BFBFBF"/>
            </w:tcBorders>
            <w:noWrap/>
            <w:vAlign w:val="center"/>
            <w:hideMark/>
          </w:tcPr>
          <w:p w14:paraId="2742653E" w14:textId="4D3EAA93" w:rsidR="00E569D7" w:rsidRPr="00E043E3" w:rsidRDefault="00E569D7" w:rsidP="00E569D7">
            <w:pPr>
              <w:jc w:val="right"/>
              <w:rPr>
                <w:rFonts w:eastAsia="Times New Roman"/>
                <w:color w:val="C00000"/>
                <w:sz w:val="18"/>
                <w:szCs w:val="18"/>
              </w:rPr>
            </w:pPr>
            <w:r w:rsidRPr="00E043E3">
              <w:rPr>
                <w:rFonts w:cs="Arial"/>
                <w:color w:val="C00000"/>
                <w:sz w:val="18"/>
                <w:szCs w:val="18"/>
              </w:rPr>
              <w:t>515</w:t>
            </w:r>
          </w:p>
        </w:tc>
        <w:tc>
          <w:tcPr>
            <w:tcW w:w="1169" w:type="dxa"/>
            <w:tcBorders>
              <w:top w:val="nil"/>
              <w:left w:val="nil"/>
              <w:bottom w:val="single" w:sz="4" w:space="0" w:color="BFBFBF"/>
              <w:right w:val="single" w:sz="4" w:space="0" w:color="BFBFBF"/>
            </w:tcBorders>
            <w:noWrap/>
            <w:vAlign w:val="center"/>
            <w:hideMark/>
          </w:tcPr>
          <w:p w14:paraId="3932C2C8" w14:textId="66DCD0AA" w:rsidR="00E569D7" w:rsidRPr="00E043E3" w:rsidRDefault="00E569D7" w:rsidP="00E569D7">
            <w:pPr>
              <w:jc w:val="right"/>
              <w:rPr>
                <w:rFonts w:eastAsia="Times New Roman"/>
                <w:color w:val="C00000"/>
                <w:sz w:val="18"/>
                <w:szCs w:val="18"/>
              </w:rPr>
            </w:pPr>
            <w:r w:rsidRPr="00E043E3">
              <w:rPr>
                <w:rFonts w:cs="Arial"/>
                <w:color w:val="C00000"/>
                <w:sz w:val="18"/>
                <w:szCs w:val="18"/>
              </w:rPr>
              <w:t>90</w:t>
            </w:r>
          </w:p>
        </w:tc>
        <w:tc>
          <w:tcPr>
            <w:tcW w:w="1170" w:type="dxa"/>
            <w:tcBorders>
              <w:top w:val="nil"/>
              <w:left w:val="nil"/>
              <w:bottom w:val="single" w:sz="4" w:space="0" w:color="BFBFBF"/>
              <w:right w:val="single" w:sz="4" w:space="0" w:color="BFBFBF"/>
            </w:tcBorders>
            <w:noWrap/>
            <w:vAlign w:val="center"/>
            <w:hideMark/>
          </w:tcPr>
          <w:p w14:paraId="6B674287" w14:textId="231761D3" w:rsidR="00E569D7" w:rsidRPr="00E043E3" w:rsidRDefault="00E569D7" w:rsidP="00E569D7">
            <w:pPr>
              <w:jc w:val="right"/>
              <w:rPr>
                <w:rFonts w:eastAsia="Times New Roman"/>
                <w:color w:val="C00000"/>
                <w:sz w:val="18"/>
                <w:szCs w:val="18"/>
              </w:rPr>
            </w:pPr>
            <w:r w:rsidRPr="00E043E3">
              <w:rPr>
                <w:rFonts w:cs="Arial"/>
                <w:color w:val="C00000"/>
                <w:sz w:val="18"/>
                <w:szCs w:val="18"/>
              </w:rPr>
              <w:t>15</w:t>
            </w:r>
          </w:p>
        </w:tc>
        <w:tc>
          <w:tcPr>
            <w:tcW w:w="1169" w:type="dxa"/>
            <w:tcBorders>
              <w:top w:val="nil"/>
              <w:left w:val="nil"/>
              <w:bottom w:val="single" w:sz="4" w:space="0" w:color="BFBFBF"/>
              <w:right w:val="single" w:sz="4" w:space="0" w:color="BFBFBF"/>
            </w:tcBorders>
            <w:noWrap/>
            <w:vAlign w:val="center"/>
            <w:hideMark/>
          </w:tcPr>
          <w:p w14:paraId="73702702" w14:textId="3D66B5A0"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70" w:type="dxa"/>
            <w:tcBorders>
              <w:top w:val="nil"/>
              <w:left w:val="nil"/>
              <w:bottom w:val="single" w:sz="4" w:space="0" w:color="BFBFBF"/>
              <w:right w:val="single" w:sz="4" w:space="0" w:color="auto"/>
            </w:tcBorders>
            <w:noWrap/>
            <w:vAlign w:val="center"/>
            <w:hideMark/>
          </w:tcPr>
          <w:p w14:paraId="30955C35" w14:textId="03E750DF"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r>
      <w:tr w:rsidR="00E569D7" w:rsidRPr="00887119" w14:paraId="7DBD8DA7" w14:textId="77777777" w:rsidTr="00CC6BC1">
        <w:trPr>
          <w:trHeight w:val="402"/>
        </w:trPr>
        <w:tc>
          <w:tcPr>
            <w:tcW w:w="1169" w:type="dxa"/>
            <w:tcBorders>
              <w:top w:val="nil"/>
              <w:left w:val="single" w:sz="4" w:space="0" w:color="auto"/>
              <w:bottom w:val="single" w:sz="4" w:space="0" w:color="BFBFBF"/>
              <w:right w:val="single" w:sz="4" w:space="0" w:color="BFBFBF"/>
            </w:tcBorders>
            <w:shd w:val="clear" w:color="000000" w:fill="F2F2F2"/>
            <w:noWrap/>
            <w:vAlign w:val="center"/>
            <w:hideMark/>
          </w:tcPr>
          <w:p w14:paraId="138A4112" w14:textId="596CC9CE" w:rsidR="00E569D7" w:rsidRPr="00887119" w:rsidRDefault="00E569D7" w:rsidP="00E569D7">
            <w:pPr>
              <w:rPr>
                <w:rFonts w:eastAsia="Times New Roman"/>
                <w:color w:val="000000"/>
                <w:sz w:val="18"/>
                <w:szCs w:val="18"/>
              </w:rPr>
            </w:pPr>
            <w:r w:rsidRPr="00887119">
              <w:rPr>
                <w:rFonts w:cs="Arial"/>
                <w:color w:val="000000"/>
                <w:sz w:val="18"/>
                <w:szCs w:val="18"/>
              </w:rPr>
              <w:t>Low</w:t>
            </w:r>
          </w:p>
        </w:tc>
        <w:tc>
          <w:tcPr>
            <w:tcW w:w="1169" w:type="dxa"/>
            <w:tcBorders>
              <w:top w:val="nil"/>
              <w:left w:val="nil"/>
              <w:bottom w:val="single" w:sz="4" w:space="0" w:color="BFBFBF"/>
              <w:right w:val="single" w:sz="4" w:space="0" w:color="auto"/>
            </w:tcBorders>
            <w:shd w:val="clear" w:color="000000" w:fill="F2F2F2"/>
            <w:noWrap/>
            <w:vAlign w:val="center"/>
            <w:hideMark/>
          </w:tcPr>
          <w:p w14:paraId="39EF021E" w14:textId="7874817F" w:rsidR="00E569D7" w:rsidRPr="00E043E3" w:rsidRDefault="00E569D7" w:rsidP="00E569D7">
            <w:pPr>
              <w:jc w:val="right"/>
              <w:rPr>
                <w:rFonts w:eastAsia="Times New Roman"/>
                <w:color w:val="C00000"/>
                <w:sz w:val="18"/>
                <w:szCs w:val="18"/>
              </w:rPr>
            </w:pPr>
            <w:r w:rsidRPr="00E043E3">
              <w:rPr>
                <w:rFonts w:cs="Arial"/>
                <w:color w:val="C00000"/>
                <w:sz w:val="18"/>
                <w:szCs w:val="18"/>
              </w:rPr>
              <w:t>$870</w:t>
            </w:r>
          </w:p>
        </w:tc>
        <w:tc>
          <w:tcPr>
            <w:tcW w:w="1170" w:type="dxa"/>
            <w:tcBorders>
              <w:top w:val="nil"/>
              <w:left w:val="nil"/>
              <w:bottom w:val="single" w:sz="4" w:space="0" w:color="BFBFBF"/>
              <w:right w:val="single" w:sz="4" w:space="0" w:color="auto"/>
            </w:tcBorders>
            <w:shd w:val="clear" w:color="000000" w:fill="F2F2F2"/>
            <w:noWrap/>
            <w:vAlign w:val="center"/>
            <w:hideMark/>
          </w:tcPr>
          <w:p w14:paraId="213103AE" w14:textId="093933AC" w:rsidR="00E569D7" w:rsidRPr="00E043E3" w:rsidRDefault="00E569D7" w:rsidP="00E569D7">
            <w:pPr>
              <w:jc w:val="right"/>
              <w:rPr>
                <w:rFonts w:eastAsia="Times New Roman"/>
                <w:color w:val="C00000"/>
                <w:sz w:val="18"/>
                <w:szCs w:val="18"/>
              </w:rPr>
            </w:pPr>
            <w:r w:rsidRPr="00E043E3">
              <w:rPr>
                <w:rFonts w:cs="Arial"/>
                <w:color w:val="C00000"/>
                <w:sz w:val="18"/>
                <w:szCs w:val="18"/>
              </w:rPr>
              <w:t>3,120</w:t>
            </w:r>
          </w:p>
        </w:tc>
        <w:tc>
          <w:tcPr>
            <w:tcW w:w="1169" w:type="dxa"/>
            <w:tcBorders>
              <w:top w:val="nil"/>
              <w:left w:val="nil"/>
              <w:bottom w:val="single" w:sz="4" w:space="0" w:color="BFBFBF"/>
              <w:right w:val="single" w:sz="4" w:space="0" w:color="BFBFBF"/>
            </w:tcBorders>
            <w:shd w:val="clear" w:color="000000" w:fill="F2F2F2"/>
            <w:noWrap/>
            <w:vAlign w:val="center"/>
            <w:hideMark/>
          </w:tcPr>
          <w:p w14:paraId="7066E853" w14:textId="32B1DA8D" w:rsidR="00E569D7" w:rsidRPr="00E043E3" w:rsidRDefault="00E569D7" w:rsidP="00E569D7">
            <w:pPr>
              <w:jc w:val="right"/>
              <w:rPr>
                <w:rFonts w:eastAsia="Times New Roman"/>
                <w:color w:val="C00000"/>
                <w:sz w:val="18"/>
                <w:szCs w:val="18"/>
              </w:rPr>
            </w:pPr>
            <w:r w:rsidRPr="00E043E3">
              <w:rPr>
                <w:rFonts w:cs="Arial"/>
                <w:color w:val="C00000"/>
                <w:sz w:val="18"/>
                <w:szCs w:val="18"/>
              </w:rPr>
              <w:t>2,255</w:t>
            </w:r>
          </w:p>
        </w:tc>
        <w:tc>
          <w:tcPr>
            <w:tcW w:w="1169" w:type="dxa"/>
            <w:tcBorders>
              <w:top w:val="nil"/>
              <w:left w:val="nil"/>
              <w:bottom w:val="single" w:sz="4" w:space="0" w:color="BFBFBF"/>
              <w:right w:val="single" w:sz="4" w:space="0" w:color="BFBFBF"/>
            </w:tcBorders>
            <w:shd w:val="clear" w:color="000000" w:fill="F2F2F2"/>
            <w:noWrap/>
            <w:vAlign w:val="center"/>
            <w:hideMark/>
          </w:tcPr>
          <w:p w14:paraId="36EBA83F" w14:textId="40AA6E3B" w:rsidR="00E569D7" w:rsidRPr="00E043E3" w:rsidRDefault="00E569D7" w:rsidP="00E569D7">
            <w:pPr>
              <w:jc w:val="right"/>
              <w:rPr>
                <w:rFonts w:eastAsia="Times New Roman"/>
                <w:color w:val="C00000"/>
                <w:sz w:val="18"/>
                <w:szCs w:val="18"/>
              </w:rPr>
            </w:pPr>
            <w:r w:rsidRPr="00E043E3">
              <w:rPr>
                <w:rFonts w:cs="Arial"/>
                <w:color w:val="C00000"/>
                <w:sz w:val="18"/>
                <w:szCs w:val="18"/>
              </w:rPr>
              <w:t>545</w:t>
            </w:r>
          </w:p>
        </w:tc>
        <w:tc>
          <w:tcPr>
            <w:tcW w:w="1170" w:type="dxa"/>
            <w:tcBorders>
              <w:top w:val="nil"/>
              <w:left w:val="nil"/>
              <w:bottom w:val="single" w:sz="4" w:space="0" w:color="BFBFBF"/>
              <w:right w:val="single" w:sz="4" w:space="0" w:color="BFBFBF"/>
            </w:tcBorders>
            <w:shd w:val="clear" w:color="000000" w:fill="F2F2F2"/>
            <w:noWrap/>
            <w:vAlign w:val="center"/>
            <w:hideMark/>
          </w:tcPr>
          <w:p w14:paraId="09A2488A" w14:textId="53848E47" w:rsidR="00E569D7" w:rsidRPr="00E043E3" w:rsidRDefault="00E569D7" w:rsidP="00E569D7">
            <w:pPr>
              <w:jc w:val="right"/>
              <w:rPr>
                <w:rFonts w:eastAsia="Times New Roman"/>
                <w:color w:val="C00000"/>
                <w:sz w:val="18"/>
                <w:szCs w:val="18"/>
              </w:rPr>
            </w:pPr>
            <w:r w:rsidRPr="00E043E3">
              <w:rPr>
                <w:rFonts w:cs="Arial"/>
                <w:color w:val="C00000"/>
                <w:sz w:val="18"/>
                <w:szCs w:val="18"/>
              </w:rPr>
              <w:t>210</w:t>
            </w:r>
          </w:p>
        </w:tc>
        <w:tc>
          <w:tcPr>
            <w:tcW w:w="1169" w:type="dxa"/>
            <w:tcBorders>
              <w:top w:val="nil"/>
              <w:left w:val="nil"/>
              <w:bottom w:val="single" w:sz="4" w:space="0" w:color="BFBFBF"/>
              <w:right w:val="single" w:sz="4" w:space="0" w:color="BFBFBF"/>
            </w:tcBorders>
            <w:shd w:val="clear" w:color="000000" w:fill="F2F2F2"/>
            <w:noWrap/>
            <w:vAlign w:val="center"/>
            <w:hideMark/>
          </w:tcPr>
          <w:p w14:paraId="31C58CD5" w14:textId="4FAF5056" w:rsidR="00E569D7" w:rsidRPr="00E043E3" w:rsidRDefault="00E569D7" w:rsidP="00E569D7">
            <w:pPr>
              <w:jc w:val="right"/>
              <w:rPr>
                <w:rFonts w:eastAsia="Times New Roman"/>
                <w:color w:val="C00000"/>
                <w:sz w:val="18"/>
                <w:szCs w:val="18"/>
              </w:rPr>
            </w:pPr>
            <w:r w:rsidRPr="00E043E3">
              <w:rPr>
                <w:rFonts w:cs="Arial"/>
                <w:color w:val="C00000"/>
                <w:sz w:val="18"/>
                <w:szCs w:val="18"/>
              </w:rPr>
              <w:t>70</w:t>
            </w:r>
          </w:p>
        </w:tc>
        <w:tc>
          <w:tcPr>
            <w:tcW w:w="1170" w:type="dxa"/>
            <w:tcBorders>
              <w:top w:val="nil"/>
              <w:left w:val="nil"/>
              <w:bottom w:val="single" w:sz="4" w:space="0" w:color="BFBFBF"/>
              <w:right w:val="single" w:sz="4" w:space="0" w:color="auto"/>
            </w:tcBorders>
            <w:shd w:val="clear" w:color="000000" w:fill="F2F2F2"/>
            <w:noWrap/>
            <w:vAlign w:val="center"/>
            <w:hideMark/>
          </w:tcPr>
          <w:p w14:paraId="02B891C9" w14:textId="73E87367" w:rsidR="00E569D7" w:rsidRPr="00E043E3" w:rsidRDefault="00E569D7" w:rsidP="00E569D7">
            <w:pPr>
              <w:jc w:val="right"/>
              <w:rPr>
                <w:rFonts w:eastAsia="Times New Roman"/>
                <w:color w:val="C00000"/>
                <w:sz w:val="18"/>
                <w:szCs w:val="18"/>
              </w:rPr>
            </w:pPr>
            <w:r w:rsidRPr="00E043E3">
              <w:rPr>
                <w:rFonts w:cs="Arial"/>
                <w:color w:val="C00000"/>
                <w:sz w:val="18"/>
                <w:szCs w:val="18"/>
              </w:rPr>
              <w:t>35</w:t>
            </w:r>
          </w:p>
        </w:tc>
      </w:tr>
      <w:tr w:rsidR="00E569D7" w:rsidRPr="00887119" w14:paraId="389B55FF" w14:textId="77777777" w:rsidTr="00CC6BC1">
        <w:trPr>
          <w:trHeight w:val="402"/>
        </w:trPr>
        <w:tc>
          <w:tcPr>
            <w:tcW w:w="1169" w:type="dxa"/>
            <w:tcBorders>
              <w:top w:val="nil"/>
              <w:left w:val="single" w:sz="4" w:space="0" w:color="auto"/>
              <w:bottom w:val="single" w:sz="4" w:space="0" w:color="BFBFBF"/>
              <w:right w:val="single" w:sz="4" w:space="0" w:color="BFBFBF"/>
            </w:tcBorders>
            <w:noWrap/>
            <w:vAlign w:val="center"/>
            <w:hideMark/>
          </w:tcPr>
          <w:p w14:paraId="6BF0445E" w14:textId="15DE2039" w:rsidR="00E569D7" w:rsidRPr="00887119" w:rsidRDefault="00E569D7" w:rsidP="00E569D7">
            <w:pPr>
              <w:rPr>
                <w:rFonts w:eastAsia="Times New Roman"/>
                <w:color w:val="000000"/>
                <w:sz w:val="18"/>
                <w:szCs w:val="18"/>
              </w:rPr>
            </w:pPr>
            <w:r w:rsidRPr="00887119">
              <w:rPr>
                <w:rFonts w:cs="Arial"/>
                <w:color w:val="000000"/>
                <w:sz w:val="18"/>
                <w:szCs w:val="18"/>
              </w:rPr>
              <w:t>Moderate</w:t>
            </w:r>
          </w:p>
        </w:tc>
        <w:tc>
          <w:tcPr>
            <w:tcW w:w="1169" w:type="dxa"/>
            <w:tcBorders>
              <w:top w:val="nil"/>
              <w:left w:val="nil"/>
              <w:bottom w:val="single" w:sz="4" w:space="0" w:color="BFBFBF"/>
              <w:right w:val="single" w:sz="4" w:space="0" w:color="auto"/>
            </w:tcBorders>
            <w:noWrap/>
            <w:vAlign w:val="center"/>
            <w:hideMark/>
          </w:tcPr>
          <w:p w14:paraId="7B7BAEEC" w14:textId="22206196" w:rsidR="00E569D7" w:rsidRPr="00E043E3" w:rsidRDefault="00E569D7" w:rsidP="00E569D7">
            <w:pPr>
              <w:jc w:val="right"/>
              <w:rPr>
                <w:rFonts w:eastAsia="Times New Roman"/>
                <w:color w:val="C00000"/>
                <w:sz w:val="18"/>
                <w:szCs w:val="18"/>
              </w:rPr>
            </w:pPr>
            <w:r w:rsidRPr="00E043E3">
              <w:rPr>
                <w:rFonts w:cs="Arial"/>
                <w:color w:val="C00000"/>
                <w:sz w:val="18"/>
                <w:szCs w:val="18"/>
              </w:rPr>
              <w:t>$1,390</w:t>
            </w:r>
          </w:p>
        </w:tc>
        <w:tc>
          <w:tcPr>
            <w:tcW w:w="1170" w:type="dxa"/>
            <w:tcBorders>
              <w:top w:val="nil"/>
              <w:left w:val="nil"/>
              <w:bottom w:val="single" w:sz="4" w:space="0" w:color="BFBFBF"/>
              <w:right w:val="single" w:sz="4" w:space="0" w:color="auto"/>
            </w:tcBorders>
            <w:noWrap/>
            <w:vAlign w:val="center"/>
            <w:hideMark/>
          </w:tcPr>
          <w:p w14:paraId="52F29FC6" w14:textId="41D01C58" w:rsidR="00E569D7" w:rsidRPr="00E043E3" w:rsidRDefault="00E569D7" w:rsidP="00E569D7">
            <w:pPr>
              <w:jc w:val="right"/>
              <w:rPr>
                <w:rFonts w:eastAsia="Times New Roman"/>
                <w:color w:val="C00000"/>
                <w:sz w:val="18"/>
                <w:szCs w:val="18"/>
              </w:rPr>
            </w:pPr>
            <w:r w:rsidRPr="00E043E3">
              <w:rPr>
                <w:rFonts w:cs="Arial"/>
                <w:color w:val="C00000"/>
                <w:sz w:val="18"/>
                <w:szCs w:val="18"/>
              </w:rPr>
              <w:t>610</w:t>
            </w:r>
          </w:p>
        </w:tc>
        <w:tc>
          <w:tcPr>
            <w:tcW w:w="1169" w:type="dxa"/>
            <w:tcBorders>
              <w:top w:val="nil"/>
              <w:left w:val="nil"/>
              <w:bottom w:val="single" w:sz="4" w:space="0" w:color="BFBFBF"/>
              <w:right w:val="single" w:sz="4" w:space="0" w:color="BFBFBF"/>
            </w:tcBorders>
            <w:noWrap/>
            <w:vAlign w:val="center"/>
            <w:hideMark/>
          </w:tcPr>
          <w:p w14:paraId="40E85B80" w14:textId="04EC84AE" w:rsidR="00E569D7" w:rsidRPr="00E043E3" w:rsidRDefault="00E569D7" w:rsidP="00E569D7">
            <w:pPr>
              <w:jc w:val="right"/>
              <w:rPr>
                <w:rFonts w:eastAsia="Times New Roman"/>
                <w:color w:val="C00000"/>
                <w:sz w:val="18"/>
                <w:szCs w:val="18"/>
              </w:rPr>
            </w:pPr>
            <w:r w:rsidRPr="00E043E3">
              <w:rPr>
                <w:rFonts w:cs="Arial"/>
                <w:color w:val="C00000"/>
                <w:sz w:val="18"/>
                <w:szCs w:val="18"/>
              </w:rPr>
              <w:t>200</w:t>
            </w:r>
          </w:p>
        </w:tc>
        <w:tc>
          <w:tcPr>
            <w:tcW w:w="1169" w:type="dxa"/>
            <w:tcBorders>
              <w:top w:val="nil"/>
              <w:left w:val="nil"/>
              <w:bottom w:val="single" w:sz="4" w:space="0" w:color="BFBFBF"/>
              <w:right w:val="single" w:sz="4" w:space="0" w:color="BFBFBF"/>
            </w:tcBorders>
            <w:noWrap/>
            <w:vAlign w:val="center"/>
            <w:hideMark/>
          </w:tcPr>
          <w:p w14:paraId="2D0B1EE9" w14:textId="2E9DFC92" w:rsidR="00E569D7" w:rsidRPr="00E043E3" w:rsidRDefault="00E569D7" w:rsidP="00E569D7">
            <w:pPr>
              <w:jc w:val="right"/>
              <w:rPr>
                <w:rFonts w:eastAsia="Times New Roman"/>
                <w:color w:val="C00000"/>
                <w:sz w:val="18"/>
                <w:szCs w:val="18"/>
              </w:rPr>
            </w:pPr>
            <w:r w:rsidRPr="00E043E3">
              <w:rPr>
                <w:rFonts w:cs="Arial"/>
                <w:color w:val="C00000"/>
                <w:sz w:val="18"/>
                <w:szCs w:val="18"/>
              </w:rPr>
              <w:t>150</w:t>
            </w:r>
          </w:p>
        </w:tc>
        <w:tc>
          <w:tcPr>
            <w:tcW w:w="1170" w:type="dxa"/>
            <w:tcBorders>
              <w:top w:val="nil"/>
              <w:left w:val="nil"/>
              <w:bottom w:val="single" w:sz="4" w:space="0" w:color="BFBFBF"/>
              <w:right w:val="single" w:sz="4" w:space="0" w:color="BFBFBF"/>
            </w:tcBorders>
            <w:noWrap/>
            <w:vAlign w:val="center"/>
            <w:hideMark/>
          </w:tcPr>
          <w:p w14:paraId="1EAD8938" w14:textId="5DE3F567" w:rsidR="00E569D7" w:rsidRPr="00E043E3" w:rsidRDefault="00E569D7" w:rsidP="00E569D7">
            <w:pPr>
              <w:jc w:val="right"/>
              <w:rPr>
                <w:rFonts w:eastAsia="Times New Roman"/>
                <w:color w:val="C00000"/>
                <w:sz w:val="18"/>
                <w:szCs w:val="18"/>
              </w:rPr>
            </w:pPr>
            <w:r w:rsidRPr="00E043E3">
              <w:rPr>
                <w:rFonts w:cs="Arial"/>
                <w:color w:val="C00000"/>
                <w:sz w:val="18"/>
                <w:szCs w:val="18"/>
              </w:rPr>
              <w:t>135</w:t>
            </w:r>
          </w:p>
        </w:tc>
        <w:tc>
          <w:tcPr>
            <w:tcW w:w="1169" w:type="dxa"/>
            <w:tcBorders>
              <w:top w:val="nil"/>
              <w:left w:val="nil"/>
              <w:bottom w:val="single" w:sz="4" w:space="0" w:color="BFBFBF"/>
              <w:right w:val="single" w:sz="4" w:space="0" w:color="BFBFBF"/>
            </w:tcBorders>
            <w:noWrap/>
            <w:vAlign w:val="center"/>
            <w:hideMark/>
          </w:tcPr>
          <w:p w14:paraId="0275E225" w14:textId="7A486705" w:rsidR="00E569D7" w:rsidRPr="00E043E3" w:rsidRDefault="00E569D7" w:rsidP="00E569D7">
            <w:pPr>
              <w:jc w:val="right"/>
              <w:rPr>
                <w:rFonts w:eastAsia="Times New Roman"/>
                <w:color w:val="C00000"/>
                <w:sz w:val="18"/>
                <w:szCs w:val="18"/>
              </w:rPr>
            </w:pPr>
            <w:r w:rsidRPr="00E043E3">
              <w:rPr>
                <w:rFonts w:cs="Arial"/>
                <w:color w:val="C00000"/>
                <w:sz w:val="18"/>
                <w:szCs w:val="18"/>
              </w:rPr>
              <w:t>70</w:t>
            </w:r>
          </w:p>
        </w:tc>
        <w:tc>
          <w:tcPr>
            <w:tcW w:w="1170" w:type="dxa"/>
            <w:tcBorders>
              <w:top w:val="nil"/>
              <w:left w:val="nil"/>
              <w:bottom w:val="single" w:sz="4" w:space="0" w:color="BFBFBF"/>
              <w:right w:val="single" w:sz="4" w:space="0" w:color="auto"/>
            </w:tcBorders>
            <w:noWrap/>
            <w:vAlign w:val="center"/>
            <w:hideMark/>
          </w:tcPr>
          <w:p w14:paraId="7F714CC6" w14:textId="47200B34" w:rsidR="00E569D7" w:rsidRPr="00E043E3" w:rsidRDefault="00E569D7" w:rsidP="00E569D7">
            <w:pPr>
              <w:jc w:val="right"/>
              <w:rPr>
                <w:rFonts w:eastAsia="Times New Roman"/>
                <w:color w:val="C00000"/>
                <w:sz w:val="18"/>
                <w:szCs w:val="18"/>
              </w:rPr>
            </w:pPr>
            <w:r w:rsidRPr="00E043E3">
              <w:rPr>
                <w:rFonts w:cs="Arial"/>
                <w:color w:val="C00000"/>
                <w:sz w:val="18"/>
                <w:szCs w:val="18"/>
              </w:rPr>
              <w:t>50</w:t>
            </w:r>
          </w:p>
        </w:tc>
      </w:tr>
      <w:tr w:rsidR="00E569D7" w:rsidRPr="00887119" w14:paraId="0358DAD6" w14:textId="77777777" w:rsidTr="00CC6BC1">
        <w:trPr>
          <w:trHeight w:val="402"/>
        </w:trPr>
        <w:tc>
          <w:tcPr>
            <w:tcW w:w="1169" w:type="dxa"/>
            <w:tcBorders>
              <w:top w:val="nil"/>
              <w:left w:val="single" w:sz="4" w:space="0" w:color="auto"/>
              <w:bottom w:val="single" w:sz="4" w:space="0" w:color="BFBFBF"/>
              <w:right w:val="single" w:sz="4" w:space="0" w:color="BFBFBF"/>
            </w:tcBorders>
            <w:shd w:val="clear" w:color="000000" w:fill="F2F2F2"/>
            <w:noWrap/>
            <w:vAlign w:val="center"/>
            <w:hideMark/>
          </w:tcPr>
          <w:p w14:paraId="3A3EF12D" w14:textId="38FFDAD2" w:rsidR="00E569D7" w:rsidRPr="00887119" w:rsidRDefault="00E569D7" w:rsidP="00E569D7">
            <w:pPr>
              <w:rPr>
                <w:rFonts w:eastAsia="Times New Roman"/>
                <w:color w:val="000000"/>
                <w:sz w:val="18"/>
                <w:szCs w:val="18"/>
              </w:rPr>
            </w:pPr>
            <w:r w:rsidRPr="00887119">
              <w:rPr>
                <w:rFonts w:cs="Arial"/>
                <w:color w:val="000000"/>
                <w:sz w:val="18"/>
                <w:szCs w:val="18"/>
              </w:rPr>
              <w:t>Median</w:t>
            </w:r>
          </w:p>
        </w:tc>
        <w:tc>
          <w:tcPr>
            <w:tcW w:w="1169" w:type="dxa"/>
            <w:tcBorders>
              <w:top w:val="nil"/>
              <w:left w:val="nil"/>
              <w:bottom w:val="single" w:sz="4" w:space="0" w:color="BFBFBF"/>
              <w:right w:val="single" w:sz="4" w:space="0" w:color="auto"/>
            </w:tcBorders>
            <w:shd w:val="clear" w:color="000000" w:fill="F2F2F2"/>
            <w:noWrap/>
            <w:vAlign w:val="center"/>
            <w:hideMark/>
          </w:tcPr>
          <w:p w14:paraId="1BB72783" w14:textId="56997546" w:rsidR="00E569D7" w:rsidRPr="00E043E3" w:rsidRDefault="00E569D7" w:rsidP="00E569D7">
            <w:pPr>
              <w:jc w:val="right"/>
              <w:rPr>
                <w:rFonts w:eastAsia="Times New Roman"/>
                <w:color w:val="C00000"/>
                <w:sz w:val="18"/>
                <w:szCs w:val="18"/>
              </w:rPr>
            </w:pPr>
            <w:r w:rsidRPr="00E043E3">
              <w:rPr>
                <w:rFonts w:cs="Arial"/>
                <w:color w:val="C00000"/>
                <w:sz w:val="18"/>
                <w:szCs w:val="18"/>
              </w:rPr>
              <w:t>$2,085</w:t>
            </w:r>
          </w:p>
        </w:tc>
        <w:tc>
          <w:tcPr>
            <w:tcW w:w="1170" w:type="dxa"/>
            <w:tcBorders>
              <w:top w:val="nil"/>
              <w:left w:val="nil"/>
              <w:bottom w:val="single" w:sz="4" w:space="0" w:color="BFBFBF"/>
              <w:right w:val="single" w:sz="4" w:space="0" w:color="auto"/>
            </w:tcBorders>
            <w:shd w:val="clear" w:color="000000" w:fill="F2F2F2"/>
            <w:noWrap/>
            <w:vAlign w:val="center"/>
            <w:hideMark/>
          </w:tcPr>
          <w:p w14:paraId="5C739019" w14:textId="01BAD9D1"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69" w:type="dxa"/>
            <w:tcBorders>
              <w:top w:val="nil"/>
              <w:left w:val="nil"/>
              <w:bottom w:val="single" w:sz="4" w:space="0" w:color="BFBFBF"/>
              <w:right w:val="single" w:sz="4" w:space="0" w:color="BFBFBF"/>
            </w:tcBorders>
            <w:shd w:val="clear" w:color="000000" w:fill="F2F2F2"/>
            <w:noWrap/>
            <w:vAlign w:val="center"/>
            <w:hideMark/>
          </w:tcPr>
          <w:p w14:paraId="586C022C" w14:textId="35C4A9FC"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69" w:type="dxa"/>
            <w:tcBorders>
              <w:top w:val="nil"/>
              <w:left w:val="nil"/>
              <w:bottom w:val="single" w:sz="4" w:space="0" w:color="BFBFBF"/>
              <w:right w:val="single" w:sz="4" w:space="0" w:color="BFBFBF"/>
            </w:tcBorders>
            <w:shd w:val="clear" w:color="000000" w:fill="F2F2F2"/>
            <w:noWrap/>
            <w:vAlign w:val="center"/>
            <w:hideMark/>
          </w:tcPr>
          <w:p w14:paraId="429C2BD3" w14:textId="7CAFFC04"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70" w:type="dxa"/>
            <w:tcBorders>
              <w:top w:val="nil"/>
              <w:left w:val="nil"/>
              <w:bottom w:val="single" w:sz="4" w:space="0" w:color="BFBFBF"/>
              <w:right w:val="single" w:sz="4" w:space="0" w:color="BFBFBF"/>
            </w:tcBorders>
            <w:shd w:val="clear" w:color="000000" w:fill="F2F2F2"/>
            <w:noWrap/>
            <w:vAlign w:val="center"/>
            <w:hideMark/>
          </w:tcPr>
          <w:p w14:paraId="7C4A0F52" w14:textId="4A75B63E"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69" w:type="dxa"/>
            <w:tcBorders>
              <w:top w:val="nil"/>
              <w:left w:val="nil"/>
              <w:bottom w:val="single" w:sz="4" w:space="0" w:color="BFBFBF"/>
              <w:right w:val="single" w:sz="4" w:space="0" w:color="BFBFBF"/>
            </w:tcBorders>
            <w:shd w:val="clear" w:color="000000" w:fill="F2F2F2"/>
            <w:noWrap/>
            <w:vAlign w:val="center"/>
            <w:hideMark/>
          </w:tcPr>
          <w:p w14:paraId="403ABC8B" w14:textId="6663F7A2"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70" w:type="dxa"/>
            <w:tcBorders>
              <w:top w:val="nil"/>
              <w:left w:val="nil"/>
              <w:bottom w:val="single" w:sz="4" w:space="0" w:color="BFBFBF"/>
              <w:right w:val="single" w:sz="4" w:space="0" w:color="auto"/>
            </w:tcBorders>
            <w:shd w:val="clear" w:color="000000" w:fill="F2F2F2"/>
            <w:noWrap/>
            <w:vAlign w:val="center"/>
            <w:hideMark/>
          </w:tcPr>
          <w:p w14:paraId="285FEECC" w14:textId="7691F794"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r>
      <w:tr w:rsidR="00E569D7" w:rsidRPr="00887119" w14:paraId="616F4B71" w14:textId="77777777" w:rsidTr="00CC6BC1">
        <w:trPr>
          <w:trHeight w:val="402"/>
        </w:trPr>
        <w:tc>
          <w:tcPr>
            <w:tcW w:w="1169" w:type="dxa"/>
            <w:tcBorders>
              <w:top w:val="nil"/>
              <w:left w:val="single" w:sz="4" w:space="0" w:color="auto"/>
              <w:bottom w:val="single" w:sz="4" w:space="0" w:color="auto"/>
              <w:right w:val="single" w:sz="4" w:space="0" w:color="BFBFBF"/>
            </w:tcBorders>
            <w:noWrap/>
            <w:vAlign w:val="center"/>
            <w:hideMark/>
          </w:tcPr>
          <w:p w14:paraId="02CFE53D" w14:textId="55CB162F" w:rsidR="00E569D7" w:rsidRPr="00887119" w:rsidRDefault="00E569D7" w:rsidP="00E569D7">
            <w:pPr>
              <w:rPr>
                <w:rFonts w:eastAsia="Times New Roman"/>
                <w:color w:val="000000"/>
                <w:sz w:val="18"/>
                <w:szCs w:val="18"/>
              </w:rPr>
            </w:pPr>
            <w:r w:rsidRPr="00887119">
              <w:rPr>
                <w:rFonts w:cs="Arial"/>
                <w:color w:val="000000"/>
                <w:sz w:val="18"/>
                <w:szCs w:val="18"/>
              </w:rPr>
              <w:t>High</w:t>
            </w:r>
          </w:p>
        </w:tc>
        <w:tc>
          <w:tcPr>
            <w:tcW w:w="1169" w:type="dxa"/>
            <w:tcBorders>
              <w:top w:val="nil"/>
              <w:left w:val="nil"/>
              <w:bottom w:val="single" w:sz="4" w:space="0" w:color="auto"/>
              <w:right w:val="single" w:sz="4" w:space="0" w:color="auto"/>
            </w:tcBorders>
            <w:noWrap/>
            <w:vAlign w:val="center"/>
            <w:hideMark/>
          </w:tcPr>
          <w:p w14:paraId="7C9A100D" w14:textId="1F076DBD" w:rsidR="00E569D7" w:rsidRPr="00E043E3" w:rsidRDefault="00E569D7" w:rsidP="00E569D7">
            <w:pPr>
              <w:jc w:val="right"/>
              <w:rPr>
                <w:rFonts w:eastAsia="Times New Roman"/>
                <w:color w:val="C00000"/>
                <w:sz w:val="18"/>
                <w:szCs w:val="18"/>
              </w:rPr>
            </w:pPr>
            <w:r w:rsidRPr="00E043E3">
              <w:rPr>
                <w:rFonts w:cs="Arial"/>
                <w:color w:val="C00000"/>
                <w:sz w:val="18"/>
                <w:szCs w:val="18"/>
              </w:rPr>
              <w:t>&gt;$2,085</w:t>
            </w:r>
          </w:p>
        </w:tc>
        <w:tc>
          <w:tcPr>
            <w:tcW w:w="1170" w:type="dxa"/>
            <w:tcBorders>
              <w:top w:val="nil"/>
              <w:left w:val="nil"/>
              <w:bottom w:val="single" w:sz="4" w:space="0" w:color="auto"/>
              <w:right w:val="single" w:sz="4" w:space="0" w:color="auto"/>
            </w:tcBorders>
            <w:noWrap/>
            <w:vAlign w:val="center"/>
            <w:hideMark/>
          </w:tcPr>
          <w:p w14:paraId="3D66BA16" w14:textId="3B2513A5"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69" w:type="dxa"/>
            <w:tcBorders>
              <w:top w:val="nil"/>
              <w:left w:val="nil"/>
              <w:bottom w:val="single" w:sz="4" w:space="0" w:color="auto"/>
              <w:right w:val="single" w:sz="4" w:space="0" w:color="BFBFBF"/>
            </w:tcBorders>
            <w:noWrap/>
            <w:vAlign w:val="center"/>
            <w:hideMark/>
          </w:tcPr>
          <w:p w14:paraId="28FDB609" w14:textId="08F10EE2"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69" w:type="dxa"/>
            <w:tcBorders>
              <w:top w:val="nil"/>
              <w:left w:val="nil"/>
              <w:bottom w:val="single" w:sz="4" w:space="0" w:color="auto"/>
              <w:right w:val="single" w:sz="4" w:space="0" w:color="BFBFBF"/>
            </w:tcBorders>
            <w:noWrap/>
            <w:vAlign w:val="center"/>
            <w:hideMark/>
          </w:tcPr>
          <w:p w14:paraId="283D3B28" w14:textId="521F7698"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70" w:type="dxa"/>
            <w:tcBorders>
              <w:top w:val="nil"/>
              <w:left w:val="nil"/>
              <w:bottom w:val="single" w:sz="4" w:space="0" w:color="auto"/>
              <w:right w:val="single" w:sz="4" w:space="0" w:color="BFBFBF"/>
            </w:tcBorders>
            <w:noWrap/>
            <w:vAlign w:val="center"/>
            <w:hideMark/>
          </w:tcPr>
          <w:p w14:paraId="501336BC" w14:textId="0036AE6F"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69" w:type="dxa"/>
            <w:tcBorders>
              <w:top w:val="nil"/>
              <w:left w:val="nil"/>
              <w:bottom w:val="single" w:sz="4" w:space="0" w:color="auto"/>
              <w:right w:val="single" w:sz="4" w:space="0" w:color="BFBFBF"/>
            </w:tcBorders>
            <w:noWrap/>
            <w:vAlign w:val="center"/>
            <w:hideMark/>
          </w:tcPr>
          <w:p w14:paraId="0C27B5E6" w14:textId="2C5737D1"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c>
          <w:tcPr>
            <w:tcW w:w="1170" w:type="dxa"/>
            <w:tcBorders>
              <w:top w:val="nil"/>
              <w:left w:val="nil"/>
              <w:bottom w:val="single" w:sz="4" w:space="0" w:color="auto"/>
              <w:right w:val="single" w:sz="4" w:space="0" w:color="auto"/>
            </w:tcBorders>
            <w:noWrap/>
            <w:vAlign w:val="center"/>
            <w:hideMark/>
          </w:tcPr>
          <w:p w14:paraId="6A79E5BC" w14:textId="457F00F2" w:rsidR="00E569D7" w:rsidRPr="00E043E3" w:rsidRDefault="00E569D7" w:rsidP="00E569D7">
            <w:pPr>
              <w:jc w:val="right"/>
              <w:rPr>
                <w:rFonts w:eastAsia="Times New Roman"/>
                <w:color w:val="C00000"/>
                <w:sz w:val="18"/>
                <w:szCs w:val="18"/>
              </w:rPr>
            </w:pPr>
            <w:r w:rsidRPr="00E043E3">
              <w:rPr>
                <w:rFonts w:cs="Arial"/>
                <w:color w:val="C00000"/>
                <w:sz w:val="18"/>
                <w:szCs w:val="18"/>
              </w:rPr>
              <w:t>0</w:t>
            </w:r>
          </w:p>
        </w:tc>
      </w:tr>
    </w:tbl>
    <w:p w14:paraId="05AE0858" w14:textId="315942F7" w:rsidR="00952F0E" w:rsidRPr="00887119" w:rsidRDefault="00952F0E" w:rsidP="00952F0E">
      <w:pPr>
        <w:pStyle w:val="Source"/>
      </w:pPr>
      <w:r w:rsidRPr="00887119">
        <w:t xml:space="preserve">Source: </w:t>
      </w:r>
      <w:r w:rsidR="00583E13" w:rsidRPr="00887119">
        <w:t xml:space="preserve">derived from </w:t>
      </w:r>
      <w:r w:rsidRPr="00887119">
        <w:t>Housing Assessment Resource Tools (HART)</w:t>
      </w:r>
      <w:r w:rsidRPr="00887119">
        <w:rPr>
          <w:rStyle w:val="FootnoteReference"/>
        </w:rPr>
        <w:footnoteReference w:id="28"/>
      </w:r>
    </w:p>
    <w:p w14:paraId="0082C6BA" w14:textId="77777777" w:rsidR="00952F0E" w:rsidRPr="00887119" w:rsidRDefault="00952F0E" w:rsidP="00952F0E"/>
    <w:p w14:paraId="1DC3F908" w14:textId="2F01B86C" w:rsidR="004641E1" w:rsidRPr="00887119" w:rsidRDefault="004641E1" w:rsidP="004641E1">
      <w:r w:rsidRPr="00887119">
        <w:t xml:space="preserve">Of the 4,365 provincial households in core housing need, 3,750 (86%) fall in the very low- or low-income categories, and the vast majority of these are one-person households (2,770 of the 3,630 very low- and low-income households in need). Single-person households at the very </w:t>
      </w:r>
      <w:r w:rsidR="00693E30" w:rsidRPr="00887119">
        <w:t>low-income</w:t>
      </w:r>
      <w:r w:rsidRPr="00887119">
        <w:t xml:space="preserve"> level can afford a maximum shelter cost of $348 per month</w:t>
      </w:r>
      <w:r w:rsidR="00CC67D6" w:rsidRPr="00887119">
        <w:t>,</w:t>
      </w:r>
      <w:r w:rsidRPr="00887119">
        <w:t xml:space="preserve"> a threshold that is below the cost of </w:t>
      </w:r>
      <w:r w:rsidR="006C3D07" w:rsidRPr="00887119">
        <w:t>most</w:t>
      </w:r>
      <w:r w:rsidRPr="00887119">
        <w:t xml:space="preserve"> available rental unit in the province without subsidy, meaning these households </w:t>
      </w:r>
      <w:r w:rsidR="006C3D07" w:rsidRPr="00887119">
        <w:t xml:space="preserve">are unlikely to be served </w:t>
      </w:r>
      <w:r w:rsidRPr="00887119">
        <w:t>by market supply.</w:t>
      </w:r>
    </w:p>
    <w:p w14:paraId="023558EA" w14:textId="77777777" w:rsidR="004641E1" w:rsidRPr="00887119" w:rsidRDefault="004641E1" w:rsidP="004641E1"/>
    <w:p w14:paraId="53A0B48A" w14:textId="5BAEFA17" w:rsidR="004641E1" w:rsidRPr="00887119" w:rsidRDefault="004641E1" w:rsidP="004641E1">
      <w:r w:rsidRPr="00887119">
        <w:t>The presence of 610 moderate-income households in core housing need is a notable finding</w:t>
      </w:r>
      <w:r w:rsidR="00EA4628" w:rsidRPr="00887119">
        <w:t>. It</w:t>
      </w:r>
      <w:r w:rsidRPr="00887119">
        <w:t xml:space="preserve"> indicates that affordability and suitability pressures in </w:t>
      </w:r>
      <w:r w:rsidR="00402288" w:rsidRPr="00402288">
        <w:rPr>
          <w:color w:val="C00000"/>
        </w:rPr>
        <w:t>PEI</w:t>
      </w:r>
      <w:r w:rsidRPr="00887119">
        <w:t>’s housing market have extended beyond the lowest income brackets. With maximum affordable shelter costs of $1,390 per month, moderate-income households in core need are encountering rents and conditions that exceed what should theoretically be manageable for middle-income renters</w:t>
      </w:r>
      <w:r w:rsidR="00EA4628" w:rsidRPr="00887119">
        <w:t>, which is</w:t>
      </w:r>
      <w:r w:rsidRPr="00887119">
        <w:t xml:space="preserve"> a signal that the market is failing not only the most vulnerable, but also households that would ordinarily be expected to find adequate housing without public intervention.</w:t>
      </w:r>
    </w:p>
    <w:p w14:paraId="7844E3D5" w14:textId="77777777" w:rsidR="00952F0E" w:rsidRPr="00887119" w:rsidRDefault="00952F0E" w:rsidP="00952F0E"/>
    <w:p w14:paraId="05E56BE0" w14:textId="77777777" w:rsidR="00952F0E" w:rsidRPr="00887119" w:rsidRDefault="00952F0E" w:rsidP="00842B20">
      <w:pPr>
        <w:pStyle w:val="Heading2"/>
      </w:pPr>
      <w:bookmarkStart w:id="137" w:name="_Toc223686652"/>
      <w:bookmarkStart w:id="138" w:name="_Toc225869019"/>
      <w:bookmarkStart w:id="139" w:name="_Toc229051966"/>
      <w:bookmarkStart w:id="140" w:name="_Toc237957448"/>
      <w:r w:rsidRPr="00887119">
        <w:t>PRIORITY POPULATIONS</w:t>
      </w:r>
      <w:bookmarkEnd w:id="137"/>
      <w:bookmarkEnd w:id="138"/>
      <w:bookmarkEnd w:id="139"/>
      <w:bookmarkEnd w:id="140"/>
    </w:p>
    <w:p w14:paraId="3B52AA3E" w14:textId="77777777" w:rsidR="00F84BAE" w:rsidRPr="00887119" w:rsidRDefault="00F84BAE" w:rsidP="00F84BAE">
      <w:r w:rsidRPr="00887119">
        <w:t xml:space="preserve">Housing need is not evenly distributed. Aggregate core housing need rates can mask severe precarity concentrated among specific groups who face compounded barriers, including </w:t>
      </w:r>
      <w:r w:rsidRPr="00887119">
        <w:lastRenderedPageBreak/>
        <w:t>discrimination in the housing market, income insecurity, inaccessible unit design, lack of culturally appropriate options, and inadequate support services.</w:t>
      </w:r>
    </w:p>
    <w:p w14:paraId="6D59F0A0" w14:textId="77777777" w:rsidR="00F84BAE" w:rsidRPr="00887119" w:rsidRDefault="00F84BAE" w:rsidP="00F84BAE"/>
    <w:p w14:paraId="2E712934" w14:textId="10C58197" w:rsidR="00F84BAE" w:rsidRPr="00887119" w:rsidRDefault="00F84BAE" w:rsidP="00F84BAE">
      <w:r w:rsidRPr="00887119">
        <w:t xml:space="preserve">Federal funding programs typically require that HNAs demonstrate a commitment to equity-deserving groups. This section provides the evidence base for targeted interventions responding to the specific, often intersecting, needs of those most at risk across </w:t>
      </w:r>
      <w:r w:rsidR="00402288" w:rsidRPr="00402288">
        <w:rPr>
          <w:color w:val="C00000"/>
        </w:rPr>
        <w:t>PEI</w:t>
      </w:r>
      <w:r w:rsidRPr="00887119">
        <w:t>’s geographic categories.</w:t>
      </w:r>
    </w:p>
    <w:p w14:paraId="09985F4E" w14:textId="77777777" w:rsidR="00952F0E" w:rsidRPr="00887119" w:rsidRDefault="00952F0E" w:rsidP="00952F0E"/>
    <w:p w14:paraId="792F0EDA" w14:textId="158600ED" w:rsidR="00952F0E" w:rsidRPr="00887119" w:rsidRDefault="00952F0E" w:rsidP="00952F0E">
      <w:r w:rsidRPr="00887119">
        <w:rPr>
          <w:rStyle w:val="Figure-textChar"/>
        </w:rPr>
        <w:fldChar w:fldCharType="begin"/>
      </w:r>
      <w:r w:rsidRPr="00887119">
        <w:rPr>
          <w:rStyle w:val="Figure-textChar"/>
        </w:rPr>
        <w:instrText xml:space="preserve"> REF _Ref223276809 \h  \* MERGEFORMAT </w:instrText>
      </w:r>
      <w:r w:rsidRPr="00887119">
        <w:rPr>
          <w:rStyle w:val="Figure-textChar"/>
        </w:rPr>
      </w:r>
      <w:r w:rsidRPr="00887119">
        <w:rPr>
          <w:rStyle w:val="Figure-textChar"/>
        </w:rPr>
        <w:fldChar w:fldCharType="separate"/>
      </w:r>
      <w:r w:rsidR="008D4BDE" w:rsidRPr="008D4BDE">
        <w:rPr>
          <w:rStyle w:val="Figure-textChar"/>
        </w:rPr>
        <w:t>Table 9.4</w:t>
      </w:r>
      <w:r w:rsidRPr="00887119">
        <w:rPr>
          <w:rStyle w:val="Figure-textChar"/>
        </w:rPr>
        <w:fldChar w:fldCharType="end"/>
      </w:r>
      <w:r w:rsidRPr="00887119">
        <w:t xml:space="preserve"> </w:t>
      </w:r>
      <w:r w:rsidR="00FF650D" w:rsidRPr="00887119">
        <w:t>presents core housing need rates for a range of vulnerable population groups by geographic category, identifying where housing need is most acute and which groups face disproportionate barriers to adequate, suitable, and affordable housing across different parts of the province.</w:t>
      </w:r>
    </w:p>
    <w:p w14:paraId="626B9D90" w14:textId="77777777" w:rsidR="00FF650D" w:rsidRPr="00887119" w:rsidRDefault="00FF650D" w:rsidP="00952F0E"/>
    <w:p w14:paraId="1D59C140" w14:textId="47624596" w:rsidR="00952F0E" w:rsidRPr="00887119" w:rsidRDefault="00952F0E" w:rsidP="00952F0E">
      <w:pPr>
        <w:pStyle w:val="Caption"/>
      </w:pPr>
      <w:bookmarkStart w:id="141" w:name="_Ref223276809"/>
      <w:r w:rsidRPr="00887119">
        <w:t xml:space="preserve">Table </w:t>
      </w:r>
      <w:fldSimple w:instr=" STYLEREF 1 \s ">
        <w:r w:rsidR="008D4BDE">
          <w:rPr>
            <w:noProof/>
          </w:rPr>
          <w:t>9</w:t>
        </w:r>
      </w:fldSimple>
      <w:r w:rsidR="00EE1FE9">
        <w:t>.</w:t>
      </w:r>
      <w:fldSimple w:instr=" SEQ Table \* ARABIC \s 1 ">
        <w:r w:rsidR="008D4BDE">
          <w:rPr>
            <w:noProof/>
          </w:rPr>
          <w:t>4</w:t>
        </w:r>
      </w:fldSimple>
      <w:bookmarkEnd w:id="141"/>
      <w:r w:rsidRPr="00887119">
        <w:t>: Rate of core housing need by vulnerable population group and geograph</w:t>
      </w:r>
      <w:r w:rsidR="007B029B" w:rsidRPr="00887119">
        <w:t>ic category</w:t>
      </w:r>
      <w:r w:rsidRPr="00887119">
        <w:t>, 2021</w:t>
      </w:r>
    </w:p>
    <w:tbl>
      <w:tblPr>
        <w:tblW w:w="9355" w:type="dxa"/>
        <w:jc w:val="right"/>
        <w:tblLayout w:type="fixed"/>
        <w:tblLook w:val="04A0" w:firstRow="1" w:lastRow="0" w:firstColumn="1" w:lastColumn="0" w:noHBand="0" w:noVBand="1"/>
      </w:tblPr>
      <w:tblGrid>
        <w:gridCol w:w="3595"/>
        <w:gridCol w:w="1153"/>
        <w:gridCol w:w="1153"/>
        <w:gridCol w:w="1154"/>
        <w:gridCol w:w="1153"/>
        <w:gridCol w:w="1147"/>
      </w:tblGrid>
      <w:tr w:rsidR="00EB6DC6" w:rsidRPr="00887119" w14:paraId="4AA31775" w14:textId="77777777" w:rsidTr="00AA4E3C">
        <w:trPr>
          <w:trHeight w:val="683"/>
          <w:tblHeader/>
          <w:jc w:val="right"/>
        </w:trPr>
        <w:tc>
          <w:tcPr>
            <w:tcW w:w="359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0033FCA6" w14:textId="77777777" w:rsidR="00EB6DC6" w:rsidRPr="00887119" w:rsidRDefault="00EB6DC6" w:rsidP="00EB6DC6">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Vulnerable population group</w:t>
            </w:r>
          </w:p>
        </w:tc>
        <w:tc>
          <w:tcPr>
            <w:tcW w:w="1153"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657009C0" w14:textId="77777777" w:rsidR="00EB6DC6" w:rsidRPr="00887119" w:rsidRDefault="00EB6DC6" w:rsidP="00EB6DC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153"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BAE9B70" w14:textId="77777777" w:rsidR="00EB6DC6" w:rsidRPr="00887119" w:rsidRDefault="00EB6DC6" w:rsidP="00EB6DC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154"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48DE610" w14:textId="77777777" w:rsidR="00EB6DC6" w:rsidRPr="00887119" w:rsidRDefault="00EB6DC6" w:rsidP="00EB6DC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153"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2BFCD80" w14:textId="77777777" w:rsidR="00EB6DC6" w:rsidRPr="00887119" w:rsidRDefault="00EB6DC6" w:rsidP="00EB6DC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147"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533B9199" w14:textId="77777777" w:rsidR="00EB6DC6" w:rsidRPr="00887119" w:rsidRDefault="00EB6DC6" w:rsidP="00EB6DC6">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r>
      <w:tr w:rsidR="00EB6DC6" w:rsidRPr="00887119" w14:paraId="7F3DAFC7" w14:textId="77777777" w:rsidTr="00C04C3D">
        <w:trPr>
          <w:trHeight w:val="402"/>
          <w:jc w:val="right"/>
        </w:trPr>
        <w:tc>
          <w:tcPr>
            <w:tcW w:w="3595" w:type="dxa"/>
            <w:tcBorders>
              <w:top w:val="nil"/>
              <w:left w:val="single" w:sz="4" w:space="0" w:color="auto"/>
              <w:bottom w:val="single" w:sz="4" w:space="0" w:color="auto"/>
              <w:right w:val="nil"/>
            </w:tcBorders>
            <w:shd w:val="clear" w:color="000000" w:fill="F2F2F2"/>
            <w:noWrap/>
            <w:vAlign w:val="center"/>
            <w:hideMark/>
          </w:tcPr>
          <w:p w14:paraId="6DC7B64C"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Total households</w:t>
            </w:r>
          </w:p>
        </w:tc>
        <w:tc>
          <w:tcPr>
            <w:tcW w:w="1153" w:type="dxa"/>
            <w:tcBorders>
              <w:top w:val="nil"/>
              <w:left w:val="single" w:sz="4" w:space="0" w:color="auto"/>
              <w:bottom w:val="single" w:sz="4" w:space="0" w:color="auto"/>
              <w:right w:val="single" w:sz="4" w:space="0" w:color="auto"/>
            </w:tcBorders>
            <w:shd w:val="clear" w:color="000000" w:fill="F2F2F2"/>
            <w:noWrap/>
            <w:vAlign w:val="center"/>
            <w:hideMark/>
          </w:tcPr>
          <w:p w14:paraId="21A976C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7.0%</w:t>
            </w:r>
          </w:p>
        </w:tc>
        <w:tc>
          <w:tcPr>
            <w:tcW w:w="1153" w:type="dxa"/>
            <w:tcBorders>
              <w:top w:val="nil"/>
              <w:left w:val="nil"/>
              <w:bottom w:val="single" w:sz="4" w:space="0" w:color="auto"/>
              <w:right w:val="single" w:sz="4" w:space="0" w:color="BFBFBF"/>
            </w:tcBorders>
            <w:shd w:val="clear" w:color="000000" w:fill="F2F2F2"/>
            <w:noWrap/>
            <w:vAlign w:val="center"/>
            <w:hideMark/>
          </w:tcPr>
          <w:p w14:paraId="00833B43"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7.7%</w:t>
            </w:r>
          </w:p>
        </w:tc>
        <w:tc>
          <w:tcPr>
            <w:tcW w:w="1154" w:type="dxa"/>
            <w:tcBorders>
              <w:top w:val="nil"/>
              <w:left w:val="nil"/>
              <w:bottom w:val="single" w:sz="4" w:space="0" w:color="auto"/>
              <w:right w:val="single" w:sz="4" w:space="0" w:color="BFBFBF"/>
            </w:tcBorders>
            <w:shd w:val="clear" w:color="000000" w:fill="F2F2F2"/>
            <w:noWrap/>
            <w:vAlign w:val="center"/>
            <w:hideMark/>
          </w:tcPr>
          <w:p w14:paraId="4585370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10.0%</w:t>
            </w:r>
          </w:p>
        </w:tc>
        <w:tc>
          <w:tcPr>
            <w:tcW w:w="1153" w:type="dxa"/>
            <w:tcBorders>
              <w:top w:val="nil"/>
              <w:left w:val="nil"/>
              <w:bottom w:val="single" w:sz="4" w:space="0" w:color="auto"/>
              <w:right w:val="single" w:sz="4" w:space="0" w:color="BFBFBF"/>
            </w:tcBorders>
            <w:shd w:val="clear" w:color="000000" w:fill="F2F2F2"/>
            <w:noWrap/>
            <w:vAlign w:val="center"/>
            <w:hideMark/>
          </w:tcPr>
          <w:p w14:paraId="229C0E03"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3.2%</w:t>
            </w:r>
          </w:p>
        </w:tc>
        <w:tc>
          <w:tcPr>
            <w:tcW w:w="1147" w:type="dxa"/>
            <w:tcBorders>
              <w:top w:val="nil"/>
              <w:left w:val="nil"/>
              <w:bottom w:val="single" w:sz="4" w:space="0" w:color="auto"/>
              <w:right w:val="single" w:sz="4" w:space="0" w:color="auto"/>
            </w:tcBorders>
            <w:shd w:val="clear" w:color="000000" w:fill="F2F2F2"/>
            <w:noWrap/>
            <w:vAlign w:val="center"/>
            <w:hideMark/>
          </w:tcPr>
          <w:p w14:paraId="57D2569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5.8%</w:t>
            </w:r>
          </w:p>
        </w:tc>
      </w:tr>
      <w:tr w:rsidR="00EB6DC6" w:rsidRPr="00887119" w14:paraId="30DDAD7B" w14:textId="77777777" w:rsidTr="00DD6288">
        <w:trPr>
          <w:trHeight w:val="512"/>
          <w:jc w:val="right"/>
        </w:trPr>
        <w:tc>
          <w:tcPr>
            <w:tcW w:w="3595" w:type="dxa"/>
            <w:tcBorders>
              <w:top w:val="nil"/>
              <w:left w:val="single" w:sz="4" w:space="0" w:color="auto"/>
              <w:bottom w:val="single" w:sz="4" w:space="0" w:color="BFBFBF"/>
              <w:right w:val="nil"/>
            </w:tcBorders>
            <w:noWrap/>
            <w:vAlign w:val="center"/>
            <w:hideMark/>
          </w:tcPr>
          <w:p w14:paraId="7C8D68CA"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Household with 1+ person with activity limitation</w:t>
            </w:r>
          </w:p>
        </w:tc>
        <w:tc>
          <w:tcPr>
            <w:tcW w:w="1153" w:type="dxa"/>
            <w:tcBorders>
              <w:top w:val="nil"/>
              <w:left w:val="single" w:sz="4" w:space="0" w:color="auto"/>
              <w:bottom w:val="single" w:sz="4" w:space="0" w:color="BFBFBF"/>
              <w:right w:val="single" w:sz="4" w:space="0" w:color="auto"/>
            </w:tcBorders>
            <w:noWrap/>
            <w:vAlign w:val="center"/>
            <w:hideMark/>
          </w:tcPr>
          <w:p w14:paraId="57FA053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3.8%</w:t>
            </w:r>
          </w:p>
        </w:tc>
        <w:tc>
          <w:tcPr>
            <w:tcW w:w="1153" w:type="dxa"/>
            <w:tcBorders>
              <w:top w:val="nil"/>
              <w:left w:val="nil"/>
              <w:bottom w:val="single" w:sz="4" w:space="0" w:color="BFBFBF"/>
              <w:right w:val="single" w:sz="4" w:space="0" w:color="BFBFBF"/>
            </w:tcBorders>
            <w:noWrap/>
            <w:vAlign w:val="center"/>
            <w:hideMark/>
          </w:tcPr>
          <w:p w14:paraId="574F81C3"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4.0%</w:t>
            </w:r>
          </w:p>
        </w:tc>
        <w:tc>
          <w:tcPr>
            <w:tcW w:w="1154" w:type="dxa"/>
            <w:tcBorders>
              <w:top w:val="nil"/>
              <w:left w:val="nil"/>
              <w:bottom w:val="single" w:sz="4" w:space="0" w:color="BFBFBF"/>
              <w:right w:val="single" w:sz="4" w:space="0" w:color="BFBFBF"/>
            </w:tcBorders>
            <w:noWrap/>
            <w:vAlign w:val="center"/>
            <w:hideMark/>
          </w:tcPr>
          <w:p w14:paraId="203202B7"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3.9%</w:t>
            </w:r>
          </w:p>
        </w:tc>
        <w:tc>
          <w:tcPr>
            <w:tcW w:w="1153" w:type="dxa"/>
            <w:tcBorders>
              <w:top w:val="nil"/>
              <w:left w:val="nil"/>
              <w:bottom w:val="single" w:sz="4" w:space="0" w:color="BFBFBF"/>
              <w:right w:val="single" w:sz="4" w:space="0" w:color="BFBFBF"/>
            </w:tcBorders>
            <w:noWrap/>
            <w:vAlign w:val="center"/>
            <w:hideMark/>
          </w:tcPr>
          <w:p w14:paraId="399ED70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0.6%</w:t>
            </w:r>
          </w:p>
        </w:tc>
        <w:tc>
          <w:tcPr>
            <w:tcW w:w="1147" w:type="dxa"/>
            <w:tcBorders>
              <w:top w:val="nil"/>
              <w:left w:val="nil"/>
              <w:bottom w:val="single" w:sz="4" w:space="0" w:color="BFBFBF"/>
              <w:right w:val="single" w:sz="4" w:space="0" w:color="auto"/>
            </w:tcBorders>
            <w:noWrap/>
            <w:vAlign w:val="center"/>
            <w:hideMark/>
          </w:tcPr>
          <w:p w14:paraId="1DAC42B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3A930EF9" w14:textId="77777777" w:rsidTr="00DD6288">
        <w:trPr>
          <w:trHeight w:val="548"/>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43550367"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Household with 1+ person with mental health related activity limitation</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2F705758"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6.0%</w:t>
            </w:r>
          </w:p>
        </w:tc>
        <w:tc>
          <w:tcPr>
            <w:tcW w:w="1153" w:type="dxa"/>
            <w:tcBorders>
              <w:top w:val="nil"/>
              <w:left w:val="nil"/>
              <w:bottom w:val="single" w:sz="4" w:space="0" w:color="BFBFBF"/>
              <w:right w:val="single" w:sz="4" w:space="0" w:color="BFBFBF"/>
            </w:tcBorders>
            <w:shd w:val="clear" w:color="000000" w:fill="F2F2F2"/>
            <w:noWrap/>
            <w:vAlign w:val="center"/>
            <w:hideMark/>
          </w:tcPr>
          <w:p w14:paraId="64A3A1B4"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6.4%</w:t>
            </w:r>
          </w:p>
        </w:tc>
        <w:tc>
          <w:tcPr>
            <w:tcW w:w="1154" w:type="dxa"/>
            <w:tcBorders>
              <w:top w:val="nil"/>
              <w:left w:val="nil"/>
              <w:bottom w:val="single" w:sz="4" w:space="0" w:color="BFBFBF"/>
              <w:right w:val="single" w:sz="4" w:space="0" w:color="BFBFBF"/>
            </w:tcBorders>
            <w:shd w:val="clear" w:color="000000" w:fill="F2F2F2"/>
            <w:noWrap/>
            <w:vAlign w:val="center"/>
            <w:hideMark/>
          </w:tcPr>
          <w:p w14:paraId="747F64C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6.8%</w:t>
            </w:r>
          </w:p>
        </w:tc>
        <w:tc>
          <w:tcPr>
            <w:tcW w:w="1153" w:type="dxa"/>
            <w:tcBorders>
              <w:top w:val="nil"/>
              <w:left w:val="nil"/>
              <w:bottom w:val="single" w:sz="4" w:space="0" w:color="BFBFBF"/>
              <w:right w:val="single" w:sz="4" w:space="0" w:color="BFBFBF"/>
            </w:tcBorders>
            <w:shd w:val="clear" w:color="000000" w:fill="F2F2F2"/>
            <w:noWrap/>
            <w:vAlign w:val="center"/>
            <w:hideMark/>
          </w:tcPr>
          <w:p w14:paraId="564955A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1.4%</w:t>
            </w:r>
          </w:p>
        </w:tc>
        <w:tc>
          <w:tcPr>
            <w:tcW w:w="1147" w:type="dxa"/>
            <w:tcBorders>
              <w:top w:val="nil"/>
              <w:left w:val="nil"/>
              <w:bottom w:val="single" w:sz="4" w:space="0" w:color="BFBFBF"/>
              <w:right w:val="single" w:sz="4" w:space="0" w:color="auto"/>
            </w:tcBorders>
            <w:shd w:val="clear" w:color="000000" w:fill="F2F2F2"/>
            <w:noWrap/>
            <w:vAlign w:val="center"/>
            <w:hideMark/>
          </w:tcPr>
          <w:p w14:paraId="5668703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2.5%</w:t>
            </w:r>
          </w:p>
        </w:tc>
      </w:tr>
      <w:tr w:rsidR="00EB6DC6" w:rsidRPr="00887119" w14:paraId="5F3D39B7" w14:textId="77777777" w:rsidTr="00C04C3D">
        <w:trPr>
          <w:trHeight w:val="402"/>
          <w:jc w:val="right"/>
        </w:trPr>
        <w:tc>
          <w:tcPr>
            <w:tcW w:w="3595" w:type="dxa"/>
            <w:tcBorders>
              <w:top w:val="nil"/>
              <w:left w:val="single" w:sz="4" w:space="0" w:color="auto"/>
              <w:bottom w:val="single" w:sz="4" w:space="0" w:color="BFBFBF"/>
              <w:right w:val="nil"/>
            </w:tcBorders>
            <w:noWrap/>
            <w:vAlign w:val="center"/>
            <w:hideMark/>
          </w:tcPr>
          <w:p w14:paraId="36B22C11"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Lone parent</w:t>
            </w:r>
          </w:p>
        </w:tc>
        <w:tc>
          <w:tcPr>
            <w:tcW w:w="1153" w:type="dxa"/>
            <w:tcBorders>
              <w:top w:val="nil"/>
              <w:left w:val="single" w:sz="4" w:space="0" w:color="auto"/>
              <w:bottom w:val="single" w:sz="4" w:space="0" w:color="BFBFBF"/>
              <w:right w:val="single" w:sz="4" w:space="0" w:color="auto"/>
            </w:tcBorders>
            <w:noWrap/>
            <w:vAlign w:val="center"/>
            <w:hideMark/>
          </w:tcPr>
          <w:p w14:paraId="6C51583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11.1%</w:t>
            </w:r>
          </w:p>
        </w:tc>
        <w:tc>
          <w:tcPr>
            <w:tcW w:w="1153" w:type="dxa"/>
            <w:tcBorders>
              <w:top w:val="nil"/>
              <w:left w:val="nil"/>
              <w:bottom w:val="single" w:sz="4" w:space="0" w:color="BFBFBF"/>
              <w:right w:val="single" w:sz="4" w:space="0" w:color="BFBFBF"/>
            </w:tcBorders>
            <w:noWrap/>
            <w:vAlign w:val="center"/>
            <w:hideMark/>
          </w:tcPr>
          <w:p w14:paraId="3E0B466A"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11.5%</w:t>
            </w:r>
          </w:p>
        </w:tc>
        <w:tc>
          <w:tcPr>
            <w:tcW w:w="1154" w:type="dxa"/>
            <w:tcBorders>
              <w:top w:val="nil"/>
              <w:left w:val="nil"/>
              <w:bottom w:val="single" w:sz="4" w:space="0" w:color="BFBFBF"/>
              <w:right w:val="single" w:sz="4" w:space="0" w:color="BFBFBF"/>
            </w:tcBorders>
            <w:noWrap/>
            <w:vAlign w:val="center"/>
            <w:hideMark/>
          </w:tcPr>
          <w:p w14:paraId="51991AFC"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9.0%</w:t>
            </w:r>
          </w:p>
        </w:tc>
        <w:tc>
          <w:tcPr>
            <w:tcW w:w="1153" w:type="dxa"/>
            <w:tcBorders>
              <w:top w:val="nil"/>
              <w:left w:val="nil"/>
              <w:bottom w:val="single" w:sz="4" w:space="0" w:color="BFBFBF"/>
              <w:right w:val="single" w:sz="4" w:space="0" w:color="BFBFBF"/>
            </w:tcBorders>
            <w:noWrap/>
            <w:vAlign w:val="center"/>
            <w:hideMark/>
          </w:tcPr>
          <w:p w14:paraId="79AD2483"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0.9%</w:t>
            </w:r>
          </w:p>
        </w:tc>
        <w:tc>
          <w:tcPr>
            <w:tcW w:w="1147" w:type="dxa"/>
            <w:tcBorders>
              <w:top w:val="nil"/>
              <w:left w:val="nil"/>
              <w:bottom w:val="single" w:sz="4" w:space="0" w:color="BFBFBF"/>
              <w:right w:val="single" w:sz="4" w:space="0" w:color="auto"/>
            </w:tcBorders>
            <w:noWrap/>
            <w:vAlign w:val="center"/>
            <w:hideMark/>
          </w:tcPr>
          <w:p w14:paraId="025EB62C"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4C674DAC" w14:textId="77777777" w:rsidTr="00C04C3D">
        <w:trPr>
          <w:trHeight w:val="402"/>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4ADC0892"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Female lone parent</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7641B78E"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11.5%</w:t>
            </w:r>
          </w:p>
        </w:tc>
        <w:tc>
          <w:tcPr>
            <w:tcW w:w="1153" w:type="dxa"/>
            <w:tcBorders>
              <w:top w:val="nil"/>
              <w:left w:val="nil"/>
              <w:bottom w:val="single" w:sz="4" w:space="0" w:color="BFBFBF"/>
              <w:right w:val="single" w:sz="4" w:space="0" w:color="BFBFBF"/>
            </w:tcBorders>
            <w:shd w:val="clear" w:color="000000" w:fill="F2F2F2"/>
            <w:noWrap/>
            <w:vAlign w:val="center"/>
            <w:hideMark/>
          </w:tcPr>
          <w:p w14:paraId="7366B68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12.2%</w:t>
            </w:r>
          </w:p>
        </w:tc>
        <w:tc>
          <w:tcPr>
            <w:tcW w:w="1154" w:type="dxa"/>
            <w:tcBorders>
              <w:top w:val="nil"/>
              <w:left w:val="nil"/>
              <w:bottom w:val="single" w:sz="4" w:space="0" w:color="BFBFBF"/>
              <w:right w:val="single" w:sz="4" w:space="0" w:color="BFBFBF"/>
            </w:tcBorders>
            <w:shd w:val="clear" w:color="000000" w:fill="F2F2F2"/>
            <w:noWrap/>
            <w:vAlign w:val="center"/>
            <w:hideMark/>
          </w:tcPr>
          <w:p w14:paraId="467469B3"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8.6%</w:t>
            </w:r>
          </w:p>
        </w:tc>
        <w:tc>
          <w:tcPr>
            <w:tcW w:w="1153" w:type="dxa"/>
            <w:tcBorders>
              <w:top w:val="nil"/>
              <w:left w:val="nil"/>
              <w:bottom w:val="single" w:sz="4" w:space="0" w:color="BFBFBF"/>
              <w:right w:val="single" w:sz="4" w:space="0" w:color="BFBFBF"/>
            </w:tcBorders>
            <w:shd w:val="clear" w:color="000000" w:fill="F2F2F2"/>
            <w:noWrap/>
            <w:vAlign w:val="center"/>
            <w:hideMark/>
          </w:tcPr>
          <w:p w14:paraId="7B07D52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1.2%</w:t>
            </w:r>
          </w:p>
        </w:tc>
        <w:tc>
          <w:tcPr>
            <w:tcW w:w="1147" w:type="dxa"/>
            <w:tcBorders>
              <w:top w:val="nil"/>
              <w:left w:val="nil"/>
              <w:bottom w:val="single" w:sz="4" w:space="0" w:color="BFBFBF"/>
              <w:right w:val="single" w:sz="4" w:space="0" w:color="auto"/>
            </w:tcBorders>
            <w:shd w:val="clear" w:color="000000" w:fill="F2F2F2"/>
            <w:noWrap/>
            <w:vAlign w:val="center"/>
            <w:hideMark/>
          </w:tcPr>
          <w:p w14:paraId="76897DA0"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4.7%</w:t>
            </w:r>
          </w:p>
        </w:tc>
      </w:tr>
      <w:tr w:rsidR="00EB6DC6" w:rsidRPr="00887119" w14:paraId="65C4D999" w14:textId="77777777" w:rsidTr="00C04C3D">
        <w:trPr>
          <w:trHeight w:val="402"/>
          <w:jc w:val="right"/>
        </w:trPr>
        <w:tc>
          <w:tcPr>
            <w:tcW w:w="3595" w:type="dxa"/>
            <w:tcBorders>
              <w:top w:val="nil"/>
              <w:left w:val="single" w:sz="4" w:space="0" w:color="auto"/>
              <w:bottom w:val="single" w:sz="4" w:space="0" w:color="BFBFBF"/>
              <w:right w:val="nil"/>
            </w:tcBorders>
            <w:noWrap/>
            <w:vAlign w:val="center"/>
            <w:hideMark/>
          </w:tcPr>
          <w:p w14:paraId="321BAED4"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Women+ led household</w:t>
            </w:r>
          </w:p>
        </w:tc>
        <w:tc>
          <w:tcPr>
            <w:tcW w:w="1153" w:type="dxa"/>
            <w:tcBorders>
              <w:top w:val="nil"/>
              <w:left w:val="single" w:sz="4" w:space="0" w:color="auto"/>
              <w:bottom w:val="single" w:sz="4" w:space="0" w:color="BFBFBF"/>
              <w:right w:val="single" w:sz="4" w:space="0" w:color="auto"/>
            </w:tcBorders>
            <w:noWrap/>
            <w:vAlign w:val="center"/>
            <w:hideMark/>
          </w:tcPr>
          <w:p w14:paraId="6B0ED1B5"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8.7%</w:t>
            </w:r>
          </w:p>
        </w:tc>
        <w:tc>
          <w:tcPr>
            <w:tcW w:w="1153" w:type="dxa"/>
            <w:tcBorders>
              <w:top w:val="nil"/>
              <w:left w:val="nil"/>
              <w:bottom w:val="single" w:sz="4" w:space="0" w:color="BFBFBF"/>
              <w:right w:val="single" w:sz="4" w:space="0" w:color="BFBFBF"/>
            </w:tcBorders>
            <w:noWrap/>
            <w:vAlign w:val="center"/>
            <w:hideMark/>
          </w:tcPr>
          <w:p w14:paraId="5676FC6A"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9.7%</w:t>
            </w:r>
          </w:p>
        </w:tc>
        <w:tc>
          <w:tcPr>
            <w:tcW w:w="1154" w:type="dxa"/>
            <w:tcBorders>
              <w:top w:val="nil"/>
              <w:left w:val="nil"/>
              <w:bottom w:val="single" w:sz="4" w:space="0" w:color="BFBFBF"/>
              <w:right w:val="single" w:sz="4" w:space="0" w:color="BFBFBF"/>
            </w:tcBorders>
            <w:noWrap/>
            <w:vAlign w:val="center"/>
            <w:hideMark/>
          </w:tcPr>
          <w:p w14:paraId="2DBE535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11.7%</w:t>
            </w:r>
          </w:p>
        </w:tc>
        <w:tc>
          <w:tcPr>
            <w:tcW w:w="1153" w:type="dxa"/>
            <w:tcBorders>
              <w:top w:val="nil"/>
              <w:left w:val="nil"/>
              <w:bottom w:val="single" w:sz="4" w:space="0" w:color="BFBFBF"/>
              <w:right w:val="single" w:sz="4" w:space="0" w:color="BFBFBF"/>
            </w:tcBorders>
            <w:noWrap/>
            <w:vAlign w:val="center"/>
            <w:hideMark/>
          </w:tcPr>
          <w:p w14:paraId="7990DCF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3.0%</w:t>
            </w:r>
          </w:p>
        </w:tc>
        <w:tc>
          <w:tcPr>
            <w:tcW w:w="1147" w:type="dxa"/>
            <w:tcBorders>
              <w:top w:val="nil"/>
              <w:left w:val="nil"/>
              <w:bottom w:val="single" w:sz="4" w:space="0" w:color="BFBFBF"/>
              <w:right w:val="single" w:sz="4" w:space="0" w:color="auto"/>
            </w:tcBorders>
            <w:noWrap/>
            <w:vAlign w:val="center"/>
            <w:hideMark/>
          </w:tcPr>
          <w:p w14:paraId="457ADDAE"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5.6%</w:t>
            </w:r>
          </w:p>
        </w:tc>
      </w:tr>
      <w:tr w:rsidR="00EB6DC6" w:rsidRPr="00887119" w14:paraId="54B8B491" w14:textId="77777777" w:rsidTr="00C04C3D">
        <w:trPr>
          <w:trHeight w:val="402"/>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4BDCB6A5"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Single person</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6D57BFA4"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16.6%</w:t>
            </w:r>
          </w:p>
        </w:tc>
        <w:tc>
          <w:tcPr>
            <w:tcW w:w="1153" w:type="dxa"/>
            <w:tcBorders>
              <w:top w:val="nil"/>
              <w:left w:val="nil"/>
              <w:bottom w:val="single" w:sz="4" w:space="0" w:color="BFBFBF"/>
              <w:right w:val="single" w:sz="4" w:space="0" w:color="BFBFBF"/>
            </w:tcBorders>
            <w:shd w:val="clear" w:color="000000" w:fill="F2F2F2"/>
            <w:noWrap/>
            <w:vAlign w:val="center"/>
            <w:hideMark/>
          </w:tcPr>
          <w:p w14:paraId="2B0A50C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15.8%</w:t>
            </w:r>
          </w:p>
        </w:tc>
        <w:tc>
          <w:tcPr>
            <w:tcW w:w="1154" w:type="dxa"/>
            <w:tcBorders>
              <w:top w:val="nil"/>
              <w:left w:val="nil"/>
              <w:bottom w:val="single" w:sz="4" w:space="0" w:color="BFBFBF"/>
              <w:right w:val="single" w:sz="4" w:space="0" w:color="BFBFBF"/>
            </w:tcBorders>
            <w:shd w:val="clear" w:color="000000" w:fill="F2F2F2"/>
            <w:noWrap/>
            <w:vAlign w:val="center"/>
            <w:hideMark/>
          </w:tcPr>
          <w:p w14:paraId="45C8C9E4"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22.3%</w:t>
            </w:r>
          </w:p>
        </w:tc>
        <w:tc>
          <w:tcPr>
            <w:tcW w:w="1153" w:type="dxa"/>
            <w:tcBorders>
              <w:top w:val="nil"/>
              <w:left w:val="nil"/>
              <w:bottom w:val="single" w:sz="4" w:space="0" w:color="BFBFBF"/>
              <w:right w:val="single" w:sz="4" w:space="0" w:color="BFBFBF"/>
            </w:tcBorders>
            <w:shd w:val="clear" w:color="000000" w:fill="F2F2F2"/>
            <w:noWrap/>
            <w:vAlign w:val="center"/>
            <w:hideMark/>
          </w:tcPr>
          <w:p w14:paraId="42F5F82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8.1%</w:t>
            </w:r>
          </w:p>
        </w:tc>
        <w:tc>
          <w:tcPr>
            <w:tcW w:w="1147" w:type="dxa"/>
            <w:tcBorders>
              <w:top w:val="nil"/>
              <w:left w:val="nil"/>
              <w:bottom w:val="single" w:sz="4" w:space="0" w:color="BFBFBF"/>
              <w:right w:val="single" w:sz="4" w:space="0" w:color="auto"/>
            </w:tcBorders>
            <w:shd w:val="clear" w:color="000000" w:fill="F2F2F2"/>
            <w:noWrap/>
            <w:vAlign w:val="center"/>
            <w:hideMark/>
          </w:tcPr>
          <w:p w14:paraId="713D150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14.1%</w:t>
            </w:r>
          </w:p>
        </w:tc>
      </w:tr>
      <w:tr w:rsidR="00EB6DC6" w:rsidRPr="00887119" w14:paraId="6DD8FAE9" w14:textId="77777777" w:rsidTr="00C04C3D">
        <w:trPr>
          <w:trHeight w:val="402"/>
          <w:jc w:val="right"/>
        </w:trPr>
        <w:tc>
          <w:tcPr>
            <w:tcW w:w="3595" w:type="dxa"/>
            <w:tcBorders>
              <w:top w:val="nil"/>
              <w:left w:val="single" w:sz="4" w:space="0" w:color="auto"/>
              <w:bottom w:val="single" w:sz="4" w:space="0" w:color="BFBFBF"/>
              <w:right w:val="nil"/>
            </w:tcBorders>
            <w:noWrap/>
            <w:vAlign w:val="center"/>
            <w:hideMark/>
          </w:tcPr>
          <w:p w14:paraId="4CF403D4"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Indigenous household</w:t>
            </w:r>
          </w:p>
        </w:tc>
        <w:tc>
          <w:tcPr>
            <w:tcW w:w="1153" w:type="dxa"/>
            <w:tcBorders>
              <w:top w:val="nil"/>
              <w:left w:val="single" w:sz="4" w:space="0" w:color="auto"/>
              <w:bottom w:val="single" w:sz="4" w:space="0" w:color="BFBFBF"/>
              <w:right w:val="single" w:sz="4" w:space="0" w:color="auto"/>
            </w:tcBorders>
            <w:noWrap/>
            <w:vAlign w:val="center"/>
            <w:hideMark/>
          </w:tcPr>
          <w:p w14:paraId="4843BE1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9.0%</w:t>
            </w:r>
          </w:p>
        </w:tc>
        <w:tc>
          <w:tcPr>
            <w:tcW w:w="1153" w:type="dxa"/>
            <w:tcBorders>
              <w:top w:val="nil"/>
              <w:left w:val="nil"/>
              <w:bottom w:val="single" w:sz="4" w:space="0" w:color="BFBFBF"/>
              <w:right w:val="single" w:sz="4" w:space="0" w:color="BFBFBF"/>
            </w:tcBorders>
            <w:noWrap/>
            <w:vAlign w:val="center"/>
            <w:hideMark/>
          </w:tcPr>
          <w:p w14:paraId="67E784C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10.6%</w:t>
            </w:r>
          </w:p>
        </w:tc>
        <w:tc>
          <w:tcPr>
            <w:tcW w:w="1154" w:type="dxa"/>
            <w:tcBorders>
              <w:top w:val="nil"/>
              <w:left w:val="nil"/>
              <w:bottom w:val="single" w:sz="4" w:space="0" w:color="BFBFBF"/>
              <w:right w:val="single" w:sz="4" w:space="0" w:color="BFBFBF"/>
            </w:tcBorders>
            <w:noWrap/>
            <w:vAlign w:val="center"/>
            <w:hideMark/>
          </w:tcPr>
          <w:p w14:paraId="37DE572F"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3" w:type="dxa"/>
            <w:tcBorders>
              <w:top w:val="nil"/>
              <w:left w:val="nil"/>
              <w:bottom w:val="single" w:sz="4" w:space="0" w:color="BFBFBF"/>
              <w:right w:val="single" w:sz="4" w:space="0" w:color="BFBFBF"/>
            </w:tcBorders>
            <w:noWrap/>
            <w:vAlign w:val="center"/>
            <w:hideMark/>
          </w:tcPr>
          <w:p w14:paraId="67C36E14"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noWrap/>
            <w:vAlign w:val="center"/>
            <w:hideMark/>
          </w:tcPr>
          <w:p w14:paraId="4F62E475"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11B0879A" w14:textId="77777777" w:rsidTr="00C04C3D">
        <w:trPr>
          <w:trHeight w:val="402"/>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381EA8EB"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Visible minority household</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0B4304FC"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9.1%</w:t>
            </w:r>
          </w:p>
        </w:tc>
        <w:tc>
          <w:tcPr>
            <w:tcW w:w="1153" w:type="dxa"/>
            <w:tcBorders>
              <w:top w:val="nil"/>
              <w:left w:val="nil"/>
              <w:bottom w:val="single" w:sz="4" w:space="0" w:color="BFBFBF"/>
              <w:right w:val="single" w:sz="4" w:space="0" w:color="BFBFBF"/>
            </w:tcBorders>
            <w:shd w:val="clear" w:color="000000" w:fill="F2F2F2"/>
            <w:noWrap/>
            <w:vAlign w:val="center"/>
            <w:hideMark/>
          </w:tcPr>
          <w:p w14:paraId="462687C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10.0%</w:t>
            </w:r>
          </w:p>
        </w:tc>
        <w:tc>
          <w:tcPr>
            <w:tcW w:w="1154" w:type="dxa"/>
            <w:tcBorders>
              <w:top w:val="nil"/>
              <w:left w:val="nil"/>
              <w:bottom w:val="single" w:sz="4" w:space="0" w:color="BFBFBF"/>
              <w:right w:val="single" w:sz="4" w:space="0" w:color="BFBFBF"/>
            </w:tcBorders>
            <w:shd w:val="clear" w:color="000000" w:fill="F2F2F2"/>
            <w:noWrap/>
            <w:vAlign w:val="center"/>
            <w:hideMark/>
          </w:tcPr>
          <w:p w14:paraId="4F3452E8"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6.4%</w:t>
            </w:r>
          </w:p>
        </w:tc>
        <w:tc>
          <w:tcPr>
            <w:tcW w:w="1153" w:type="dxa"/>
            <w:tcBorders>
              <w:top w:val="nil"/>
              <w:left w:val="nil"/>
              <w:bottom w:val="single" w:sz="4" w:space="0" w:color="BFBFBF"/>
              <w:right w:val="single" w:sz="4" w:space="0" w:color="BFBFBF"/>
            </w:tcBorders>
            <w:shd w:val="clear" w:color="000000" w:fill="F2F2F2"/>
            <w:noWrap/>
            <w:vAlign w:val="center"/>
            <w:hideMark/>
          </w:tcPr>
          <w:p w14:paraId="255D7828"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shd w:val="clear" w:color="000000" w:fill="F2F2F2"/>
            <w:noWrap/>
            <w:vAlign w:val="center"/>
            <w:hideMark/>
          </w:tcPr>
          <w:p w14:paraId="0DD76343"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0686D790" w14:textId="77777777" w:rsidTr="00C04C3D">
        <w:trPr>
          <w:trHeight w:val="402"/>
          <w:jc w:val="right"/>
        </w:trPr>
        <w:tc>
          <w:tcPr>
            <w:tcW w:w="3595" w:type="dxa"/>
            <w:tcBorders>
              <w:top w:val="nil"/>
              <w:left w:val="single" w:sz="4" w:space="0" w:color="auto"/>
              <w:bottom w:val="single" w:sz="4" w:space="0" w:color="BFBFBF"/>
              <w:right w:val="nil"/>
            </w:tcBorders>
            <w:noWrap/>
            <w:vAlign w:val="center"/>
            <w:hideMark/>
          </w:tcPr>
          <w:p w14:paraId="3C4ED1F9"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Immigrant led household</w:t>
            </w:r>
          </w:p>
        </w:tc>
        <w:tc>
          <w:tcPr>
            <w:tcW w:w="1153" w:type="dxa"/>
            <w:tcBorders>
              <w:top w:val="nil"/>
              <w:left w:val="single" w:sz="4" w:space="0" w:color="auto"/>
              <w:bottom w:val="single" w:sz="4" w:space="0" w:color="BFBFBF"/>
              <w:right w:val="single" w:sz="4" w:space="0" w:color="auto"/>
            </w:tcBorders>
            <w:noWrap/>
            <w:vAlign w:val="center"/>
            <w:hideMark/>
          </w:tcPr>
          <w:p w14:paraId="36DA0BAF"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8.7%</w:t>
            </w:r>
          </w:p>
        </w:tc>
        <w:tc>
          <w:tcPr>
            <w:tcW w:w="1153" w:type="dxa"/>
            <w:tcBorders>
              <w:top w:val="nil"/>
              <w:left w:val="nil"/>
              <w:bottom w:val="single" w:sz="4" w:space="0" w:color="BFBFBF"/>
              <w:right w:val="single" w:sz="4" w:space="0" w:color="BFBFBF"/>
            </w:tcBorders>
            <w:noWrap/>
            <w:vAlign w:val="center"/>
            <w:hideMark/>
          </w:tcPr>
          <w:p w14:paraId="0355D67F"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9.0%</w:t>
            </w:r>
          </w:p>
        </w:tc>
        <w:tc>
          <w:tcPr>
            <w:tcW w:w="1154" w:type="dxa"/>
            <w:tcBorders>
              <w:top w:val="nil"/>
              <w:left w:val="nil"/>
              <w:bottom w:val="single" w:sz="4" w:space="0" w:color="BFBFBF"/>
              <w:right w:val="single" w:sz="4" w:space="0" w:color="BFBFBF"/>
            </w:tcBorders>
            <w:noWrap/>
            <w:vAlign w:val="center"/>
            <w:hideMark/>
          </w:tcPr>
          <w:p w14:paraId="0F1280A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5.5%</w:t>
            </w:r>
          </w:p>
        </w:tc>
        <w:tc>
          <w:tcPr>
            <w:tcW w:w="1153" w:type="dxa"/>
            <w:tcBorders>
              <w:top w:val="nil"/>
              <w:left w:val="nil"/>
              <w:bottom w:val="single" w:sz="4" w:space="0" w:color="BFBFBF"/>
              <w:right w:val="single" w:sz="4" w:space="0" w:color="BFBFBF"/>
            </w:tcBorders>
            <w:noWrap/>
            <w:vAlign w:val="center"/>
            <w:hideMark/>
          </w:tcPr>
          <w:p w14:paraId="53DE818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noWrap/>
            <w:vAlign w:val="center"/>
            <w:hideMark/>
          </w:tcPr>
          <w:p w14:paraId="1A1CD3DE"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61EE13EB" w14:textId="77777777" w:rsidTr="00DD6288">
        <w:trPr>
          <w:trHeight w:val="575"/>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7E08688E"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Recent immigrants (2016 to 2021) led household</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23A0071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9.1%</w:t>
            </w:r>
          </w:p>
        </w:tc>
        <w:tc>
          <w:tcPr>
            <w:tcW w:w="1153" w:type="dxa"/>
            <w:tcBorders>
              <w:top w:val="nil"/>
              <w:left w:val="nil"/>
              <w:bottom w:val="single" w:sz="4" w:space="0" w:color="BFBFBF"/>
              <w:right w:val="single" w:sz="4" w:space="0" w:color="BFBFBF"/>
            </w:tcBorders>
            <w:shd w:val="clear" w:color="000000" w:fill="F2F2F2"/>
            <w:noWrap/>
            <w:vAlign w:val="center"/>
            <w:hideMark/>
          </w:tcPr>
          <w:p w14:paraId="3BF9F908"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9.5%</w:t>
            </w:r>
          </w:p>
        </w:tc>
        <w:tc>
          <w:tcPr>
            <w:tcW w:w="1154" w:type="dxa"/>
            <w:tcBorders>
              <w:top w:val="nil"/>
              <w:left w:val="nil"/>
              <w:bottom w:val="single" w:sz="4" w:space="0" w:color="BFBFBF"/>
              <w:right w:val="single" w:sz="4" w:space="0" w:color="BFBFBF"/>
            </w:tcBorders>
            <w:shd w:val="clear" w:color="000000" w:fill="F2F2F2"/>
            <w:noWrap/>
            <w:vAlign w:val="center"/>
            <w:hideMark/>
          </w:tcPr>
          <w:p w14:paraId="7FD36CE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3" w:type="dxa"/>
            <w:tcBorders>
              <w:top w:val="nil"/>
              <w:left w:val="nil"/>
              <w:bottom w:val="single" w:sz="4" w:space="0" w:color="BFBFBF"/>
              <w:right w:val="single" w:sz="4" w:space="0" w:color="BFBFBF"/>
            </w:tcBorders>
            <w:shd w:val="clear" w:color="000000" w:fill="F2F2F2"/>
            <w:noWrap/>
            <w:vAlign w:val="center"/>
            <w:hideMark/>
          </w:tcPr>
          <w:p w14:paraId="6D06320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shd w:val="clear" w:color="000000" w:fill="F2F2F2"/>
            <w:noWrap/>
            <w:vAlign w:val="center"/>
            <w:hideMark/>
          </w:tcPr>
          <w:p w14:paraId="21B9713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6EFC458C" w14:textId="77777777" w:rsidTr="00C04C3D">
        <w:trPr>
          <w:trHeight w:val="402"/>
          <w:jc w:val="right"/>
        </w:trPr>
        <w:tc>
          <w:tcPr>
            <w:tcW w:w="3595" w:type="dxa"/>
            <w:tcBorders>
              <w:top w:val="nil"/>
              <w:left w:val="single" w:sz="4" w:space="0" w:color="auto"/>
              <w:bottom w:val="single" w:sz="4" w:space="0" w:color="BFBFBF"/>
              <w:right w:val="nil"/>
            </w:tcBorders>
            <w:noWrap/>
            <w:vAlign w:val="center"/>
            <w:hideMark/>
          </w:tcPr>
          <w:p w14:paraId="057F18BC"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Refugee led household</w:t>
            </w:r>
          </w:p>
        </w:tc>
        <w:tc>
          <w:tcPr>
            <w:tcW w:w="1153" w:type="dxa"/>
            <w:tcBorders>
              <w:top w:val="nil"/>
              <w:left w:val="single" w:sz="4" w:space="0" w:color="auto"/>
              <w:bottom w:val="single" w:sz="4" w:space="0" w:color="BFBFBF"/>
              <w:right w:val="single" w:sz="4" w:space="0" w:color="auto"/>
            </w:tcBorders>
            <w:noWrap/>
            <w:vAlign w:val="center"/>
            <w:hideMark/>
          </w:tcPr>
          <w:p w14:paraId="77E4892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15.2%</w:t>
            </w:r>
          </w:p>
        </w:tc>
        <w:tc>
          <w:tcPr>
            <w:tcW w:w="1153" w:type="dxa"/>
            <w:tcBorders>
              <w:top w:val="nil"/>
              <w:left w:val="nil"/>
              <w:bottom w:val="single" w:sz="4" w:space="0" w:color="BFBFBF"/>
              <w:right w:val="single" w:sz="4" w:space="0" w:color="BFBFBF"/>
            </w:tcBorders>
            <w:noWrap/>
            <w:vAlign w:val="center"/>
            <w:hideMark/>
          </w:tcPr>
          <w:p w14:paraId="57743CB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12.1%</w:t>
            </w:r>
          </w:p>
        </w:tc>
        <w:tc>
          <w:tcPr>
            <w:tcW w:w="1154" w:type="dxa"/>
            <w:tcBorders>
              <w:top w:val="nil"/>
              <w:left w:val="nil"/>
              <w:bottom w:val="single" w:sz="4" w:space="0" w:color="BFBFBF"/>
              <w:right w:val="single" w:sz="4" w:space="0" w:color="BFBFBF"/>
            </w:tcBorders>
            <w:noWrap/>
            <w:vAlign w:val="center"/>
            <w:hideMark/>
          </w:tcPr>
          <w:p w14:paraId="214AAACD" w14:textId="214152AD" w:rsidR="00EB6DC6" w:rsidRPr="00E043E3" w:rsidRDefault="00C04C3D"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3" w:type="dxa"/>
            <w:tcBorders>
              <w:top w:val="nil"/>
              <w:left w:val="nil"/>
              <w:bottom w:val="single" w:sz="4" w:space="0" w:color="BFBFBF"/>
              <w:right w:val="single" w:sz="4" w:space="0" w:color="BFBFBF"/>
            </w:tcBorders>
            <w:noWrap/>
            <w:vAlign w:val="center"/>
            <w:hideMark/>
          </w:tcPr>
          <w:p w14:paraId="48873E48" w14:textId="0A6B9870" w:rsidR="00EB6DC6" w:rsidRPr="00E043E3" w:rsidRDefault="00C04C3D"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noWrap/>
            <w:vAlign w:val="center"/>
            <w:hideMark/>
          </w:tcPr>
          <w:p w14:paraId="076D38C3" w14:textId="58FE406D" w:rsidR="00EB6DC6" w:rsidRPr="00E043E3" w:rsidRDefault="00C04C3D"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689E62A1" w14:textId="77777777" w:rsidTr="00C04C3D">
        <w:trPr>
          <w:trHeight w:val="402"/>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5F04FD86"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Non-permanent resident led household</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5D7EECA6"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11.3%</w:t>
            </w:r>
          </w:p>
        </w:tc>
        <w:tc>
          <w:tcPr>
            <w:tcW w:w="1153" w:type="dxa"/>
            <w:tcBorders>
              <w:top w:val="nil"/>
              <w:left w:val="nil"/>
              <w:bottom w:val="single" w:sz="4" w:space="0" w:color="BFBFBF"/>
              <w:right w:val="single" w:sz="4" w:space="0" w:color="BFBFBF"/>
            </w:tcBorders>
            <w:shd w:val="clear" w:color="000000" w:fill="F2F2F2"/>
            <w:noWrap/>
            <w:vAlign w:val="center"/>
            <w:hideMark/>
          </w:tcPr>
          <w:p w14:paraId="42549A78"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10.1%</w:t>
            </w:r>
          </w:p>
        </w:tc>
        <w:tc>
          <w:tcPr>
            <w:tcW w:w="1154" w:type="dxa"/>
            <w:tcBorders>
              <w:top w:val="nil"/>
              <w:left w:val="nil"/>
              <w:bottom w:val="single" w:sz="4" w:space="0" w:color="BFBFBF"/>
              <w:right w:val="single" w:sz="4" w:space="0" w:color="BFBFBF"/>
            </w:tcBorders>
            <w:shd w:val="clear" w:color="000000" w:fill="F2F2F2"/>
            <w:noWrap/>
            <w:vAlign w:val="center"/>
            <w:hideMark/>
          </w:tcPr>
          <w:p w14:paraId="42B6B26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3" w:type="dxa"/>
            <w:tcBorders>
              <w:top w:val="nil"/>
              <w:left w:val="nil"/>
              <w:bottom w:val="single" w:sz="4" w:space="0" w:color="BFBFBF"/>
              <w:right w:val="single" w:sz="4" w:space="0" w:color="BFBFBF"/>
            </w:tcBorders>
            <w:shd w:val="clear" w:color="000000" w:fill="F2F2F2"/>
            <w:noWrap/>
            <w:vAlign w:val="center"/>
            <w:hideMark/>
          </w:tcPr>
          <w:p w14:paraId="75E60355"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shd w:val="clear" w:color="000000" w:fill="F2F2F2"/>
            <w:noWrap/>
            <w:vAlign w:val="center"/>
            <w:hideMark/>
          </w:tcPr>
          <w:p w14:paraId="141ADAC1" w14:textId="33CFA893" w:rsidR="00EB6DC6" w:rsidRPr="00E043E3" w:rsidRDefault="00C04C3D"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557C1E7E" w14:textId="77777777" w:rsidTr="00DD6288">
        <w:trPr>
          <w:trHeight w:val="602"/>
          <w:jc w:val="right"/>
        </w:trPr>
        <w:tc>
          <w:tcPr>
            <w:tcW w:w="3595" w:type="dxa"/>
            <w:tcBorders>
              <w:top w:val="nil"/>
              <w:left w:val="single" w:sz="4" w:space="0" w:color="auto"/>
              <w:bottom w:val="single" w:sz="4" w:space="0" w:color="BFBFBF"/>
              <w:right w:val="nil"/>
            </w:tcBorders>
            <w:noWrap/>
            <w:vAlign w:val="center"/>
            <w:hideMark/>
          </w:tcPr>
          <w:p w14:paraId="1F3AAA0F"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Young adult (&lt;25 years old) led household</w:t>
            </w:r>
          </w:p>
        </w:tc>
        <w:tc>
          <w:tcPr>
            <w:tcW w:w="1153" w:type="dxa"/>
            <w:tcBorders>
              <w:top w:val="nil"/>
              <w:left w:val="single" w:sz="4" w:space="0" w:color="auto"/>
              <w:bottom w:val="single" w:sz="4" w:space="0" w:color="BFBFBF"/>
              <w:right w:val="single" w:sz="4" w:space="0" w:color="auto"/>
            </w:tcBorders>
            <w:noWrap/>
            <w:vAlign w:val="center"/>
            <w:hideMark/>
          </w:tcPr>
          <w:p w14:paraId="289AC6AF"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7.6%</w:t>
            </w:r>
          </w:p>
        </w:tc>
        <w:tc>
          <w:tcPr>
            <w:tcW w:w="1153" w:type="dxa"/>
            <w:tcBorders>
              <w:top w:val="nil"/>
              <w:left w:val="nil"/>
              <w:bottom w:val="single" w:sz="4" w:space="0" w:color="BFBFBF"/>
              <w:right w:val="single" w:sz="4" w:space="0" w:color="BFBFBF"/>
            </w:tcBorders>
            <w:noWrap/>
            <w:vAlign w:val="center"/>
            <w:hideMark/>
          </w:tcPr>
          <w:p w14:paraId="23E29C0C"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6.8%</w:t>
            </w:r>
          </w:p>
        </w:tc>
        <w:tc>
          <w:tcPr>
            <w:tcW w:w="1154" w:type="dxa"/>
            <w:tcBorders>
              <w:top w:val="nil"/>
              <w:left w:val="nil"/>
              <w:bottom w:val="single" w:sz="4" w:space="0" w:color="BFBFBF"/>
              <w:right w:val="single" w:sz="4" w:space="0" w:color="BFBFBF"/>
            </w:tcBorders>
            <w:noWrap/>
            <w:vAlign w:val="center"/>
            <w:hideMark/>
          </w:tcPr>
          <w:p w14:paraId="47892C4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3" w:type="dxa"/>
            <w:tcBorders>
              <w:top w:val="nil"/>
              <w:left w:val="nil"/>
              <w:bottom w:val="single" w:sz="4" w:space="0" w:color="BFBFBF"/>
              <w:right w:val="single" w:sz="4" w:space="0" w:color="BFBFBF"/>
            </w:tcBorders>
            <w:noWrap/>
            <w:vAlign w:val="center"/>
            <w:hideMark/>
          </w:tcPr>
          <w:p w14:paraId="7474C1A3"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noWrap/>
            <w:vAlign w:val="center"/>
            <w:hideMark/>
          </w:tcPr>
          <w:p w14:paraId="3E35713E"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42A1B45F" w14:textId="77777777" w:rsidTr="00C04C3D">
        <w:trPr>
          <w:trHeight w:val="402"/>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15AAAD74"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Senior (65+ years old) led household</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4FCD0146"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8.1%</w:t>
            </w:r>
          </w:p>
        </w:tc>
        <w:tc>
          <w:tcPr>
            <w:tcW w:w="1153" w:type="dxa"/>
            <w:tcBorders>
              <w:top w:val="nil"/>
              <w:left w:val="nil"/>
              <w:bottom w:val="single" w:sz="4" w:space="0" w:color="BFBFBF"/>
              <w:right w:val="single" w:sz="4" w:space="0" w:color="BFBFBF"/>
            </w:tcBorders>
            <w:shd w:val="clear" w:color="000000" w:fill="F2F2F2"/>
            <w:noWrap/>
            <w:vAlign w:val="center"/>
            <w:hideMark/>
          </w:tcPr>
          <w:p w14:paraId="2A458BB5"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8.4%</w:t>
            </w:r>
          </w:p>
        </w:tc>
        <w:tc>
          <w:tcPr>
            <w:tcW w:w="1154" w:type="dxa"/>
            <w:tcBorders>
              <w:top w:val="nil"/>
              <w:left w:val="nil"/>
              <w:bottom w:val="single" w:sz="4" w:space="0" w:color="BFBFBF"/>
              <w:right w:val="single" w:sz="4" w:space="0" w:color="BFBFBF"/>
            </w:tcBorders>
            <w:shd w:val="clear" w:color="000000" w:fill="F2F2F2"/>
            <w:noWrap/>
            <w:vAlign w:val="center"/>
            <w:hideMark/>
          </w:tcPr>
          <w:p w14:paraId="490D572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11.5%</w:t>
            </w:r>
          </w:p>
        </w:tc>
        <w:tc>
          <w:tcPr>
            <w:tcW w:w="1153" w:type="dxa"/>
            <w:tcBorders>
              <w:top w:val="nil"/>
              <w:left w:val="nil"/>
              <w:bottom w:val="single" w:sz="4" w:space="0" w:color="BFBFBF"/>
              <w:right w:val="single" w:sz="4" w:space="0" w:color="BFBFBF"/>
            </w:tcBorders>
            <w:shd w:val="clear" w:color="000000" w:fill="F2F2F2"/>
            <w:noWrap/>
            <w:vAlign w:val="center"/>
            <w:hideMark/>
          </w:tcPr>
          <w:p w14:paraId="1FD62A9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2.5%</w:t>
            </w:r>
          </w:p>
        </w:tc>
        <w:tc>
          <w:tcPr>
            <w:tcW w:w="1147" w:type="dxa"/>
            <w:tcBorders>
              <w:top w:val="nil"/>
              <w:left w:val="nil"/>
              <w:bottom w:val="single" w:sz="4" w:space="0" w:color="BFBFBF"/>
              <w:right w:val="single" w:sz="4" w:space="0" w:color="auto"/>
            </w:tcBorders>
            <w:shd w:val="clear" w:color="000000" w:fill="F2F2F2"/>
            <w:noWrap/>
            <w:vAlign w:val="center"/>
            <w:hideMark/>
          </w:tcPr>
          <w:p w14:paraId="762BF8F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2.6%</w:t>
            </w:r>
          </w:p>
        </w:tc>
      </w:tr>
      <w:tr w:rsidR="00EB6DC6" w:rsidRPr="00887119" w14:paraId="7CF51765" w14:textId="77777777" w:rsidTr="00C04C3D">
        <w:trPr>
          <w:trHeight w:val="402"/>
          <w:jc w:val="right"/>
        </w:trPr>
        <w:tc>
          <w:tcPr>
            <w:tcW w:w="3595" w:type="dxa"/>
            <w:tcBorders>
              <w:top w:val="nil"/>
              <w:left w:val="single" w:sz="4" w:space="0" w:color="auto"/>
              <w:bottom w:val="single" w:sz="4" w:space="0" w:color="BFBFBF"/>
              <w:right w:val="nil"/>
            </w:tcBorders>
            <w:noWrap/>
            <w:vAlign w:val="center"/>
            <w:hideMark/>
          </w:tcPr>
          <w:p w14:paraId="50916931"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Elderly (85+ years old) led household</w:t>
            </w:r>
          </w:p>
        </w:tc>
        <w:tc>
          <w:tcPr>
            <w:tcW w:w="1153" w:type="dxa"/>
            <w:tcBorders>
              <w:top w:val="nil"/>
              <w:left w:val="single" w:sz="4" w:space="0" w:color="auto"/>
              <w:bottom w:val="single" w:sz="4" w:space="0" w:color="BFBFBF"/>
              <w:right w:val="single" w:sz="4" w:space="0" w:color="auto"/>
            </w:tcBorders>
            <w:noWrap/>
            <w:vAlign w:val="center"/>
            <w:hideMark/>
          </w:tcPr>
          <w:p w14:paraId="757D5DF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14.6%</w:t>
            </w:r>
          </w:p>
        </w:tc>
        <w:tc>
          <w:tcPr>
            <w:tcW w:w="1153" w:type="dxa"/>
            <w:tcBorders>
              <w:top w:val="nil"/>
              <w:left w:val="nil"/>
              <w:bottom w:val="single" w:sz="4" w:space="0" w:color="BFBFBF"/>
              <w:right w:val="single" w:sz="4" w:space="0" w:color="BFBFBF"/>
            </w:tcBorders>
            <w:noWrap/>
            <w:vAlign w:val="center"/>
            <w:hideMark/>
          </w:tcPr>
          <w:p w14:paraId="2D8530E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12.4%</w:t>
            </w:r>
          </w:p>
        </w:tc>
        <w:tc>
          <w:tcPr>
            <w:tcW w:w="1154" w:type="dxa"/>
            <w:tcBorders>
              <w:top w:val="nil"/>
              <w:left w:val="nil"/>
              <w:bottom w:val="single" w:sz="4" w:space="0" w:color="BFBFBF"/>
              <w:right w:val="single" w:sz="4" w:space="0" w:color="BFBFBF"/>
            </w:tcBorders>
            <w:noWrap/>
            <w:vAlign w:val="center"/>
            <w:hideMark/>
          </w:tcPr>
          <w:p w14:paraId="69B2C0AC"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14.0%</w:t>
            </w:r>
          </w:p>
        </w:tc>
        <w:tc>
          <w:tcPr>
            <w:tcW w:w="1153" w:type="dxa"/>
            <w:tcBorders>
              <w:top w:val="nil"/>
              <w:left w:val="nil"/>
              <w:bottom w:val="single" w:sz="4" w:space="0" w:color="BFBFBF"/>
              <w:right w:val="single" w:sz="4" w:space="0" w:color="BFBFBF"/>
            </w:tcBorders>
            <w:noWrap/>
            <w:vAlign w:val="center"/>
            <w:hideMark/>
          </w:tcPr>
          <w:p w14:paraId="099678C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noWrap/>
            <w:vAlign w:val="center"/>
            <w:hideMark/>
          </w:tcPr>
          <w:p w14:paraId="6CA337A9"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048F58D1" w14:textId="77777777" w:rsidTr="00C04C3D">
        <w:trPr>
          <w:trHeight w:val="402"/>
          <w:jc w:val="right"/>
        </w:trPr>
        <w:tc>
          <w:tcPr>
            <w:tcW w:w="3595" w:type="dxa"/>
            <w:tcBorders>
              <w:top w:val="nil"/>
              <w:left w:val="single" w:sz="4" w:space="0" w:color="auto"/>
              <w:bottom w:val="single" w:sz="4" w:space="0" w:color="BFBFBF"/>
              <w:right w:val="nil"/>
            </w:tcBorders>
            <w:shd w:val="clear" w:color="000000" w:fill="F2F2F2"/>
            <w:noWrap/>
            <w:vAlign w:val="center"/>
            <w:hideMark/>
          </w:tcPr>
          <w:p w14:paraId="618F799F"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Household with gender diverse persons</w:t>
            </w:r>
          </w:p>
        </w:tc>
        <w:tc>
          <w:tcPr>
            <w:tcW w:w="1153" w:type="dxa"/>
            <w:tcBorders>
              <w:top w:val="nil"/>
              <w:left w:val="single" w:sz="4" w:space="0" w:color="auto"/>
              <w:bottom w:val="single" w:sz="4" w:space="0" w:color="BFBFBF"/>
              <w:right w:val="single" w:sz="4" w:space="0" w:color="auto"/>
            </w:tcBorders>
            <w:shd w:val="clear" w:color="000000" w:fill="F2F2F2"/>
            <w:noWrap/>
            <w:vAlign w:val="center"/>
            <w:hideMark/>
          </w:tcPr>
          <w:p w14:paraId="5839B36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6.1%</w:t>
            </w:r>
          </w:p>
        </w:tc>
        <w:tc>
          <w:tcPr>
            <w:tcW w:w="1153" w:type="dxa"/>
            <w:tcBorders>
              <w:top w:val="nil"/>
              <w:left w:val="nil"/>
              <w:bottom w:val="single" w:sz="4" w:space="0" w:color="BFBFBF"/>
              <w:right w:val="single" w:sz="4" w:space="0" w:color="BFBFBF"/>
            </w:tcBorders>
            <w:shd w:val="clear" w:color="000000" w:fill="F2F2F2"/>
            <w:noWrap/>
            <w:vAlign w:val="center"/>
            <w:hideMark/>
          </w:tcPr>
          <w:p w14:paraId="78A3914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4" w:type="dxa"/>
            <w:tcBorders>
              <w:top w:val="nil"/>
              <w:left w:val="nil"/>
              <w:bottom w:val="single" w:sz="4" w:space="0" w:color="BFBFBF"/>
              <w:right w:val="single" w:sz="4" w:space="0" w:color="BFBFBF"/>
            </w:tcBorders>
            <w:shd w:val="clear" w:color="000000" w:fill="F2F2F2"/>
            <w:noWrap/>
            <w:vAlign w:val="center"/>
            <w:hideMark/>
          </w:tcPr>
          <w:p w14:paraId="3609E607"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3" w:type="dxa"/>
            <w:tcBorders>
              <w:top w:val="nil"/>
              <w:left w:val="nil"/>
              <w:bottom w:val="single" w:sz="4" w:space="0" w:color="BFBFBF"/>
              <w:right w:val="single" w:sz="4" w:space="0" w:color="BFBFBF"/>
            </w:tcBorders>
            <w:shd w:val="clear" w:color="000000" w:fill="F2F2F2"/>
            <w:noWrap/>
            <w:vAlign w:val="center"/>
            <w:hideMark/>
          </w:tcPr>
          <w:p w14:paraId="34CA7715"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BFBFBF"/>
              <w:right w:val="single" w:sz="4" w:space="0" w:color="auto"/>
            </w:tcBorders>
            <w:shd w:val="clear" w:color="000000" w:fill="F2F2F2"/>
            <w:noWrap/>
            <w:vAlign w:val="center"/>
            <w:hideMark/>
          </w:tcPr>
          <w:p w14:paraId="5647209E" w14:textId="761BA525" w:rsidR="00EB6DC6" w:rsidRPr="00E043E3" w:rsidRDefault="00C04C3D"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r w:rsidR="00EB6DC6" w:rsidRPr="00887119" w14:paraId="51C6EA3F" w14:textId="77777777" w:rsidTr="00C04C3D">
        <w:trPr>
          <w:trHeight w:val="402"/>
          <w:jc w:val="right"/>
        </w:trPr>
        <w:tc>
          <w:tcPr>
            <w:tcW w:w="3595" w:type="dxa"/>
            <w:tcBorders>
              <w:top w:val="nil"/>
              <w:left w:val="single" w:sz="4" w:space="0" w:color="auto"/>
              <w:bottom w:val="single" w:sz="4" w:space="0" w:color="BFBFBF"/>
              <w:right w:val="nil"/>
            </w:tcBorders>
            <w:noWrap/>
            <w:vAlign w:val="center"/>
            <w:hideMark/>
          </w:tcPr>
          <w:p w14:paraId="0A4F09FF"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Households living in poverty</w:t>
            </w:r>
          </w:p>
        </w:tc>
        <w:tc>
          <w:tcPr>
            <w:tcW w:w="1153" w:type="dxa"/>
            <w:tcBorders>
              <w:top w:val="nil"/>
              <w:left w:val="single" w:sz="4" w:space="0" w:color="auto"/>
              <w:bottom w:val="single" w:sz="4" w:space="0" w:color="BFBFBF"/>
              <w:right w:val="single" w:sz="4" w:space="0" w:color="auto"/>
            </w:tcBorders>
            <w:noWrap/>
            <w:vAlign w:val="center"/>
            <w:hideMark/>
          </w:tcPr>
          <w:p w14:paraId="153F2B5C"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52.8%</w:t>
            </w:r>
          </w:p>
        </w:tc>
        <w:tc>
          <w:tcPr>
            <w:tcW w:w="1153" w:type="dxa"/>
            <w:tcBorders>
              <w:top w:val="nil"/>
              <w:left w:val="nil"/>
              <w:bottom w:val="single" w:sz="4" w:space="0" w:color="BFBFBF"/>
              <w:right w:val="single" w:sz="4" w:space="0" w:color="BFBFBF"/>
            </w:tcBorders>
            <w:noWrap/>
            <w:vAlign w:val="center"/>
            <w:hideMark/>
          </w:tcPr>
          <w:p w14:paraId="4A5277E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54.2%</w:t>
            </w:r>
          </w:p>
        </w:tc>
        <w:tc>
          <w:tcPr>
            <w:tcW w:w="1154" w:type="dxa"/>
            <w:tcBorders>
              <w:top w:val="nil"/>
              <w:left w:val="nil"/>
              <w:bottom w:val="single" w:sz="4" w:space="0" w:color="BFBFBF"/>
              <w:right w:val="single" w:sz="4" w:space="0" w:color="BFBFBF"/>
            </w:tcBorders>
            <w:noWrap/>
            <w:vAlign w:val="center"/>
            <w:hideMark/>
          </w:tcPr>
          <w:p w14:paraId="58CDF6FC"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50.9%</w:t>
            </w:r>
          </w:p>
        </w:tc>
        <w:tc>
          <w:tcPr>
            <w:tcW w:w="1153" w:type="dxa"/>
            <w:tcBorders>
              <w:top w:val="nil"/>
              <w:left w:val="nil"/>
              <w:bottom w:val="single" w:sz="4" w:space="0" w:color="BFBFBF"/>
              <w:right w:val="single" w:sz="4" w:space="0" w:color="BFBFBF"/>
            </w:tcBorders>
            <w:noWrap/>
            <w:vAlign w:val="center"/>
            <w:hideMark/>
          </w:tcPr>
          <w:p w14:paraId="7089123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29.8%</w:t>
            </w:r>
          </w:p>
        </w:tc>
        <w:tc>
          <w:tcPr>
            <w:tcW w:w="1147" w:type="dxa"/>
            <w:tcBorders>
              <w:top w:val="nil"/>
              <w:left w:val="nil"/>
              <w:bottom w:val="single" w:sz="4" w:space="0" w:color="BFBFBF"/>
              <w:right w:val="single" w:sz="4" w:space="0" w:color="auto"/>
            </w:tcBorders>
            <w:noWrap/>
            <w:vAlign w:val="center"/>
            <w:hideMark/>
          </w:tcPr>
          <w:p w14:paraId="558D8F31"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43.3%</w:t>
            </w:r>
          </w:p>
        </w:tc>
      </w:tr>
      <w:tr w:rsidR="00EB6DC6" w:rsidRPr="00887119" w14:paraId="0FD152D1" w14:textId="77777777" w:rsidTr="00C04C3D">
        <w:trPr>
          <w:trHeight w:val="402"/>
          <w:jc w:val="right"/>
        </w:trPr>
        <w:tc>
          <w:tcPr>
            <w:tcW w:w="3595" w:type="dxa"/>
            <w:tcBorders>
              <w:top w:val="nil"/>
              <w:left w:val="single" w:sz="4" w:space="0" w:color="auto"/>
              <w:bottom w:val="single" w:sz="4" w:space="0" w:color="auto"/>
              <w:right w:val="nil"/>
            </w:tcBorders>
            <w:shd w:val="clear" w:color="000000" w:fill="F2F2F2"/>
            <w:noWrap/>
            <w:vAlign w:val="center"/>
            <w:hideMark/>
          </w:tcPr>
          <w:p w14:paraId="571560F5" w14:textId="77777777" w:rsidR="00EB6DC6" w:rsidRPr="00887119" w:rsidRDefault="00EB6DC6" w:rsidP="00EB6DC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lastRenderedPageBreak/>
              <w:t>Veteran led household</w:t>
            </w:r>
          </w:p>
        </w:tc>
        <w:tc>
          <w:tcPr>
            <w:tcW w:w="1153" w:type="dxa"/>
            <w:tcBorders>
              <w:top w:val="nil"/>
              <w:left w:val="single" w:sz="4" w:space="0" w:color="auto"/>
              <w:bottom w:val="single" w:sz="4" w:space="0" w:color="auto"/>
              <w:right w:val="single" w:sz="4" w:space="0" w:color="auto"/>
            </w:tcBorders>
            <w:shd w:val="clear" w:color="000000" w:fill="F2F2F2"/>
            <w:noWrap/>
            <w:vAlign w:val="center"/>
            <w:hideMark/>
          </w:tcPr>
          <w:p w14:paraId="6A356A52"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5.2%</w:t>
            </w:r>
          </w:p>
        </w:tc>
        <w:tc>
          <w:tcPr>
            <w:tcW w:w="1153" w:type="dxa"/>
            <w:tcBorders>
              <w:top w:val="nil"/>
              <w:left w:val="nil"/>
              <w:bottom w:val="single" w:sz="4" w:space="0" w:color="auto"/>
              <w:right w:val="single" w:sz="4" w:space="0" w:color="BFBFBF"/>
            </w:tcBorders>
            <w:shd w:val="clear" w:color="000000" w:fill="F2F2F2"/>
            <w:noWrap/>
            <w:vAlign w:val="center"/>
            <w:hideMark/>
          </w:tcPr>
          <w:p w14:paraId="1D53A1FB"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4.0%</w:t>
            </w:r>
          </w:p>
        </w:tc>
        <w:tc>
          <w:tcPr>
            <w:tcW w:w="1154" w:type="dxa"/>
            <w:tcBorders>
              <w:top w:val="nil"/>
              <w:left w:val="nil"/>
              <w:bottom w:val="single" w:sz="4" w:space="0" w:color="auto"/>
              <w:right w:val="single" w:sz="4" w:space="0" w:color="BFBFBF"/>
            </w:tcBorders>
            <w:shd w:val="clear" w:color="000000" w:fill="F2F2F2"/>
            <w:noWrap/>
            <w:vAlign w:val="center"/>
            <w:hideMark/>
          </w:tcPr>
          <w:p w14:paraId="2C79EE2E"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53" w:type="dxa"/>
            <w:tcBorders>
              <w:top w:val="nil"/>
              <w:left w:val="nil"/>
              <w:bottom w:val="single" w:sz="4" w:space="0" w:color="auto"/>
              <w:right w:val="single" w:sz="4" w:space="0" w:color="BFBFBF"/>
            </w:tcBorders>
            <w:shd w:val="clear" w:color="000000" w:fill="F2F2F2"/>
            <w:noWrap/>
            <w:vAlign w:val="center"/>
            <w:hideMark/>
          </w:tcPr>
          <w:p w14:paraId="5CB325F0"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c>
          <w:tcPr>
            <w:tcW w:w="1147" w:type="dxa"/>
            <w:tcBorders>
              <w:top w:val="nil"/>
              <w:left w:val="nil"/>
              <w:bottom w:val="single" w:sz="4" w:space="0" w:color="auto"/>
              <w:right w:val="single" w:sz="4" w:space="0" w:color="auto"/>
            </w:tcBorders>
            <w:shd w:val="clear" w:color="000000" w:fill="F2F2F2"/>
            <w:noWrap/>
            <w:vAlign w:val="center"/>
            <w:hideMark/>
          </w:tcPr>
          <w:p w14:paraId="5FC3501D" w14:textId="77777777" w:rsidR="00EB6DC6" w:rsidRPr="00E043E3" w:rsidRDefault="00EB6DC6" w:rsidP="00EB6DC6">
            <w:pPr>
              <w:spacing w:line="240" w:lineRule="auto"/>
              <w:jc w:val="right"/>
              <w:rPr>
                <w:rFonts w:eastAsia="Times New Roman" w:cs="Arial"/>
                <w:color w:val="C00000"/>
                <w:kern w:val="0"/>
                <w:sz w:val="18"/>
                <w:szCs w:val="18"/>
                <w:lang w:eastAsia="en-CA"/>
                <w14:ligatures w14:val="none"/>
              </w:rPr>
            </w:pPr>
            <w:r w:rsidRPr="00E043E3">
              <w:rPr>
                <w:rFonts w:eastAsia="Times New Roman" w:cs="Arial"/>
                <w:color w:val="C00000"/>
                <w:kern w:val="0"/>
                <w:sz w:val="18"/>
                <w:szCs w:val="18"/>
                <w:lang w:eastAsia="en-CA"/>
                <w14:ligatures w14:val="none"/>
              </w:rPr>
              <w:t>x</w:t>
            </w:r>
          </w:p>
        </w:tc>
      </w:tr>
    </w:tbl>
    <w:p w14:paraId="11E5E16D" w14:textId="77777777" w:rsidR="00952F0E" w:rsidRPr="00887119" w:rsidRDefault="00952F0E" w:rsidP="00952F0E">
      <w:pPr>
        <w:pStyle w:val="Source"/>
      </w:pPr>
      <w:r w:rsidRPr="00887119">
        <w:t>Source: derived from Statistics Canada Table 98-10-0624 and Housing Assessment Resource Tools (HART)</w:t>
      </w:r>
      <w:r w:rsidRPr="00887119">
        <w:rPr>
          <w:rStyle w:val="FootnoteReference"/>
        </w:rPr>
        <w:footnoteReference w:id="29"/>
      </w:r>
    </w:p>
    <w:p w14:paraId="3B05DCA1" w14:textId="77777777" w:rsidR="00952F0E" w:rsidRPr="00887119" w:rsidRDefault="00952F0E" w:rsidP="00952F0E"/>
    <w:p w14:paraId="00B81F3A" w14:textId="731A747E" w:rsidR="00FF650D" w:rsidRPr="00887119" w:rsidRDefault="00FF650D" w:rsidP="00FF650D">
      <w:r w:rsidRPr="00887119">
        <w:t xml:space="preserve">Across all geographic categories, households living in poverty show the highest core housing need rates by a substantial margin — over 50% provincially, rising to 54.2% in urban areas and remaining elevated even in rural urban-adjacent (29.8%) and rural remote (43.3%) communities. Single-person households and lone-parent households are the next most affected groups, with provincial rates of 16.6% and 11.1% respectively. These three groups </w:t>
      </w:r>
      <w:r w:rsidR="009C02A0" w:rsidRPr="00887119">
        <w:t>(</w:t>
      </w:r>
      <w:r w:rsidRPr="00887119">
        <w:t>households in poverty, single-person households, and lone parents</w:t>
      </w:r>
      <w:r w:rsidR="009C02A0" w:rsidRPr="00887119">
        <w:t>)</w:t>
      </w:r>
      <w:r w:rsidRPr="00887119">
        <w:t xml:space="preserve"> represent the core of unmet housing need across </w:t>
      </w:r>
      <w:r w:rsidR="00402288" w:rsidRPr="00402288">
        <w:rPr>
          <w:color w:val="C00000"/>
        </w:rPr>
        <w:t>PEI</w:t>
      </w:r>
      <w:r w:rsidRPr="00887119">
        <w:t xml:space="preserve"> and are present in all geographic categories, though their absolute numbers are concentrated in urban and small urban areas where rents are highest and rental supply most constrained.</w:t>
      </w:r>
    </w:p>
    <w:p w14:paraId="3292A899" w14:textId="77777777" w:rsidR="00FF650D" w:rsidRPr="00887119" w:rsidRDefault="00FF650D" w:rsidP="00FF650D"/>
    <w:p w14:paraId="3F5AB5B9" w14:textId="3C9F1A10" w:rsidR="00FF650D" w:rsidRPr="00887119" w:rsidRDefault="00FF650D" w:rsidP="00FF650D">
      <w:r w:rsidRPr="00887119">
        <w:t>Among groups concentrated in urban areas, elevated core housing need rates are observed for recent immigrants (9.1%), non-permanent residents (11.3%), and refugees (15.2%)</w:t>
      </w:r>
      <w:r w:rsidR="00C24B5A" w:rsidRPr="00887119">
        <w:t xml:space="preserve">. These are </w:t>
      </w:r>
      <w:r w:rsidRPr="00887119">
        <w:t>all groups whose housing access is compounded by barriers including discrimination, limited credit history, language access challenges, and unfamiliarity with local housing systems. These rates are primarily a feature of the urban market, where these populations are most concentrated and where rental market tightness makes it most difficult for newcomers to secure adequate and affordable housing upon arrival. The elderly (85+) also show notably elevated rates (14.6% provincially), a group that is particularly vulnerable to housing instability in the context of rising rents and fixed incomes.</w:t>
      </w:r>
    </w:p>
    <w:p w14:paraId="15FA4BC5" w14:textId="77777777" w:rsidR="00FF650D" w:rsidRPr="00887119" w:rsidRDefault="00FF650D" w:rsidP="00FF650D"/>
    <w:p w14:paraId="3E39805C" w14:textId="79C0D11A" w:rsidR="00FF650D" w:rsidRPr="00887119" w:rsidRDefault="00FF650D" w:rsidP="00FF650D">
      <w:r w:rsidRPr="00887119">
        <w:t xml:space="preserve">Indigenous household core housing need rates (9.0% provincially) exceed the overall average of 7.0%, </w:t>
      </w:r>
      <w:r w:rsidR="006912D4" w:rsidRPr="00887119">
        <w:t xml:space="preserve">strongly tied to the elevated inadequacy and unsuitability identified in </w:t>
      </w:r>
      <w:r w:rsidR="006912D4" w:rsidRPr="00887119">
        <w:rPr>
          <w:rStyle w:val="Figure-textChar"/>
        </w:rPr>
        <w:t xml:space="preserve">Section </w:t>
      </w:r>
      <w:r w:rsidR="00442AAB" w:rsidRPr="00887119">
        <w:rPr>
          <w:rStyle w:val="Figure-textChar"/>
        </w:rPr>
        <w:fldChar w:fldCharType="begin"/>
      </w:r>
      <w:r w:rsidR="00442AAB" w:rsidRPr="00887119">
        <w:rPr>
          <w:rStyle w:val="Figure-textChar"/>
        </w:rPr>
        <w:instrText xml:space="preserve"> REF _Ref228646278 \r \h  \* MERGEFORMAT </w:instrText>
      </w:r>
      <w:r w:rsidR="00442AAB" w:rsidRPr="00887119">
        <w:rPr>
          <w:rStyle w:val="Figure-textChar"/>
        </w:rPr>
      </w:r>
      <w:r w:rsidR="00442AAB" w:rsidRPr="00887119">
        <w:rPr>
          <w:rStyle w:val="Figure-textChar"/>
        </w:rPr>
        <w:fldChar w:fldCharType="separate"/>
      </w:r>
      <w:r w:rsidR="008D4BDE">
        <w:rPr>
          <w:rStyle w:val="Figure-textChar"/>
        </w:rPr>
        <w:t>9.1</w:t>
      </w:r>
      <w:r w:rsidR="00442AAB" w:rsidRPr="00887119">
        <w:rPr>
          <w:rStyle w:val="Figure-textChar"/>
        </w:rPr>
        <w:fldChar w:fldCharType="end"/>
      </w:r>
      <w:r w:rsidR="006912D4" w:rsidRPr="00887119">
        <w:t>.</w:t>
      </w:r>
    </w:p>
    <w:p w14:paraId="3EFE2150" w14:textId="77777777" w:rsidR="00FF650D" w:rsidRPr="00887119" w:rsidRDefault="00FF650D" w:rsidP="00FF650D"/>
    <w:p w14:paraId="3650D660" w14:textId="3E58D374" w:rsidR="00FF650D" w:rsidRPr="00887119" w:rsidRDefault="00FF650D" w:rsidP="00FF650D">
      <w:r w:rsidRPr="00887119">
        <w:t xml:space="preserve">Households with persons with activity limitations (3.8%) or mental health-related activity limitations (6.0%) show elevated core housing need rates, particularly in urban and small urban areas. These households face the compounding challenge of income constraints and specific </w:t>
      </w:r>
      <w:r w:rsidR="00442AAB" w:rsidRPr="00887119">
        <w:t>design</w:t>
      </w:r>
      <w:r w:rsidRPr="00887119">
        <w:t xml:space="preserve"> requirements</w:t>
      </w:r>
      <w:r w:rsidR="00442AAB" w:rsidRPr="00887119">
        <w:t>,</w:t>
      </w:r>
      <w:r w:rsidRPr="00887119">
        <w:t xml:space="preserve"> including accessible design, proximity to services, and proximity to transit. Supportive housing and accessible affordable units represent a critical but undersupplied housing type across all geographic categories.</w:t>
      </w:r>
    </w:p>
    <w:p w14:paraId="563CF252" w14:textId="77777777" w:rsidR="00FF650D" w:rsidRPr="00887119" w:rsidRDefault="00FF650D" w:rsidP="00FF650D"/>
    <w:p w14:paraId="7B291EA2" w14:textId="557B4252" w:rsidR="00FF650D" w:rsidRPr="00887119" w:rsidRDefault="00FF650D" w:rsidP="00FF650D">
      <w:r w:rsidRPr="00887119">
        <w:t xml:space="preserve">Groups showing near-average core housing need rates </w:t>
      </w:r>
      <w:r w:rsidR="00C80DFC" w:rsidRPr="00887119">
        <w:t>(</w:t>
      </w:r>
      <w:r w:rsidRPr="00887119">
        <w:t>such as veterans</w:t>
      </w:r>
      <w:r w:rsidR="00C80DFC" w:rsidRPr="00887119">
        <w:t xml:space="preserve"> </w:t>
      </w:r>
      <w:r w:rsidRPr="00887119">
        <w:t>and gender-diverse households) can still represent urgent need in absolute terms or face qualitative barriers not captured by the core housing need definition, including discrimination in the rental market, lack of culturally appropriate or gender-affirming housing options, and limited access to wraparound services.</w:t>
      </w:r>
    </w:p>
    <w:p w14:paraId="5F50C092" w14:textId="77777777" w:rsidR="00952F0E" w:rsidRPr="00887119" w:rsidRDefault="00952F0E" w:rsidP="00952F0E"/>
    <w:p w14:paraId="37F89B79" w14:textId="77777777" w:rsidR="00952F0E" w:rsidRPr="00887119" w:rsidRDefault="00952F0E" w:rsidP="00842B20">
      <w:pPr>
        <w:pStyle w:val="Heading2"/>
      </w:pPr>
      <w:bookmarkStart w:id="142" w:name="_Toc223686653"/>
      <w:bookmarkStart w:id="143" w:name="_Toc225869020"/>
      <w:bookmarkStart w:id="144" w:name="_Toc229051967"/>
      <w:bookmarkStart w:id="145" w:name="_Toc237957449"/>
      <w:r w:rsidRPr="00887119">
        <w:t>HOMELESSNESS</w:t>
      </w:r>
      <w:bookmarkEnd w:id="142"/>
      <w:bookmarkEnd w:id="143"/>
      <w:bookmarkEnd w:id="144"/>
      <w:bookmarkEnd w:id="145"/>
    </w:p>
    <w:bookmarkEnd w:id="124"/>
    <w:p w14:paraId="7F6C7F90" w14:textId="77777777" w:rsidR="002322D8" w:rsidRPr="00887119" w:rsidRDefault="002322D8" w:rsidP="002322D8">
      <w:r w:rsidRPr="00887119">
        <w:t>Homelessness represents the most acute expression of housing system failure. It is the point at which a household's inability to secure adequate, stable, and affordable housing results in the complete loss of permanent shelter. It marks the traditional end of the housing continuum and carries well-documented consequences for physical and mental health, employment, family stability, and long-term economic participation. Current policy approaches and best practices, as reflected in federal homelessness strategies, recognize that while homelessness may not be entirely preventable in all circumstances, experiences of homelessness should be rare, brief, and non-recurring.</w:t>
      </w:r>
      <w:r w:rsidRPr="00887119">
        <w:rPr>
          <w:rStyle w:val="FootnoteReference"/>
        </w:rPr>
        <w:footnoteReference w:id="30"/>
      </w:r>
      <w:r w:rsidRPr="00887119">
        <w:t xml:space="preserve"> This framing emphasizes that individuals should be supported and enabled to exit homelessness quickly and not return, rather than becoming entrenched in chronic or periodic experiences of housing loss. </w:t>
      </w:r>
    </w:p>
    <w:p w14:paraId="0066B38C" w14:textId="77777777" w:rsidR="002322D8" w:rsidRPr="00887119" w:rsidRDefault="002322D8" w:rsidP="002322D8"/>
    <w:p w14:paraId="7F02BBA0" w14:textId="77777777" w:rsidR="002322D8" w:rsidRPr="00887119" w:rsidRDefault="002322D8" w:rsidP="002322D8">
      <w:r w:rsidRPr="00887119">
        <w:t>Interpreting homelessness data requires careful attention to its limitations. Point-in-time counts and administrative sources such as HIFIS capture only individuals in contact with shelter systems or service providers at a specific moment, systematically undercounting the true homeless population. Local counts are further constrained by the geographic concentration of homeless-serving infrastructure: individuals tend to migrate toward areas with shelters and support services, meaning communities with limited local services may appear to have low homeless populations simply because residents must travel elsewhere to access support. Broader geographic data generally provides a more reliable picture of the scale of homelessness than local counts alone.</w:t>
      </w:r>
    </w:p>
    <w:p w14:paraId="26E4EB0E" w14:textId="77777777" w:rsidR="002322D8" w:rsidRPr="00887119" w:rsidRDefault="002322D8" w:rsidP="002322D8"/>
    <w:p w14:paraId="371A389A" w14:textId="77777777" w:rsidR="002322D8" w:rsidRPr="00887119" w:rsidRDefault="002322D8" w:rsidP="002322D8">
      <w:r w:rsidRPr="00887119">
        <w:t>Hidden homelessness (e.g., individuals temporarily staying with friends or family, couch-surfing, or living in overcrowded arrangements due to lack of stable housing) does not appear in administrative data systems. The 2013 State of Homelessness in Canada</w:t>
      </w:r>
      <w:r w:rsidRPr="00887119">
        <w:rPr>
          <w:rStyle w:val="FootnoteReference"/>
        </w:rPr>
        <w:footnoteReference w:id="31"/>
      </w:r>
      <w:r w:rsidRPr="00887119">
        <w:t xml:space="preserve"> estimated approximately three hidden homeless persons for every one visible or sheltered person, implying that point-in-time counts represent a substantial undercount of total housing loss.</w:t>
      </w:r>
    </w:p>
    <w:p w14:paraId="03FA2E7C" w14:textId="77777777" w:rsidR="002322D8" w:rsidRPr="00887119" w:rsidRDefault="002322D8" w:rsidP="002322D8"/>
    <w:p w14:paraId="2FD609EA" w14:textId="0E2D31CD" w:rsidR="002322D8" w:rsidRPr="00887119" w:rsidRDefault="002322D8" w:rsidP="002322D8">
      <w:r w:rsidRPr="00887119">
        <w:rPr>
          <w:rStyle w:val="Figure-textChar"/>
        </w:rPr>
        <w:fldChar w:fldCharType="begin"/>
      </w:r>
      <w:r w:rsidRPr="00887119">
        <w:rPr>
          <w:rStyle w:val="Figure-textChar"/>
        </w:rPr>
        <w:instrText xml:space="preserve"> REF _Ref228195493 \h  \* MERGEFORMAT </w:instrText>
      </w:r>
      <w:r w:rsidRPr="00887119">
        <w:rPr>
          <w:rStyle w:val="Figure-textChar"/>
        </w:rPr>
      </w:r>
      <w:r w:rsidRPr="00887119">
        <w:rPr>
          <w:rStyle w:val="Figure-textChar"/>
        </w:rPr>
        <w:fldChar w:fldCharType="separate"/>
      </w:r>
      <w:r w:rsidR="008D4BDE" w:rsidRPr="008D4BDE">
        <w:rPr>
          <w:rStyle w:val="Figure-textChar"/>
        </w:rPr>
        <w:t>Table 9.5</w:t>
      </w:r>
      <w:r w:rsidRPr="00887119">
        <w:rPr>
          <w:rStyle w:val="Figure-textChar"/>
        </w:rPr>
        <w:fldChar w:fldCharType="end"/>
      </w:r>
      <w:r w:rsidRPr="00887119">
        <w:t xml:space="preserve"> </w:t>
      </w:r>
      <w:r w:rsidR="00DC4D18" w:rsidRPr="00887119">
        <w:t>presents a summary of available homelessness data for the province, including total individuals experiencing homelessness, the share experiencing chronic homelessness, demographic characteristics, and regional distribution.</w:t>
      </w:r>
    </w:p>
    <w:p w14:paraId="414718B2" w14:textId="77777777" w:rsidR="002322D8" w:rsidRPr="00887119" w:rsidRDefault="002322D8" w:rsidP="002322D8"/>
    <w:p w14:paraId="5F8B3177" w14:textId="0840E746" w:rsidR="002322D8" w:rsidRPr="00887119" w:rsidRDefault="002322D8" w:rsidP="002322D8">
      <w:pPr>
        <w:pStyle w:val="Caption"/>
      </w:pPr>
      <w:bookmarkStart w:id="146" w:name="_Ref228195493"/>
      <w:r w:rsidRPr="00887119">
        <w:t xml:space="preserve">Table </w:t>
      </w:r>
      <w:fldSimple w:instr=" STYLEREF 1 \s ">
        <w:r w:rsidR="008D4BDE">
          <w:rPr>
            <w:noProof/>
          </w:rPr>
          <w:t>9</w:t>
        </w:r>
      </w:fldSimple>
      <w:r w:rsidR="00EE1FE9">
        <w:t>.</w:t>
      </w:r>
      <w:fldSimple w:instr=" SEQ Table \* ARABIC \s 1 ">
        <w:r w:rsidR="008D4BDE">
          <w:rPr>
            <w:noProof/>
          </w:rPr>
          <w:t>5</w:t>
        </w:r>
      </w:fldSimple>
      <w:bookmarkEnd w:id="146"/>
      <w:r w:rsidRPr="00887119">
        <w:t>: Summary of provincial homelessness data and characteristics, February 2026</w:t>
      </w:r>
    </w:p>
    <w:tbl>
      <w:tblPr>
        <w:tblW w:w="9355" w:type="dxa"/>
        <w:tblLayout w:type="fixed"/>
        <w:tblLook w:val="04A0" w:firstRow="1" w:lastRow="0" w:firstColumn="1" w:lastColumn="0" w:noHBand="0" w:noVBand="1"/>
      </w:tblPr>
      <w:tblGrid>
        <w:gridCol w:w="6295"/>
        <w:gridCol w:w="1530"/>
        <w:gridCol w:w="1530"/>
      </w:tblGrid>
      <w:tr w:rsidR="002322D8" w:rsidRPr="00887119" w14:paraId="4E78BAAE" w14:textId="77777777" w:rsidTr="00AA4E3C">
        <w:trPr>
          <w:trHeight w:val="737"/>
          <w:tblHeader/>
        </w:trPr>
        <w:tc>
          <w:tcPr>
            <w:tcW w:w="6295" w:type="dxa"/>
            <w:tcBorders>
              <w:top w:val="single" w:sz="4" w:space="0" w:color="auto"/>
              <w:left w:val="single" w:sz="4" w:space="0" w:color="auto"/>
              <w:bottom w:val="single" w:sz="4" w:space="0" w:color="auto"/>
              <w:right w:val="nil"/>
            </w:tcBorders>
            <w:shd w:val="clear" w:color="auto" w:fill="42618C" w:themeFill="accent3"/>
            <w:noWrap/>
            <w:vAlign w:val="center"/>
            <w:hideMark/>
          </w:tcPr>
          <w:p w14:paraId="79F58309" w14:textId="77777777" w:rsidR="002322D8" w:rsidRPr="00887119" w:rsidRDefault="002322D8" w:rsidP="002C4B56">
            <w:pPr>
              <w:rPr>
                <w:rFonts w:eastAsia="Times New Roman"/>
                <w:color w:val="FFFFFF"/>
                <w:sz w:val="18"/>
                <w:szCs w:val="18"/>
              </w:rPr>
            </w:pPr>
            <w:r w:rsidRPr="00887119">
              <w:rPr>
                <w:rFonts w:eastAsia="Times New Roman"/>
                <w:color w:val="FFFFFF"/>
                <w:sz w:val="18"/>
                <w:szCs w:val="18"/>
              </w:rPr>
              <w:t>Characteristic</w:t>
            </w:r>
          </w:p>
        </w:tc>
        <w:tc>
          <w:tcPr>
            <w:tcW w:w="1530" w:type="dxa"/>
            <w:tcBorders>
              <w:top w:val="single" w:sz="4" w:space="0" w:color="auto"/>
              <w:left w:val="single" w:sz="4" w:space="0" w:color="auto"/>
              <w:bottom w:val="single" w:sz="4" w:space="0" w:color="auto"/>
              <w:right w:val="single" w:sz="4" w:space="0" w:color="BFBFBF"/>
            </w:tcBorders>
            <w:shd w:val="clear" w:color="auto" w:fill="42618C" w:themeFill="accent3"/>
            <w:vAlign w:val="center"/>
            <w:hideMark/>
          </w:tcPr>
          <w:p w14:paraId="5AB0E42F" w14:textId="77777777" w:rsidR="002322D8" w:rsidRPr="00887119" w:rsidRDefault="002322D8" w:rsidP="002C4B56">
            <w:pPr>
              <w:jc w:val="right"/>
              <w:rPr>
                <w:rFonts w:eastAsia="Times New Roman"/>
                <w:color w:val="FFFFFF"/>
                <w:sz w:val="18"/>
                <w:szCs w:val="18"/>
              </w:rPr>
            </w:pPr>
            <w:r w:rsidRPr="00887119">
              <w:rPr>
                <w:rFonts w:eastAsia="Times New Roman"/>
                <w:color w:val="FFFFFF"/>
                <w:sz w:val="18"/>
                <w:szCs w:val="18"/>
              </w:rPr>
              <w:t>Total people</w:t>
            </w:r>
          </w:p>
        </w:tc>
        <w:tc>
          <w:tcPr>
            <w:tcW w:w="1530" w:type="dxa"/>
            <w:tcBorders>
              <w:top w:val="single" w:sz="4" w:space="0" w:color="auto"/>
              <w:left w:val="nil"/>
              <w:bottom w:val="single" w:sz="4" w:space="0" w:color="auto"/>
              <w:right w:val="single" w:sz="4" w:space="0" w:color="auto"/>
            </w:tcBorders>
            <w:shd w:val="clear" w:color="auto" w:fill="42618C" w:themeFill="accent3"/>
            <w:vAlign w:val="center"/>
            <w:hideMark/>
          </w:tcPr>
          <w:p w14:paraId="4F2EB8EA" w14:textId="77777777" w:rsidR="002322D8" w:rsidRPr="00887119" w:rsidRDefault="002322D8" w:rsidP="002C4B56">
            <w:pPr>
              <w:jc w:val="right"/>
              <w:rPr>
                <w:rFonts w:eastAsia="Times New Roman"/>
                <w:color w:val="FFFFFF"/>
                <w:sz w:val="18"/>
                <w:szCs w:val="18"/>
              </w:rPr>
            </w:pPr>
            <w:r w:rsidRPr="00887119">
              <w:rPr>
                <w:rFonts w:eastAsia="Times New Roman"/>
                <w:color w:val="FFFFFF"/>
                <w:sz w:val="18"/>
                <w:szCs w:val="18"/>
              </w:rPr>
              <w:t>Percent of total experiencing homelessness</w:t>
            </w:r>
          </w:p>
        </w:tc>
      </w:tr>
      <w:tr w:rsidR="002322D8" w:rsidRPr="00887119" w14:paraId="1474FDA4" w14:textId="77777777" w:rsidTr="002C4B56">
        <w:trPr>
          <w:trHeight w:val="402"/>
        </w:trPr>
        <w:tc>
          <w:tcPr>
            <w:tcW w:w="6295" w:type="dxa"/>
            <w:tcBorders>
              <w:top w:val="nil"/>
              <w:left w:val="single" w:sz="4" w:space="0" w:color="auto"/>
              <w:bottom w:val="single" w:sz="4" w:space="0" w:color="auto"/>
              <w:right w:val="single" w:sz="4" w:space="0" w:color="auto"/>
            </w:tcBorders>
            <w:shd w:val="clear" w:color="000000" w:fill="F2F2F2"/>
            <w:noWrap/>
            <w:vAlign w:val="center"/>
            <w:hideMark/>
          </w:tcPr>
          <w:p w14:paraId="089E7E9B"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Individuals experiencing homelessness</w:t>
            </w:r>
          </w:p>
        </w:tc>
        <w:tc>
          <w:tcPr>
            <w:tcW w:w="1530" w:type="dxa"/>
            <w:tcBorders>
              <w:top w:val="nil"/>
              <w:left w:val="nil"/>
              <w:bottom w:val="single" w:sz="4" w:space="0" w:color="auto"/>
              <w:right w:val="single" w:sz="4" w:space="0" w:color="BFBFBF"/>
            </w:tcBorders>
            <w:shd w:val="clear" w:color="000000" w:fill="F2F2F2"/>
            <w:noWrap/>
            <w:vAlign w:val="center"/>
            <w:hideMark/>
          </w:tcPr>
          <w:p w14:paraId="436BA82C"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210</w:t>
            </w:r>
          </w:p>
        </w:tc>
        <w:tc>
          <w:tcPr>
            <w:tcW w:w="1530" w:type="dxa"/>
            <w:tcBorders>
              <w:top w:val="nil"/>
              <w:left w:val="nil"/>
              <w:bottom w:val="single" w:sz="4" w:space="0" w:color="auto"/>
              <w:right w:val="single" w:sz="4" w:space="0" w:color="auto"/>
            </w:tcBorders>
            <w:shd w:val="clear" w:color="000000" w:fill="F2F2F2"/>
            <w:noWrap/>
            <w:vAlign w:val="center"/>
            <w:hideMark/>
          </w:tcPr>
          <w:p w14:paraId="141F6BBD"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100.0%</w:t>
            </w:r>
          </w:p>
        </w:tc>
      </w:tr>
      <w:tr w:rsidR="002322D8" w:rsidRPr="00887119" w14:paraId="51478EEF" w14:textId="77777777" w:rsidTr="002C4B56">
        <w:trPr>
          <w:trHeight w:val="402"/>
        </w:trPr>
        <w:tc>
          <w:tcPr>
            <w:tcW w:w="6295" w:type="dxa"/>
            <w:tcBorders>
              <w:top w:val="nil"/>
              <w:left w:val="single" w:sz="4" w:space="0" w:color="auto"/>
              <w:bottom w:val="single" w:sz="4" w:space="0" w:color="BFBFBF"/>
              <w:right w:val="single" w:sz="4" w:space="0" w:color="auto"/>
            </w:tcBorders>
            <w:noWrap/>
            <w:vAlign w:val="center"/>
            <w:hideMark/>
          </w:tcPr>
          <w:p w14:paraId="67333718"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Individuals experiencing chronic homelessness</w:t>
            </w:r>
          </w:p>
        </w:tc>
        <w:tc>
          <w:tcPr>
            <w:tcW w:w="1530" w:type="dxa"/>
            <w:tcBorders>
              <w:top w:val="nil"/>
              <w:left w:val="nil"/>
              <w:bottom w:val="single" w:sz="4" w:space="0" w:color="BFBFBF"/>
              <w:right w:val="single" w:sz="4" w:space="0" w:color="BFBFBF"/>
            </w:tcBorders>
            <w:noWrap/>
            <w:vAlign w:val="center"/>
            <w:hideMark/>
          </w:tcPr>
          <w:p w14:paraId="32D58E9A"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104</w:t>
            </w:r>
          </w:p>
        </w:tc>
        <w:tc>
          <w:tcPr>
            <w:tcW w:w="1530" w:type="dxa"/>
            <w:tcBorders>
              <w:top w:val="nil"/>
              <w:left w:val="nil"/>
              <w:bottom w:val="single" w:sz="4" w:space="0" w:color="BFBFBF"/>
              <w:right w:val="single" w:sz="4" w:space="0" w:color="auto"/>
            </w:tcBorders>
            <w:noWrap/>
            <w:vAlign w:val="center"/>
            <w:hideMark/>
          </w:tcPr>
          <w:p w14:paraId="45CC7F97"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49.5%</w:t>
            </w:r>
          </w:p>
        </w:tc>
      </w:tr>
      <w:tr w:rsidR="002322D8" w:rsidRPr="00887119" w14:paraId="71B8EF53" w14:textId="77777777" w:rsidTr="002C4B56">
        <w:trPr>
          <w:trHeight w:val="402"/>
        </w:trPr>
        <w:tc>
          <w:tcPr>
            <w:tcW w:w="6295" w:type="dxa"/>
            <w:tcBorders>
              <w:top w:val="nil"/>
              <w:left w:val="single" w:sz="4" w:space="0" w:color="auto"/>
              <w:bottom w:val="single" w:sz="4" w:space="0" w:color="auto"/>
              <w:right w:val="single" w:sz="4" w:space="0" w:color="auto"/>
            </w:tcBorders>
            <w:shd w:val="clear" w:color="000000" w:fill="F2F2F2"/>
            <w:noWrap/>
            <w:vAlign w:val="center"/>
            <w:hideMark/>
          </w:tcPr>
          <w:p w14:paraId="414340D0"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lastRenderedPageBreak/>
              <w:t>Individuals housed through coordinated approach (cumulative)</w:t>
            </w:r>
          </w:p>
        </w:tc>
        <w:tc>
          <w:tcPr>
            <w:tcW w:w="1530" w:type="dxa"/>
            <w:tcBorders>
              <w:top w:val="nil"/>
              <w:left w:val="nil"/>
              <w:bottom w:val="single" w:sz="4" w:space="0" w:color="auto"/>
              <w:right w:val="single" w:sz="4" w:space="0" w:color="BFBFBF"/>
            </w:tcBorders>
            <w:shd w:val="clear" w:color="000000" w:fill="F2F2F2"/>
            <w:noWrap/>
            <w:vAlign w:val="center"/>
            <w:hideMark/>
          </w:tcPr>
          <w:p w14:paraId="4C1A4B2C"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72</w:t>
            </w:r>
          </w:p>
        </w:tc>
        <w:tc>
          <w:tcPr>
            <w:tcW w:w="1530" w:type="dxa"/>
            <w:tcBorders>
              <w:top w:val="nil"/>
              <w:left w:val="nil"/>
              <w:bottom w:val="single" w:sz="4" w:space="0" w:color="auto"/>
              <w:right w:val="single" w:sz="4" w:space="0" w:color="auto"/>
            </w:tcBorders>
            <w:shd w:val="clear" w:color="000000" w:fill="F2F2F2"/>
            <w:noWrap/>
            <w:vAlign w:val="center"/>
            <w:hideMark/>
          </w:tcPr>
          <w:p w14:paraId="27C2A822"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34.3%</w:t>
            </w:r>
          </w:p>
        </w:tc>
      </w:tr>
      <w:tr w:rsidR="002322D8" w:rsidRPr="00887119" w14:paraId="08CEB517" w14:textId="77777777" w:rsidTr="002C4B56">
        <w:trPr>
          <w:trHeight w:val="402"/>
        </w:trPr>
        <w:tc>
          <w:tcPr>
            <w:tcW w:w="6295" w:type="dxa"/>
            <w:tcBorders>
              <w:top w:val="nil"/>
              <w:left w:val="single" w:sz="4" w:space="0" w:color="auto"/>
              <w:bottom w:val="single" w:sz="4" w:space="0" w:color="BFBFBF"/>
              <w:right w:val="single" w:sz="4" w:space="0" w:color="auto"/>
            </w:tcBorders>
            <w:noWrap/>
            <w:vAlign w:val="center"/>
            <w:hideMark/>
          </w:tcPr>
          <w:p w14:paraId="5EC22E39"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Single persons</w:t>
            </w:r>
          </w:p>
        </w:tc>
        <w:tc>
          <w:tcPr>
            <w:tcW w:w="1530" w:type="dxa"/>
            <w:tcBorders>
              <w:top w:val="nil"/>
              <w:left w:val="nil"/>
              <w:bottom w:val="single" w:sz="4" w:space="0" w:color="BFBFBF"/>
              <w:right w:val="single" w:sz="4" w:space="0" w:color="BFBFBF"/>
            </w:tcBorders>
            <w:noWrap/>
            <w:vAlign w:val="center"/>
            <w:hideMark/>
          </w:tcPr>
          <w:p w14:paraId="5A743046"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184</w:t>
            </w:r>
          </w:p>
        </w:tc>
        <w:tc>
          <w:tcPr>
            <w:tcW w:w="1530" w:type="dxa"/>
            <w:tcBorders>
              <w:top w:val="nil"/>
              <w:left w:val="nil"/>
              <w:bottom w:val="single" w:sz="4" w:space="0" w:color="BFBFBF"/>
              <w:right w:val="single" w:sz="4" w:space="0" w:color="auto"/>
            </w:tcBorders>
            <w:noWrap/>
            <w:vAlign w:val="center"/>
            <w:hideMark/>
          </w:tcPr>
          <w:p w14:paraId="366CD907"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87.6%</w:t>
            </w:r>
          </w:p>
        </w:tc>
      </w:tr>
      <w:tr w:rsidR="002322D8" w:rsidRPr="00887119" w14:paraId="1EFBEC95" w14:textId="77777777" w:rsidTr="002C4B56">
        <w:trPr>
          <w:trHeight w:val="402"/>
        </w:trPr>
        <w:tc>
          <w:tcPr>
            <w:tcW w:w="6295" w:type="dxa"/>
            <w:tcBorders>
              <w:top w:val="nil"/>
              <w:left w:val="single" w:sz="4" w:space="0" w:color="auto"/>
              <w:bottom w:val="single" w:sz="4" w:space="0" w:color="BFBFBF"/>
              <w:right w:val="single" w:sz="4" w:space="0" w:color="auto"/>
            </w:tcBorders>
            <w:shd w:val="clear" w:color="000000" w:fill="F2F2F2"/>
            <w:noWrap/>
            <w:vAlign w:val="center"/>
            <w:hideMark/>
          </w:tcPr>
          <w:p w14:paraId="7D05FB22"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Male</w:t>
            </w:r>
          </w:p>
        </w:tc>
        <w:tc>
          <w:tcPr>
            <w:tcW w:w="1530" w:type="dxa"/>
            <w:tcBorders>
              <w:top w:val="nil"/>
              <w:left w:val="nil"/>
              <w:bottom w:val="single" w:sz="4" w:space="0" w:color="BFBFBF"/>
              <w:right w:val="single" w:sz="4" w:space="0" w:color="BFBFBF"/>
            </w:tcBorders>
            <w:shd w:val="clear" w:color="000000" w:fill="F2F2F2"/>
            <w:noWrap/>
            <w:vAlign w:val="center"/>
            <w:hideMark/>
          </w:tcPr>
          <w:p w14:paraId="69804800"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148</w:t>
            </w:r>
          </w:p>
        </w:tc>
        <w:tc>
          <w:tcPr>
            <w:tcW w:w="1530" w:type="dxa"/>
            <w:tcBorders>
              <w:top w:val="nil"/>
              <w:left w:val="nil"/>
              <w:bottom w:val="single" w:sz="4" w:space="0" w:color="BFBFBF"/>
              <w:right w:val="single" w:sz="4" w:space="0" w:color="auto"/>
            </w:tcBorders>
            <w:shd w:val="clear" w:color="000000" w:fill="F2F2F2"/>
            <w:noWrap/>
            <w:vAlign w:val="center"/>
            <w:hideMark/>
          </w:tcPr>
          <w:p w14:paraId="7957238E"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70.3%</w:t>
            </w:r>
          </w:p>
        </w:tc>
      </w:tr>
      <w:tr w:rsidR="002322D8" w:rsidRPr="00887119" w14:paraId="332628F2" w14:textId="77777777" w:rsidTr="002C4B56">
        <w:trPr>
          <w:trHeight w:val="402"/>
        </w:trPr>
        <w:tc>
          <w:tcPr>
            <w:tcW w:w="6295" w:type="dxa"/>
            <w:tcBorders>
              <w:top w:val="nil"/>
              <w:left w:val="single" w:sz="4" w:space="0" w:color="auto"/>
              <w:bottom w:val="single" w:sz="4" w:space="0" w:color="BFBFBF"/>
              <w:right w:val="single" w:sz="4" w:space="0" w:color="auto"/>
            </w:tcBorders>
            <w:noWrap/>
            <w:vAlign w:val="center"/>
            <w:hideMark/>
          </w:tcPr>
          <w:p w14:paraId="41AFDC7B"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Female</w:t>
            </w:r>
          </w:p>
        </w:tc>
        <w:tc>
          <w:tcPr>
            <w:tcW w:w="1530" w:type="dxa"/>
            <w:tcBorders>
              <w:top w:val="nil"/>
              <w:left w:val="nil"/>
              <w:bottom w:val="single" w:sz="4" w:space="0" w:color="BFBFBF"/>
              <w:right w:val="single" w:sz="4" w:space="0" w:color="BFBFBF"/>
            </w:tcBorders>
            <w:shd w:val="clear" w:color="000000" w:fill="FFFFFF"/>
            <w:noWrap/>
            <w:vAlign w:val="center"/>
            <w:hideMark/>
          </w:tcPr>
          <w:p w14:paraId="12AA380C"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60</w:t>
            </w:r>
          </w:p>
        </w:tc>
        <w:tc>
          <w:tcPr>
            <w:tcW w:w="1530" w:type="dxa"/>
            <w:tcBorders>
              <w:top w:val="nil"/>
              <w:left w:val="nil"/>
              <w:bottom w:val="single" w:sz="4" w:space="0" w:color="BFBFBF"/>
              <w:right w:val="single" w:sz="4" w:space="0" w:color="auto"/>
            </w:tcBorders>
            <w:noWrap/>
            <w:vAlign w:val="center"/>
            <w:hideMark/>
          </w:tcPr>
          <w:p w14:paraId="2734E446"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28.4%</w:t>
            </w:r>
          </w:p>
        </w:tc>
      </w:tr>
      <w:tr w:rsidR="002322D8" w:rsidRPr="00887119" w14:paraId="738C50AA" w14:textId="77777777" w:rsidTr="002C4B56">
        <w:trPr>
          <w:trHeight w:val="402"/>
        </w:trPr>
        <w:tc>
          <w:tcPr>
            <w:tcW w:w="6295" w:type="dxa"/>
            <w:tcBorders>
              <w:top w:val="nil"/>
              <w:left w:val="single" w:sz="4" w:space="0" w:color="auto"/>
              <w:bottom w:val="single" w:sz="4" w:space="0" w:color="BFBFBF"/>
              <w:right w:val="single" w:sz="4" w:space="0" w:color="auto"/>
            </w:tcBorders>
            <w:shd w:val="clear" w:color="000000" w:fill="F2F2F2"/>
            <w:noWrap/>
            <w:vAlign w:val="center"/>
            <w:hideMark/>
          </w:tcPr>
          <w:p w14:paraId="59FDABBF"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Non-binary</w:t>
            </w:r>
          </w:p>
        </w:tc>
        <w:tc>
          <w:tcPr>
            <w:tcW w:w="1530" w:type="dxa"/>
            <w:tcBorders>
              <w:top w:val="nil"/>
              <w:left w:val="nil"/>
              <w:bottom w:val="single" w:sz="4" w:space="0" w:color="BFBFBF"/>
              <w:right w:val="single" w:sz="4" w:space="0" w:color="BFBFBF"/>
            </w:tcBorders>
            <w:shd w:val="clear" w:color="000000" w:fill="F2F2F2"/>
            <w:noWrap/>
            <w:vAlign w:val="center"/>
            <w:hideMark/>
          </w:tcPr>
          <w:p w14:paraId="73B2A470"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3</w:t>
            </w:r>
          </w:p>
        </w:tc>
        <w:tc>
          <w:tcPr>
            <w:tcW w:w="1530" w:type="dxa"/>
            <w:tcBorders>
              <w:top w:val="nil"/>
              <w:left w:val="nil"/>
              <w:bottom w:val="single" w:sz="4" w:space="0" w:color="BFBFBF"/>
              <w:right w:val="single" w:sz="4" w:space="0" w:color="auto"/>
            </w:tcBorders>
            <w:shd w:val="clear" w:color="000000" w:fill="F2F2F2"/>
            <w:noWrap/>
            <w:vAlign w:val="center"/>
            <w:hideMark/>
          </w:tcPr>
          <w:p w14:paraId="275B45AA"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1.3%</w:t>
            </w:r>
          </w:p>
        </w:tc>
      </w:tr>
      <w:tr w:rsidR="002322D8" w:rsidRPr="00887119" w14:paraId="46EC3674" w14:textId="77777777" w:rsidTr="002C4B56">
        <w:trPr>
          <w:trHeight w:val="402"/>
        </w:trPr>
        <w:tc>
          <w:tcPr>
            <w:tcW w:w="6295" w:type="dxa"/>
            <w:tcBorders>
              <w:top w:val="nil"/>
              <w:left w:val="single" w:sz="4" w:space="0" w:color="auto"/>
              <w:bottom w:val="single" w:sz="4" w:space="0" w:color="BFBFBF"/>
              <w:right w:val="single" w:sz="4" w:space="0" w:color="auto"/>
            </w:tcBorders>
            <w:shd w:val="clear" w:color="000000" w:fill="FFFFFF"/>
            <w:noWrap/>
            <w:vAlign w:val="center"/>
            <w:hideMark/>
          </w:tcPr>
          <w:p w14:paraId="68FF75A7"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Indigenous identifying persons</w:t>
            </w:r>
          </w:p>
        </w:tc>
        <w:tc>
          <w:tcPr>
            <w:tcW w:w="1530" w:type="dxa"/>
            <w:tcBorders>
              <w:top w:val="nil"/>
              <w:left w:val="nil"/>
              <w:bottom w:val="single" w:sz="4" w:space="0" w:color="BFBFBF"/>
              <w:right w:val="single" w:sz="4" w:space="0" w:color="BFBFBF"/>
            </w:tcBorders>
            <w:shd w:val="clear" w:color="000000" w:fill="FFFFFF"/>
            <w:noWrap/>
            <w:vAlign w:val="center"/>
            <w:hideMark/>
          </w:tcPr>
          <w:p w14:paraId="2B517717"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27</w:t>
            </w:r>
          </w:p>
        </w:tc>
        <w:tc>
          <w:tcPr>
            <w:tcW w:w="1530" w:type="dxa"/>
            <w:tcBorders>
              <w:top w:val="nil"/>
              <w:left w:val="nil"/>
              <w:bottom w:val="single" w:sz="4" w:space="0" w:color="BFBFBF"/>
              <w:right w:val="single" w:sz="4" w:space="0" w:color="auto"/>
            </w:tcBorders>
            <w:shd w:val="clear" w:color="000000" w:fill="FFFFFF"/>
            <w:noWrap/>
            <w:vAlign w:val="center"/>
            <w:hideMark/>
          </w:tcPr>
          <w:p w14:paraId="6F5264A6"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12.9%</w:t>
            </w:r>
          </w:p>
        </w:tc>
      </w:tr>
      <w:tr w:rsidR="002322D8" w:rsidRPr="00887119" w14:paraId="412DAAA1" w14:textId="77777777" w:rsidTr="002C4B56">
        <w:trPr>
          <w:trHeight w:val="402"/>
        </w:trPr>
        <w:tc>
          <w:tcPr>
            <w:tcW w:w="6295" w:type="dxa"/>
            <w:tcBorders>
              <w:top w:val="nil"/>
              <w:left w:val="single" w:sz="4" w:space="0" w:color="auto"/>
              <w:bottom w:val="single" w:sz="4" w:space="0" w:color="BFBFBF"/>
              <w:right w:val="single" w:sz="4" w:space="0" w:color="auto"/>
            </w:tcBorders>
            <w:shd w:val="clear" w:color="000000" w:fill="F2F2F2"/>
            <w:noWrap/>
            <w:vAlign w:val="center"/>
            <w:hideMark/>
          </w:tcPr>
          <w:p w14:paraId="6EF1ED9C"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Veterans</w:t>
            </w:r>
          </w:p>
        </w:tc>
        <w:tc>
          <w:tcPr>
            <w:tcW w:w="1530" w:type="dxa"/>
            <w:tcBorders>
              <w:top w:val="nil"/>
              <w:left w:val="nil"/>
              <w:bottom w:val="single" w:sz="4" w:space="0" w:color="BFBFBF"/>
              <w:right w:val="single" w:sz="4" w:space="0" w:color="BFBFBF"/>
            </w:tcBorders>
            <w:shd w:val="clear" w:color="000000" w:fill="F2F2F2"/>
            <w:noWrap/>
            <w:vAlign w:val="center"/>
            <w:hideMark/>
          </w:tcPr>
          <w:p w14:paraId="523561F9"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5</w:t>
            </w:r>
          </w:p>
        </w:tc>
        <w:tc>
          <w:tcPr>
            <w:tcW w:w="1530" w:type="dxa"/>
            <w:tcBorders>
              <w:top w:val="nil"/>
              <w:left w:val="nil"/>
              <w:bottom w:val="single" w:sz="4" w:space="0" w:color="BFBFBF"/>
              <w:right w:val="single" w:sz="4" w:space="0" w:color="auto"/>
            </w:tcBorders>
            <w:shd w:val="clear" w:color="000000" w:fill="F2F2F2"/>
            <w:noWrap/>
            <w:vAlign w:val="center"/>
            <w:hideMark/>
          </w:tcPr>
          <w:p w14:paraId="64FC614D"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2.4%</w:t>
            </w:r>
          </w:p>
        </w:tc>
      </w:tr>
      <w:tr w:rsidR="002322D8" w:rsidRPr="00887119" w14:paraId="18967DDA" w14:textId="77777777" w:rsidTr="002C4B56">
        <w:trPr>
          <w:trHeight w:val="402"/>
        </w:trPr>
        <w:tc>
          <w:tcPr>
            <w:tcW w:w="6295" w:type="dxa"/>
            <w:tcBorders>
              <w:top w:val="nil"/>
              <w:left w:val="single" w:sz="4" w:space="0" w:color="auto"/>
              <w:bottom w:val="single" w:sz="4" w:space="0" w:color="auto"/>
              <w:right w:val="single" w:sz="4" w:space="0" w:color="auto"/>
            </w:tcBorders>
            <w:shd w:val="clear" w:color="000000" w:fill="FFFFFF"/>
            <w:noWrap/>
            <w:vAlign w:val="center"/>
            <w:hideMark/>
          </w:tcPr>
          <w:p w14:paraId="0FF7AC4C"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Non-citizens</w:t>
            </w:r>
          </w:p>
        </w:tc>
        <w:tc>
          <w:tcPr>
            <w:tcW w:w="1530" w:type="dxa"/>
            <w:tcBorders>
              <w:top w:val="nil"/>
              <w:left w:val="nil"/>
              <w:bottom w:val="single" w:sz="4" w:space="0" w:color="auto"/>
              <w:right w:val="single" w:sz="4" w:space="0" w:color="BFBFBF"/>
            </w:tcBorders>
            <w:shd w:val="clear" w:color="000000" w:fill="FFFFFF"/>
            <w:noWrap/>
            <w:vAlign w:val="center"/>
            <w:hideMark/>
          </w:tcPr>
          <w:p w14:paraId="2B998FDD"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5</w:t>
            </w:r>
          </w:p>
        </w:tc>
        <w:tc>
          <w:tcPr>
            <w:tcW w:w="1530" w:type="dxa"/>
            <w:tcBorders>
              <w:top w:val="nil"/>
              <w:left w:val="nil"/>
              <w:bottom w:val="single" w:sz="4" w:space="0" w:color="auto"/>
              <w:right w:val="single" w:sz="4" w:space="0" w:color="auto"/>
            </w:tcBorders>
            <w:shd w:val="clear" w:color="000000" w:fill="FFFFFF"/>
            <w:noWrap/>
            <w:vAlign w:val="center"/>
            <w:hideMark/>
          </w:tcPr>
          <w:p w14:paraId="3D30EA3A"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2.4%</w:t>
            </w:r>
          </w:p>
        </w:tc>
      </w:tr>
      <w:tr w:rsidR="002322D8" w:rsidRPr="00887119" w14:paraId="7B45FEC0" w14:textId="77777777" w:rsidTr="002C4B56">
        <w:trPr>
          <w:trHeight w:val="402"/>
        </w:trPr>
        <w:tc>
          <w:tcPr>
            <w:tcW w:w="6295" w:type="dxa"/>
            <w:tcBorders>
              <w:top w:val="nil"/>
              <w:left w:val="single" w:sz="4" w:space="0" w:color="auto"/>
              <w:bottom w:val="single" w:sz="4" w:space="0" w:color="BFBFBF"/>
              <w:right w:val="single" w:sz="4" w:space="0" w:color="auto"/>
            </w:tcBorders>
            <w:shd w:val="clear" w:color="000000" w:fill="F2F2F2"/>
            <w:noWrap/>
            <w:vAlign w:val="center"/>
            <w:hideMark/>
          </w:tcPr>
          <w:p w14:paraId="6066D24F"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Located in Kings County</w:t>
            </w:r>
          </w:p>
        </w:tc>
        <w:tc>
          <w:tcPr>
            <w:tcW w:w="1530" w:type="dxa"/>
            <w:tcBorders>
              <w:top w:val="nil"/>
              <w:left w:val="nil"/>
              <w:bottom w:val="single" w:sz="4" w:space="0" w:color="BFBFBF"/>
              <w:right w:val="single" w:sz="4" w:space="0" w:color="BFBFBF"/>
            </w:tcBorders>
            <w:shd w:val="clear" w:color="000000" w:fill="F2F2F2"/>
            <w:noWrap/>
            <w:vAlign w:val="center"/>
            <w:hideMark/>
          </w:tcPr>
          <w:p w14:paraId="639F10CA"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13</w:t>
            </w:r>
          </w:p>
        </w:tc>
        <w:tc>
          <w:tcPr>
            <w:tcW w:w="1530" w:type="dxa"/>
            <w:tcBorders>
              <w:top w:val="nil"/>
              <w:left w:val="nil"/>
              <w:bottom w:val="single" w:sz="4" w:space="0" w:color="BFBFBF"/>
              <w:right w:val="single" w:sz="4" w:space="0" w:color="auto"/>
            </w:tcBorders>
            <w:shd w:val="clear" w:color="000000" w:fill="F2F2F2"/>
            <w:noWrap/>
            <w:vAlign w:val="center"/>
            <w:hideMark/>
          </w:tcPr>
          <w:p w14:paraId="68540B65"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6.2%</w:t>
            </w:r>
          </w:p>
        </w:tc>
      </w:tr>
      <w:tr w:rsidR="002322D8" w:rsidRPr="00887119" w14:paraId="6CF4F77C" w14:textId="77777777" w:rsidTr="002C4B56">
        <w:trPr>
          <w:trHeight w:val="402"/>
        </w:trPr>
        <w:tc>
          <w:tcPr>
            <w:tcW w:w="6295" w:type="dxa"/>
            <w:tcBorders>
              <w:top w:val="nil"/>
              <w:left w:val="single" w:sz="4" w:space="0" w:color="auto"/>
              <w:bottom w:val="single" w:sz="4" w:space="0" w:color="BFBFBF"/>
              <w:right w:val="single" w:sz="4" w:space="0" w:color="auto"/>
            </w:tcBorders>
            <w:shd w:val="clear" w:color="000000" w:fill="FFFFFF"/>
            <w:noWrap/>
            <w:vAlign w:val="center"/>
            <w:hideMark/>
          </w:tcPr>
          <w:p w14:paraId="474AFC84"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Located in Queens County</w:t>
            </w:r>
          </w:p>
        </w:tc>
        <w:tc>
          <w:tcPr>
            <w:tcW w:w="1530" w:type="dxa"/>
            <w:tcBorders>
              <w:top w:val="nil"/>
              <w:left w:val="nil"/>
              <w:bottom w:val="single" w:sz="4" w:space="0" w:color="BFBFBF"/>
              <w:right w:val="single" w:sz="4" w:space="0" w:color="BFBFBF"/>
            </w:tcBorders>
            <w:shd w:val="clear" w:color="000000" w:fill="FFFFFF"/>
            <w:noWrap/>
            <w:vAlign w:val="center"/>
            <w:hideMark/>
          </w:tcPr>
          <w:p w14:paraId="22C63C08"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137</w:t>
            </w:r>
          </w:p>
        </w:tc>
        <w:tc>
          <w:tcPr>
            <w:tcW w:w="1530" w:type="dxa"/>
            <w:tcBorders>
              <w:top w:val="nil"/>
              <w:left w:val="nil"/>
              <w:bottom w:val="single" w:sz="4" w:space="0" w:color="BFBFBF"/>
              <w:right w:val="single" w:sz="4" w:space="0" w:color="auto"/>
            </w:tcBorders>
            <w:shd w:val="clear" w:color="000000" w:fill="FFFFFF"/>
            <w:noWrap/>
            <w:vAlign w:val="center"/>
            <w:hideMark/>
          </w:tcPr>
          <w:p w14:paraId="29F9BDD9"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65.2%</w:t>
            </w:r>
          </w:p>
        </w:tc>
      </w:tr>
      <w:tr w:rsidR="002322D8" w:rsidRPr="00887119" w14:paraId="5ACCE232" w14:textId="77777777" w:rsidTr="002C4B56">
        <w:trPr>
          <w:trHeight w:val="402"/>
        </w:trPr>
        <w:tc>
          <w:tcPr>
            <w:tcW w:w="6295" w:type="dxa"/>
            <w:tcBorders>
              <w:top w:val="nil"/>
              <w:left w:val="single" w:sz="4" w:space="0" w:color="auto"/>
              <w:bottom w:val="single" w:sz="4" w:space="0" w:color="auto"/>
              <w:right w:val="single" w:sz="4" w:space="0" w:color="auto"/>
            </w:tcBorders>
            <w:shd w:val="clear" w:color="000000" w:fill="F2F2F2"/>
            <w:noWrap/>
            <w:vAlign w:val="center"/>
            <w:hideMark/>
          </w:tcPr>
          <w:p w14:paraId="0CC73F18" w14:textId="77777777" w:rsidR="002322D8" w:rsidRPr="00887119" w:rsidRDefault="002322D8" w:rsidP="002C4B56">
            <w:pPr>
              <w:rPr>
                <w:rFonts w:eastAsia="Times New Roman"/>
                <w:color w:val="000000"/>
                <w:sz w:val="18"/>
                <w:szCs w:val="18"/>
              </w:rPr>
            </w:pPr>
            <w:r w:rsidRPr="00887119">
              <w:rPr>
                <w:rFonts w:eastAsia="Times New Roman"/>
                <w:color w:val="000000"/>
                <w:sz w:val="18"/>
                <w:szCs w:val="18"/>
              </w:rPr>
              <w:t>Located in Prince County</w:t>
            </w:r>
          </w:p>
        </w:tc>
        <w:tc>
          <w:tcPr>
            <w:tcW w:w="1530" w:type="dxa"/>
            <w:tcBorders>
              <w:top w:val="nil"/>
              <w:left w:val="nil"/>
              <w:bottom w:val="single" w:sz="4" w:space="0" w:color="auto"/>
              <w:right w:val="single" w:sz="4" w:space="0" w:color="BFBFBF"/>
            </w:tcBorders>
            <w:shd w:val="clear" w:color="000000" w:fill="F2F2F2"/>
            <w:noWrap/>
            <w:vAlign w:val="center"/>
            <w:hideMark/>
          </w:tcPr>
          <w:p w14:paraId="52CC36B0"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60</w:t>
            </w:r>
          </w:p>
        </w:tc>
        <w:tc>
          <w:tcPr>
            <w:tcW w:w="1530" w:type="dxa"/>
            <w:tcBorders>
              <w:top w:val="nil"/>
              <w:left w:val="nil"/>
              <w:bottom w:val="single" w:sz="4" w:space="0" w:color="auto"/>
              <w:right w:val="single" w:sz="4" w:space="0" w:color="auto"/>
            </w:tcBorders>
            <w:shd w:val="clear" w:color="000000" w:fill="F2F2F2"/>
            <w:noWrap/>
            <w:vAlign w:val="center"/>
            <w:hideMark/>
          </w:tcPr>
          <w:p w14:paraId="7F5AD5E6" w14:textId="77777777" w:rsidR="002322D8" w:rsidRPr="00E043E3" w:rsidRDefault="002322D8" w:rsidP="002C4B56">
            <w:pPr>
              <w:jc w:val="right"/>
              <w:rPr>
                <w:rFonts w:eastAsia="Times New Roman"/>
                <w:color w:val="C00000"/>
                <w:sz w:val="18"/>
                <w:szCs w:val="18"/>
              </w:rPr>
            </w:pPr>
            <w:r w:rsidRPr="00E043E3">
              <w:rPr>
                <w:rFonts w:eastAsia="Times New Roman"/>
                <w:color w:val="C00000"/>
                <w:sz w:val="18"/>
                <w:szCs w:val="18"/>
              </w:rPr>
              <w:t>28.6%</w:t>
            </w:r>
          </w:p>
        </w:tc>
      </w:tr>
    </w:tbl>
    <w:p w14:paraId="2C8CE56C" w14:textId="4693E288" w:rsidR="00AF085B" w:rsidRPr="00887119" w:rsidRDefault="002322D8" w:rsidP="00AF085B">
      <w:pPr>
        <w:pStyle w:val="Source"/>
      </w:pPr>
      <w:r w:rsidRPr="00887119">
        <w:t xml:space="preserve">Source: Homeless Individuals and Families Information System via John Howard Society of </w:t>
      </w:r>
      <w:r w:rsidR="00402288" w:rsidRPr="00402288">
        <w:rPr>
          <w:color w:val="C00000"/>
        </w:rPr>
        <w:t>Prince Edward Island</w:t>
      </w:r>
    </w:p>
    <w:p w14:paraId="7D0B9C4D" w14:textId="77777777" w:rsidR="00AF085B" w:rsidRPr="00887119" w:rsidRDefault="00AF085B" w:rsidP="00AF085B"/>
    <w:p w14:paraId="517FCE2A" w14:textId="0C67B543" w:rsidR="002E5EC3" w:rsidRPr="00887119" w:rsidRDefault="00AF085B" w:rsidP="00AF085B">
      <w:r w:rsidRPr="00887119">
        <w:t xml:space="preserve">As of February 2026, 210 individuals were experiencing homelessness across </w:t>
      </w:r>
      <w:r w:rsidR="00402288" w:rsidRPr="00402288">
        <w:rPr>
          <w:color w:val="C00000"/>
        </w:rPr>
        <w:t>PEI</w:t>
      </w:r>
      <w:r w:rsidRPr="00887119">
        <w:t>, of whom 104 (49.5%) were experiencing chronic homelessness. The geographic distribution of homelessness is heavily weighted toward Queens County (65.2%), consistent with the concentration of shelter infrastructure and support services in Charlottetown</w:t>
      </w:r>
      <w:r w:rsidR="002E5EC3" w:rsidRPr="00887119">
        <w:t xml:space="preserve"> and adjacent communities</w:t>
      </w:r>
      <w:r w:rsidRPr="00887119">
        <w:t xml:space="preserve">. </w:t>
      </w:r>
    </w:p>
    <w:p w14:paraId="55394580" w14:textId="77777777" w:rsidR="002E5EC3" w:rsidRPr="00887119" w:rsidRDefault="002E5EC3" w:rsidP="00AF085B"/>
    <w:p w14:paraId="51653CDE" w14:textId="0052244B" w:rsidR="00AF085B" w:rsidRPr="00887119" w:rsidRDefault="00AF085B" w:rsidP="00AF085B">
      <w:r w:rsidRPr="00887119">
        <w:t>Kings County accounts for 6.2% and Prince County for 28.6%, though these figures likely understate true prevalence given the documented barriers to accessing rural homeless services. Single persons represent 87.6% of all individuals experiencing homelessness, and males account for 70.3%. The Indigenous population is overrepresented at 12.9% of those experiencing homelessness relative to their 2.2% share of the provincial population</w:t>
      </w:r>
      <w:r w:rsidR="006768A6" w:rsidRPr="00887119">
        <w:t>.</w:t>
      </w:r>
    </w:p>
    <w:p w14:paraId="427E7404" w14:textId="77777777" w:rsidR="006768A6" w:rsidRPr="00887119" w:rsidRDefault="006768A6" w:rsidP="00AF085B"/>
    <w:p w14:paraId="33DCF0C8" w14:textId="257916BC" w:rsidR="00AF085B" w:rsidRPr="00887119" w:rsidRDefault="00AF085B" w:rsidP="00AF085B">
      <w:r w:rsidRPr="00887119">
        <w:t>The 34.3% of individuals housed through a coordinated approach (72 persons cumulatively) demonstrates that the province’s system has capacity to resolve homelessness when the appropriate supports and housing options are available. However, the high chronic homelessness rate suggests that exits from homelessness are not keeping pace with new entries</w:t>
      </w:r>
      <w:r w:rsidR="00395BE5" w:rsidRPr="00887119">
        <w:t xml:space="preserve">. This suggests that there may be a gap </w:t>
      </w:r>
      <w:r w:rsidRPr="00887119">
        <w:t xml:space="preserve">in both transitional and permanent supportive housing rather than only emergency shelter capacity. </w:t>
      </w:r>
    </w:p>
    <w:p w14:paraId="57714327" w14:textId="0D83316B" w:rsidR="00952F0E" w:rsidRPr="00887119" w:rsidRDefault="00952F0E" w:rsidP="00AF085B">
      <w:pPr>
        <w:rPr>
          <w:sz w:val="18"/>
          <w:szCs w:val="18"/>
        </w:rPr>
      </w:pPr>
      <w:r w:rsidRPr="00887119">
        <w:br w:type="page"/>
      </w:r>
    </w:p>
    <w:p w14:paraId="2F2A12F9" w14:textId="77777777" w:rsidR="00952F0E" w:rsidRPr="00887119" w:rsidRDefault="00952F0E" w:rsidP="00842B20">
      <w:pPr>
        <w:pStyle w:val="Heading1"/>
      </w:pPr>
      <w:bookmarkStart w:id="147" w:name="_Toc223686654"/>
      <w:bookmarkStart w:id="148" w:name="_Toc225869021"/>
      <w:bookmarkStart w:id="149" w:name="_Toc229051968"/>
      <w:bookmarkStart w:id="150" w:name="_Toc237957450"/>
      <w:r w:rsidRPr="00887119">
        <w:lastRenderedPageBreak/>
        <w:t>PROJECTED NEEDS</w:t>
      </w:r>
      <w:bookmarkEnd w:id="147"/>
      <w:bookmarkEnd w:id="148"/>
      <w:bookmarkEnd w:id="149"/>
      <w:bookmarkEnd w:id="150"/>
    </w:p>
    <w:p w14:paraId="7C26B232" w14:textId="77777777" w:rsidR="00952F0E" w:rsidRPr="00887119" w:rsidRDefault="00952F0E" w:rsidP="00952F0E"/>
    <w:p w14:paraId="7726139A" w14:textId="2BFB048E" w:rsidR="0036762E" w:rsidRPr="00887119" w:rsidRDefault="0036762E" w:rsidP="0036762E">
      <w:r w:rsidRPr="00887119">
        <w:t xml:space="preserve">This section translates current housing conditions and demographic analysis into forward-looking estimates of housing demand, household formation, and unit requirements over a ten-year projection horizon, disaggregated by geographic category to reflect the different growth trajectories and housing need dynamics anticipated across </w:t>
      </w:r>
      <w:r w:rsidR="00402288" w:rsidRPr="00402288">
        <w:rPr>
          <w:color w:val="C00000"/>
        </w:rPr>
        <w:t>PEI</w:t>
      </w:r>
      <w:r w:rsidRPr="00887119">
        <w:t>’s urban and rural communities.</w:t>
      </w:r>
    </w:p>
    <w:p w14:paraId="0ACAF681" w14:textId="77777777" w:rsidR="0036762E" w:rsidRPr="00887119" w:rsidRDefault="0036762E" w:rsidP="0036762E"/>
    <w:p w14:paraId="275F7A92" w14:textId="10B9ABB6" w:rsidR="0036762E" w:rsidRPr="00887119" w:rsidRDefault="0036762E" w:rsidP="0036762E">
      <w:r w:rsidRPr="00887119">
        <w:t>Federal program requirements under the CCBF and HAF explicitly include projected housing need as a required component of an HNA, reflecting the understanding that addressing Canada’s housing challenges requires anticipating demand, not merely responding to it after the fact.</w:t>
      </w:r>
    </w:p>
    <w:p w14:paraId="00F03A12" w14:textId="77777777" w:rsidR="00952F0E" w:rsidRPr="00887119" w:rsidRDefault="00952F0E" w:rsidP="00952F0E"/>
    <w:p w14:paraId="1AF06848" w14:textId="77777777" w:rsidR="00952F0E" w:rsidRPr="00887119" w:rsidRDefault="00952F0E" w:rsidP="00842B20">
      <w:pPr>
        <w:pStyle w:val="Heading2"/>
      </w:pPr>
      <w:bookmarkStart w:id="151" w:name="_Toc223686655"/>
      <w:bookmarkStart w:id="152" w:name="_Toc225869022"/>
      <w:bookmarkStart w:id="153" w:name="_Toc229051969"/>
      <w:bookmarkStart w:id="154" w:name="_Toc237957451"/>
      <w:r w:rsidRPr="00887119">
        <w:t>POPULATION PROJECTIONS</w:t>
      </w:r>
      <w:bookmarkEnd w:id="151"/>
      <w:bookmarkEnd w:id="152"/>
      <w:bookmarkEnd w:id="153"/>
      <w:bookmarkEnd w:id="154"/>
    </w:p>
    <w:p w14:paraId="5B46C992" w14:textId="77777777" w:rsidR="00643420" w:rsidRPr="00887119" w:rsidRDefault="00643420" w:rsidP="00643420">
      <w:r w:rsidRPr="00887119">
        <w:t>This section presents estimates of future population derived from Statistics Canada demographic projections, disaggregated by geographic category where available. Population projections are the starting point for all downstream housing demand analysis. Because housing is a durable good that lasts decades, decisions about what is built today will shape housing outcomes for generations across the province.</w:t>
      </w:r>
    </w:p>
    <w:p w14:paraId="2E76EA7A" w14:textId="77777777" w:rsidR="00952F0E" w:rsidRPr="00887119" w:rsidRDefault="00952F0E" w:rsidP="00952F0E"/>
    <w:p w14:paraId="26956FED" w14:textId="13F63997" w:rsidR="00BA1244" w:rsidRPr="00887119" w:rsidRDefault="00952F0E" w:rsidP="00BA1244">
      <w:r w:rsidRPr="00887119">
        <w:rPr>
          <w:rStyle w:val="Figure-textChar"/>
        </w:rPr>
        <w:fldChar w:fldCharType="begin"/>
      </w:r>
      <w:r w:rsidRPr="00887119">
        <w:rPr>
          <w:rStyle w:val="Figure-textChar"/>
        </w:rPr>
        <w:instrText xml:space="preserve"> REF _Ref223277013 \h  \* MERGEFORMAT </w:instrText>
      </w:r>
      <w:r w:rsidRPr="00887119">
        <w:rPr>
          <w:rStyle w:val="Figure-textChar"/>
        </w:rPr>
      </w:r>
      <w:r w:rsidRPr="00887119">
        <w:rPr>
          <w:rStyle w:val="Figure-textChar"/>
        </w:rPr>
        <w:fldChar w:fldCharType="separate"/>
      </w:r>
      <w:r w:rsidR="008D4BDE" w:rsidRPr="008D4BDE">
        <w:rPr>
          <w:rStyle w:val="Figure-textChar"/>
        </w:rPr>
        <w:t>Figure 10.1</w:t>
      </w:r>
      <w:r w:rsidRPr="00887119">
        <w:rPr>
          <w:rStyle w:val="Figure-textChar"/>
        </w:rPr>
        <w:fldChar w:fldCharType="end"/>
      </w:r>
      <w:r w:rsidRPr="00887119">
        <w:t xml:space="preserve"> </w:t>
      </w:r>
      <w:r w:rsidR="00BA1244" w:rsidRPr="00887119">
        <w:t>presents a range of population projection scenarios for the province over the next ten years, drawn from Statistics Canada demographic modelling, establishing the envelope of possible future growth within which housing demand will evolve.</w:t>
      </w:r>
    </w:p>
    <w:p w14:paraId="70B7B8B0" w14:textId="4DF3B06A" w:rsidR="00952F0E" w:rsidRPr="00887119" w:rsidRDefault="00952F0E" w:rsidP="00952F0E"/>
    <w:p w14:paraId="5335357B" w14:textId="62392F9C" w:rsidR="00952F0E" w:rsidRPr="00887119" w:rsidRDefault="00952F0E" w:rsidP="00952F0E">
      <w:pPr>
        <w:pStyle w:val="Caption"/>
      </w:pPr>
      <w:bookmarkStart w:id="155" w:name="_Ref223277013"/>
      <w:r w:rsidRPr="00887119">
        <w:t xml:space="preserve">Figure </w:t>
      </w:r>
      <w:fldSimple w:instr=" STYLEREF 1 \s ">
        <w:r w:rsidR="008D4BDE">
          <w:rPr>
            <w:noProof/>
          </w:rPr>
          <w:t>10</w:t>
        </w:r>
      </w:fldSimple>
      <w:r w:rsidR="00A6003E" w:rsidRPr="00887119">
        <w:t>.</w:t>
      </w:r>
      <w:fldSimple w:instr=" SEQ Figure \* ARABIC \s 1 ">
        <w:r w:rsidR="008D4BDE">
          <w:rPr>
            <w:noProof/>
          </w:rPr>
          <w:t>1</w:t>
        </w:r>
      </w:fldSimple>
      <w:bookmarkEnd w:id="155"/>
      <w:r w:rsidRPr="00887119">
        <w:t>: Range of anticipated total population over next 10 years</w:t>
      </w:r>
    </w:p>
    <w:p w14:paraId="3B518361" w14:textId="68C84BB0" w:rsidR="00952F0E" w:rsidRPr="00887119" w:rsidRDefault="00E21929" w:rsidP="00952F0E">
      <w:r w:rsidRPr="00887119">
        <w:rPr>
          <w:noProof/>
        </w:rPr>
        <w:drawing>
          <wp:inline distT="0" distB="0" distL="0" distR="0" wp14:anchorId="670C9865" wp14:editId="310662E3">
            <wp:extent cx="5916706" cy="2743202"/>
            <wp:effectExtent l="0" t="0" r="8255" b="0"/>
            <wp:docPr id="784450584" name="Chart 1">
              <a:extLst xmlns:a="http://schemas.openxmlformats.org/drawingml/2006/main">
                <a:ext uri="{FF2B5EF4-FFF2-40B4-BE49-F238E27FC236}">
                  <a16:creationId xmlns:a16="http://schemas.microsoft.com/office/drawing/2014/main" id="{8A357DEB-A631-4D39-B147-01B29BD4D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29F5F5" w14:textId="77777777" w:rsidR="00952F0E" w:rsidRPr="00887119" w:rsidRDefault="00952F0E" w:rsidP="00952F0E">
      <w:pPr>
        <w:pStyle w:val="Source"/>
      </w:pPr>
      <w:r w:rsidRPr="00887119">
        <w:t>Source: Statistics Canada Tables 17-10-0155 and 17-10-0162</w:t>
      </w:r>
    </w:p>
    <w:p w14:paraId="01CD8A0E" w14:textId="77777777" w:rsidR="00952F0E" w:rsidRPr="00887119" w:rsidRDefault="00952F0E" w:rsidP="00952F0E"/>
    <w:p w14:paraId="2CBC55B0" w14:textId="5C4B4117" w:rsidR="00394F84" w:rsidRPr="00887119" w:rsidRDefault="00394F84" w:rsidP="00394F84">
      <w:r w:rsidRPr="00887119">
        <w:t xml:space="preserve">The spread between low and high projection scenarios reflects genuine uncertainty in how key demographic drivers (i.e. migration, fertility, and mortality) will evolve. </w:t>
      </w:r>
      <w:r w:rsidR="00402288" w:rsidRPr="00402288">
        <w:rPr>
          <w:color w:val="C00000"/>
        </w:rPr>
        <w:t>PEI</w:t>
      </w:r>
      <w:r w:rsidRPr="00887119">
        <w:t xml:space="preserve"> has experienced among </w:t>
      </w:r>
      <w:r w:rsidRPr="00887119">
        <w:lastRenderedPageBreak/>
        <w:t>the most rapid population growth in Canada in recent years, driven primarily by international in-migration. The pace of that growth creates particular uncertainty: if migration flows moderate due to federal immigration policy changes, housing affordability constraints, or shifts in destination preferences, actual population growth could fall well below high-scenario projections. Housing unaffordability itself can dampen in-migration and suppress household formation, creating a self-limiting dynamic</w:t>
      </w:r>
      <w:r w:rsidR="00035121" w:rsidRPr="00887119">
        <w:t>.</w:t>
      </w:r>
    </w:p>
    <w:p w14:paraId="50301AC7" w14:textId="77777777" w:rsidR="00394F84" w:rsidRPr="00887119" w:rsidRDefault="00394F84" w:rsidP="00394F84"/>
    <w:p w14:paraId="608015F7" w14:textId="0BE003D0" w:rsidR="00394F84" w:rsidRPr="00887119" w:rsidRDefault="00394F84" w:rsidP="00394F84">
      <w:r w:rsidRPr="00887119">
        <w:t xml:space="preserve">Geographic categories are projected to grow at meaningfully different rates through 2035. Small urban areas are expected to see the strongest growth (+15%), followed by urban (+12%), rural urban-adjacent (+9%), and rural remote (+6%). </w:t>
      </w:r>
      <w:r w:rsidR="00B25733" w:rsidRPr="00887119">
        <w:t>S</w:t>
      </w:r>
      <w:r w:rsidRPr="00887119">
        <w:t xml:space="preserve">mall urban communities, while starting from a smaller base, face proportionally </w:t>
      </w:r>
      <w:r w:rsidR="00B25733" w:rsidRPr="00887119">
        <w:t>notable</w:t>
      </w:r>
      <w:r w:rsidRPr="00887119">
        <w:t xml:space="preserve"> growth that their existing infrastructure and housing stock may </w:t>
      </w:r>
      <w:r w:rsidR="00B25733" w:rsidRPr="00887119">
        <w:t>have more difficulty absorbing</w:t>
      </w:r>
      <w:r w:rsidRPr="00887119">
        <w:t>. Rural remote communities, meanwhile, face the dual challenge of slower growth alongside an aging population profile that will shift demand toward accessible and age-appropriate housing types.</w:t>
      </w:r>
    </w:p>
    <w:p w14:paraId="2CD77E1F" w14:textId="77777777" w:rsidR="00394F84" w:rsidRPr="00887119" w:rsidRDefault="00394F84" w:rsidP="00394F84"/>
    <w:p w14:paraId="620E397C" w14:textId="1A6AC021" w:rsidR="00394F84" w:rsidRPr="00887119" w:rsidRDefault="000A2364" w:rsidP="00394F84">
      <w:r w:rsidRPr="00887119">
        <w:rPr>
          <w:rStyle w:val="Figure-textChar"/>
        </w:rPr>
        <w:fldChar w:fldCharType="begin"/>
      </w:r>
      <w:r w:rsidRPr="00887119">
        <w:rPr>
          <w:rStyle w:val="Figure-textChar"/>
        </w:rPr>
        <w:instrText xml:space="preserve"> REF _Ref228646958 \h  \* MERGEFORMAT </w:instrText>
      </w:r>
      <w:r w:rsidRPr="00887119">
        <w:rPr>
          <w:rStyle w:val="Figure-textChar"/>
        </w:rPr>
      </w:r>
      <w:r w:rsidRPr="00887119">
        <w:rPr>
          <w:rStyle w:val="Figure-textChar"/>
        </w:rPr>
        <w:fldChar w:fldCharType="separate"/>
      </w:r>
      <w:r w:rsidR="008D4BDE" w:rsidRPr="008D4BDE">
        <w:rPr>
          <w:rStyle w:val="Figure-textChar"/>
        </w:rPr>
        <w:t>Table 10.1</w:t>
      </w:r>
      <w:r w:rsidRPr="00887119">
        <w:rPr>
          <w:rStyle w:val="Figure-textChar"/>
        </w:rPr>
        <w:fldChar w:fldCharType="end"/>
      </w:r>
      <w:r w:rsidRPr="00887119">
        <w:t xml:space="preserve"> </w:t>
      </w:r>
      <w:r w:rsidR="00394F84" w:rsidRPr="00887119">
        <w:t>breaks down projected population change by age group and geographic category, enabling readers to anticipate how the province’s demographic composition may shift over the projection horizon under a medium growth scenario.</w:t>
      </w:r>
    </w:p>
    <w:p w14:paraId="38B9A444" w14:textId="77777777" w:rsidR="00952F0E" w:rsidRPr="00887119" w:rsidRDefault="00952F0E" w:rsidP="00952F0E"/>
    <w:p w14:paraId="44DFA62F" w14:textId="2C46BDB7" w:rsidR="00952F0E" w:rsidRPr="00887119" w:rsidRDefault="00952F0E" w:rsidP="00952F0E">
      <w:pPr>
        <w:pStyle w:val="Caption"/>
      </w:pPr>
      <w:bookmarkStart w:id="156" w:name="_Ref228646958"/>
      <w:r w:rsidRPr="00887119">
        <w:t xml:space="preserve">Table </w:t>
      </w:r>
      <w:fldSimple w:instr=" STYLEREF 1 \s ">
        <w:r w:rsidR="008D4BDE">
          <w:rPr>
            <w:noProof/>
          </w:rPr>
          <w:t>10</w:t>
        </w:r>
      </w:fldSimple>
      <w:r w:rsidR="00EE1FE9">
        <w:t>.</w:t>
      </w:r>
      <w:fldSimple w:instr=" SEQ Table \* ARABIC \s 1 ">
        <w:r w:rsidR="008D4BDE">
          <w:rPr>
            <w:noProof/>
          </w:rPr>
          <w:t>1</w:t>
        </w:r>
      </w:fldSimple>
      <w:bookmarkEnd w:id="156"/>
      <w:r w:rsidRPr="00887119">
        <w:t>: Anticipated population by age group over next 10 years, medium growth scenario</w:t>
      </w:r>
    </w:p>
    <w:tbl>
      <w:tblPr>
        <w:tblW w:w="9355" w:type="dxa"/>
        <w:tblLayout w:type="fixed"/>
        <w:tblLook w:val="04A0" w:firstRow="1" w:lastRow="0" w:firstColumn="1" w:lastColumn="0" w:noHBand="0" w:noVBand="1"/>
      </w:tblPr>
      <w:tblGrid>
        <w:gridCol w:w="2155"/>
        <w:gridCol w:w="900"/>
        <w:gridCol w:w="900"/>
        <w:gridCol w:w="900"/>
        <w:gridCol w:w="900"/>
        <w:gridCol w:w="900"/>
        <w:gridCol w:w="900"/>
        <w:gridCol w:w="900"/>
        <w:gridCol w:w="900"/>
      </w:tblGrid>
      <w:tr w:rsidR="00C717A0" w:rsidRPr="00887119" w14:paraId="2FFF50EB" w14:textId="77777777" w:rsidTr="00050B19">
        <w:trPr>
          <w:trHeight w:val="402"/>
        </w:trPr>
        <w:tc>
          <w:tcPr>
            <w:tcW w:w="215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49842057" w14:textId="77777777" w:rsidR="00C717A0" w:rsidRPr="00887119" w:rsidRDefault="00C717A0" w:rsidP="00C717A0">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 </w:t>
            </w:r>
          </w:p>
        </w:tc>
        <w:tc>
          <w:tcPr>
            <w:tcW w:w="9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6CD998B9"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Total</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2C4D95B"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0 to 14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4D3647C"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15 to 24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3CC2963B"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25 to 34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100A1D38"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35 to 54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F0FA144"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55 to 64</w:t>
            </w:r>
          </w:p>
        </w:tc>
        <w:tc>
          <w:tcPr>
            <w:tcW w:w="90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5AAA92F"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65 to 84</w:t>
            </w:r>
          </w:p>
        </w:tc>
        <w:tc>
          <w:tcPr>
            <w:tcW w:w="90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F29571A" w14:textId="77777777" w:rsidR="00C717A0" w:rsidRPr="00887119" w:rsidRDefault="00C717A0" w:rsidP="00C717A0">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85+</w:t>
            </w:r>
          </w:p>
        </w:tc>
      </w:tr>
      <w:tr w:rsidR="00C717A0" w:rsidRPr="00887119" w14:paraId="7C0FA0DB" w14:textId="77777777" w:rsidTr="00050B19">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70D0245B"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Provincial population</w:t>
            </w:r>
          </w:p>
        </w:tc>
      </w:tr>
      <w:tr w:rsidR="00C717A0" w:rsidRPr="00887119" w14:paraId="678C1617" w14:textId="77777777" w:rsidTr="00C717A0">
        <w:trPr>
          <w:trHeight w:val="402"/>
        </w:trPr>
        <w:tc>
          <w:tcPr>
            <w:tcW w:w="2155" w:type="dxa"/>
            <w:tcBorders>
              <w:top w:val="nil"/>
              <w:left w:val="single" w:sz="4" w:space="0" w:color="auto"/>
              <w:bottom w:val="single" w:sz="4" w:space="0" w:color="BFBFBF"/>
              <w:right w:val="single" w:sz="4" w:space="0" w:color="auto"/>
            </w:tcBorders>
            <w:shd w:val="clear" w:color="000000" w:fill="F2F2F2"/>
            <w:noWrap/>
            <w:vAlign w:val="center"/>
            <w:hideMark/>
          </w:tcPr>
          <w:p w14:paraId="7E9ADDAD"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2035 total</w:t>
            </w:r>
          </w:p>
        </w:tc>
        <w:tc>
          <w:tcPr>
            <w:tcW w:w="900" w:type="dxa"/>
            <w:tcBorders>
              <w:top w:val="nil"/>
              <w:left w:val="nil"/>
              <w:bottom w:val="single" w:sz="4" w:space="0" w:color="BFBFBF"/>
              <w:right w:val="single" w:sz="4" w:space="0" w:color="auto"/>
            </w:tcBorders>
            <w:shd w:val="clear" w:color="000000" w:fill="F2F2F2"/>
            <w:noWrap/>
            <w:vAlign w:val="center"/>
            <w:hideMark/>
          </w:tcPr>
          <w:p w14:paraId="16373A40" w14:textId="20A9FF2A" w:rsidR="00C717A0" w:rsidRPr="00034C7A" w:rsidRDefault="00CF20E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200,475</w:t>
            </w:r>
          </w:p>
        </w:tc>
        <w:tc>
          <w:tcPr>
            <w:tcW w:w="900" w:type="dxa"/>
            <w:tcBorders>
              <w:top w:val="nil"/>
              <w:left w:val="nil"/>
              <w:bottom w:val="single" w:sz="4" w:space="0" w:color="BFBFBF"/>
              <w:right w:val="single" w:sz="4" w:space="0" w:color="BFBFBF"/>
            </w:tcBorders>
            <w:shd w:val="clear" w:color="000000" w:fill="F2F2F2"/>
            <w:noWrap/>
            <w:vAlign w:val="center"/>
            <w:hideMark/>
          </w:tcPr>
          <w:p w14:paraId="5FC25B3A" w14:textId="37931B5F" w:rsidR="00C717A0" w:rsidRPr="00034C7A" w:rsidRDefault="00E7370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25,955</w:t>
            </w:r>
          </w:p>
        </w:tc>
        <w:tc>
          <w:tcPr>
            <w:tcW w:w="900" w:type="dxa"/>
            <w:tcBorders>
              <w:top w:val="nil"/>
              <w:left w:val="nil"/>
              <w:bottom w:val="single" w:sz="4" w:space="0" w:color="BFBFBF"/>
              <w:right w:val="single" w:sz="4" w:space="0" w:color="BFBFBF"/>
            </w:tcBorders>
            <w:shd w:val="clear" w:color="000000" w:fill="F2F2F2"/>
            <w:noWrap/>
            <w:vAlign w:val="center"/>
            <w:hideMark/>
          </w:tcPr>
          <w:p w14:paraId="3E329FD4" w14:textId="663FBFBE" w:rsidR="00C717A0" w:rsidRPr="00034C7A" w:rsidRDefault="00E7370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24,250</w:t>
            </w:r>
          </w:p>
        </w:tc>
        <w:tc>
          <w:tcPr>
            <w:tcW w:w="900" w:type="dxa"/>
            <w:tcBorders>
              <w:top w:val="nil"/>
              <w:left w:val="nil"/>
              <w:bottom w:val="single" w:sz="4" w:space="0" w:color="BFBFBF"/>
              <w:right w:val="single" w:sz="4" w:space="0" w:color="BFBFBF"/>
            </w:tcBorders>
            <w:shd w:val="clear" w:color="000000" w:fill="F2F2F2"/>
            <w:noWrap/>
            <w:vAlign w:val="center"/>
            <w:hideMark/>
          </w:tcPr>
          <w:p w14:paraId="372A671A" w14:textId="7A00F4D8" w:rsidR="00C717A0" w:rsidRPr="00034C7A" w:rsidRDefault="00E7370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27,655</w:t>
            </w:r>
          </w:p>
        </w:tc>
        <w:tc>
          <w:tcPr>
            <w:tcW w:w="900" w:type="dxa"/>
            <w:tcBorders>
              <w:top w:val="nil"/>
              <w:left w:val="nil"/>
              <w:bottom w:val="single" w:sz="4" w:space="0" w:color="BFBFBF"/>
              <w:right w:val="single" w:sz="4" w:space="0" w:color="BFBFBF"/>
            </w:tcBorders>
            <w:shd w:val="clear" w:color="000000" w:fill="F2F2F2"/>
            <w:noWrap/>
            <w:vAlign w:val="center"/>
            <w:hideMark/>
          </w:tcPr>
          <w:p w14:paraId="70C2172D" w14:textId="19DC8E73" w:rsidR="00C717A0" w:rsidRPr="00034C7A" w:rsidRDefault="00E7370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54,295</w:t>
            </w:r>
          </w:p>
        </w:tc>
        <w:tc>
          <w:tcPr>
            <w:tcW w:w="900" w:type="dxa"/>
            <w:tcBorders>
              <w:top w:val="nil"/>
              <w:left w:val="nil"/>
              <w:bottom w:val="single" w:sz="4" w:space="0" w:color="BFBFBF"/>
              <w:right w:val="single" w:sz="4" w:space="0" w:color="BFBFBF"/>
            </w:tcBorders>
            <w:shd w:val="clear" w:color="000000" w:fill="F2F2F2"/>
            <w:noWrap/>
            <w:vAlign w:val="center"/>
            <w:hideMark/>
          </w:tcPr>
          <w:p w14:paraId="6100052B" w14:textId="21D315E1" w:rsidR="00C717A0" w:rsidRPr="00034C7A" w:rsidRDefault="00E7370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21,520</w:t>
            </w:r>
          </w:p>
        </w:tc>
        <w:tc>
          <w:tcPr>
            <w:tcW w:w="900" w:type="dxa"/>
            <w:tcBorders>
              <w:top w:val="nil"/>
              <w:left w:val="nil"/>
              <w:bottom w:val="single" w:sz="4" w:space="0" w:color="BFBFBF"/>
              <w:right w:val="single" w:sz="4" w:space="0" w:color="BFBFBF"/>
            </w:tcBorders>
            <w:shd w:val="clear" w:color="000000" w:fill="F2F2F2"/>
            <w:noWrap/>
            <w:vAlign w:val="center"/>
            <w:hideMark/>
          </w:tcPr>
          <w:p w14:paraId="58D32B25" w14:textId="206DE670" w:rsidR="00C717A0" w:rsidRPr="00034C7A" w:rsidRDefault="00E7370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39,055</w:t>
            </w:r>
          </w:p>
        </w:tc>
        <w:tc>
          <w:tcPr>
            <w:tcW w:w="900" w:type="dxa"/>
            <w:tcBorders>
              <w:top w:val="nil"/>
              <w:left w:val="nil"/>
              <w:bottom w:val="single" w:sz="4" w:space="0" w:color="BFBFBF"/>
              <w:right w:val="single" w:sz="4" w:space="0" w:color="auto"/>
            </w:tcBorders>
            <w:shd w:val="clear" w:color="000000" w:fill="F2F2F2"/>
            <w:noWrap/>
            <w:vAlign w:val="center"/>
            <w:hideMark/>
          </w:tcPr>
          <w:p w14:paraId="382B1331" w14:textId="3EDADB2E" w:rsidR="00C717A0" w:rsidRPr="00034C7A" w:rsidRDefault="00E73707" w:rsidP="00C717A0">
            <w:pPr>
              <w:spacing w:line="240" w:lineRule="auto"/>
              <w:jc w:val="right"/>
              <w:rPr>
                <w:rFonts w:eastAsia="Times New Roman" w:cs="Arial"/>
                <w:color w:val="C00000"/>
                <w:kern w:val="0"/>
                <w:sz w:val="18"/>
                <w:szCs w:val="18"/>
                <w:lang w:eastAsia="en-CA"/>
                <w14:ligatures w14:val="none"/>
              </w:rPr>
            </w:pPr>
            <w:r>
              <w:rPr>
                <w:rFonts w:eastAsia="Times New Roman" w:cs="Arial"/>
                <w:color w:val="C00000"/>
                <w:kern w:val="0"/>
                <w:sz w:val="18"/>
                <w:szCs w:val="18"/>
                <w:lang w:eastAsia="en-CA"/>
                <w14:ligatures w14:val="none"/>
              </w:rPr>
              <w:t>6,950</w:t>
            </w:r>
          </w:p>
        </w:tc>
      </w:tr>
      <w:tr w:rsidR="00C717A0" w:rsidRPr="00887119" w14:paraId="52513369" w14:textId="77777777" w:rsidTr="00C717A0">
        <w:trPr>
          <w:trHeight w:val="402"/>
        </w:trPr>
        <w:tc>
          <w:tcPr>
            <w:tcW w:w="2155" w:type="dxa"/>
            <w:tcBorders>
              <w:top w:val="nil"/>
              <w:left w:val="single" w:sz="4" w:space="0" w:color="auto"/>
              <w:bottom w:val="single" w:sz="4" w:space="0" w:color="auto"/>
              <w:right w:val="single" w:sz="4" w:space="0" w:color="auto"/>
            </w:tcBorders>
            <w:noWrap/>
            <w:vAlign w:val="center"/>
            <w:hideMark/>
          </w:tcPr>
          <w:p w14:paraId="043861A7"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Since 2025</w:t>
            </w:r>
          </w:p>
        </w:tc>
        <w:tc>
          <w:tcPr>
            <w:tcW w:w="900" w:type="dxa"/>
            <w:tcBorders>
              <w:top w:val="nil"/>
              <w:left w:val="nil"/>
              <w:bottom w:val="single" w:sz="4" w:space="0" w:color="auto"/>
              <w:right w:val="single" w:sz="4" w:space="0" w:color="auto"/>
            </w:tcBorders>
            <w:noWrap/>
            <w:vAlign w:val="center"/>
            <w:hideMark/>
          </w:tcPr>
          <w:p w14:paraId="0206E95C"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+11%</w:t>
            </w:r>
          </w:p>
        </w:tc>
        <w:tc>
          <w:tcPr>
            <w:tcW w:w="900" w:type="dxa"/>
            <w:tcBorders>
              <w:top w:val="nil"/>
              <w:left w:val="nil"/>
              <w:bottom w:val="single" w:sz="4" w:space="0" w:color="auto"/>
              <w:right w:val="single" w:sz="4" w:space="0" w:color="BFBFBF"/>
            </w:tcBorders>
            <w:noWrap/>
            <w:vAlign w:val="center"/>
            <w:hideMark/>
          </w:tcPr>
          <w:p w14:paraId="5E332FE8"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+3%</w:t>
            </w:r>
          </w:p>
        </w:tc>
        <w:tc>
          <w:tcPr>
            <w:tcW w:w="900" w:type="dxa"/>
            <w:tcBorders>
              <w:top w:val="nil"/>
              <w:left w:val="nil"/>
              <w:bottom w:val="single" w:sz="4" w:space="0" w:color="auto"/>
              <w:right w:val="single" w:sz="4" w:space="0" w:color="BFBFBF"/>
            </w:tcBorders>
            <w:noWrap/>
            <w:vAlign w:val="center"/>
            <w:hideMark/>
          </w:tcPr>
          <w:p w14:paraId="6CC1CE0B"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w:t>
            </w:r>
          </w:p>
        </w:tc>
        <w:tc>
          <w:tcPr>
            <w:tcW w:w="900" w:type="dxa"/>
            <w:tcBorders>
              <w:top w:val="nil"/>
              <w:left w:val="nil"/>
              <w:bottom w:val="single" w:sz="4" w:space="0" w:color="auto"/>
              <w:right w:val="single" w:sz="4" w:space="0" w:color="BFBFBF"/>
            </w:tcBorders>
            <w:noWrap/>
            <w:vAlign w:val="center"/>
            <w:hideMark/>
          </w:tcPr>
          <w:p w14:paraId="620A6904"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+3%</w:t>
            </w:r>
          </w:p>
        </w:tc>
        <w:tc>
          <w:tcPr>
            <w:tcW w:w="900" w:type="dxa"/>
            <w:tcBorders>
              <w:top w:val="nil"/>
              <w:left w:val="nil"/>
              <w:bottom w:val="single" w:sz="4" w:space="0" w:color="auto"/>
              <w:right w:val="single" w:sz="4" w:space="0" w:color="BFBFBF"/>
            </w:tcBorders>
            <w:noWrap/>
            <w:vAlign w:val="center"/>
            <w:hideMark/>
          </w:tcPr>
          <w:p w14:paraId="446BA362"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+25%</w:t>
            </w:r>
          </w:p>
        </w:tc>
        <w:tc>
          <w:tcPr>
            <w:tcW w:w="900" w:type="dxa"/>
            <w:tcBorders>
              <w:top w:val="nil"/>
              <w:left w:val="nil"/>
              <w:bottom w:val="single" w:sz="4" w:space="0" w:color="auto"/>
              <w:right w:val="single" w:sz="4" w:space="0" w:color="BFBFBF"/>
            </w:tcBorders>
            <w:noWrap/>
            <w:vAlign w:val="center"/>
            <w:hideMark/>
          </w:tcPr>
          <w:p w14:paraId="7067B3C6"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-7%</w:t>
            </w:r>
          </w:p>
        </w:tc>
        <w:tc>
          <w:tcPr>
            <w:tcW w:w="900" w:type="dxa"/>
            <w:tcBorders>
              <w:top w:val="nil"/>
              <w:left w:val="nil"/>
              <w:bottom w:val="single" w:sz="4" w:space="0" w:color="auto"/>
              <w:right w:val="single" w:sz="4" w:space="0" w:color="BFBFBF"/>
            </w:tcBorders>
            <w:noWrap/>
            <w:vAlign w:val="center"/>
            <w:hideMark/>
          </w:tcPr>
          <w:p w14:paraId="5568B694"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+17%</w:t>
            </w:r>
          </w:p>
        </w:tc>
        <w:tc>
          <w:tcPr>
            <w:tcW w:w="900" w:type="dxa"/>
            <w:tcBorders>
              <w:top w:val="nil"/>
              <w:left w:val="nil"/>
              <w:bottom w:val="single" w:sz="4" w:space="0" w:color="auto"/>
              <w:right w:val="single" w:sz="4" w:space="0" w:color="auto"/>
            </w:tcBorders>
            <w:noWrap/>
            <w:vAlign w:val="center"/>
            <w:hideMark/>
          </w:tcPr>
          <w:p w14:paraId="2D312B27"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+74%</w:t>
            </w:r>
          </w:p>
        </w:tc>
      </w:tr>
      <w:tr w:rsidR="00C717A0" w:rsidRPr="00887119" w14:paraId="54543EA2" w14:textId="77777777" w:rsidTr="00050B19">
        <w:trPr>
          <w:trHeight w:val="402"/>
        </w:trPr>
        <w:tc>
          <w:tcPr>
            <w:tcW w:w="9355" w:type="dxa"/>
            <w:gridSpan w:val="9"/>
            <w:tcBorders>
              <w:top w:val="single" w:sz="4" w:space="0" w:color="auto"/>
              <w:left w:val="single" w:sz="4" w:space="0" w:color="auto"/>
              <w:bottom w:val="single" w:sz="4" w:space="0" w:color="auto"/>
              <w:right w:val="single" w:sz="4" w:space="0" w:color="000000"/>
            </w:tcBorders>
            <w:shd w:val="clear" w:color="auto" w:fill="CFD9E3" w:themeFill="accent1"/>
            <w:noWrap/>
            <w:vAlign w:val="center"/>
            <w:hideMark/>
          </w:tcPr>
          <w:p w14:paraId="102E1E7C"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Geographic category rates of change by age group (2025 to 2035)</w:t>
            </w:r>
          </w:p>
        </w:tc>
      </w:tr>
      <w:tr w:rsidR="00C717A0" w:rsidRPr="00887119" w14:paraId="3103691F" w14:textId="77777777" w:rsidTr="00C717A0">
        <w:trPr>
          <w:trHeight w:val="402"/>
        </w:trPr>
        <w:tc>
          <w:tcPr>
            <w:tcW w:w="2155" w:type="dxa"/>
            <w:tcBorders>
              <w:top w:val="nil"/>
              <w:left w:val="single" w:sz="4" w:space="0" w:color="auto"/>
              <w:bottom w:val="single" w:sz="4" w:space="0" w:color="BFBFBF"/>
              <w:right w:val="single" w:sz="4" w:space="0" w:color="auto"/>
            </w:tcBorders>
            <w:shd w:val="clear" w:color="000000" w:fill="F2F2F2"/>
            <w:noWrap/>
            <w:vAlign w:val="center"/>
            <w:hideMark/>
          </w:tcPr>
          <w:p w14:paraId="3EF3A08C"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Urban</w:t>
            </w:r>
          </w:p>
        </w:tc>
        <w:tc>
          <w:tcPr>
            <w:tcW w:w="900" w:type="dxa"/>
            <w:tcBorders>
              <w:top w:val="nil"/>
              <w:left w:val="nil"/>
              <w:bottom w:val="single" w:sz="4" w:space="0" w:color="BFBFBF"/>
              <w:right w:val="single" w:sz="4" w:space="0" w:color="auto"/>
            </w:tcBorders>
            <w:shd w:val="clear" w:color="000000" w:fill="F2F2F2"/>
            <w:noWrap/>
            <w:vAlign w:val="center"/>
            <w:hideMark/>
          </w:tcPr>
          <w:p w14:paraId="2362F094"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+12%</w:t>
            </w:r>
          </w:p>
        </w:tc>
        <w:tc>
          <w:tcPr>
            <w:tcW w:w="900" w:type="dxa"/>
            <w:tcBorders>
              <w:top w:val="nil"/>
              <w:left w:val="nil"/>
              <w:bottom w:val="single" w:sz="4" w:space="0" w:color="BFBFBF"/>
              <w:right w:val="single" w:sz="4" w:space="0" w:color="BFBFBF"/>
            </w:tcBorders>
            <w:shd w:val="clear" w:color="000000" w:fill="F2F2F2"/>
            <w:noWrap/>
            <w:vAlign w:val="center"/>
            <w:hideMark/>
          </w:tcPr>
          <w:p w14:paraId="25B42FD0"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+2%</w:t>
            </w:r>
          </w:p>
        </w:tc>
        <w:tc>
          <w:tcPr>
            <w:tcW w:w="900" w:type="dxa"/>
            <w:tcBorders>
              <w:top w:val="nil"/>
              <w:left w:val="nil"/>
              <w:bottom w:val="single" w:sz="4" w:space="0" w:color="BFBFBF"/>
              <w:right w:val="single" w:sz="4" w:space="0" w:color="BFBFBF"/>
            </w:tcBorders>
            <w:shd w:val="clear" w:color="000000" w:fill="F2F2F2"/>
            <w:noWrap/>
            <w:vAlign w:val="center"/>
            <w:hideMark/>
          </w:tcPr>
          <w:p w14:paraId="0C9B146F"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w:t>
            </w:r>
          </w:p>
        </w:tc>
        <w:tc>
          <w:tcPr>
            <w:tcW w:w="900" w:type="dxa"/>
            <w:tcBorders>
              <w:top w:val="nil"/>
              <w:left w:val="nil"/>
              <w:bottom w:val="single" w:sz="4" w:space="0" w:color="BFBFBF"/>
              <w:right w:val="single" w:sz="4" w:space="0" w:color="BFBFBF"/>
            </w:tcBorders>
            <w:shd w:val="clear" w:color="000000" w:fill="F2F2F2"/>
            <w:noWrap/>
            <w:vAlign w:val="center"/>
            <w:hideMark/>
          </w:tcPr>
          <w:p w14:paraId="346B9FF2"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+11%</w:t>
            </w:r>
          </w:p>
        </w:tc>
        <w:tc>
          <w:tcPr>
            <w:tcW w:w="900" w:type="dxa"/>
            <w:tcBorders>
              <w:top w:val="nil"/>
              <w:left w:val="nil"/>
              <w:bottom w:val="single" w:sz="4" w:space="0" w:color="BFBFBF"/>
              <w:right w:val="single" w:sz="4" w:space="0" w:color="BFBFBF"/>
            </w:tcBorders>
            <w:shd w:val="clear" w:color="000000" w:fill="F2F2F2"/>
            <w:noWrap/>
            <w:vAlign w:val="center"/>
            <w:hideMark/>
          </w:tcPr>
          <w:p w14:paraId="1FE3D48B"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+28%</w:t>
            </w:r>
          </w:p>
        </w:tc>
        <w:tc>
          <w:tcPr>
            <w:tcW w:w="900" w:type="dxa"/>
            <w:tcBorders>
              <w:top w:val="nil"/>
              <w:left w:val="nil"/>
              <w:bottom w:val="single" w:sz="4" w:space="0" w:color="BFBFBF"/>
              <w:right w:val="single" w:sz="4" w:space="0" w:color="BFBFBF"/>
            </w:tcBorders>
            <w:shd w:val="clear" w:color="000000" w:fill="F2F2F2"/>
            <w:noWrap/>
            <w:vAlign w:val="center"/>
            <w:hideMark/>
          </w:tcPr>
          <w:p w14:paraId="025D92DF"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-8%</w:t>
            </w:r>
          </w:p>
        </w:tc>
        <w:tc>
          <w:tcPr>
            <w:tcW w:w="900" w:type="dxa"/>
            <w:tcBorders>
              <w:top w:val="nil"/>
              <w:left w:val="nil"/>
              <w:bottom w:val="single" w:sz="4" w:space="0" w:color="BFBFBF"/>
              <w:right w:val="single" w:sz="4" w:space="0" w:color="BFBFBF"/>
            </w:tcBorders>
            <w:shd w:val="clear" w:color="000000" w:fill="F2F2F2"/>
            <w:noWrap/>
            <w:vAlign w:val="center"/>
            <w:hideMark/>
          </w:tcPr>
          <w:p w14:paraId="5AD8153B"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+15%</w:t>
            </w:r>
          </w:p>
        </w:tc>
        <w:tc>
          <w:tcPr>
            <w:tcW w:w="900" w:type="dxa"/>
            <w:tcBorders>
              <w:top w:val="nil"/>
              <w:left w:val="nil"/>
              <w:bottom w:val="single" w:sz="4" w:space="0" w:color="BFBFBF"/>
              <w:right w:val="single" w:sz="4" w:space="0" w:color="auto"/>
            </w:tcBorders>
            <w:shd w:val="clear" w:color="000000" w:fill="F2F2F2"/>
            <w:noWrap/>
            <w:vAlign w:val="center"/>
            <w:hideMark/>
          </w:tcPr>
          <w:p w14:paraId="2EB35653"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+68%</w:t>
            </w:r>
          </w:p>
        </w:tc>
      </w:tr>
      <w:tr w:rsidR="00C717A0" w:rsidRPr="00887119" w14:paraId="56689A68" w14:textId="77777777" w:rsidTr="00C717A0">
        <w:trPr>
          <w:trHeight w:val="402"/>
        </w:trPr>
        <w:tc>
          <w:tcPr>
            <w:tcW w:w="2155" w:type="dxa"/>
            <w:tcBorders>
              <w:top w:val="nil"/>
              <w:left w:val="single" w:sz="4" w:space="0" w:color="auto"/>
              <w:bottom w:val="single" w:sz="4" w:space="0" w:color="BFBFBF"/>
              <w:right w:val="single" w:sz="4" w:space="0" w:color="auto"/>
            </w:tcBorders>
            <w:noWrap/>
            <w:vAlign w:val="center"/>
            <w:hideMark/>
          </w:tcPr>
          <w:p w14:paraId="6AE4A23A"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Small urban</w:t>
            </w:r>
          </w:p>
        </w:tc>
        <w:tc>
          <w:tcPr>
            <w:tcW w:w="900" w:type="dxa"/>
            <w:tcBorders>
              <w:top w:val="nil"/>
              <w:left w:val="nil"/>
              <w:bottom w:val="single" w:sz="4" w:space="0" w:color="BFBFBF"/>
              <w:right w:val="single" w:sz="4" w:space="0" w:color="auto"/>
            </w:tcBorders>
            <w:noWrap/>
            <w:vAlign w:val="center"/>
            <w:hideMark/>
          </w:tcPr>
          <w:p w14:paraId="60306E59"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+15%</w:t>
            </w:r>
          </w:p>
        </w:tc>
        <w:tc>
          <w:tcPr>
            <w:tcW w:w="900" w:type="dxa"/>
            <w:tcBorders>
              <w:top w:val="nil"/>
              <w:left w:val="nil"/>
              <w:bottom w:val="single" w:sz="4" w:space="0" w:color="BFBFBF"/>
              <w:right w:val="single" w:sz="4" w:space="0" w:color="BFBFBF"/>
            </w:tcBorders>
            <w:noWrap/>
            <w:vAlign w:val="center"/>
            <w:hideMark/>
          </w:tcPr>
          <w:p w14:paraId="3D064019"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+13%</w:t>
            </w:r>
          </w:p>
        </w:tc>
        <w:tc>
          <w:tcPr>
            <w:tcW w:w="900" w:type="dxa"/>
            <w:tcBorders>
              <w:top w:val="nil"/>
              <w:left w:val="nil"/>
              <w:bottom w:val="single" w:sz="4" w:space="0" w:color="BFBFBF"/>
              <w:right w:val="single" w:sz="4" w:space="0" w:color="BFBFBF"/>
            </w:tcBorders>
            <w:noWrap/>
            <w:vAlign w:val="center"/>
            <w:hideMark/>
          </w:tcPr>
          <w:p w14:paraId="33D5CAE9"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+5%</w:t>
            </w:r>
          </w:p>
        </w:tc>
        <w:tc>
          <w:tcPr>
            <w:tcW w:w="900" w:type="dxa"/>
            <w:tcBorders>
              <w:top w:val="nil"/>
              <w:left w:val="nil"/>
              <w:bottom w:val="single" w:sz="4" w:space="0" w:color="BFBFBF"/>
              <w:right w:val="single" w:sz="4" w:space="0" w:color="BFBFBF"/>
            </w:tcBorders>
            <w:noWrap/>
            <w:vAlign w:val="center"/>
            <w:hideMark/>
          </w:tcPr>
          <w:p w14:paraId="2BD61F97"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+7%</w:t>
            </w:r>
          </w:p>
        </w:tc>
        <w:tc>
          <w:tcPr>
            <w:tcW w:w="900" w:type="dxa"/>
            <w:tcBorders>
              <w:top w:val="nil"/>
              <w:left w:val="nil"/>
              <w:bottom w:val="single" w:sz="4" w:space="0" w:color="BFBFBF"/>
              <w:right w:val="single" w:sz="4" w:space="0" w:color="BFBFBF"/>
            </w:tcBorders>
            <w:noWrap/>
            <w:vAlign w:val="center"/>
            <w:hideMark/>
          </w:tcPr>
          <w:p w14:paraId="5086C09E"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+35%</w:t>
            </w:r>
          </w:p>
        </w:tc>
        <w:tc>
          <w:tcPr>
            <w:tcW w:w="900" w:type="dxa"/>
            <w:tcBorders>
              <w:top w:val="nil"/>
              <w:left w:val="nil"/>
              <w:bottom w:val="single" w:sz="4" w:space="0" w:color="BFBFBF"/>
              <w:right w:val="single" w:sz="4" w:space="0" w:color="BFBFBF"/>
            </w:tcBorders>
            <w:noWrap/>
            <w:vAlign w:val="center"/>
            <w:hideMark/>
          </w:tcPr>
          <w:p w14:paraId="5C98424A"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-9%</w:t>
            </w:r>
          </w:p>
        </w:tc>
        <w:tc>
          <w:tcPr>
            <w:tcW w:w="900" w:type="dxa"/>
            <w:tcBorders>
              <w:top w:val="nil"/>
              <w:left w:val="nil"/>
              <w:bottom w:val="single" w:sz="4" w:space="0" w:color="BFBFBF"/>
              <w:right w:val="single" w:sz="4" w:space="0" w:color="BFBFBF"/>
            </w:tcBorders>
            <w:noWrap/>
            <w:vAlign w:val="center"/>
            <w:hideMark/>
          </w:tcPr>
          <w:p w14:paraId="5834095E"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+10%</w:t>
            </w:r>
          </w:p>
        </w:tc>
        <w:tc>
          <w:tcPr>
            <w:tcW w:w="900" w:type="dxa"/>
            <w:tcBorders>
              <w:top w:val="nil"/>
              <w:left w:val="nil"/>
              <w:bottom w:val="single" w:sz="4" w:space="0" w:color="BFBFBF"/>
              <w:right w:val="single" w:sz="4" w:space="0" w:color="auto"/>
            </w:tcBorders>
            <w:noWrap/>
            <w:vAlign w:val="center"/>
            <w:hideMark/>
          </w:tcPr>
          <w:p w14:paraId="5F5837FC"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+95%</w:t>
            </w:r>
          </w:p>
        </w:tc>
      </w:tr>
      <w:tr w:rsidR="00C717A0" w:rsidRPr="00887119" w14:paraId="7F02FF20" w14:textId="77777777" w:rsidTr="00C717A0">
        <w:trPr>
          <w:trHeight w:val="402"/>
        </w:trPr>
        <w:tc>
          <w:tcPr>
            <w:tcW w:w="2155" w:type="dxa"/>
            <w:tcBorders>
              <w:top w:val="nil"/>
              <w:left w:val="single" w:sz="4" w:space="0" w:color="auto"/>
              <w:bottom w:val="single" w:sz="4" w:space="0" w:color="BFBFBF"/>
              <w:right w:val="single" w:sz="4" w:space="0" w:color="auto"/>
            </w:tcBorders>
            <w:shd w:val="clear" w:color="000000" w:fill="F2F2F2"/>
            <w:noWrap/>
            <w:vAlign w:val="center"/>
            <w:hideMark/>
          </w:tcPr>
          <w:p w14:paraId="05F87C26"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Rural (urban adjacent)</w:t>
            </w:r>
          </w:p>
        </w:tc>
        <w:tc>
          <w:tcPr>
            <w:tcW w:w="900" w:type="dxa"/>
            <w:tcBorders>
              <w:top w:val="nil"/>
              <w:left w:val="nil"/>
              <w:bottom w:val="single" w:sz="4" w:space="0" w:color="BFBFBF"/>
              <w:right w:val="single" w:sz="4" w:space="0" w:color="auto"/>
            </w:tcBorders>
            <w:shd w:val="clear" w:color="000000" w:fill="F2F2F2"/>
            <w:noWrap/>
            <w:vAlign w:val="center"/>
            <w:hideMark/>
          </w:tcPr>
          <w:p w14:paraId="28BF74A7"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+9%</w:t>
            </w:r>
          </w:p>
        </w:tc>
        <w:tc>
          <w:tcPr>
            <w:tcW w:w="900" w:type="dxa"/>
            <w:tcBorders>
              <w:top w:val="nil"/>
              <w:left w:val="nil"/>
              <w:bottom w:val="single" w:sz="4" w:space="0" w:color="BFBFBF"/>
              <w:right w:val="single" w:sz="4" w:space="0" w:color="BFBFBF"/>
            </w:tcBorders>
            <w:shd w:val="clear" w:color="000000" w:fill="F2F2F2"/>
            <w:noWrap/>
            <w:vAlign w:val="center"/>
            <w:hideMark/>
          </w:tcPr>
          <w:p w14:paraId="53EB0302"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w:t>
            </w:r>
          </w:p>
        </w:tc>
        <w:tc>
          <w:tcPr>
            <w:tcW w:w="900" w:type="dxa"/>
            <w:tcBorders>
              <w:top w:val="nil"/>
              <w:left w:val="nil"/>
              <w:bottom w:val="single" w:sz="4" w:space="0" w:color="BFBFBF"/>
              <w:right w:val="single" w:sz="4" w:space="0" w:color="BFBFBF"/>
            </w:tcBorders>
            <w:shd w:val="clear" w:color="000000" w:fill="F2F2F2"/>
            <w:noWrap/>
            <w:vAlign w:val="center"/>
            <w:hideMark/>
          </w:tcPr>
          <w:p w14:paraId="79DF437B"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+4%</w:t>
            </w:r>
          </w:p>
        </w:tc>
        <w:tc>
          <w:tcPr>
            <w:tcW w:w="900" w:type="dxa"/>
            <w:tcBorders>
              <w:top w:val="nil"/>
              <w:left w:val="nil"/>
              <w:bottom w:val="single" w:sz="4" w:space="0" w:color="BFBFBF"/>
              <w:right w:val="single" w:sz="4" w:space="0" w:color="BFBFBF"/>
            </w:tcBorders>
            <w:shd w:val="clear" w:color="000000" w:fill="F2F2F2"/>
            <w:noWrap/>
            <w:vAlign w:val="center"/>
            <w:hideMark/>
          </w:tcPr>
          <w:p w14:paraId="052CCB23"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-7%</w:t>
            </w:r>
          </w:p>
        </w:tc>
        <w:tc>
          <w:tcPr>
            <w:tcW w:w="900" w:type="dxa"/>
            <w:tcBorders>
              <w:top w:val="nil"/>
              <w:left w:val="nil"/>
              <w:bottom w:val="single" w:sz="4" w:space="0" w:color="BFBFBF"/>
              <w:right w:val="single" w:sz="4" w:space="0" w:color="BFBFBF"/>
            </w:tcBorders>
            <w:shd w:val="clear" w:color="000000" w:fill="F2F2F2"/>
            <w:noWrap/>
            <w:vAlign w:val="center"/>
            <w:hideMark/>
          </w:tcPr>
          <w:p w14:paraId="22799E29"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+21%</w:t>
            </w:r>
          </w:p>
        </w:tc>
        <w:tc>
          <w:tcPr>
            <w:tcW w:w="900" w:type="dxa"/>
            <w:tcBorders>
              <w:top w:val="nil"/>
              <w:left w:val="nil"/>
              <w:bottom w:val="single" w:sz="4" w:space="0" w:color="BFBFBF"/>
              <w:right w:val="single" w:sz="4" w:space="0" w:color="BFBFBF"/>
            </w:tcBorders>
            <w:shd w:val="clear" w:color="000000" w:fill="F2F2F2"/>
            <w:noWrap/>
            <w:vAlign w:val="center"/>
            <w:hideMark/>
          </w:tcPr>
          <w:p w14:paraId="2EB55753"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-6%</w:t>
            </w:r>
          </w:p>
        </w:tc>
        <w:tc>
          <w:tcPr>
            <w:tcW w:w="900" w:type="dxa"/>
            <w:tcBorders>
              <w:top w:val="nil"/>
              <w:left w:val="nil"/>
              <w:bottom w:val="single" w:sz="4" w:space="0" w:color="BFBFBF"/>
              <w:right w:val="single" w:sz="4" w:space="0" w:color="BFBFBF"/>
            </w:tcBorders>
            <w:shd w:val="clear" w:color="000000" w:fill="F2F2F2"/>
            <w:noWrap/>
            <w:vAlign w:val="center"/>
            <w:hideMark/>
          </w:tcPr>
          <w:p w14:paraId="7DE3C91D"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+22%</w:t>
            </w:r>
          </w:p>
        </w:tc>
        <w:tc>
          <w:tcPr>
            <w:tcW w:w="900" w:type="dxa"/>
            <w:tcBorders>
              <w:top w:val="nil"/>
              <w:left w:val="nil"/>
              <w:bottom w:val="single" w:sz="4" w:space="0" w:color="BFBFBF"/>
              <w:right w:val="single" w:sz="4" w:space="0" w:color="auto"/>
            </w:tcBorders>
            <w:shd w:val="clear" w:color="000000" w:fill="F2F2F2"/>
            <w:noWrap/>
            <w:vAlign w:val="center"/>
            <w:hideMark/>
          </w:tcPr>
          <w:p w14:paraId="26A7660E"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+73%</w:t>
            </w:r>
          </w:p>
        </w:tc>
      </w:tr>
      <w:tr w:rsidR="00C717A0" w:rsidRPr="00887119" w14:paraId="4A61167E" w14:textId="77777777" w:rsidTr="00C717A0">
        <w:trPr>
          <w:trHeight w:val="402"/>
        </w:trPr>
        <w:tc>
          <w:tcPr>
            <w:tcW w:w="2155" w:type="dxa"/>
            <w:tcBorders>
              <w:top w:val="nil"/>
              <w:left w:val="single" w:sz="4" w:space="0" w:color="auto"/>
              <w:bottom w:val="single" w:sz="4" w:space="0" w:color="auto"/>
              <w:right w:val="single" w:sz="4" w:space="0" w:color="auto"/>
            </w:tcBorders>
            <w:noWrap/>
            <w:vAlign w:val="center"/>
            <w:hideMark/>
          </w:tcPr>
          <w:p w14:paraId="310258E0" w14:textId="77777777" w:rsidR="00C717A0" w:rsidRPr="00887119" w:rsidRDefault="00C717A0" w:rsidP="00C717A0">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Rural (remote)</w:t>
            </w:r>
          </w:p>
        </w:tc>
        <w:tc>
          <w:tcPr>
            <w:tcW w:w="900" w:type="dxa"/>
            <w:tcBorders>
              <w:top w:val="nil"/>
              <w:left w:val="nil"/>
              <w:bottom w:val="single" w:sz="4" w:space="0" w:color="auto"/>
              <w:right w:val="single" w:sz="4" w:space="0" w:color="auto"/>
            </w:tcBorders>
            <w:noWrap/>
            <w:vAlign w:val="center"/>
            <w:hideMark/>
          </w:tcPr>
          <w:p w14:paraId="421852BB"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+6%</w:t>
            </w:r>
          </w:p>
        </w:tc>
        <w:tc>
          <w:tcPr>
            <w:tcW w:w="900" w:type="dxa"/>
            <w:tcBorders>
              <w:top w:val="nil"/>
              <w:left w:val="nil"/>
              <w:bottom w:val="single" w:sz="4" w:space="0" w:color="auto"/>
              <w:right w:val="single" w:sz="4" w:space="0" w:color="BFBFBF"/>
            </w:tcBorders>
            <w:noWrap/>
            <w:vAlign w:val="center"/>
            <w:hideMark/>
          </w:tcPr>
          <w:p w14:paraId="3A2AA31B"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+2%</w:t>
            </w:r>
          </w:p>
        </w:tc>
        <w:tc>
          <w:tcPr>
            <w:tcW w:w="900" w:type="dxa"/>
            <w:tcBorders>
              <w:top w:val="nil"/>
              <w:left w:val="nil"/>
              <w:bottom w:val="single" w:sz="4" w:space="0" w:color="auto"/>
              <w:right w:val="single" w:sz="4" w:space="0" w:color="BFBFBF"/>
            </w:tcBorders>
            <w:noWrap/>
            <w:vAlign w:val="center"/>
            <w:hideMark/>
          </w:tcPr>
          <w:p w14:paraId="10C00E1D"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+3%</w:t>
            </w:r>
          </w:p>
        </w:tc>
        <w:tc>
          <w:tcPr>
            <w:tcW w:w="900" w:type="dxa"/>
            <w:tcBorders>
              <w:top w:val="nil"/>
              <w:left w:val="nil"/>
              <w:bottom w:val="single" w:sz="4" w:space="0" w:color="auto"/>
              <w:right w:val="single" w:sz="4" w:space="0" w:color="BFBFBF"/>
            </w:tcBorders>
            <w:noWrap/>
            <w:vAlign w:val="center"/>
            <w:hideMark/>
          </w:tcPr>
          <w:p w14:paraId="32EA3711"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-17%</w:t>
            </w:r>
          </w:p>
        </w:tc>
        <w:tc>
          <w:tcPr>
            <w:tcW w:w="900" w:type="dxa"/>
            <w:tcBorders>
              <w:top w:val="nil"/>
              <w:left w:val="nil"/>
              <w:bottom w:val="single" w:sz="4" w:space="0" w:color="auto"/>
              <w:right w:val="single" w:sz="4" w:space="0" w:color="BFBFBF"/>
            </w:tcBorders>
            <w:noWrap/>
            <w:vAlign w:val="center"/>
            <w:hideMark/>
          </w:tcPr>
          <w:p w14:paraId="5E4F5A6B"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+13%</w:t>
            </w:r>
          </w:p>
        </w:tc>
        <w:tc>
          <w:tcPr>
            <w:tcW w:w="900" w:type="dxa"/>
            <w:tcBorders>
              <w:top w:val="nil"/>
              <w:left w:val="nil"/>
              <w:bottom w:val="single" w:sz="4" w:space="0" w:color="auto"/>
              <w:right w:val="single" w:sz="4" w:space="0" w:color="BFBFBF"/>
            </w:tcBorders>
            <w:noWrap/>
            <w:vAlign w:val="center"/>
            <w:hideMark/>
          </w:tcPr>
          <w:p w14:paraId="254CB382"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-7%</w:t>
            </w:r>
          </w:p>
        </w:tc>
        <w:tc>
          <w:tcPr>
            <w:tcW w:w="900" w:type="dxa"/>
            <w:tcBorders>
              <w:top w:val="nil"/>
              <w:left w:val="nil"/>
              <w:bottom w:val="single" w:sz="4" w:space="0" w:color="auto"/>
              <w:right w:val="single" w:sz="4" w:space="0" w:color="BFBFBF"/>
            </w:tcBorders>
            <w:noWrap/>
            <w:vAlign w:val="center"/>
            <w:hideMark/>
          </w:tcPr>
          <w:p w14:paraId="0A8F46A4"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+18%</w:t>
            </w:r>
          </w:p>
        </w:tc>
        <w:tc>
          <w:tcPr>
            <w:tcW w:w="900" w:type="dxa"/>
            <w:tcBorders>
              <w:top w:val="nil"/>
              <w:left w:val="nil"/>
              <w:bottom w:val="single" w:sz="4" w:space="0" w:color="auto"/>
              <w:right w:val="single" w:sz="4" w:space="0" w:color="auto"/>
            </w:tcBorders>
            <w:noWrap/>
            <w:vAlign w:val="center"/>
            <w:hideMark/>
          </w:tcPr>
          <w:p w14:paraId="3595AED6" w14:textId="77777777" w:rsidR="00C717A0" w:rsidRPr="00034C7A" w:rsidRDefault="00C717A0" w:rsidP="00C717A0">
            <w:pPr>
              <w:spacing w:line="240" w:lineRule="auto"/>
              <w:jc w:val="right"/>
              <w:rPr>
                <w:rFonts w:eastAsia="Times New Roman" w:cs="Arial"/>
                <w:color w:val="C00000"/>
                <w:kern w:val="0"/>
                <w:sz w:val="18"/>
                <w:szCs w:val="18"/>
                <w:lang w:eastAsia="en-CA"/>
                <w14:ligatures w14:val="none"/>
              </w:rPr>
            </w:pPr>
            <w:r w:rsidRPr="00034C7A">
              <w:rPr>
                <w:rFonts w:eastAsia="Times New Roman" w:cs="Arial"/>
                <w:color w:val="C00000"/>
                <w:kern w:val="0"/>
                <w:sz w:val="18"/>
                <w:szCs w:val="18"/>
                <w:lang w:eastAsia="en-CA"/>
                <w14:ligatures w14:val="none"/>
              </w:rPr>
              <w:t>+74%</w:t>
            </w:r>
          </w:p>
        </w:tc>
      </w:tr>
    </w:tbl>
    <w:p w14:paraId="4A0070BC" w14:textId="4AB99ED9" w:rsidR="00952F0E" w:rsidRPr="00887119" w:rsidRDefault="00952F0E" w:rsidP="00952F0E">
      <w:pPr>
        <w:pStyle w:val="Source"/>
      </w:pPr>
      <w:r w:rsidRPr="00887119">
        <w:t xml:space="preserve">Source: </w:t>
      </w:r>
      <w:r w:rsidR="00C717A0" w:rsidRPr="00887119">
        <w:t xml:space="preserve">derived from </w:t>
      </w:r>
      <w:r w:rsidRPr="00887119">
        <w:t>Statistics Canada Table 17-10-0162</w:t>
      </w:r>
    </w:p>
    <w:p w14:paraId="0DF1B0D2" w14:textId="77777777" w:rsidR="00952F0E" w:rsidRPr="00887119" w:rsidRDefault="00952F0E" w:rsidP="00952F0E"/>
    <w:p w14:paraId="22B7C88E" w14:textId="40FE41B4" w:rsidR="00FC542B" w:rsidRPr="00887119" w:rsidRDefault="00FC542B" w:rsidP="00FC542B">
      <w:r w:rsidRPr="00887119">
        <w:t xml:space="preserve">The most notable projected age-group shift province-wide under the medium growth scenario is the 74% increase in the 85+ cohort and 17% increase in the 65-to-84 cohort by 2035. In rural areas, where the 65+ cohort already represents a disproportionately large share of the population and the housing stock skews older and less accessible, this demographic shift </w:t>
      </w:r>
      <w:r w:rsidR="005423E7" w:rsidRPr="00887119">
        <w:t>may</w:t>
      </w:r>
      <w:r w:rsidRPr="00887119">
        <w:t xml:space="preserve"> compound existing adequacy and suitability challenges. The 25-to-34 cohort, which drove much of the 2021–2025 growth, is projected to grow more modestly under the medium scenario, with rural remote areas seeing a projected decline of 17%</w:t>
      </w:r>
      <w:r w:rsidR="00AA3D39" w:rsidRPr="00887119">
        <w:t>;</w:t>
      </w:r>
      <w:r w:rsidRPr="00887119">
        <w:t xml:space="preserve"> a signal that continued attraction of young workers and household formers to rural communities cannot be assumed.</w:t>
      </w:r>
    </w:p>
    <w:p w14:paraId="7F95A42F" w14:textId="77777777" w:rsidR="00FC542B" w:rsidRPr="00887119" w:rsidRDefault="00FC542B" w:rsidP="00FC542B"/>
    <w:p w14:paraId="2AC88C8C" w14:textId="74A6814B" w:rsidR="00FC542B" w:rsidRPr="00887119" w:rsidRDefault="00FC542B" w:rsidP="00FC542B">
      <w:r w:rsidRPr="00887119">
        <w:lastRenderedPageBreak/>
        <w:t>The projected decline in the 55-to-64 cohort across all categories (-6</w:t>
      </w:r>
      <w:r w:rsidR="00AA3D39" w:rsidRPr="00887119">
        <w:t>%</w:t>
      </w:r>
      <w:r w:rsidRPr="00887119">
        <w:t xml:space="preserve"> to -9%) reflects a transition out of peak working age. The 35-to-54 cohort, the primary driver of homeownership demand, is projected to grow substantially across all categories</w:t>
      </w:r>
      <w:r w:rsidR="005F0B23" w:rsidRPr="00887119">
        <w:t xml:space="preserve">, </w:t>
      </w:r>
      <w:r w:rsidRPr="00887119">
        <w:t xml:space="preserve">pointing to sustained demand for family-sized ownership housing even as ownership affordability has deteriorated sharply. This tension </w:t>
      </w:r>
      <w:r w:rsidR="004D1F3F" w:rsidRPr="00887119">
        <w:t xml:space="preserve">of </w:t>
      </w:r>
      <w:r w:rsidRPr="00887119">
        <w:t xml:space="preserve"> growing ownership demand alongside declining ownership accessibility </w:t>
      </w:r>
      <w:r w:rsidR="004D1F3F" w:rsidRPr="00887119">
        <w:t>may lead to sustained</w:t>
      </w:r>
      <w:r w:rsidRPr="00887119">
        <w:t xml:space="preserve"> rental demand throughout the projection horizon, particularly in urban and small urban markets where price appreciation has been most pronounced.</w:t>
      </w:r>
    </w:p>
    <w:p w14:paraId="0A365B14" w14:textId="77777777" w:rsidR="00952F0E" w:rsidRPr="00887119" w:rsidRDefault="00952F0E" w:rsidP="00952F0E"/>
    <w:p w14:paraId="6250B90C" w14:textId="77777777" w:rsidR="00952F0E" w:rsidRPr="00887119" w:rsidRDefault="00952F0E" w:rsidP="00842B20">
      <w:pPr>
        <w:pStyle w:val="Heading2"/>
      </w:pPr>
      <w:bookmarkStart w:id="157" w:name="_Toc223686656"/>
      <w:bookmarkStart w:id="158" w:name="_Toc225869023"/>
      <w:bookmarkStart w:id="159" w:name="_Toc229051970"/>
      <w:bookmarkStart w:id="160" w:name="_Toc237957452"/>
      <w:r w:rsidRPr="00887119">
        <w:t>HOUSING PROJECTIONS</w:t>
      </w:r>
      <w:bookmarkEnd w:id="157"/>
      <w:bookmarkEnd w:id="158"/>
      <w:bookmarkEnd w:id="159"/>
      <w:bookmarkEnd w:id="160"/>
    </w:p>
    <w:p w14:paraId="73BD7BFD" w14:textId="77777777" w:rsidR="00E57D44" w:rsidRPr="00887119" w:rsidRDefault="00E57D44" w:rsidP="00E57D44">
      <w:r w:rsidRPr="00887119">
        <w:t>This section translates household projections into estimates of new housing unit requirements by bedroom count, structural type, tenure, and affordability level, comparing projected demand against past development trends such as permit activity to anticipate potential supply gaps.</w:t>
      </w:r>
    </w:p>
    <w:p w14:paraId="474A9969" w14:textId="77777777" w:rsidR="00E57D44" w:rsidRPr="00887119" w:rsidRDefault="00E57D44" w:rsidP="00E57D44"/>
    <w:p w14:paraId="13EC3EC5" w14:textId="7182207A" w:rsidR="00E57D44" w:rsidRPr="00887119" w:rsidRDefault="00E57D44" w:rsidP="00E57D44">
      <w:r w:rsidRPr="00887119">
        <w:t>Housing projections represent the culmination of the assessment’s analytical work: the translation of demographic and economic trends into a statement of how many homes, of what type</w:t>
      </w:r>
      <w:r w:rsidR="00F51977" w:rsidRPr="00887119">
        <w:t>,</w:t>
      </w:r>
      <w:r w:rsidRPr="00887119">
        <w:t xml:space="preserve"> and at what price points</w:t>
      </w:r>
      <w:r w:rsidR="00F51977" w:rsidRPr="00887119">
        <w:t xml:space="preserve"> </w:t>
      </w:r>
      <w:r w:rsidRPr="00887119">
        <w:t>the province and its geographic categories may need to build</w:t>
      </w:r>
      <w:r w:rsidR="00F51977" w:rsidRPr="00887119">
        <w:t>.</w:t>
      </w:r>
    </w:p>
    <w:p w14:paraId="48145603" w14:textId="77777777" w:rsidR="00952F0E" w:rsidRPr="00887119" w:rsidRDefault="00952F0E" w:rsidP="00952F0E"/>
    <w:p w14:paraId="4F3488D5" w14:textId="77777777" w:rsidR="00952F0E" w:rsidRPr="00887119" w:rsidRDefault="00952F0E" w:rsidP="00952F0E">
      <w:pPr>
        <w:pStyle w:val="Heading3"/>
      </w:pPr>
      <w:r w:rsidRPr="00887119">
        <w:t>Annual Dwelling Demand</w:t>
      </w:r>
    </w:p>
    <w:p w14:paraId="2D7221C1" w14:textId="13A89AD9" w:rsidR="00952F0E" w:rsidRPr="00887119" w:rsidRDefault="00952F0E" w:rsidP="00952F0E">
      <w:r w:rsidRPr="00887119">
        <w:rPr>
          <w:rStyle w:val="Figure-textChar"/>
        </w:rPr>
        <w:fldChar w:fldCharType="begin"/>
      </w:r>
      <w:r w:rsidRPr="00887119">
        <w:rPr>
          <w:rStyle w:val="Figure-textChar"/>
        </w:rPr>
        <w:instrText xml:space="preserve"> REF _Ref223277250 \h  \* MERGEFORMAT </w:instrText>
      </w:r>
      <w:r w:rsidRPr="00887119">
        <w:rPr>
          <w:rStyle w:val="Figure-textChar"/>
        </w:rPr>
      </w:r>
      <w:r w:rsidRPr="00887119">
        <w:rPr>
          <w:rStyle w:val="Figure-textChar"/>
        </w:rPr>
        <w:fldChar w:fldCharType="separate"/>
      </w:r>
      <w:r w:rsidR="008D4BDE" w:rsidRPr="008D4BDE">
        <w:rPr>
          <w:rStyle w:val="Figure-textChar"/>
        </w:rPr>
        <w:t>Figure 10.2</w:t>
      </w:r>
      <w:r w:rsidRPr="00887119">
        <w:rPr>
          <w:rStyle w:val="Figure-textChar"/>
        </w:rPr>
        <w:fldChar w:fldCharType="end"/>
      </w:r>
      <w:r w:rsidRPr="00887119">
        <w:t xml:space="preserve"> </w:t>
      </w:r>
      <w:r w:rsidR="000B4318" w:rsidRPr="00887119">
        <w:t xml:space="preserve">illustrates the projected cumulative gap between housing demand and supply at the provincial level over the projection horizon, assuming recent construction trends from permitting data continue, providing a forward-looking indicator of whether the province is on a path toward deepening housing stress or possible stabilization. </w:t>
      </w:r>
      <w:r w:rsidR="005E6CED" w:rsidRPr="00887119">
        <w:rPr>
          <w:rStyle w:val="Figure-textChar"/>
        </w:rPr>
        <w:fldChar w:fldCharType="begin"/>
      </w:r>
      <w:r w:rsidR="005E6CED" w:rsidRPr="00887119">
        <w:rPr>
          <w:rStyle w:val="Figure-textChar"/>
        </w:rPr>
        <w:instrText xml:space="preserve"> REF _Ref228647287 \h  \* MERGEFORMAT </w:instrText>
      </w:r>
      <w:r w:rsidR="005E6CED" w:rsidRPr="00887119">
        <w:rPr>
          <w:rStyle w:val="Figure-textChar"/>
        </w:rPr>
      </w:r>
      <w:r w:rsidR="005E6CED" w:rsidRPr="00887119">
        <w:rPr>
          <w:rStyle w:val="Figure-textChar"/>
        </w:rPr>
        <w:fldChar w:fldCharType="separate"/>
      </w:r>
      <w:r w:rsidR="008D4BDE" w:rsidRPr="008D4BDE">
        <w:rPr>
          <w:rStyle w:val="Figure-textChar"/>
        </w:rPr>
        <w:t>Table 10.2</w:t>
      </w:r>
      <w:r w:rsidR="005E6CED" w:rsidRPr="00887119">
        <w:rPr>
          <w:rStyle w:val="Figure-textChar"/>
        </w:rPr>
        <w:fldChar w:fldCharType="end"/>
      </w:r>
      <w:r w:rsidR="000B4318" w:rsidRPr="00887119">
        <w:t xml:space="preserve"> summarizes anticipated</w:t>
      </w:r>
      <w:r w:rsidR="005E6CED" w:rsidRPr="00887119">
        <w:t xml:space="preserve"> housing gaps for each geographic category.</w:t>
      </w:r>
    </w:p>
    <w:p w14:paraId="0E85C2CE" w14:textId="77777777" w:rsidR="00952F0E" w:rsidRPr="00887119" w:rsidRDefault="00952F0E" w:rsidP="00952F0E"/>
    <w:p w14:paraId="3C8F1C92" w14:textId="6EFFE9FC" w:rsidR="00952F0E" w:rsidRPr="00887119" w:rsidRDefault="00952F0E" w:rsidP="00952F0E">
      <w:pPr>
        <w:pStyle w:val="Caption"/>
      </w:pPr>
      <w:bookmarkStart w:id="161" w:name="_Ref223277250"/>
      <w:r w:rsidRPr="00887119">
        <w:t xml:space="preserve">Figure </w:t>
      </w:r>
      <w:fldSimple w:instr=" STYLEREF 1 \s ">
        <w:r w:rsidR="008D4BDE">
          <w:rPr>
            <w:noProof/>
          </w:rPr>
          <w:t>10</w:t>
        </w:r>
      </w:fldSimple>
      <w:r w:rsidR="00A6003E" w:rsidRPr="00887119">
        <w:t>.</w:t>
      </w:r>
      <w:fldSimple w:instr=" SEQ Figure \* ARABIC \s 1 ">
        <w:r w:rsidR="008D4BDE">
          <w:rPr>
            <w:noProof/>
          </w:rPr>
          <w:t>2</w:t>
        </w:r>
      </w:fldSimple>
      <w:bookmarkEnd w:id="161"/>
      <w:r w:rsidRPr="00887119">
        <w:t>: Anticipated running dwelling shortage</w:t>
      </w:r>
    </w:p>
    <w:p w14:paraId="5947EEAB" w14:textId="23B5E2BC" w:rsidR="00952F0E" w:rsidRPr="00887119" w:rsidRDefault="004A4142" w:rsidP="00952F0E">
      <w:r>
        <w:rPr>
          <w:noProof/>
        </w:rPr>
        <w:drawing>
          <wp:inline distT="0" distB="0" distL="0" distR="0" wp14:anchorId="13C7FD4C" wp14:editId="5ED0D650">
            <wp:extent cx="5943600" cy="2609215"/>
            <wp:effectExtent l="0" t="0" r="0" b="635"/>
            <wp:docPr id="1447026545" name="Chart 1">
              <a:extLst xmlns:a="http://schemas.openxmlformats.org/drawingml/2006/main">
                <a:ext uri="{FF2B5EF4-FFF2-40B4-BE49-F238E27FC236}">
                  <a16:creationId xmlns:a16="http://schemas.microsoft.com/office/drawing/2014/main" id="{C465381C-A60A-4269-898C-7E5D19372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9C09F6" w14:textId="77777777" w:rsidR="00952F0E" w:rsidRPr="00887119" w:rsidRDefault="00952F0E" w:rsidP="00952F0E">
      <w:pPr>
        <w:pStyle w:val="Source"/>
      </w:pPr>
      <w:r w:rsidRPr="00887119">
        <w:t>Source: see methodology in Housing Needs Assessment Guidebook</w:t>
      </w:r>
    </w:p>
    <w:p w14:paraId="7836F529" w14:textId="77777777" w:rsidR="00952F0E" w:rsidRPr="00887119" w:rsidRDefault="00952F0E" w:rsidP="00952F0E"/>
    <w:p w14:paraId="32B96F7B" w14:textId="683ED5D1" w:rsidR="000B4318" w:rsidRPr="00887119" w:rsidRDefault="000B4318" w:rsidP="000B4318">
      <w:r w:rsidRPr="00887119">
        <w:lastRenderedPageBreak/>
        <w:t>The estimated 2025 provincial housing shortage of 22,200 units is substantial, with the largest deficits occurring in rural urban-adjacent (8,835) and urban (6,875) areas. Net new demand from 2025 to 2035 adds a further 15,080 units provincially, bringing total anticipated need to 37,280 units. A widening running shortage signals compounding housing stress</w:t>
      </w:r>
      <w:r w:rsidR="00595E51" w:rsidRPr="00887119">
        <w:t>. Specifically,</w:t>
      </w:r>
      <w:r w:rsidRPr="00887119">
        <w:t xml:space="preserve"> each year of undersupply adds to the backlog and sustains upward pressure on rents and prices, making the eventual gap more difficult and more costly to close.</w:t>
      </w:r>
    </w:p>
    <w:p w14:paraId="07E3D1C5" w14:textId="77777777" w:rsidR="00952F0E" w:rsidRPr="00887119" w:rsidRDefault="00952F0E" w:rsidP="00952F0E"/>
    <w:p w14:paraId="7C7EEA8F" w14:textId="24FDBBCB" w:rsidR="000269C6" w:rsidRPr="00887119" w:rsidRDefault="000269C6" w:rsidP="000269C6">
      <w:pPr>
        <w:pStyle w:val="Caption"/>
      </w:pPr>
      <w:bookmarkStart w:id="162" w:name="_Ref228647287"/>
      <w:r w:rsidRPr="00887119">
        <w:t xml:space="preserve">Table </w:t>
      </w:r>
      <w:fldSimple w:instr=" STYLEREF 1 \s ">
        <w:r w:rsidR="008D4BDE">
          <w:rPr>
            <w:noProof/>
          </w:rPr>
          <w:t>10</w:t>
        </w:r>
      </w:fldSimple>
      <w:r w:rsidR="00EE1FE9">
        <w:t>.</w:t>
      </w:r>
      <w:fldSimple w:instr=" SEQ Table \* ARABIC \s 1 ">
        <w:r w:rsidR="008D4BDE">
          <w:rPr>
            <w:noProof/>
          </w:rPr>
          <w:t>2</w:t>
        </w:r>
      </w:fldSimple>
      <w:bookmarkEnd w:id="162"/>
      <w:r w:rsidRPr="00887119">
        <w:t>: Anticipated shortage and net new demand over next 10 years by geographic category</w:t>
      </w:r>
    </w:p>
    <w:tbl>
      <w:tblPr>
        <w:tblW w:w="9355" w:type="dxa"/>
        <w:tblLayout w:type="fixed"/>
        <w:tblLook w:val="04A0" w:firstRow="1" w:lastRow="0" w:firstColumn="1" w:lastColumn="0" w:noHBand="0" w:noVBand="1"/>
      </w:tblPr>
      <w:tblGrid>
        <w:gridCol w:w="3505"/>
        <w:gridCol w:w="1158"/>
        <w:gridCol w:w="1158"/>
        <w:gridCol w:w="1158"/>
        <w:gridCol w:w="1158"/>
        <w:gridCol w:w="1218"/>
      </w:tblGrid>
      <w:tr w:rsidR="00D15B38" w:rsidRPr="00887119" w14:paraId="4C8471C8" w14:textId="77777777" w:rsidTr="00946CD2">
        <w:trPr>
          <w:trHeight w:val="402"/>
          <w:tblHeader/>
        </w:trPr>
        <w:tc>
          <w:tcPr>
            <w:tcW w:w="350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07438111" w14:textId="248534C5" w:rsidR="00D15B38" w:rsidRPr="00887119" w:rsidRDefault="00D15B38" w:rsidP="00D15B38">
            <w:pPr>
              <w:spacing w:line="240" w:lineRule="auto"/>
              <w:jc w:val="left"/>
              <w:rPr>
                <w:rFonts w:ascii="Calibri" w:eastAsia="Times New Roman" w:hAnsi="Calibri" w:cs="Calibri"/>
                <w:color w:val="FFFFFF"/>
                <w:kern w:val="0"/>
                <w:szCs w:val="22"/>
                <w:lang w:eastAsia="en-CA"/>
                <w14:ligatures w14:val="none"/>
              </w:rPr>
            </w:pPr>
            <w:r w:rsidRPr="00887119">
              <w:rPr>
                <w:rFonts w:cs="Arial"/>
                <w:color w:val="FFFFFF"/>
                <w:sz w:val="18"/>
                <w:szCs w:val="18"/>
              </w:rPr>
              <w:t>Variable</w:t>
            </w:r>
          </w:p>
        </w:tc>
        <w:tc>
          <w:tcPr>
            <w:tcW w:w="1158"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43BB293D" w14:textId="10A96015" w:rsidR="00D15B38" w:rsidRPr="00887119" w:rsidRDefault="00D15B38" w:rsidP="00D15B38">
            <w:pPr>
              <w:spacing w:line="240" w:lineRule="auto"/>
              <w:jc w:val="right"/>
              <w:rPr>
                <w:rFonts w:ascii="Calibri" w:eastAsia="Times New Roman" w:hAnsi="Calibri" w:cs="Calibri"/>
                <w:color w:val="FFFFFF"/>
                <w:kern w:val="0"/>
                <w:szCs w:val="22"/>
                <w:lang w:eastAsia="en-CA"/>
                <w14:ligatures w14:val="none"/>
              </w:rPr>
            </w:pPr>
            <w:r w:rsidRPr="00887119">
              <w:rPr>
                <w:rFonts w:cs="Arial"/>
                <w:color w:val="FFFFFF"/>
                <w:sz w:val="18"/>
                <w:szCs w:val="18"/>
              </w:rPr>
              <w:t>Province</w:t>
            </w:r>
          </w:p>
        </w:tc>
        <w:tc>
          <w:tcPr>
            <w:tcW w:w="115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E29EE9C" w14:textId="0A6C57EA" w:rsidR="00D15B38" w:rsidRPr="00887119" w:rsidRDefault="00D15B38" w:rsidP="00D15B38">
            <w:pPr>
              <w:spacing w:line="240" w:lineRule="auto"/>
              <w:jc w:val="right"/>
              <w:rPr>
                <w:rFonts w:ascii="Calibri" w:eastAsia="Times New Roman" w:hAnsi="Calibri" w:cs="Calibri"/>
                <w:color w:val="FFFFFF"/>
                <w:kern w:val="0"/>
                <w:szCs w:val="22"/>
                <w:lang w:eastAsia="en-CA"/>
                <w14:ligatures w14:val="none"/>
              </w:rPr>
            </w:pPr>
            <w:r w:rsidRPr="00887119">
              <w:rPr>
                <w:rFonts w:cs="Arial"/>
                <w:color w:val="FFFFFF"/>
                <w:sz w:val="18"/>
                <w:szCs w:val="18"/>
              </w:rPr>
              <w:t>Urban</w:t>
            </w:r>
          </w:p>
        </w:tc>
        <w:tc>
          <w:tcPr>
            <w:tcW w:w="115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9B3D4A1" w14:textId="29BCC89D" w:rsidR="00D15B38" w:rsidRPr="00887119" w:rsidRDefault="00D15B38" w:rsidP="00D15B38">
            <w:pPr>
              <w:spacing w:line="240" w:lineRule="auto"/>
              <w:jc w:val="right"/>
              <w:rPr>
                <w:rFonts w:ascii="Calibri" w:eastAsia="Times New Roman" w:hAnsi="Calibri" w:cs="Calibri"/>
                <w:color w:val="FFFFFF"/>
                <w:kern w:val="0"/>
                <w:szCs w:val="22"/>
                <w:lang w:eastAsia="en-CA"/>
                <w14:ligatures w14:val="none"/>
              </w:rPr>
            </w:pPr>
            <w:r w:rsidRPr="00887119">
              <w:rPr>
                <w:rFonts w:cs="Arial"/>
                <w:color w:val="FFFFFF"/>
                <w:sz w:val="18"/>
                <w:szCs w:val="18"/>
              </w:rPr>
              <w:t>Small urban</w:t>
            </w:r>
          </w:p>
        </w:tc>
        <w:tc>
          <w:tcPr>
            <w:tcW w:w="1158"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2F0E500" w14:textId="379AECAC" w:rsidR="00D15B38" w:rsidRPr="00887119" w:rsidRDefault="00D15B38" w:rsidP="00D15B38">
            <w:pPr>
              <w:spacing w:line="240" w:lineRule="auto"/>
              <w:jc w:val="right"/>
              <w:rPr>
                <w:rFonts w:ascii="Calibri" w:eastAsia="Times New Roman" w:hAnsi="Calibri" w:cs="Calibri"/>
                <w:color w:val="FFFFFF"/>
                <w:kern w:val="0"/>
                <w:szCs w:val="22"/>
                <w:lang w:eastAsia="en-CA"/>
                <w14:ligatures w14:val="none"/>
              </w:rPr>
            </w:pPr>
            <w:r w:rsidRPr="00887119">
              <w:rPr>
                <w:rFonts w:cs="Arial"/>
                <w:color w:val="FFFFFF"/>
                <w:sz w:val="18"/>
                <w:szCs w:val="18"/>
              </w:rPr>
              <w:t>Rural (urban adjacent)</w:t>
            </w:r>
          </w:p>
        </w:tc>
        <w:tc>
          <w:tcPr>
            <w:tcW w:w="1218"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1E8E19E7" w14:textId="5047F341" w:rsidR="00D15B38" w:rsidRPr="00887119" w:rsidRDefault="00D15B38" w:rsidP="00D15B38">
            <w:pPr>
              <w:spacing w:line="240" w:lineRule="auto"/>
              <w:jc w:val="right"/>
              <w:rPr>
                <w:rFonts w:ascii="Calibri" w:eastAsia="Times New Roman" w:hAnsi="Calibri" w:cs="Calibri"/>
                <w:color w:val="FFFFFF"/>
                <w:kern w:val="0"/>
                <w:szCs w:val="22"/>
                <w:lang w:eastAsia="en-CA"/>
                <w14:ligatures w14:val="none"/>
              </w:rPr>
            </w:pPr>
            <w:r w:rsidRPr="00887119">
              <w:rPr>
                <w:rFonts w:cs="Arial"/>
                <w:color w:val="FFFFFF"/>
                <w:sz w:val="18"/>
                <w:szCs w:val="18"/>
              </w:rPr>
              <w:t>Rural (remote)</w:t>
            </w:r>
          </w:p>
        </w:tc>
      </w:tr>
      <w:tr w:rsidR="00D15B38" w:rsidRPr="00887119" w14:paraId="5549B446" w14:textId="77777777" w:rsidTr="00946CD2">
        <w:trPr>
          <w:trHeight w:val="402"/>
        </w:trPr>
        <w:tc>
          <w:tcPr>
            <w:tcW w:w="3505" w:type="dxa"/>
            <w:tcBorders>
              <w:top w:val="nil"/>
              <w:left w:val="single" w:sz="4" w:space="0" w:color="auto"/>
              <w:bottom w:val="single" w:sz="4" w:space="0" w:color="BFBFBF"/>
              <w:right w:val="single" w:sz="4" w:space="0" w:color="auto"/>
            </w:tcBorders>
            <w:shd w:val="clear" w:color="000000" w:fill="F2F2F2"/>
            <w:noWrap/>
            <w:vAlign w:val="center"/>
            <w:hideMark/>
          </w:tcPr>
          <w:p w14:paraId="100DEEB5" w14:textId="4381B8B5" w:rsidR="00D15B38" w:rsidRPr="00887119" w:rsidRDefault="00D15B38" w:rsidP="00D15B38">
            <w:pPr>
              <w:spacing w:line="240" w:lineRule="auto"/>
              <w:jc w:val="left"/>
              <w:rPr>
                <w:rFonts w:ascii="Calibri" w:eastAsia="Times New Roman" w:hAnsi="Calibri" w:cs="Calibri"/>
                <w:color w:val="000000"/>
                <w:kern w:val="0"/>
                <w:szCs w:val="22"/>
                <w:lang w:eastAsia="en-CA"/>
                <w14:ligatures w14:val="none"/>
              </w:rPr>
            </w:pPr>
            <w:r w:rsidRPr="00887119">
              <w:rPr>
                <w:rFonts w:cs="Arial"/>
                <w:color w:val="000000"/>
                <w:sz w:val="18"/>
                <w:szCs w:val="18"/>
              </w:rPr>
              <w:t>Estimated 2025 shortage</w:t>
            </w:r>
          </w:p>
        </w:tc>
        <w:tc>
          <w:tcPr>
            <w:tcW w:w="1158" w:type="dxa"/>
            <w:tcBorders>
              <w:top w:val="nil"/>
              <w:left w:val="nil"/>
              <w:bottom w:val="single" w:sz="4" w:space="0" w:color="BFBFBF"/>
              <w:right w:val="single" w:sz="4" w:space="0" w:color="auto"/>
            </w:tcBorders>
            <w:shd w:val="clear" w:color="000000" w:fill="F2F2F2"/>
            <w:noWrap/>
            <w:vAlign w:val="center"/>
            <w:hideMark/>
          </w:tcPr>
          <w:p w14:paraId="018B628F" w14:textId="79423B79" w:rsidR="00D15B38" w:rsidRPr="0048244F" w:rsidRDefault="008D65A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17,330</w:t>
            </w:r>
          </w:p>
        </w:tc>
        <w:tc>
          <w:tcPr>
            <w:tcW w:w="1158" w:type="dxa"/>
            <w:tcBorders>
              <w:top w:val="nil"/>
              <w:left w:val="nil"/>
              <w:bottom w:val="single" w:sz="4" w:space="0" w:color="BFBFBF"/>
              <w:right w:val="single" w:sz="4" w:space="0" w:color="BFBFBF"/>
            </w:tcBorders>
            <w:shd w:val="clear" w:color="000000" w:fill="F2F2F2"/>
            <w:noWrap/>
            <w:vAlign w:val="center"/>
            <w:hideMark/>
          </w:tcPr>
          <w:p w14:paraId="5B50C264" w14:textId="2B206BB7" w:rsidR="00D15B38" w:rsidRPr="0048244F" w:rsidRDefault="008D65A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6,000</w:t>
            </w:r>
          </w:p>
        </w:tc>
        <w:tc>
          <w:tcPr>
            <w:tcW w:w="1158" w:type="dxa"/>
            <w:tcBorders>
              <w:top w:val="nil"/>
              <w:left w:val="nil"/>
              <w:bottom w:val="single" w:sz="4" w:space="0" w:color="BFBFBF"/>
              <w:right w:val="single" w:sz="4" w:space="0" w:color="BFBFBF"/>
            </w:tcBorders>
            <w:shd w:val="clear" w:color="000000" w:fill="F2F2F2"/>
            <w:noWrap/>
            <w:vAlign w:val="center"/>
            <w:hideMark/>
          </w:tcPr>
          <w:p w14:paraId="443E6A3E" w14:textId="0ACDA078" w:rsidR="00D15B38" w:rsidRPr="0048244F" w:rsidRDefault="008D65A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2,265</w:t>
            </w:r>
          </w:p>
        </w:tc>
        <w:tc>
          <w:tcPr>
            <w:tcW w:w="1158" w:type="dxa"/>
            <w:tcBorders>
              <w:top w:val="nil"/>
              <w:left w:val="nil"/>
              <w:bottom w:val="single" w:sz="4" w:space="0" w:color="BFBFBF"/>
              <w:right w:val="single" w:sz="4" w:space="0" w:color="BFBFBF"/>
            </w:tcBorders>
            <w:shd w:val="clear" w:color="000000" w:fill="F2F2F2"/>
            <w:noWrap/>
            <w:vAlign w:val="center"/>
            <w:hideMark/>
          </w:tcPr>
          <w:p w14:paraId="297EB1C1" w14:textId="755DCC84" w:rsidR="00D15B38" w:rsidRPr="0048244F" w:rsidRDefault="008D65A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6,595</w:t>
            </w:r>
          </w:p>
        </w:tc>
        <w:tc>
          <w:tcPr>
            <w:tcW w:w="1218" w:type="dxa"/>
            <w:tcBorders>
              <w:top w:val="nil"/>
              <w:left w:val="nil"/>
              <w:bottom w:val="single" w:sz="4" w:space="0" w:color="BFBFBF"/>
              <w:right w:val="single" w:sz="4" w:space="0" w:color="auto"/>
            </w:tcBorders>
            <w:shd w:val="clear" w:color="000000" w:fill="F2F2F2"/>
            <w:noWrap/>
            <w:vAlign w:val="center"/>
            <w:hideMark/>
          </w:tcPr>
          <w:p w14:paraId="7C75FBCC" w14:textId="0FCCE9AF" w:rsidR="00D15B38" w:rsidRPr="0048244F" w:rsidRDefault="008D65A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2,450</w:t>
            </w:r>
          </w:p>
        </w:tc>
      </w:tr>
      <w:tr w:rsidR="00D15B38" w:rsidRPr="00887119" w14:paraId="0A11F082" w14:textId="77777777" w:rsidTr="00946CD2">
        <w:trPr>
          <w:trHeight w:val="402"/>
        </w:trPr>
        <w:tc>
          <w:tcPr>
            <w:tcW w:w="3505" w:type="dxa"/>
            <w:tcBorders>
              <w:top w:val="nil"/>
              <w:left w:val="single" w:sz="4" w:space="0" w:color="auto"/>
              <w:bottom w:val="single" w:sz="4" w:space="0" w:color="auto"/>
              <w:right w:val="single" w:sz="4" w:space="0" w:color="auto"/>
            </w:tcBorders>
            <w:noWrap/>
            <w:vAlign w:val="center"/>
            <w:hideMark/>
          </w:tcPr>
          <w:p w14:paraId="0795C251" w14:textId="19E635A1" w:rsidR="00D15B38" w:rsidRPr="00887119" w:rsidRDefault="00D15B38" w:rsidP="00D15B38">
            <w:pPr>
              <w:spacing w:line="240" w:lineRule="auto"/>
              <w:jc w:val="left"/>
              <w:rPr>
                <w:rFonts w:ascii="Calibri" w:eastAsia="Times New Roman" w:hAnsi="Calibri" w:cs="Calibri"/>
                <w:color w:val="000000"/>
                <w:kern w:val="0"/>
                <w:szCs w:val="22"/>
                <w:lang w:eastAsia="en-CA"/>
                <w14:ligatures w14:val="none"/>
              </w:rPr>
            </w:pPr>
            <w:r w:rsidRPr="00887119">
              <w:rPr>
                <w:rFonts w:cs="Arial"/>
                <w:color w:val="000000"/>
                <w:sz w:val="18"/>
                <w:szCs w:val="18"/>
              </w:rPr>
              <w:t>Net new demand from 2025 to 2035</w:t>
            </w:r>
          </w:p>
        </w:tc>
        <w:tc>
          <w:tcPr>
            <w:tcW w:w="1158" w:type="dxa"/>
            <w:tcBorders>
              <w:top w:val="nil"/>
              <w:left w:val="nil"/>
              <w:bottom w:val="single" w:sz="4" w:space="0" w:color="auto"/>
              <w:right w:val="single" w:sz="4" w:space="0" w:color="auto"/>
            </w:tcBorders>
            <w:noWrap/>
            <w:vAlign w:val="center"/>
            <w:hideMark/>
          </w:tcPr>
          <w:p w14:paraId="174C4B96" w14:textId="3D48AC5F" w:rsidR="00D15B38" w:rsidRPr="0048244F" w:rsidRDefault="00FD2652"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14,355</w:t>
            </w:r>
          </w:p>
        </w:tc>
        <w:tc>
          <w:tcPr>
            <w:tcW w:w="1158" w:type="dxa"/>
            <w:tcBorders>
              <w:top w:val="nil"/>
              <w:left w:val="nil"/>
              <w:bottom w:val="single" w:sz="4" w:space="0" w:color="auto"/>
              <w:right w:val="single" w:sz="4" w:space="0" w:color="BFBFBF"/>
            </w:tcBorders>
            <w:noWrap/>
            <w:vAlign w:val="center"/>
            <w:hideMark/>
          </w:tcPr>
          <w:p w14:paraId="64FC68C5" w14:textId="2D639D99" w:rsidR="00D15B38" w:rsidRPr="0048244F" w:rsidRDefault="004249F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6,595</w:t>
            </w:r>
          </w:p>
        </w:tc>
        <w:tc>
          <w:tcPr>
            <w:tcW w:w="1158" w:type="dxa"/>
            <w:tcBorders>
              <w:top w:val="nil"/>
              <w:left w:val="nil"/>
              <w:bottom w:val="single" w:sz="4" w:space="0" w:color="auto"/>
              <w:right w:val="single" w:sz="4" w:space="0" w:color="BFBFBF"/>
            </w:tcBorders>
            <w:noWrap/>
            <w:vAlign w:val="center"/>
            <w:hideMark/>
          </w:tcPr>
          <w:p w14:paraId="424C3F02" w14:textId="3E99BA47" w:rsidR="00D15B38" w:rsidRPr="0048244F" w:rsidRDefault="004249F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2,270</w:t>
            </w:r>
          </w:p>
        </w:tc>
        <w:tc>
          <w:tcPr>
            <w:tcW w:w="1158" w:type="dxa"/>
            <w:tcBorders>
              <w:top w:val="nil"/>
              <w:left w:val="nil"/>
              <w:bottom w:val="single" w:sz="4" w:space="0" w:color="auto"/>
              <w:right w:val="single" w:sz="4" w:space="0" w:color="BFBFBF"/>
            </w:tcBorders>
            <w:noWrap/>
            <w:vAlign w:val="center"/>
            <w:hideMark/>
          </w:tcPr>
          <w:p w14:paraId="021A09B8" w14:textId="0C8AAE5B" w:rsidR="00D15B38" w:rsidRPr="0048244F" w:rsidRDefault="004249F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4,325</w:t>
            </w:r>
          </w:p>
        </w:tc>
        <w:tc>
          <w:tcPr>
            <w:tcW w:w="1218" w:type="dxa"/>
            <w:tcBorders>
              <w:top w:val="nil"/>
              <w:left w:val="nil"/>
              <w:bottom w:val="single" w:sz="4" w:space="0" w:color="auto"/>
              <w:right w:val="single" w:sz="4" w:space="0" w:color="auto"/>
            </w:tcBorders>
            <w:noWrap/>
            <w:vAlign w:val="center"/>
            <w:hideMark/>
          </w:tcPr>
          <w:p w14:paraId="3BF39117" w14:textId="17EA089F" w:rsidR="00D15B38" w:rsidRPr="0048244F" w:rsidRDefault="004249FF"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1,165</w:t>
            </w:r>
          </w:p>
        </w:tc>
      </w:tr>
      <w:tr w:rsidR="00D15B38" w:rsidRPr="00887119" w14:paraId="6E6A30CA" w14:textId="77777777" w:rsidTr="00946CD2">
        <w:trPr>
          <w:trHeight w:val="402"/>
        </w:trPr>
        <w:tc>
          <w:tcPr>
            <w:tcW w:w="3505" w:type="dxa"/>
            <w:tcBorders>
              <w:top w:val="nil"/>
              <w:left w:val="single" w:sz="4" w:space="0" w:color="auto"/>
              <w:bottom w:val="single" w:sz="4" w:space="0" w:color="auto"/>
              <w:right w:val="single" w:sz="4" w:space="0" w:color="auto"/>
            </w:tcBorders>
            <w:shd w:val="clear" w:color="000000" w:fill="F2F2F2"/>
            <w:noWrap/>
            <w:vAlign w:val="center"/>
            <w:hideMark/>
          </w:tcPr>
          <w:p w14:paraId="6D446AD7" w14:textId="0E55CD7C" w:rsidR="00D15B38" w:rsidRPr="00887119" w:rsidRDefault="00D15B38" w:rsidP="00D15B38">
            <w:pPr>
              <w:spacing w:line="240" w:lineRule="auto"/>
              <w:jc w:val="left"/>
              <w:rPr>
                <w:rFonts w:ascii="Calibri" w:eastAsia="Times New Roman" w:hAnsi="Calibri" w:cs="Calibri"/>
                <w:color w:val="000000"/>
                <w:kern w:val="0"/>
                <w:szCs w:val="22"/>
                <w:lang w:eastAsia="en-CA"/>
                <w14:ligatures w14:val="none"/>
              </w:rPr>
            </w:pPr>
            <w:r w:rsidRPr="00887119">
              <w:rPr>
                <w:rFonts w:cs="Arial"/>
                <w:color w:val="000000"/>
                <w:sz w:val="18"/>
                <w:szCs w:val="18"/>
              </w:rPr>
              <w:t>Net total dwellings needed</w:t>
            </w:r>
          </w:p>
        </w:tc>
        <w:tc>
          <w:tcPr>
            <w:tcW w:w="1158" w:type="dxa"/>
            <w:tcBorders>
              <w:top w:val="nil"/>
              <w:left w:val="nil"/>
              <w:bottom w:val="single" w:sz="4" w:space="0" w:color="auto"/>
              <w:right w:val="single" w:sz="4" w:space="0" w:color="auto"/>
            </w:tcBorders>
            <w:shd w:val="clear" w:color="000000" w:fill="F2F2F2"/>
            <w:noWrap/>
            <w:vAlign w:val="center"/>
            <w:hideMark/>
          </w:tcPr>
          <w:p w14:paraId="74C39C1C" w14:textId="2F256752" w:rsidR="00D15B38" w:rsidRPr="0048244F" w:rsidRDefault="003F759D"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31,685</w:t>
            </w:r>
          </w:p>
        </w:tc>
        <w:tc>
          <w:tcPr>
            <w:tcW w:w="1158" w:type="dxa"/>
            <w:tcBorders>
              <w:top w:val="nil"/>
              <w:left w:val="nil"/>
              <w:bottom w:val="single" w:sz="4" w:space="0" w:color="auto"/>
              <w:right w:val="single" w:sz="4" w:space="0" w:color="BFBFBF"/>
            </w:tcBorders>
            <w:shd w:val="clear" w:color="000000" w:fill="F2F2F2"/>
            <w:noWrap/>
            <w:vAlign w:val="center"/>
            <w:hideMark/>
          </w:tcPr>
          <w:p w14:paraId="0F48CE7E" w14:textId="1C1C2098" w:rsidR="00D15B38" w:rsidRPr="0048244F" w:rsidRDefault="003F759D"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12,595</w:t>
            </w:r>
          </w:p>
        </w:tc>
        <w:tc>
          <w:tcPr>
            <w:tcW w:w="1158" w:type="dxa"/>
            <w:tcBorders>
              <w:top w:val="nil"/>
              <w:left w:val="nil"/>
              <w:bottom w:val="single" w:sz="4" w:space="0" w:color="auto"/>
              <w:right w:val="single" w:sz="4" w:space="0" w:color="BFBFBF"/>
            </w:tcBorders>
            <w:shd w:val="clear" w:color="000000" w:fill="F2F2F2"/>
            <w:noWrap/>
            <w:vAlign w:val="center"/>
            <w:hideMark/>
          </w:tcPr>
          <w:p w14:paraId="77267609" w14:textId="776E7DF9" w:rsidR="00D15B38" w:rsidRPr="0048244F" w:rsidRDefault="003F759D"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4,535</w:t>
            </w:r>
          </w:p>
        </w:tc>
        <w:tc>
          <w:tcPr>
            <w:tcW w:w="1158" w:type="dxa"/>
            <w:tcBorders>
              <w:top w:val="nil"/>
              <w:left w:val="nil"/>
              <w:bottom w:val="single" w:sz="4" w:space="0" w:color="auto"/>
              <w:right w:val="single" w:sz="4" w:space="0" w:color="BFBFBF"/>
            </w:tcBorders>
            <w:shd w:val="clear" w:color="000000" w:fill="F2F2F2"/>
            <w:noWrap/>
            <w:vAlign w:val="center"/>
            <w:hideMark/>
          </w:tcPr>
          <w:p w14:paraId="198B354D" w14:textId="1DA8AC4A" w:rsidR="00D15B38" w:rsidRPr="0048244F" w:rsidRDefault="00EA176D"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10,920</w:t>
            </w:r>
          </w:p>
        </w:tc>
        <w:tc>
          <w:tcPr>
            <w:tcW w:w="1218" w:type="dxa"/>
            <w:tcBorders>
              <w:top w:val="nil"/>
              <w:left w:val="nil"/>
              <w:bottom w:val="single" w:sz="4" w:space="0" w:color="auto"/>
              <w:right w:val="single" w:sz="4" w:space="0" w:color="auto"/>
            </w:tcBorders>
            <w:shd w:val="clear" w:color="000000" w:fill="F2F2F2"/>
            <w:noWrap/>
            <w:vAlign w:val="center"/>
            <w:hideMark/>
          </w:tcPr>
          <w:p w14:paraId="0C889288" w14:textId="3D43DF8F" w:rsidR="00D15B38" w:rsidRPr="0048244F" w:rsidRDefault="00EA176D" w:rsidP="00D15B38">
            <w:pPr>
              <w:spacing w:line="240" w:lineRule="auto"/>
              <w:jc w:val="right"/>
              <w:rPr>
                <w:rFonts w:ascii="Calibri" w:eastAsia="Times New Roman" w:hAnsi="Calibri" w:cs="Calibri"/>
                <w:color w:val="C00000"/>
                <w:kern w:val="0"/>
                <w:szCs w:val="22"/>
                <w:lang w:eastAsia="en-CA"/>
                <w14:ligatures w14:val="none"/>
              </w:rPr>
            </w:pPr>
            <w:r w:rsidRPr="0048244F">
              <w:rPr>
                <w:rFonts w:cs="Arial"/>
                <w:color w:val="C00000"/>
                <w:sz w:val="18"/>
                <w:szCs w:val="18"/>
              </w:rPr>
              <w:t>3,615</w:t>
            </w:r>
          </w:p>
        </w:tc>
      </w:tr>
    </w:tbl>
    <w:p w14:paraId="39C0F736" w14:textId="77777777" w:rsidR="000269C6" w:rsidRPr="00887119" w:rsidRDefault="000269C6" w:rsidP="000269C6">
      <w:pPr>
        <w:pStyle w:val="Source"/>
      </w:pPr>
      <w:r w:rsidRPr="00887119">
        <w:t>Source: see methodology in Housing Needs Assessment Guidebook</w:t>
      </w:r>
    </w:p>
    <w:p w14:paraId="19C141F1" w14:textId="77777777" w:rsidR="008B5F04" w:rsidRPr="00887119" w:rsidRDefault="008B5F04" w:rsidP="008B5F04"/>
    <w:p w14:paraId="260B87F4" w14:textId="2B6EA691" w:rsidR="008B5F04" w:rsidRPr="00887119" w:rsidRDefault="008B5F04" w:rsidP="008B5F04">
      <w:r w:rsidRPr="00887119">
        <w:t xml:space="preserve">The total dwelling need figures should not be interpreted as a uniform provincial target as the distribution of need across geographic categories requires differentiated supply responses. In urban areas, the priority is often multi-unit rental and deeply affordable supply. In rural urban-adjacent communities, the combination of high existing shortage and continued family-sized demand typically points to a need for ground-oriented housing forms alongside targeted affordable rental development. Small urban communities, with the highest projected growth rate, </w:t>
      </w:r>
      <w:r w:rsidR="00463DD7" w:rsidRPr="00887119">
        <w:t>may</w:t>
      </w:r>
      <w:r w:rsidRPr="00887119">
        <w:t xml:space="preserve"> need to expand their supply pipelines across all forms. Even in rural remote areas, where demand is lowest in absolute terms, the existing shortage of 3,825 units and projected net new demand of 1,495 units represent a</w:t>
      </w:r>
      <w:r w:rsidR="006C47EF" w:rsidRPr="00887119">
        <w:t xml:space="preserve"> concern</w:t>
      </w:r>
      <w:r w:rsidRPr="00887119">
        <w:t xml:space="preserve"> for communities with limited development capacity and constrained infrastructure.</w:t>
      </w:r>
    </w:p>
    <w:p w14:paraId="0EC55428" w14:textId="77777777" w:rsidR="00952F0E" w:rsidRPr="00887119" w:rsidRDefault="00952F0E" w:rsidP="00952F0E"/>
    <w:p w14:paraId="433A36C2" w14:textId="77777777" w:rsidR="00952F0E" w:rsidRPr="00887119" w:rsidRDefault="00952F0E" w:rsidP="00952F0E">
      <w:pPr>
        <w:pStyle w:val="Heading3"/>
      </w:pPr>
      <w:r w:rsidRPr="00887119">
        <w:t>Disaggregated Anticipated Dwelling Demand</w:t>
      </w:r>
    </w:p>
    <w:p w14:paraId="50A2707F" w14:textId="6FE833B4" w:rsidR="00F7379D" w:rsidRPr="00887119" w:rsidRDefault="00952F0E" w:rsidP="00F7379D">
      <w:r w:rsidRPr="00887119">
        <w:rPr>
          <w:rStyle w:val="Figure-textChar"/>
        </w:rPr>
        <w:fldChar w:fldCharType="begin"/>
      </w:r>
      <w:r w:rsidRPr="00887119">
        <w:rPr>
          <w:rStyle w:val="Figure-textChar"/>
        </w:rPr>
        <w:instrText xml:space="preserve"> REF _Ref223277906 \h  \* MERGEFORMAT </w:instrText>
      </w:r>
      <w:r w:rsidRPr="00887119">
        <w:rPr>
          <w:rStyle w:val="Figure-textChar"/>
        </w:rPr>
      </w:r>
      <w:r w:rsidRPr="00887119">
        <w:rPr>
          <w:rStyle w:val="Figure-textChar"/>
        </w:rPr>
        <w:fldChar w:fldCharType="separate"/>
      </w:r>
      <w:r w:rsidR="008D4BDE" w:rsidRPr="008D4BDE">
        <w:rPr>
          <w:rStyle w:val="Figure-textChar"/>
        </w:rPr>
        <w:t>Table 10.3</w:t>
      </w:r>
      <w:r w:rsidRPr="00887119">
        <w:rPr>
          <w:rStyle w:val="Figure-textChar"/>
        </w:rPr>
        <w:fldChar w:fldCharType="end"/>
      </w:r>
      <w:r w:rsidRPr="00887119">
        <w:t xml:space="preserve"> </w:t>
      </w:r>
      <w:r w:rsidR="00F7379D" w:rsidRPr="00887119">
        <w:t>disaggregates projected housing demand by dwelling size and geographic category, providing an indication of what types of new units may be needed and in what proportions across the province over the projection horizon.</w:t>
      </w:r>
    </w:p>
    <w:p w14:paraId="3CA6915A" w14:textId="77777777" w:rsidR="00952F0E" w:rsidRPr="00887119" w:rsidRDefault="00952F0E" w:rsidP="00952F0E"/>
    <w:p w14:paraId="5D22FBAA" w14:textId="72A71F47" w:rsidR="00952F0E" w:rsidRPr="00887119" w:rsidRDefault="00952F0E" w:rsidP="00952F0E">
      <w:pPr>
        <w:pStyle w:val="Caption"/>
      </w:pPr>
      <w:bookmarkStart w:id="163" w:name="_Ref223277906"/>
      <w:r w:rsidRPr="00887119">
        <w:t xml:space="preserve">Table </w:t>
      </w:r>
      <w:fldSimple w:instr=" STYLEREF 1 \s ">
        <w:r w:rsidR="008D4BDE">
          <w:rPr>
            <w:noProof/>
          </w:rPr>
          <w:t>10</w:t>
        </w:r>
      </w:fldSimple>
      <w:r w:rsidR="00EE1FE9">
        <w:t>.</w:t>
      </w:r>
      <w:fldSimple w:instr=" SEQ Table \* ARABIC \s 1 ">
        <w:r w:rsidR="008D4BDE">
          <w:rPr>
            <w:noProof/>
          </w:rPr>
          <w:t>3</w:t>
        </w:r>
      </w:fldSimple>
      <w:bookmarkEnd w:id="163"/>
      <w:r w:rsidRPr="00887119">
        <w:t>: Anticipated new dwelling demand by dwelling size</w:t>
      </w:r>
      <w:r w:rsidR="00EB4714">
        <w:t xml:space="preserve"> and geographic category</w:t>
      </w:r>
      <w:r w:rsidRPr="00887119">
        <w:t>, over next 10 years</w:t>
      </w:r>
    </w:p>
    <w:tbl>
      <w:tblPr>
        <w:tblW w:w="9355" w:type="dxa"/>
        <w:tblLayout w:type="fixed"/>
        <w:tblLook w:val="04A0" w:firstRow="1" w:lastRow="0" w:firstColumn="1" w:lastColumn="0" w:noHBand="0" w:noVBand="1"/>
      </w:tblPr>
      <w:tblGrid>
        <w:gridCol w:w="2155"/>
        <w:gridCol w:w="1440"/>
        <w:gridCol w:w="1440"/>
        <w:gridCol w:w="1440"/>
        <w:gridCol w:w="1440"/>
        <w:gridCol w:w="1440"/>
      </w:tblGrid>
      <w:tr w:rsidR="005B3965" w:rsidRPr="00887119" w14:paraId="1253FA52" w14:textId="77777777" w:rsidTr="005E37D1">
        <w:trPr>
          <w:trHeight w:val="557"/>
        </w:trPr>
        <w:tc>
          <w:tcPr>
            <w:tcW w:w="215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02A0407A" w14:textId="77777777" w:rsidR="005B3965" w:rsidRPr="00887119" w:rsidRDefault="005B3965" w:rsidP="005B3965">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Geography</w:t>
            </w:r>
          </w:p>
        </w:tc>
        <w:tc>
          <w:tcPr>
            <w:tcW w:w="144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58D64456" w14:textId="77777777" w:rsidR="005B3965" w:rsidRPr="00887119" w:rsidRDefault="005B3965" w:rsidP="005B396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Total</w:t>
            </w:r>
          </w:p>
        </w:tc>
        <w:tc>
          <w:tcPr>
            <w:tcW w:w="144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2F08840B" w14:textId="77777777" w:rsidR="005B3965" w:rsidRPr="00887119" w:rsidRDefault="005B3965" w:rsidP="005B396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Studio / 1-bedroom</w:t>
            </w:r>
          </w:p>
        </w:tc>
        <w:tc>
          <w:tcPr>
            <w:tcW w:w="144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74BE5A95" w14:textId="77777777" w:rsidR="005B3965" w:rsidRPr="00887119" w:rsidRDefault="005B3965" w:rsidP="005B396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2-bedroom</w:t>
            </w:r>
          </w:p>
        </w:tc>
        <w:tc>
          <w:tcPr>
            <w:tcW w:w="1440"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5A5F5FF" w14:textId="77777777" w:rsidR="005B3965" w:rsidRPr="00887119" w:rsidRDefault="005B3965" w:rsidP="005B396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3-bedroom</w:t>
            </w:r>
          </w:p>
        </w:tc>
        <w:tc>
          <w:tcPr>
            <w:tcW w:w="1440"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0ADB18D3" w14:textId="77777777" w:rsidR="005B3965" w:rsidRPr="00887119" w:rsidRDefault="005B3965" w:rsidP="005B3965">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4+ bedroom</w:t>
            </w:r>
          </w:p>
        </w:tc>
      </w:tr>
      <w:tr w:rsidR="005B3965" w:rsidRPr="00887119" w14:paraId="4589AA57" w14:textId="77777777" w:rsidTr="005B3965">
        <w:trPr>
          <w:trHeight w:val="402"/>
        </w:trPr>
        <w:tc>
          <w:tcPr>
            <w:tcW w:w="2155" w:type="dxa"/>
            <w:tcBorders>
              <w:top w:val="nil"/>
              <w:left w:val="single" w:sz="4" w:space="0" w:color="auto"/>
              <w:bottom w:val="single" w:sz="4" w:space="0" w:color="auto"/>
              <w:right w:val="single" w:sz="4" w:space="0" w:color="auto"/>
            </w:tcBorders>
            <w:shd w:val="clear" w:color="000000" w:fill="F2F2F2"/>
            <w:noWrap/>
            <w:vAlign w:val="center"/>
            <w:hideMark/>
          </w:tcPr>
          <w:p w14:paraId="3AB6E0F3" w14:textId="77777777" w:rsidR="005B3965" w:rsidRPr="00887119" w:rsidRDefault="005B3965" w:rsidP="005B396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Province</w:t>
            </w:r>
          </w:p>
        </w:tc>
        <w:tc>
          <w:tcPr>
            <w:tcW w:w="1440" w:type="dxa"/>
            <w:tcBorders>
              <w:top w:val="nil"/>
              <w:left w:val="nil"/>
              <w:bottom w:val="single" w:sz="4" w:space="0" w:color="auto"/>
              <w:right w:val="single" w:sz="4" w:space="0" w:color="auto"/>
            </w:tcBorders>
            <w:shd w:val="clear" w:color="000000" w:fill="F2F2F2"/>
            <w:noWrap/>
            <w:vAlign w:val="center"/>
            <w:hideMark/>
          </w:tcPr>
          <w:p w14:paraId="14E096DB" w14:textId="25F387BD" w:rsidR="005B3965" w:rsidRPr="007421DE" w:rsidRDefault="00502F58"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31,685</w:t>
            </w:r>
          </w:p>
        </w:tc>
        <w:tc>
          <w:tcPr>
            <w:tcW w:w="1440" w:type="dxa"/>
            <w:tcBorders>
              <w:top w:val="nil"/>
              <w:left w:val="nil"/>
              <w:bottom w:val="single" w:sz="4" w:space="0" w:color="auto"/>
              <w:right w:val="single" w:sz="4" w:space="0" w:color="BFBFBF"/>
            </w:tcBorders>
            <w:shd w:val="clear" w:color="000000" w:fill="F2F2F2"/>
            <w:noWrap/>
            <w:vAlign w:val="center"/>
            <w:hideMark/>
          </w:tcPr>
          <w:p w14:paraId="07081B77"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10%</w:t>
            </w:r>
          </w:p>
        </w:tc>
        <w:tc>
          <w:tcPr>
            <w:tcW w:w="1440" w:type="dxa"/>
            <w:tcBorders>
              <w:top w:val="nil"/>
              <w:left w:val="nil"/>
              <w:bottom w:val="single" w:sz="4" w:space="0" w:color="auto"/>
              <w:right w:val="single" w:sz="4" w:space="0" w:color="BFBFBF"/>
            </w:tcBorders>
            <w:shd w:val="clear" w:color="000000" w:fill="F2F2F2"/>
            <w:noWrap/>
            <w:vAlign w:val="center"/>
            <w:hideMark/>
          </w:tcPr>
          <w:p w14:paraId="5D1257C8"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30%</w:t>
            </w:r>
          </w:p>
        </w:tc>
        <w:tc>
          <w:tcPr>
            <w:tcW w:w="1440" w:type="dxa"/>
            <w:tcBorders>
              <w:top w:val="nil"/>
              <w:left w:val="nil"/>
              <w:bottom w:val="single" w:sz="4" w:space="0" w:color="auto"/>
              <w:right w:val="single" w:sz="4" w:space="0" w:color="BFBFBF"/>
            </w:tcBorders>
            <w:shd w:val="clear" w:color="000000" w:fill="F2F2F2"/>
            <w:noWrap/>
            <w:vAlign w:val="center"/>
            <w:hideMark/>
          </w:tcPr>
          <w:p w14:paraId="23BE6C4C"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42%</w:t>
            </w:r>
          </w:p>
        </w:tc>
        <w:tc>
          <w:tcPr>
            <w:tcW w:w="1440" w:type="dxa"/>
            <w:tcBorders>
              <w:top w:val="nil"/>
              <w:left w:val="nil"/>
              <w:bottom w:val="single" w:sz="4" w:space="0" w:color="auto"/>
              <w:right w:val="single" w:sz="4" w:space="0" w:color="auto"/>
            </w:tcBorders>
            <w:shd w:val="clear" w:color="000000" w:fill="F2F2F2"/>
            <w:noWrap/>
            <w:vAlign w:val="center"/>
            <w:hideMark/>
          </w:tcPr>
          <w:p w14:paraId="5B4D74E0"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18%</w:t>
            </w:r>
          </w:p>
        </w:tc>
      </w:tr>
      <w:tr w:rsidR="005B3965" w:rsidRPr="00887119" w14:paraId="7E5BD5F8" w14:textId="77777777" w:rsidTr="005B3965">
        <w:trPr>
          <w:trHeight w:val="402"/>
        </w:trPr>
        <w:tc>
          <w:tcPr>
            <w:tcW w:w="2155" w:type="dxa"/>
            <w:tcBorders>
              <w:top w:val="nil"/>
              <w:left w:val="single" w:sz="4" w:space="0" w:color="auto"/>
              <w:bottom w:val="single" w:sz="4" w:space="0" w:color="BFBFBF"/>
              <w:right w:val="single" w:sz="4" w:space="0" w:color="auto"/>
            </w:tcBorders>
            <w:noWrap/>
            <w:vAlign w:val="center"/>
            <w:hideMark/>
          </w:tcPr>
          <w:p w14:paraId="4D5893D6" w14:textId="77777777" w:rsidR="005B3965" w:rsidRPr="00887119" w:rsidRDefault="005B3965" w:rsidP="005B396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Urban</w:t>
            </w:r>
          </w:p>
        </w:tc>
        <w:tc>
          <w:tcPr>
            <w:tcW w:w="1440" w:type="dxa"/>
            <w:tcBorders>
              <w:top w:val="nil"/>
              <w:left w:val="nil"/>
              <w:bottom w:val="single" w:sz="4" w:space="0" w:color="BFBFBF"/>
              <w:right w:val="single" w:sz="4" w:space="0" w:color="auto"/>
            </w:tcBorders>
            <w:noWrap/>
            <w:vAlign w:val="center"/>
            <w:hideMark/>
          </w:tcPr>
          <w:p w14:paraId="5A2C567A" w14:textId="3BA1C6F4" w:rsidR="005B3965" w:rsidRPr="007421DE" w:rsidRDefault="00502F58"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12,595</w:t>
            </w:r>
          </w:p>
        </w:tc>
        <w:tc>
          <w:tcPr>
            <w:tcW w:w="1440" w:type="dxa"/>
            <w:tcBorders>
              <w:top w:val="nil"/>
              <w:left w:val="nil"/>
              <w:bottom w:val="single" w:sz="4" w:space="0" w:color="BFBFBF"/>
              <w:right w:val="single" w:sz="4" w:space="0" w:color="BFBFBF"/>
            </w:tcBorders>
            <w:noWrap/>
            <w:vAlign w:val="center"/>
            <w:hideMark/>
          </w:tcPr>
          <w:p w14:paraId="71FE6913"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15%</w:t>
            </w:r>
          </w:p>
        </w:tc>
        <w:tc>
          <w:tcPr>
            <w:tcW w:w="1440" w:type="dxa"/>
            <w:tcBorders>
              <w:top w:val="nil"/>
              <w:left w:val="nil"/>
              <w:bottom w:val="single" w:sz="4" w:space="0" w:color="BFBFBF"/>
              <w:right w:val="single" w:sz="4" w:space="0" w:color="BFBFBF"/>
            </w:tcBorders>
            <w:noWrap/>
            <w:vAlign w:val="center"/>
            <w:hideMark/>
          </w:tcPr>
          <w:p w14:paraId="4811E72D"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34%</w:t>
            </w:r>
          </w:p>
        </w:tc>
        <w:tc>
          <w:tcPr>
            <w:tcW w:w="1440" w:type="dxa"/>
            <w:tcBorders>
              <w:top w:val="nil"/>
              <w:left w:val="nil"/>
              <w:bottom w:val="single" w:sz="4" w:space="0" w:color="BFBFBF"/>
              <w:right w:val="single" w:sz="4" w:space="0" w:color="BFBFBF"/>
            </w:tcBorders>
            <w:noWrap/>
            <w:vAlign w:val="center"/>
            <w:hideMark/>
          </w:tcPr>
          <w:p w14:paraId="71DE8B20"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34%</w:t>
            </w:r>
          </w:p>
        </w:tc>
        <w:tc>
          <w:tcPr>
            <w:tcW w:w="1440" w:type="dxa"/>
            <w:tcBorders>
              <w:top w:val="nil"/>
              <w:left w:val="nil"/>
              <w:bottom w:val="single" w:sz="4" w:space="0" w:color="BFBFBF"/>
              <w:right w:val="single" w:sz="4" w:space="0" w:color="auto"/>
            </w:tcBorders>
            <w:noWrap/>
            <w:vAlign w:val="center"/>
            <w:hideMark/>
          </w:tcPr>
          <w:p w14:paraId="018C4C68"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17%</w:t>
            </w:r>
          </w:p>
        </w:tc>
      </w:tr>
      <w:tr w:rsidR="005B3965" w:rsidRPr="00887119" w14:paraId="033FCD1A" w14:textId="77777777" w:rsidTr="005B3965">
        <w:trPr>
          <w:trHeight w:val="402"/>
        </w:trPr>
        <w:tc>
          <w:tcPr>
            <w:tcW w:w="2155" w:type="dxa"/>
            <w:tcBorders>
              <w:top w:val="nil"/>
              <w:left w:val="single" w:sz="4" w:space="0" w:color="auto"/>
              <w:bottom w:val="single" w:sz="4" w:space="0" w:color="BFBFBF"/>
              <w:right w:val="single" w:sz="4" w:space="0" w:color="auto"/>
            </w:tcBorders>
            <w:shd w:val="clear" w:color="000000" w:fill="F2F2F2"/>
            <w:noWrap/>
            <w:vAlign w:val="center"/>
            <w:hideMark/>
          </w:tcPr>
          <w:p w14:paraId="242C8109" w14:textId="77777777" w:rsidR="005B3965" w:rsidRPr="00887119" w:rsidRDefault="005B3965" w:rsidP="005B396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Small urban</w:t>
            </w:r>
          </w:p>
        </w:tc>
        <w:tc>
          <w:tcPr>
            <w:tcW w:w="1440" w:type="dxa"/>
            <w:tcBorders>
              <w:top w:val="nil"/>
              <w:left w:val="nil"/>
              <w:bottom w:val="single" w:sz="4" w:space="0" w:color="BFBFBF"/>
              <w:right w:val="single" w:sz="4" w:space="0" w:color="auto"/>
            </w:tcBorders>
            <w:shd w:val="clear" w:color="000000" w:fill="F2F2F2"/>
            <w:noWrap/>
            <w:vAlign w:val="center"/>
            <w:hideMark/>
          </w:tcPr>
          <w:p w14:paraId="5A5EF189" w14:textId="41CCA156" w:rsidR="005B3965" w:rsidRPr="007421DE" w:rsidRDefault="00502F58"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4,535</w:t>
            </w:r>
          </w:p>
        </w:tc>
        <w:tc>
          <w:tcPr>
            <w:tcW w:w="1440" w:type="dxa"/>
            <w:tcBorders>
              <w:top w:val="nil"/>
              <w:left w:val="nil"/>
              <w:bottom w:val="single" w:sz="4" w:space="0" w:color="BFBFBF"/>
              <w:right w:val="single" w:sz="4" w:space="0" w:color="BFBFBF"/>
            </w:tcBorders>
            <w:shd w:val="clear" w:color="000000" w:fill="F2F2F2"/>
            <w:noWrap/>
            <w:vAlign w:val="center"/>
            <w:hideMark/>
          </w:tcPr>
          <w:p w14:paraId="0765089D" w14:textId="576259B7" w:rsidR="005B3965" w:rsidRPr="007421DE" w:rsidRDefault="0067550E"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11%</w:t>
            </w:r>
          </w:p>
        </w:tc>
        <w:tc>
          <w:tcPr>
            <w:tcW w:w="1440" w:type="dxa"/>
            <w:tcBorders>
              <w:top w:val="nil"/>
              <w:left w:val="nil"/>
              <w:bottom w:val="single" w:sz="4" w:space="0" w:color="BFBFBF"/>
              <w:right w:val="single" w:sz="4" w:space="0" w:color="BFBFBF"/>
            </w:tcBorders>
            <w:shd w:val="clear" w:color="000000" w:fill="F2F2F2"/>
            <w:noWrap/>
            <w:vAlign w:val="center"/>
            <w:hideMark/>
          </w:tcPr>
          <w:p w14:paraId="4A081B78"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31%</w:t>
            </w:r>
          </w:p>
        </w:tc>
        <w:tc>
          <w:tcPr>
            <w:tcW w:w="1440" w:type="dxa"/>
            <w:tcBorders>
              <w:top w:val="nil"/>
              <w:left w:val="nil"/>
              <w:bottom w:val="single" w:sz="4" w:space="0" w:color="BFBFBF"/>
              <w:right w:val="single" w:sz="4" w:space="0" w:color="BFBFBF"/>
            </w:tcBorders>
            <w:shd w:val="clear" w:color="000000" w:fill="F2F2F2"/>
            <w:noWrap/>
            <w:vAlign w:val="center"/>
            <w:hideMark/>
          </w:tcPr>
          <w:p w14:paraId="3412996B"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41%</w:t>
            </w:r>
          </w:p>
        </w:tc>
        <w:tc>
          <w:tcPr>
            <w:tcW w:w="1440" w:type="dxa"/>
            <w:tcBorders>
              <w:top w:val="nil"/>
              <w:left w:val="nil"/>
              <w:bottom w:val="single" w:sz="4" w:space="0" w:color="BFBFBF"/>
              <w:right w:val="single" w:sz="4" w:space="0" w:color="auto"/>
            </w:tcBorders>
            <w:shd w:val="clear" w:color="000000" w:fill="F2F2F2"/>
            <w:noWrap/>
            <w:vAlign w:val="center"/>
            <w:hideMark/>
          </w:tcPr>
          <w:p w14:paraId="48947B02" w14:textId="7BB4BEC2" w:rsidR="005B3965" w:rsidRPr="007421DE" w:rsidRDefault="0067550E"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18%</w:t>
            </w:r>
          </w:p>
        </w:tc>
      </w:tr>
      <w:tr w:rsidR="005B3965" w:rsidRPr="00887119" w14:paraId="61FC5FB5" w14:textId="77777777" w:rsidTr="005B3965">
        <w:trPr>
          <w:trHeight w:val="402"/>
        </w:trPr>
        <w:tc>
          <w:tcPr>
            <w:tcW w:w="2155" w:type="dxa"/>
            <w:tcBorders>
              <w:top w:val="nil"/>
              <w:left w:val="single" w:sz="4" w:space="0" w:color="auto"/>
              <w:bottom w:val="single" w:sz="4" w:space="0" w:color="BFBFBF"/>
              <w:right w:val="single" w:sz="4" w:space="0" w:color="auto"/>
            </w:tcBorders>
            <w:noWrap/>
            <w:vAlign w:val="center"/>
            <w:hideMark/>
          </w:tcPr>
          <w:p w14:paraId="41AC1BF6" w14:textId="77777777" w:rsidR="005B3965" w:rsidRPr="00887119" w:rsidRDefault="005B3965" w:rsidP="005B396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Rural (urban adjacent)</w:t>
            </w:r>
          </w:p>
        </w:tc>
        <w:tc>
          <w:tcPr>
            <w:tcW w:w="1440" w:type="dxa"/>
            <w:tcBorders>
              <w:top w:val="nil"/>
              <w:left w:val="nil"/>
              <w:bottom w:val="single" w:sz="4" w:space="0" w:color="BFBFBF"/>
              <w:right w:val="single" w:sz="4" w:space="0" w:color="auto"/>
            </w:tcBorders>
            <w:noWrap/>
            <w:vAlign w:val="center"/>
            <w:hideMark/>
          </w:tcPr>
          <w:p w14:paraId="02B98B15" w14:textId="244A6D2F" w:rsidR="005B3965" w:rsidRPr="007421DE" w:rsidRDefault="00502F58"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10,920</w:t>
            </w:r>
          </w:p>
        </w:tc>
        <w:tc>
          <w:tcPr>
            <w:tcW w:w="1440" w:type="dxa"/>
            <w:tcBorders>
              <w:top w:val="nil"/>
              <w:left w:val="nil"/>
              <w:bottom w:val="single" w:sz="4" w:space="0" w:color="BFBFBF"/>
              <w:right w:val="single" w:sz="4" w:space="0" w:color="BFBFBF"/>
            </w:tcBorders>
            <w:noWrap/>
            <w:vAlign w:val="center"/>
            <w:hideMark/>
          </w:tcPr>
          <w:p w14:paraId="23195F86"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6%</w:t>
            </w:r>
          </w:p>
        </w:tc>
        <w:tc>
          <w:tcPr>
            <w:tcW w:w="1440" w:type="dxa"/>
            <w:tcBorders>
              <w:top w:val="nil"/>
              <w:left w:val="nil"/>
              <w:bottom w:val="single" w:sz="4" w:space="0" w:color="BFBFBF"/>
              <w:right w:val="single" w:sz="4" w:space="0" w:color="BFBFBF"/>
            </w:tcBorders>
            <w:noWrap/>
            <w:vAlign w:val="center"/>
            <w:hideMark/>
          </w:tcPr>
          <w:p w14:paraId="1F7268AF"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26%</w:t>
            </w:r>
          </w:p>
        </w:tc>
        <w:tc>
          <w:tcPr>
            <w:tcW w:w="1440" w:type="dxa"/>
            <w:tcBorders>
              <w:top w:val="nil"/>
              <w:left w:val="nil"/>
              <w:bottom w:val="single" w:sz="4" w:space="0" w:color="BFBFBF"/>
              <w:right w:val="single" w:sz="4" w:space="0" w:color="BFBFBF"/>
            </w:tcBorders>
            <w:noWrap/>
            <w:vAlign w:val="center"/>
            <w:hideMark/>
          </w:tcPr>
          <w:p w14:paraId="0326B341" w14:textId="77777777" w:rsidR="005B3965" w:rsidRPr="007421DE" w:rsidRDefault="005B3965"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48%</w:t>
            </w:r>
          </w:p>
        </w:tc>
        <w:tc>
          <w:tcPr>
            <w:tcW w:w="1440" w:type="dxa"/>
            <w:tcBorders>
              <w:top w:val="nil"/>
              <w:left w:val="nil"/>
              <w:bottom w:val="single" w:sz="4" w:space="0" w:color="BFBFBF"/>
              <w:right w:val="single" w:sz="4" w:space="0" w:color="auto"/>
            </w:tcBorders>
            <w:noWrap/>
            <w:vAlign w:val="center"/>
            <w:hideMark/>
          </w:tcPr>
          <w:p w14:paraId="7EB7887F" w14:textId="3814EE00" w:rsidR="005B3965" w:rsidRPr="007421DE" w:rsidRDefault="00FF6CC0"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20%</w:t>
            </w:r>
          </w:p>
        </w:tc>
      </w:tr>
      <w:tr w:rsidR="005B3965" w:rsidRPr="00887119" w14:paraId="671AB808" w14:textId="77777777" w:rsidTr="005B3965">
        <w:trPr>
          <w:trHeight w:val="402"/>
        </w:trPr>
        <w:tc>
          <w:tcPr>
            <w:tcW w:w="2155" w:type="dxa"/>
            <w:tcBorders>
              <w:top w:val="nil"/>
              <w:left w:val="single" w:sz="4" w:space="0" w:color="auto"/>
              <w:bottom w:val="single" w:sz="4" w:space="0" w:color="auto"/>
              <w:right w:val="single" w:sz="4" w:space="0" w:color="auto"/>
            </w:tcBorders>
            <w:shd w:val="clear" w:color="000000" w:fill="F2F2F2"/>
            <w:noWrap/>
            <w:vAlign w:val="center"/>
            <w:hideMark/>
          </w:tcPr>
          <w:p w14:paraId="29F07EFE" w14:textId="77777777" w:rsidR="005B3965" w:rsidRPr="00887119" w:rsidRDefault="005B3965" w:rsidP="005B3965">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Rural (remote)</w:t>
            </w:r>
          </w:p>
        </w:tc>
        <w:tc>
          <w:tcPr>
            <w:tcW w:w="1440" w:type="dxa"/>
            <w:tcBorders>
              <w:top w:val="nil"/>
              <w:left w:val="nil"/>
              <w:bottom w:val="single" w:sz="4" w:space="0" w:color="auto"/>
              <w:right w:val="single" w:sz="4" w:space="0" w:color="auto"/>
            </w:tcBorders>
            <w:shd w:val="clear" w:color="000000" w:fill="F2F2F2"/>
            <w:noWrap/>
            <w:vAlign w:val="center"/>
            <w:hideMark/>
          </w:tcPr>
          <w:p w14:paraId="0A44A0C1" w14:textId="1D51F0AE" w:rsidR="005B3965" w:rsidRPr="007421DE" w:rsidRDefault="00502F58"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3,615</w:t>
            </w:r>
          </w:p>
        </w:tc>
        <w:tc>
          <w:tcPr>
            <w:tcW w:w="1440" w:type="dxa"/>
            <w:tcBorders>
              <w:top w:val="nil"/>
              <w:left w:val="nil"/>
              <w:bottom w:val="single" w:sz="4" w:space="0" w:color="auto"/>
              <w:right w:val="single" w:sz="4" w:space="0" w:color="BFBFBF"/>
            </w:tcBorders>
            <w:shd w:val="clear" w:color="000000" w:fill="F2F2F2"/>
            <w:noWrap/>
            <w:vAlign w:val="center"/>
            <w:hideMark/>
          </w:tcPr>
          <w:p w14:paraId="05D7D4B9" w14:textId="2B4E75A4" w:rsidR="005B3965" w:rsidRPr="007421DE" w:rsidRDefault="00553324"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5%</w:t>
            </w:r>
          </w:p>
        </w:tc>
        <w:tc>
          <w:tcPr>
            <w:tcW w:w="1440" w:type="dxa"/>
            <w:tcBorders>
              <w:top w:val="nil"/>
              <w:left w:val="nil"/>
              <w:bottom w:val="single" w:sz="4" w:space="0" w:color="auto"/>
              <w:right w:val="single" w:sz="4" w:space="0" w:color="BFBFBF"/>
            </w:tcBorders>
            <w:shd w:val="clear" w:color="000000" w:fill="F2F2F2"/>
            <w:noWrap/>
            <w:vAlign w:val="center"/>
            <w:hideMark/>
          </w:tcPr>
          <w:p w14:paraId="4408710F" w14:textId="38A52283" w:rsidR="005B3965" w:rsidRPr="007421DE" w:rsidRDefault="00553324"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26%</w:t>
            </w:r>
          </w:p>
        </w:tc>
        <w:tc>
          <w:tcPr>
            <w:tcW w:w="1440" w:type="dxa"/>
            <w:tcBorders>
              <w:top w:val="nil"/>
              <w:left w:val="nil"/>
              <w:bottom w:val="single" w:sz="4" w:space="0" w:color="auto"/>
              <w:right w:val="single" w:sz="4" w:space="0" w:color="BFBFBF"/>
            </w:tcBorders>
            <w:shd w:val="clear" w:color="000000" w:fill="F2F2F2"/>
            <w:noWrap/>
            <w:vAlign w:val="center"/>
            <w:hideMark/>
          </w:tcPr>
          <w:p w14:paraId="12E61A9A" w14:textId="661144DE" w:rsidR="005B3965" w:rsidRPr="007421DE" w:rsidRDefault="00553324"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52%</w:t>
            </w:r>
          </w:p>
        </w:tc>
        <w:tc>
          <w:tcPr>
            <w:tcW w:w="1440" w:type="dxa"/>
            <w:tcBorders>
              <w:top w:val="nil"/>
              <w:left w:val="nil"/>
              <w:bottom w:val="single" w:sz="4" w:space="0" w:color="auto"/>
              <w:right w:val="single" w:sz="4" w:space="0" w:color="auto"/>
            </w:tcBorders>
            <w:shd w:val="clear" w:color="000000" w:fill="F2F2F2"/>
            <w:noWrap/>
            <w:vAlign w:val="center"/>
            <w:hideMark/>
          </w:tcPr>
          <w:p w14:paraId="20974ABB" w14:textId="142B766C" w:rsidR="005B3965" w:rsidRPr="007421DE" w:rsidRDefault="00553324" w:rsidP="005B3965">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16%</w:t>
            </w:r>
          </w:p>
        </w:tc>
      </w:tr>
    </w:tbl>
    <w:p w14:paraId="0E2734CC" w14:textId="77777777" w:rsidR="00952F0E" w:rsidRPr="00887119" w:rsidRDefault="00952F0E" w:rsidP="00952F0E">
      <w:pPr>
        <w:pStyle w:val="Source"/>
      </w:pPr>
      <w:r w:rsidRPr="00887119">
        <w:t>Source: see methodology in Housing Needs Assessment Guidebook</w:t>
      </w:r>
    </w:p>
    <w:p w14:paraId="11213A26" w14:textId="77777777" w:rsidR="00952F0E" w:rsidRPr="00887119" w:rsidRDefault="00952F0E" w:rsidP="00952F0E"/>
    <w:p w14:paraId="46647D38" w14:textId="63D4F5CF" w:rsidR="00C170A8" w:rsidRPr="00887119" w:rsidRDefault="00C170A8" w:rsidP="00C170A8">
      <w:r w:rsidRPr="00887119">
        <w:t>Provincially, 40% of anticipated new dwelling demand may be for three-bedroom units, with the balance spread across studio/one-bedroom (10%), two-bedroom (30%), and four-plus bedroom (18%) sizes. However, this distribution varies meaningfully across geographic categories. Urban areas show a higher share of demand for smaller units (15% studio/one-bedroom; 34% two-bedroom), consistent with their higher concentration of single-person households, younger renters, and newcomers. Rural categories show stronger demand for larger units, with rural urban-adjacent and rural remote areas projecting 48</w:t>
      </w:r>
      <w:r w:rsidR="007D74C7" w:rsidRPr="00887119">
        <w:t>%</w:t>
      </w:r>
      <w:r w:rsidRPr="00887119">
        <w:t>–50% of demand in the three-bedroom category</w:t>
      </w:r>
      <w:r w:rsidR="007D74C7" w:rsidRPr="00887119">
        <w:t>.</w:t>
      </w:r>
      <w:r w:rsidRPr="00887119">
        <w:t xml:space="preserve"> </w:t>
      </w:r>
    </w:p>
    <w:p w14:paraId="1824B81F" w14:textId="77777777" w:rsidR="00C170A8" w:rsidRPr="00887119" w:rsidRDefault="00C170A8" w:rsidP="00C170A8"/>
    <w:p w14:paraId="53B82A84" w14:textId="62DBF7FF" w:rsidR="00C170A8" w:rsidRPr="00887119" w:rsidRDefault="00C170A8" w:rsidP="00C170A8">
      <w:r w:rsidRPr="00887119">
        <w:t xml:space="preserve">The strong demand for three-bedroom and larger units in rural categories primarily reflects family-formation trends in those communities and ongoing demand for ground-oriented ownership housing. This demand is most likely to be met by the private market through single-detached and semi-detached construction, but the affordability context means that even ground-oriented forms need to be delivered at price points accessible to moderate-income households if ownership is to remain a viable pathway in rural </w:t>
      </w:r>
      <w:r w:rsidR="00402288" w:rsidRPr="00402288">
        <w:rPr>
          <w:color w:val="C00000"/>
        </w:rPr>
        <w:t>PEI</w:t>
      </w:r>
      <w:r w:rsidRPr="00887119">
        <w:t>.</w:t>
      </w:r>
    </w:p>
    <w:p w14:paraId="3ABC88C8" w14:textId="77777777" w:rsidR="00952F0E" w:rsidRPr="00887119" w:rsidRDefault="00952F0E" w:rsidP="00952F0E"/>
    <w:p w14:paraId="6DD83F10" w14:textId="61A90CC4" w:rsidR="00952F0E" w:rsidRPr="00887119" w:rsidRDefault="001B04B5" w:rsidP="00952F0E">
      <w:r w:rsidRPr="00887119">
        <w:rPr>
          <w:rStyle w:val="Figure-textChar"/>
        </w:rPr>
        <w:fldChar w:fldCharType="begin"/>
      </w:r>
      <w:r w:rsidRPr="00887119">
        <w:rPr>
          <w:rStyle w:val="Figure-textChar"/>
        </w:rPr>
        <w:instrText xml:space="preserve"> REF _Ref228441449 \h  \* MERGEFORMAT </w:instrText>
      </w:r>
      <w:r w:rsidRPr="00887119">
        <w:rPr>
          <w:rStyle w:val="Figure-textChar"/>
        </w:rPr>
      </w:r>
      <w:r w:rsidRPr="00887119">
        <w:rPr>
          <w:rStyle w:val="Figure-textChar"/>
        </w:rPr>
        <w:fldChar w:fldCharType="separate"/>
      </w:r>
      <w:r w:rsidR="008D4BDE" w:rsidRPr="008D4BDE">
        <w:rPr>
          <w:rStyle w:val="Figure-textChar"/>
        </w:rPr>
        <w:t>Table 10.4</w:t>
      </w:r>
      <w:r w:rsidRPr="00887119">
        <w:rPr>
          <w:rStyle w:val="Figure-textChar"/>
        </w:rPr>
        <w:fldChar w:fldCharType="end"/>
      </w:r>
      <w:r w:rsidR="00952F0E" w:rsidRPr="00887119">
        <w:t xml:space="preserve"> </w:t>
      </w:r>
      <w:r w:rsidR="00C170A8" w:rsidRPr="00887119">
        <w:t>translates projected demand into estimated unit requirements by structural type and geographic category, providing guidance on the composition of new housing supply required to meet anticipated demand across different parts of the province.</w:t>
      </w:r>
    </w:p>
    <w:p w14:paraId="1BF843EC" w14:textId="77777777" w:rsidR="00952F0E" w:rsidRPr="00887119" w:rsidRDefault="00952F0E" w:rsidP="00952F0E"/>
    <w:p w14:paraId="23787901" w14:textId="7D35FB68" w:rsidR="00594077" w:rsidRPr="00887119" w:rsidRDefault="00594077" w:rsidP="00594077">
      <w:pPr>
        <w:pStyle w:val="Caption"/>
      </w:pPr>
      <w:bookmarkStart w:id="164" w:name="_Ref228441449"/>
      <w:r w:rsidRPr="00887119">
        <w:t xml:space="preserve">Table </w:t>
      </w:r>
      <w:fldSimple w:instr=" STYLEREF 1 \s ">
        <w:r w:rsidR="008D4BDE">
          <w:rPr>
            <w:noProof/>
          </w:rPr>
          <w:t>10</w:t>
        </w:r>
      </w:fldSimple>
      <w:r w:rsidR="00EE1FE9">
        <w:t>.</w:t>
      </w:r>
      <w:fldSimple w:instr=" SEQ Table \* ARABIC \s 1 ">
        <w:r w:rsidR="008D4BDE">
          <w:rPr>
            <w:noProof/>
          </w:rPr>
          <w:t>4</w:t>
        </w:r>
      </w:fldSimple>
      <w:bookmarkEnd w:id="164"/>
      <w:r w:rsidRPr="00887119">
        <w:t xml:space="preserve">: Anticipated new dwelling demand </w:t>
      </w:r>
      <w:r w:rsidR="009632EF" w:rsidRPr="00887119">
        <w:t xml:space="preserve">over next 10 years </w:t>
      </w:r>
      <w:r w:rsidRPr="00887119">
        <w:t>by dwelling type and geographic category</w:t>
      </w:r>
    </w:p>
    <w:tbl>
      <w:tblPr>
        <w:tblW w:w="9355" w:type="dxa"/>
        <w:tblLayout w:type="fixed"/>
        <w:tblLook w:val="04A0" w:firstRow="1" w:lastRow="0" w:firstColumn="1" w:lastColumn="0" w:noHBand="0" w:noVBand="1"/>
      </w:tblPr>
      <w:tblGrid>
        <w:gridCol w:w="1795"/>
        <w:gridCol w:w="1512"/>
        <w:gridCol w:w="1512"/>
        <w:gridCol w:w="1512"/>
        <w:gridCol w:w="1512"/>
        <w:gridCol w:w="1512"/>
      </w:tblGrid>
      <w:tr w:rsidR="00F70FFC" w:rsidRPr="00887119" w14:paraId="29ECD173" w14:textId="77777777" w:rsidTr="005E37D1">
        <w:trPr>
          <w:trHeight w:val="602"/>
        </w:trPr>
        <w:tc>
          <w:tcPr>
            <w:tcW w:w="179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6CB2F0A3" w14:textId="77777777" w:rsidR="00F70FFC" w:rsidRPr="00887119" w:rsidRDefault="00F70FFC" w:rsidP="00F70FFC">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Geography</w:t>
            </w:r>
          </w:p>
        </w:tc>
        <w:tc>
          <w:tcPr>
            <w:tcW w:w="1512"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27C68AFD" w14:textId="77777777" w:rsidR="00F70FFC" w:rsidRPr="00887119" w:rsidRDefault="00F70FFC" w:rsidP="00F70FFC">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51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06CEC370" w14:textId="77777777" w:rsidR="00F70FFC" w:rsidRPr="00887119" w:rsidRDefault="00F70FFC" w:rsidP="00F70FFC">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51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52C43A7" w14:textId="77777777" w:rsidR="00F70FFC" w:rsidRPr="00887119" w:rsidRDefault="00F70FFC" w:rsidP="00F70FFC">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512"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E2C3EB3" w14:textId="77777777" w:rsidR="00F70FFC" w:rsidRPr="00887119" w:rsidRDefault="00F70FFC" w:rsidP="00F70FFC">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512"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126E3B7C" w14:textId="77777777" w:rsidR="00F70FFC" w:rsidRPr="00887119" w:rsidRDefault="00F70FFC" w:rsidP="00F70FFC">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r>
      <w:tr w:rsidR="00F70FFC" w:rsidRPr="00887119" w14:paraId="09CE242A" w14:textId="77777777" w:rsidTr="00F70FFC">
        <w:trPr>
          <w:trHeight w:val="402"/>
        </w:trPr>
        <w:tc>
          <w:tcPr>
            <w:tcW w:w="1795" w:type="dxa"/>
            <w:tcBorders>
              <w:top w:val="nil"/>
              <w:left w:val="single" w:sz="4" w:space="0" w:color="auto"/>
              <w:bottom w:val="single" w:sz="4" w:space="0" w:color="auto"/>
              <w:right w:val="single" w:sz="4" w:space="0" w:color="auto"/>
            </w:tcBorders>
            <w:shd w:val="clear" w:color="000000" w:fill="F2F2F2"/>
            <w:noWrap/>
            <w:vAlign w:val="center"/>
            <w:hideMark/>
          </w:tcPr>
          <w:p w14:paraId="7D2BF49A" w14:textId="77777777" w:rsidR="00F70FFC" w:rsidRPr="00887119" w:rsidRDefault="00F70FFC" w:rsidP="00F70FFC">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Total</w:t>
            </w:r>
          </w:p>
        </w:tc>
        <w:tc>
          <w:tcPr>
            <w:tcW w:w="1512" w:type="dxa"/>
            <w:tcBorders>
              <w:top w:val="nil"/>
              <w:left w:val="nil"/>
              <w:bottom w:val="single" w:sz="4" w:space="0" w:color="auto"/>
              <w:right w:val="single" w:sz="4" w:space="0" w:color="auto"/>
            </w:tcBorders>
            <w:shd w:val="clear" w:color="000000" w:fill="F2F2F2"/>
            <w:noWrap/>
            <w:vAlign w:val="center"/>
            <w:hideMark/>
          </w:tcPr>
          <w:p w14:paraId="1A53B142" w14:textId="2CE7DD44" w:rsidR="00F70FFC" w:rsidRPr="007421DE" w:rsidRDefault="00502F58"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31,685</w:t>
            </w:r>
          </w:p>
        </w:tc>
        <w:tc>
          <w:tcPr>
            <w:tcW w:w="1512" w:type="dxa"/>
            <w:tcBorders>
              <w:top w:val="nil"/>
              <w:left w:val="nil"/>
              <w:bottom w:val="single" w:sz="4" w:space="0" w:color="auto"/>
              <w:right w:val="single" w:sz="4" w:space="0" w:color="BFBFBF"/>
            </w:tcBorders>
            <w:shd w:val="clear" w:color="000000" w:fill="F2F2F2"/>
            <w:noWrap/>
            <w:vAlign w:val="center"/>
            <w:hideMark/>
          </w:tcPr>
          <w:p w14:paraId="17C3E774" w14:textId="76CF7C35" w:rsidR="00F70FFC" w:rsidRPr="007421DE" w:rsidRDefault="00AA0D1B"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12,595</w:t>
            </w:r>
          </w:p>
        </w:tc>
        <w:tc>
          <w:tcPr>
            <w:tcW w:w="1512" w:type="dxa"/>
            <w:tcBorders>
              <w:top w:val="nil"/>
              <w:left w:val="nil"/>
              <w:bottom w:val="single" w:sz="4" w:space="0" w:color="auto"/>
              <w:right w:val="single" w:sz="4" w:space="0" w:color="BFBFBF"/>
            </w:tcBorders>
            <w:shd w:val="clear" w:color="000000" w:fill="F2F2F2"/>
            <w:noWrap/>
            <w:vAlign w:val="center"/>
            <w:hideMark/>
          </w:tcPr>
          <w:p w14:paraId="519302A4" w14:textId="31D75AC9" w:rsidR="00F70FFC" w:rsidRPr="007421DE" w:rsidRDefault="00AA0D1B"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4,535</w:t>
            </w:r>
          </w:p>
        </w:tc>
        <w:tc>
          <w:tcPr>
            <w:tcW w:w="1512" w:type="dxa"/>
            <w:tcBorders>
              <w:top w:val="nil"/>
              <w:left w:val="nil"/>
              <w:bottom w:val="single" w:sz="4" w:space="0" w:color="auto"/>
              <w:right w:val="single" w:sz="4" w:space="0" w:color="BFBFBF"/>
            </w:tcBorders>
            <w:shd w:val="clear" w:color="000000" w:fill="F2F2F2"/>
            <w:noWrap/>
            <w:vAlign w:val="center"/>
            <w:hideMark/>
          </w:tcPr>
          <w:p w14:paraId="0FD91B95" w14:textId="48638776" w:rsidR="00F70FFC" w:rsidRPr="007421DE" w:rsidRDefault="00334511"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10,920</w:t>
            </w:r>
          </w:p>
        </w:tc>
        <w:tc>
          <w:tcPr>
            <w:tcW w:w="1512" w:type="dxa"/>
            <w:tcBorders>
              <w:top w:val="nil"/>
              <w:left w:val="nil"/>
              <w:bottom w:val="single" w:sz="4" w:space="0" w:color="auto"/>
              <w:right w:val="single" w:sz="4" w:space="0" w:color="auto"/>
            </w:tcBorders>
            <w:shd w:val="clear" w:color="000000" w:fill="F2F2F2"/>
            <w:noWrap/>
            <w:vAlign w:val="center"/>
            <w:hideMark/>
          </w:tcPr>
          <w:p w14:paraId="1703D9FB" w14:textId="4EF72DD8" w:rsidR="00F70FFC" w:rsidRPr="007421DE" w:rsidRDefault="00334511"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3,615</w:t>
            </w:r>
          </w:p>
        </w:tc>
      </w:tr>
      <w:tr w:rsidR="00F70FFC" w:rsidRPr="00887119" w14:paraId="0C32C51D" w14:textId="77777777" w:rsidTr="00F70FFC">
        <w:trPr>
          <w:trHeight w:val="402"/>
        </w:trPr>
        <w:tc>
          <w:tcPr>
            <w:tcW w:w="1795" w:type="dxa"/>
            <w:tcBorders>
              <w:top w:val="nil"/>
              <w:left w:val="single" w:sz="4" w:space="0" w:color="auto"/>
              <w:bottom w:val="single" w:sz="4" w:space="0" w:color="BFBFBF"/>
              <w:right w:val="single" w:sz="4" w:space="0" w:color="auto"/>
            </w:tcBorders>
            <w:noWrap/>
            <w:vAlign w:val="center"/>
            <w:hideMark/>
          </w:tcPr>
          <w:p w14:paraId="444E18A7" w14:textId="77777777" w:rsidR="00F70FFC" w:rsidRPr="00887119" w:rsidRDefault="00F70FFC" w:rsidP="00F70FFC">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Ground-oriented</w:t>
            </w:r>
          </w:p>
        </w:tc>
        <w:tc>
          <w:tcPr>
            <w:tcW w:w="1512" w:type="dxa"/>
            <w:tcBorders>
              <w:top w:val="nil"/>
              <w:left w:val="nil"/>
              <w:bottom w:val="single" w:sz="4" w:space="0" w:color="BFBFBF"/>
              <w:right w:val="single" w:sz="4" w:space="0" w:color="auto"/>
            </w:tcBorders>
            <w:noWrap/>
            <w:vAlign w:val="center"/>
            <w:hideMark/>
          </w:tcPr>
          <w:p w14:paraId="03149DC2" w14:textId="4605A7BE" w:rsidR="00F70FFC" w:rsidRPr="007421DE" w:rsidRDefault="00724860"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73%</w:t>
            </w:r>
          </w:p>
        </w:tc>
        <w:tc>
          <w:tcPr>
            <w:tcW w:w="1512" w:type="dxa"/>
            <w:tcBorders>
              <w:top w:val="nil"/>
              <w:left w:val="nil"/>
              <w:bottom w:val="single" w:sz="4" w:space="0" w:color="BFBFBF"/>
              <w:right w:val="single" w:sz="4" w:space="0" w:color="BFBFBF"/>
            </w:tcBorders>
            <w:noWrap/>
            <w:vAlign w:val="center"/>
            <w:hideMark/>
          </w:tcPr>
          <w:p w14:paraId="48F4BBD8" w14:textId="0C20D8D0" w:rsidR="00F70FFC" w:rsidRPr="007421DE" w:rsidRDefault="00DB221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67%</w:t>
            </w:r>
          </w:p>
        </w:tc>
        <w:tc>
          <w:tcPr>
            <w:tcW w:w="1512" w:type="dxa"/>
            <w:tcBorders>
              <w:top w:val="nil"/>
              <w:left w:val="nil"/>
              <w:bottom w:val="single" w:sz="4" w:space="0" w:color="BFBFBF"/>
              <w:right w:val="single" w:sz="4" w:space="0" w:color="BFBFBF"/>
            </w:tcBorders>
            <w:noWrap/>
            <w:vAlign w:val="center"/>
            <w:hideMark/>
          </w:tcPr>
          <w:p w14:paraId="6FD7394A" w14:textId="77777777" w:rsidR="00F70FFC" w:rsidRPr="007421DE" w:rsidRDefault="00F70FF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89%</w:t>
            </w:r>
          </w:p>
        </w:tc>
        <w:tc>
          <w:tcPr>
            <w:tcW w:w="1512" w:type="dxa"/>
            <w:tcBorders>
              <w:top w:val="nil"/>
              <w:left w:val="nil"/>
              <w:bottom w:val="single" w:sz="4" w:space="0" w:color="BFBFBF"/>
              <w:right w:val="single" w:sz="4" w:space="0" w:color="BFBFBF"/>
            </w:tcBorders>
            <w:noWrap/>
            <w:vAlign w:val="center"/>
            <w:hideMark/>
          </w:tcPr>
          <w:p w14:paraId="2EBDCB56" w14:textId="3681999B" w:rsidR="00F70FFC" w:rsidRPr="007421DE" w:rsidRDefault="009A556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77%</w:t>
            </w:r>
          </w:p>
        </w:tc>
        <w:tc>
          <w:tcPr>
            <w:tcW w:w="1512" w:type="dxa"/>
            <w:tcBorders>
              <w:top w:val="nil"/>
              <w:left w:val="nil"/>
              <w:bottom w:val="single" w:sz="4" w:space="0" w:color="BFBFBF"/>
              <w:right w:val="single" w:sz="4" w:space="0" w:color="auto"/>
            </w:tcBorders>
            <w:noWrap/>
            <w:vAlign w:val="center"/>
            <w:hideMark/>
          </w:tcPr>
          <w:p w14:paraId="422E7B08" w14:textId="164634A4" w:rsidR="00F70FFC" w:rsidRPr="007421DE" w:rsidRDefault="009A556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65%</w:t>
            </w:r>
          </w:p>
        </w:tc>
      </w:tr>
      <w:tr w:rsidR="00F70FFC" w:rsidRPr="00887119" w14:paraId="1F33D456" w14:textId="77777777" w:rsidTr="00F70FFC">
        <w:trPr>
          <w:trHeight w:val="402"/>
        </w:trPr>
        <w:tc>
          <w:tcPr>
            <w:tcW w:w="1795" w:type="dxa"/>
            <w:tcBorders>
              <w:top w:val="nil"/>
              <w:left w:val="single" w:sz="4" w:space="0" w:color="auto"/>
              <w:bottom w:val="single" w:sz="4" w:space="0" w:color="auto"/>
              <w:right w:val="single" w:sz="4" w:space="0" w:color="auto"/>
            </w:tcBorders>
            <w:shd w:val="clear" w:color="000000" w:fill="F2F2F2"/>
            <w:noWrap/>
            <w:vAlign w:val="center"/>
            <w:hideMark/>
          </w:tcPr>
          <w:p w14:paraId="12C0AFE5" w14:textId="77777777" w:rsidR="00F70FFC" w:rsidRPr="00887119" w:rsidRDefault="00F70FFC" w:rsidP="00F70FFC">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Apartment</w:t>
            </w:r>
          </w:p>
        </w:tc>
        <w:tc>
          <w:tcPr>
            <w:tcW w:w="1512" w:type="dxa"/>
            <w:tcBorders>
              <w:top w:val="nil"/>
              <w:left w:val="nil"/>
              <w:bottom w:val="single" w:sz="4" w:space="0" w:color="auto"/>
              <w:right w:val="single" w:sz="4" w:space="0" w:color="auto"/>
            </w:tcBorders>
            <w:shd w:val="clear" w:color="000000" w:fill="F2F2F2"/>
            <w:noWrap/>
            <w:vAlign w:val="center"/>
            <w:hideMark/>
          </w:tcPr>
          <w:p w14:paraId="0528AD2D" w14:textId="5A2383F3" w:rsidR="00F70FFC" w:rsidRPr="007421DE" w:rsidRDefault="00F70FF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w:t>
            </w:r>
            <w:r w:rsidR="00724860" w:rsidRPr="007421DE">
              <w:rPr>
                <w:rFonts w:eastAsia="Times New Roman" w:cs="Arial"/>
                <w:color w:val="C00000"/>
                <w:kern w:val="0"/>
                <w:sz w:val="18"/>
                <w:szCs w:val="18"/>
                <w:lang w:eastAsia="en-CA"/>
                <w14:ligatures w14:val="none"/>
              </w:rPr>
              <w:t>7</w:t>
            </w:r>
            <w:r w:rsidRPr="007421DE">
              <w:rPr>
                <w:rFonts w:eastAsia="Times New Roman" w:cs="Arial"/>
                <w:color w:val="C00000"/>
                <w:kern w:val="0"/>
                <w:sz w:val="18"/>
                <w:szCs w:val="18"/>
                <w:lang w:eastAsia="en-CA"/>
                <w14:ligatures w14:val="none"/>
              </w:rPr>
              <w:t>%</w:t>
            </w:r>
          </w:p>
        </w:tc>
        <w:tc>
          <w:tcPr>
            <w:tcW w:w="1512" w:type="dxa"/>
            <w:tcBorders>
              <w:top w:val="nil"/>
              <w:left w:val="nil"/>
              <w:bottom w:val="single" w:sz="4" w:space="0" w:color="auto"/>
              <w:right w:val="single" w:sz="4" w:space="0" w:color="BFBFBF"/>
            </w:tcBorders>
            <w:shd w:val="clear" w:color="000000" w:fill="F2F2F2"/>
            <w:noWrap/>
            <w:vAlign w:val="center"/>
            <w:hideMark/>
          </w:tcPr>
          <w:p w14:paraId="048847AE" w14:textId="69A1F494" w:rsidR="00F70FFC" w:rsidRPr="007421DE" w:rsidRDefault="00F70FF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w:t>
            </w:r>
            <w:r w:rsidR="00DB221C" w:rsidRPr="007421DE">
              <w:rPr>
                <w:rFonts w:eastAsia="Times New Roman" w:cs="Arial"/>
                <w:color w:val="C00000"/>
                <w:kern w:val="0"/>
                <w:sz w:val="18"/>
                <w:szCs w:val="18"/>
                <w:lang w:eastAsia="en-CA"/>
                <w14:ligatures w14:val="none"/>
              </w:rPr>
              <w:t>3</w:t>
            </w:r>
            <w:r w:rsidRPr="007421DE">
              <w:rPr>
                <w:rFonts w:eastAsia="Times New Roman" w:cs="Arial"/>
                <w:color w:val="C00000"/>
                <w:kern w:val="0"/>
                <w:sz w:val="18"/>
                <w:szCs w:val="18"/>
                <w:lang w:eastAsia="en-CA"/>
                <w14:ligatures w14:val="none"/>
              </w:rPr>
              <w:t>%</w:t>
            </w:r>
          </w:p>
        </w:tc>
        <w:tc>
          <w:tcPr>
            <w:tcW w:w="1512" w:type="dxa"/>
            <w:tcBorders>
              <w:top w:val="nil"/>
              <w:left w:val="nil"/>
              <w:bottom w:val="single" w:sz="4" w:space="0" w:color="auto"/>
              <w:right w:val="single" w:sz="4" w:space="0" w:color="BFBFBF"/>
            </w:tcBorders>
            <w:shd w:val="clear" w:color="000000" w:fill="F2F2F2"/>
            <w:noWrap/>
            <w:vAlign w:val="center"/>
            <w:hideMark/>
          </w:tcPr>
          <w:p w14:paraId="7B3297C1" w14:textId="77777777" w:rsidR="00F70FFC" w:rsidRPr="007421DE" w:rsidRDefault="00F70FF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11%</w:t>
            </w:r>
          </w:p>
        </w:tc>
        <w:tc>
          <w:tcPr>
            <w:tcW w:w="1512" w:type="dxa"/>
            <w:tcBorders>
              <w:top w:val="nil"/>
              <w:left w:val="nil"/>
              <w:bottom w:val="single" w:sz="4" w:space="0" w:color="auto"/>
              <w:right w:val="single" w:sz="4" w:space="0" w:color="BFBFBF"/>
            </w:tcBorders>
            <w:shd w:val="clear" w:color="000000" w:fill="F2F2F2"/>
            <w:noWrap/>
            <w:vAlign w:val="center"/>
            <w:hideMark/>
          </w:tcPr>
          <w:p w14:paraId="5EF4B422" w14:textId="605306FA" w:rsidR="00F70FFC" w:rsidRPr="007421DE" w:rsidRDefault="00DB221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23%</w:t>
            </w:r>
          </w:p>
        </w:tc>
        <w:tc>
          <w:tcPr>
            <w:tcW w:w="1512" w:type="dxa"/>
            <w:tcBorders>
              <w:top w:val="nil"/>
              <w:left w:val="nil"/>
              <w:bottom w:val="single" w:sz="4" w:space="0" w:color="auto"/>
              <w:right w:val="single" w:sz="4" w:space="0" w:color="auto"/>
            </w:tcBorders>
            <w:shd w:val="clear" w:color="000000" w:fill="F2F2F2"/>
            <w:noWrap/>
            <w:vAlign w:val="center"/>
            <w:hideMark/>
          </w:tcPr>
          <w:p w14:paraId="6CAF6147" w14:textId="6BC93E19" w:rsidR="00F70FFC" w:rsidRPr="007421DE" w:rsidRDefault="009A556C" w:rsidP="00F70FFC">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35%</w:t>
            </w:r>
          </w:p>
        </w:tc>
      </w:tr>
    </w:tbl>
    <w:p w14:paraId="475EE4C8" w14:textId="77777777" w:rsidR="00952F0E" w:rsidRPr="00887119" w:rsidRDefault="00952F0E" w:rsidP="00952F0E">
      <w:pPr>
        <w:pStyle w:val="Source"/>
      </w:pPr>
      <w:r w:rsidRPr="00887119">
        <w:t>Source: see methodology in Housing Needs Assessment Guidebook</w:t>
      </w:r>
    </w:p>
    <w:p w14:paraId="1E7BA214" w14:textId="77777777" w:rsidR="00952F0E" w:rsidRPr="00887119" w:rsidRDefault="00952F0E" w:rsidP="00952F0E"/>
    <w:p w14:paraId="072DB843" w14:textId="7B643379" w:rsidR="00D633FA" w:rsidRPr="00887119" w:rsidRDefault="00D633FA" w:rsidP="00D633FA">
      <w:r w:rsidRPr="00887119">
        <w:t>Urban areas are projected to require 33% of new supply in apartment form, the highest of any category and substantially above the 22% provincial average. This again reflects the concentration of smaller household types and renter demand in those markets. Small urban areas show 11% apartment demand, while rural categories are predominantly ground-oriented</w:t>
      </w:r>
      <w:r w:rsidR="000032B0" w:rsidRPr="00887119">
        <w:t>.</w:t>
      </w:r>
      <w:r w:rsidRPr="00887119">
        <w:t xml:space="preserve"> </w:t>
      </w:r>
    </w:p>
    <w:p w14:paraId="585CA20A" w14:textId="77777777" w:rsidR="00952F0E" w:rsidRPr="00887119" w:rsidRDefault="00952F0E" w:rsidP="00952F0E"/>
    <w:p w14:paraId="3392B29D" w14:textId="7A08B82C" w:rsidR="00952F0E" w:rsidRPr="00887119" w:rsidRDefault="001B04B5" w:rsidP="00952F0E">
      <w:r w:rsidRPr="00887119">
        <w:rPr>
          <w:rStyle w:val="Figure-textChar"/>
        </w:rPr>
        <w:fldChar w:fldCharType="begin"/>
      </w:r>
      <w:r w:rsidRPr="00887119">
        <w:rPr>
          <w:rStyle w:val="Figure-textChar"/>
        </w:rPr>
        <w:instrText xml:space="preserve"> REF _Ref228441412 \h  \* MERGEFORMAT </w:instrText>
      </w:r>
      <w:r w:rsidRPr="00887119">
        <w:rPr>
          <w:rStyle w:val="Figure-textChar"/>
        </w:rPr>
      </w:r>
      <w:r w:rsidRPr="00887119">
        <w:rPr>
          <w:rStyle w:val="Figure-textChar"/>
        </w:rPr>
        <w:fldChar w:fldCharType="separate"/>
      </w:r>
      <w:r w:rsidR="008D4BDE" w:rsidRPr="008D4BDE">
        <w:rPr>
          <w:rStyle w:val="Figure-textChar"/>
        </w:rPr>
        <w:t>Table 10.5</w:t>
      </w:r>
      <w:r w:rsidRPr="00887119">
        <w:rPr>
          <w:rStyle w:val="Figure-textChar"/>
        </w:rPr>
        <w:fldChar w:fldCharType="end"/>
      </w:r>
      <w:r w:rsidR="00952F0E" w:rsidRPr="00887119">
        <w:t xml:space="preserve"> </w:t>
      </w:r>
      <w:r w:rsidR="005C2E0A" w:rsidRPr="00887119">
        <w:t>presents estimated demand by housing price level and geographic category, indicating the magnitude of construction required across market, below-market, and deeply affordable dwellings in different parts of the province.</w:t>
      </w:r>
    </w:p>
    <w:p w14:paraId="4C5F69E7" w14:textId="77777777" w:rsidR="005C2E0A" w:rsidRPr="00887119" w:rsidRDefault="005C2E0A" w:rsidP="00952F0E"/>
    <w:p w14:paraId="2F19F453" w14:textId="3BD20124" w:rsidR="00EC6C69" w:rsidRPr="00887119" w:rsidRDefault="00EC6C69" w:rsidP="00EC6C69">
      <w:pPr>
        <w:pStyle w:val="Caption"/>
      </w:pPr>
      <w:bookmarkStart w:id="165" w:name="_Ref228441412"/>
      <w:r w:rsidRPr="00887119">
        <w:t xml:space="preserve">Table </w:t>
      </w:r>
      <w:fldSimple w:instr=" STYLEREF 1 \s ">
        <w:r w:rsidR="008D4BDE">
          <w:rPr>
            <w:noProof/>
          </w:rPr>
          <w:t>10</w:t>
        </w:r>
      </w:fldSimple>
      <w:r w:rsidR="00EE1FE9">
        <w:t>.</w:t>
      </w:r>
      <w:fldSimple w:instr=" SEQ Table \* ARABIC \s 1 ">
        <w:r w:rsidR="008D4BDE">
          <w:rPr>
            <w:noProof/>
          </w:rPr>
          <w:t>5</w:t>
        </w:r>
      </w:fldSimple>
      <w:bookmarkEnd w:id="165"/>
      <w:r w:rsidRPr="00887119">
        <w:t>: Anticipated new dwelling demand</w:t>
      </w:r>
      <w:r w:rsidR="00745AD5" w:rsidRPr="00887119">
        <w:t xml:space="preserve"> over next 10 years</w:t>
      </w:r>
      <w:r w:rsidRPr="00887119">
        <w:t xml:space="preserve"> by dwelling price level and geographic category</w:t>
      </w:r>
    </w:p>
    <w:tbl>
      <w:tblPr>
        <w:tblW w:w="9355" w:type="dxa"/>
        <w:tblLayout w:type="fixed"/>
        <w:tblLook w:val="04A0" w:firstRow="1" w:lastRow="0" w:firstColumn="1" w:lastColumn="0" w:noHBand="0" w:noVBand="1"/>
      </w:tblPr>
      <w:tblGrid>
        <w:gridCol w:w="1975"/>
        <w:gridCol w:w="1476"/>
        <w:gridCol w:w="1476"/>
        <w:gridCol w:w="1476"/>
        <w:gridCol w:w="1476"/>
        <w:gridCol w:w="1476"/>
      </w:tblGrid>
      <w:tr w:rsidR="00B54A73" w:rsidRPr="00887119" w14:paraId="44BE05B2" w14:textId="77777777" w:rsidTr="005E37D1">
        <w:trPr>
          <w:trHeight w:val="512"/>
          <w:tblHeader/>
        </w:trPr>
        <w:tc>
          <w:tcPr>
            <w:tcW w:w="1975" w:type="dxa"/>
            <w:tcBorders>
              <w:top w:val="single" w:sz="4" w:space="0" w:color="auto"/>
              <w:left w:val="single" w:sz="4" w:space="0" w:color="auto"/>
              <w:bottom w:val="single" w:sz="4" w:space="0" w:color="auto"/>
              <w:right w:val="single" w:sz="4" w:space="0" w:color="auto"/>
            </w:tcBorders>
            <w:shd w:val="clear" w:color="auto" w:fill="42618C" w:themeFill="accent3"/>
            <w:noWrap/>
            <w:vAlign w:val="center"/>
            <w:hideMark/>
          </w:tcPr>
          <w:p w14:paraId="22AB1801" w14:textId="77777777" w:rsidR="00B54A73" w:rsidRPr="00887119" w:rsidRDefault="00B54A73" w:rsidP="00B54A73">
            <w:pPr>
              <w:spacing w:line="240" w:lineRule="auto"/>
              <w:jc w:val="lef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Price model</w:t>
            </w:r>
          </w:p>
        </w:tc>
        <w:tc>
          <w:tcPr>
            <w:tcW w:w="1476"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18C49630" w14:textId="77777777" w:rsidR="00B54A73" w:rsidRPr="00887119" w:rsidRDefault="00B54A73" w:rsidP="00B54A7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Province</w:t>
            </w:r>
          </w:p>
        </w:tc>
        <w:tc>
          <w:tcPr>
            <w:tcW w:w="1476"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48C26F47" w14:textId="77777777" w:rsidR="00B54A73" w:rsidRPr="00887119" w:rsidRDefault="00B54A73" w:rsidP="00B54A7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Urban</w:t>
            </w:r>
          </w:p>
        </w:tc>
        <w:tc>
          <w:tcPr>
            <w:tcW w:w="1476"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633C757" w14:textId="77777777" w:rsidR="00B54A73" w:rsidRPr="00887119" w:rsidRDefault="00B54A73" w:rsidP="00B54A7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Small urban</w:t>
            </w:r>
          </w:p>
        </w:tc>
        <w:tc>
          <w:tcPr>
            <w:tcW w:w="1476" w:type="dxa"/>
            <w:tcBorders>
              <w:top w:val="single" w:sz="4" w:space="0" w:color="auto"/>
              <w:left w:val="nil"/>
              <w:bottom w:val="single" w:sz="4" w:space="0" w:color="auto"/>
              <w:right w:val="single" w:sz="4" w:space="0" w:color="BFBFBF"/>
            </w:tcBorders>
            <w:shd w:val="clear" w:color="auto" w:fill="42618C" w:themeFill="accent3"/>
            <w:noWrap/>
            <w:vAlign w:val="center"/>
            <w:hideMark/>
          </w:tcPr>
          <w:p w14:paraId="6B73388F" w14:textId="77777777" w:rsidR="00B54A73" w:rsidRPr="00887119" w:rsidRDefault="00B54A73" w:rsidP="00B54A7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(urban adjacent)</w:t>
            </w:r>
          </w:p>
        </w:tc>
        <w:tc>
          <w:tcPr>
            <w:tcW w:w="1476" w:type="dxa"/>
            <w:tcBorders>
              <w:top w:val="single" w:sz="4" w:space="0" w:color="auto"/>
              <w:left w:val="nil"/>
              <w:bottom w:val="single" w:sz="4" w:space="0" w:color="auto"/>
              <w:right w:val="single" w:sz="4" w:space="0" w:color="auto"/>
            </w:tcBorders>
            <w:shd w:val="clear" w:color="auto" w:fill="42618C" w:themeFill="accent3"/>
            <w:noWrap/>
            <w:vAlign w:val="center"/>
            <w:hideMark/>
          </w:tcPr>
          <w:p w14:paraId="3E4DABA1" w14:textId="77777777" w:rsidR="00B54A73" w:rsidRPr="00887119" w:rsidRDefault="00B54A73" w:rsidP="00B54A73">
            <w:pPr>
              <w:spacing w:line="240" w:lineRule="auto"/>
              <w:jc w:val="right"/>
              <w:rPr>
                <w:rFonts w:eastAsia="Times New Roman" w:cs="Arial"/>
                <w:color w:val="FFFFFF"/>
                <w:kern w:val="0"/>
                <w:sz w:val="18"/>
                <w:szCs w:val="18"/>
                <w:lang w:eastAsia="en-CA"/>
                <w14:ligatures w14:val="none"/>
              </w:rPr>
            </w:pPr>
            <w:r w:rsidRPr="00887119">
              <w:rPr>
                <w:rFonts w:eastAsia="Times New Roman" w:cs="Arial"/>
                <w:color w:val="FFFFFF"/>
                <w:kern w:val="0"/>
                <w:sz w:val="18"/>
                <w:szCs w:val="18"/>
                <w:lang w:eastAsia="en-CA"/>
                <w14:ligatures w14:val="none"/>
              </w:rPr>
              <w:t>Rural (remote)</w:t>
            </w:r>
          </w:p>
        </w:tc>
      </w:tr>
      <w:tr w:rsidR="00EC5146" w:rsidRPr="00887119" w14:paraId="734E3371" w14:textId="77777777" w:rsidTr="00B54A73">
        <w:trPr>
          <w:trHeight w:val="402"/>
        </w:trPr>
        <w:tc>
          <w:tcPr>
            <w:tcW w:w="1975" w:type="dxa"/>
            <w:tcBorders>
              <w:top w:val="nil"/>
              <w:left w:val="single" w:sz="4" w:space="0" w:color="auto"/>
              <w:bottom w:val="single" w:sz="4" w:space="0" w:color="auto"/>
              <w:right w:val="single" w:sz="4" w:space="0" w:color="auto"/>
            </w:tcBorders>
            <w:shd w:val="clear" w:color="000000" w:fill="F2F2F2"/>
            <w:noWrap/>
            <w:vAlign w:val="center"/>
            <w:hideMark/>
          </w:tcPr>
          <w:p w14:paraId="48ED5F12" w14:textId="77777777" w:rsidR="00EC5146" w:rsidRPr="00887119" w:rsidRDefault="00EC5146" w:rsidP="00EC5146">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Total</w:t>
            </w:r>
          </w:p>
        </w:tc>
        <w:tc>
          <w:tcPr>
            <w:tcW w:w="1476" w:type="dxa"/>
            <w:tcBorders>
              <w:top w:val="nil"/>
              <w:left w:val="nil"/>
              <w:bottom w:val="single" w:sz="4" w:space="0" w:color="auto"/>
              <w:right w:val="single" w:sz="4" w:space="0" w:color="auto"/>
            </w:tcBorders>
            <w:shd w:val="clear" w:color="000000" w:fill="F2F2F2"/>
            <w:noWrap/>
            <w:vAlign w:val="center"/>
            <w:hideMark/>
          </w:tcPr>
          <w:p w14:paraId="55651479" w14:textId="5ABF124A" w:rsidR="00EC5146" w:rsidRPr="007421DE" w:rsidRDefault="00EC5146" w:rsidP="00EC5146">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31,685</w:t>
            </w:r>
          </w:p>
        </w:tc>
        <w:tc>
          <w:tcPr>
            <w:tcW w:w="1476" w:type="dxa"/>
            <w:tcBorders>
              <w:top w:val="nil"/>
              <w:left w:val="nil"/>
              <w:bottom w:val="single" w:sz="4" w:space="0" w:color="auto"/>
              <w:right w:val="single" w:sz="4" w:space="0" w:color="BFBFBF"/>
            </w:tcBorders>
            <w:shd w:val="clear" w:color="000000" w:fill="F2F2F2"/>
            <w:noWrap/>
            <w:vAlign w:val="center"/>
            <w:hideMark/>
          </w:tcPr>
          <w:p w14:paraId="21CF451E" w14:textId="3F81D49A" w:rsidR="00EC5146" w:rsidRPr="007421DE" w:rsidRDefault="00EC5146" w:rsidP="00EC5146">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12,595</w:t>
            </w:r>
          </w:p>
        </w:tc>
        <w:tc>
          <w:tcPr>
            <w:tcW w:w="1476" w:type="dxa"/>
            <w:tcBorders>
              <w:top w:val="nil"/>
              <w:left w:val="nil"/>
              <w:bottom w:val="single" w:sz="4" w:space="0" w:color="auto"/>
              <w:right w:val="single" w:sz="4" w:space="0" w:color="BFBFBF"/>
            </w:tcBorders>
            <w:shd w:val="clear" w:color="000000" w:fill="F2F2F2"/>
            <w:noWrap/>
            <w:vAlign w:val="center"/>
            <w:hideMark/>
          </w:tcPr>
          <w:p w14:paraId="279B5D9A" w14:textId="2F85F5EF" w:rsidR="00EC5146" w:rsidRPr="007421DE" w:rsidRDefault="00EC5146" w:rsidP="00EC5146">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4,535</w:t>
            </w:r>
          </w:p>
        </w:tc>
        <w:tc>
          <w:tcPr>
            <w:tcW w:w="1476" w:type="dxa"/>
            <w:tcBorders>
              <w:top w:val="nil"/>
              <w:left w:val="nil"/>
              <w:bottom w:val="single" w:sz="4" w:space="0" w:color="auto"/>
              <w:right w:val="single" w:sz="4" w:space="0" w:color="BFBFBF"/>
            </w:tcBorders>
            <w:shd w:val="clear" w:color="000000" w:fill="F2F2F2"/>
            <w:noWrap/>
            <w:vAlign w:val="center"/>
            <w:hideMark/>
          </w:tcPr>
          <w:p w14:paraId="0E629E49" w14:textId="3383886F" w:rsidR="00EC5146" w:rsidRPr="007421DE" w:rsidRDefault="00EC5146" w:rsidP="00EC5146">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10,920</w:t>
            </w:r>
          </w:p>
        </w:tc>
        <w:tc>
          <w:tcPr>
            <w:tcW w:w="1476" w:type="dxa"/>
            <w:tcBorders>
              <w:top w:val="nil"/>
              <w:left w:val="nil"/>
              <w:bottom w:val="single" w:sz="4" w:space="0" w:color="auto"/>
              <w:right w:val="single" w:sz="4" w:space="0" w:color="auto"/>
            </w:tcBorders>
            <w:shd w:val="clear" w:color="000000" w:fill="F2F2F2"/>
            <w:noWrap/>
            <w:vAlign w:val="center"/>
            <w:hideMark/>
          </w:tcPr>
          <w:p w14:paraId="785F18FA" w14:textId="5A5AB6E1" w:rsidR="00EC5146" w:rsidRPr="007421DE" w:rsidRDefault="00EC5146" w:rsidP="00EC5146">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3,615</w:t>
            </w:r>
          </w:p>
        </w:tc>
      </w:tr>
      <w:tr w:rsidR="00B54A73" w:rsidRPr="00887119" w14:paraId="74098093" w14:textId="77777777" w:rsidTr="00B54A73">
        <w:trPr>
          <w:trHeight w:val="402"/>
        </w:trPr>
        <w:tc>
          <w:tcPr>
            <w:tcW w:w="1975" w:type="dxa"/>
            <w:tcBorders>
              <w:top w:val="nil"/>
              <w:left w:val="single" w:sz="4" w:space="0" w:color="auto"/>
              <w:bottom w:val="single" w:sz="4" w:space="0" w:color="BFBFBF"/>
              <w:right w:val="single" w:sz="4" w:space="0" w:color="auto"/>
            </w:tcBorders>
            <w:noWrap/>
            <w:vAlign w:val="center"/>
            <w:hideMark/>
          </w:tcPr>
          <w:p w14:paraId="1A186360" w14:textId="77777777" w:rsidR="00B54A73" w:rsidRPr="00887119" w:rsidRDefault="00B54A73" w:rsidP="00B54A73">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lastRenderedPageBreak/>
              <w:t>Market</w:t>
            </w:r>
          </w:p>
        </w:tc>
        <w:tc>
          <w:tcPr>
            <w:tcW w:w="1476" w:type="dxa"/>
            <w:tcBorders>
              <w:top w:val="nil"/>
              <w:left w:val="nil"/>
              <w:bottom w:val="single" w:sz="4" w:space="0" w:color="BFBFBF"/>
              <w:right w:val="single" w:sz="4" w:space="0" w:color="auto"/>
            </w:tcBorders>
            <w:noWrap/>
            <w:vAlign w:val="center"/>
            <w:hideMark/>
          </w:tcPr>
          <w:p w14:paraId="34A90DF4" w14:textId="0F3E72A7" w:rsidR="00B54A73" w:rsidRPr="007421DE" w:rsidRDefault="00E26EE2"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70%</w:t>
            </w:r>
          </w:p>
        </w:tc>
        <w:tc>
          <w:tcPr>
            <w:tcW w:w="1476" w:type="dxa"/>
            <w:tcBorders>
              <w:top w:val="nil"/>
              <w:left w:val="nil"/>
              <w:bottom w:val="single" w:sz="4" w:space="0" w:color="BFBFBF"/>
              <w:right w:val="single" w:sz="4" w:space="0" w:color="BFBFBF"/>
            </w:tcBorders>
            <w:noWrap/>
            <w:vAlign w:val="center"/>
            <w:hideMark/>
          </w:tcPr>
          <w:p w14:paraId="54890655" w14:textId="4AF1DC2C" w:rsidR="00B54A73" w:rsidRPr="007421DE" w:rsidRDefault="00744AD6"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69%</w:t>
            </w:r>
          </w:p>
        </w:tc>
        <w:tc>
          <w:tcPr>
            <w:tcW w:w="1476" w:type="dxa"/>
            <w:tcBorders>
              <w:top w:val="nil"/>
              <w:left w:val="nil"/>
              <w:bottom w:val="single" w:sz="4" w:space="0" w:color="BFBFBF"/>
              <w:right w:val="single" w:sz="4" w:space="0" w:color="BFBFBF"/>
            </w:tcBorders>
            <w:noWrap/>
            <w:vAlign w:val="center"/>
            <w:hideMark/>
          </w:tcPr>
          <w:p w14:paraId="27C4C9AA" w14:textId="78E61D3C" w:rsidR="00B54A73" w:rsidRPr="007421DE" w:rsidRDefault="005007C2"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73%</w:t>
            </w:r>
          </w:p>
        </w:tc>
        <w:tc>
          <w:tcPr>
            <w:tcW w:w="1476" w:type="dxa"/>
            <w:tcBorders>
              <w:top w:val="nil"/>
              <w:left w:val="nil"/>
              <w:bottom w:val="single" w:sz="4" w:space="0" w:color="BFBFBF"/>
              <w:right w:val="single" w:sz="4" w:space="0" w:color="BFBFBF"/>
            </w:tcBorders>
            <w:noWrap/>
            <w:vAlign w:val="center"/>
            <w:hideMark/>
          </w:tcPr>
          <w:p w14:paraId="43794FFB" w14:textId="01E57100" w:rsidR="00B54A73" w:rsidRPr="007421DE" w:rsidRDefault="005007C2"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71%</w:t>
            </w:r>
          </w:p>
        </w:tc>
        <w:tc>
          <w:tcPr>
            <w:tcW w:w="1476" w:type="dxa"/>
            <w:tcBorders>
              <w:top w:val="nil"/>
              <w:left w:val="nil"/>
              <w:bottom w:val="single" w:sz="4" w:space="0" w:color="BFBFBF"/>
              <w:right w:val="single" w:sz="4" w:space="0" w:color="auto"/>
            </w:tcBorders>
            <w:noWrap/>
            <w:vAlign w:val="center"/>
            <w:hideMark/>
          </w:tcPr>
          <w:p w14:paraId="1FFE2621" w14:textId="77777777" w:rsidR="00B54A73" w:rsidRPr="007421DE" w:rsidRDefault="00B54A73"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69%</w:t>
            </w:r>
          </w:p>
        </w:tc>
      </w:tr>
      <w:tr w:rsidR="00B54A73" w:rsidRPr="00887119" w14:paraId="1A3F2175" w14:textId="77777777" w:rsidTr="00B54A73">
        <w:trPr>
          <w:trHeight w:val="402"/>
        </w:trPr>
        <w:tc>
          <w:tcPr>
            <w:tcW w:w="1975" w:type="dxa"/>
            <w:tcBorders>
              <w:top w:val="nil"/>
              <w:left w:val="single" w:sz="4" w:space="0" w:color="auto"/>
              <w:bottom w:val="single" w:sz="4" w:space="0" w:color="BFBFBF"/>
              <w:right w:val="single" w:sz="4" w:space="0" w:color="auto"/>
            </w:tcBorders>
            <w:shd w:val="clear" w:color="000000" w:fill="F2F2F2"/>
            <w:noWrap/>
            <w:vAlign w:val="center"/>
            <w:hideMark/>
          </w:tcPr>
          <w:p w14:paraId="2B967746" w14:textId="77777777" w:rsidR="00B54A73" w:rsidRPr="00887119" w:rsidRDefault="00B54A73" w:rsidP="00B54A73">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Below-market</w:t>
            </w:r>
          </w:p>
        </w:tc>
        <w:tc>
          <w:tcPr>
            <w:tcW w:w="1476" w:type="dxa"/>
            <w:tcBorders>
              <w:top w:val="nil"/>
              <w:left w:val="nil"/>
              <w:bottom w:val="single" w:sz="4" w:space="0" w:color="BFBFBF"/>
              <w:right w:val="single" w:sz="4" w:space="0" w:color="auto"/>
            </w:tcBorders>
            <w:shd w:val="clear" w:color="000000" w:fill="F2F2F2"/>
            <w:noWrap/>
            <w:vAlign w:val="center"/>
            <w:hideMark/>
          </w:tcPr>
          <w:p w14:paraId="466A7340" w14:textId="77777777" w:rsidR="00B54A73" w:rsidRPr="007421DE" w:rsidRDefault="00B54A73"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23%</w:t>
            </w:r>
          </w:p>
        </w:tc>
        <w:tc>
          <w:tcPr>
            <w:tcW w:w="1476" w:type="dxa"/>
            <w:tcBorders>
              <w:top w:val="nil"/>
              <w:left w:val="nil"/>
              <w:bottom w:val="single" w:sz="4" w:space="0" w:color="BFBFBF"/>
              <w:right w:val="single" w:sz="4" w:space="0" w:color="BFBFBF"/>
            </w:tcBorders>
            <w:shd w:val="clear" w:color="000000" w:fill="F2F2F2"/>
            <w:noWrap/>
            <w:vAlign w:val="center"/>
            <w:hideMark/>
          </w:tcPr>
          <w:p w14:paraId="7CD42847" w14:textId="77777777" w:rsidR="00B54A73" w:rsidRPr="007421DE" w:rsidRDefault="00B54A73"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22%</w:t>
            </w:r>
          </w:p>
        </w:tc>
        <w:tc>
          <w:tcPr>
            <w:tcW w:w="1476" w:type="dxa"/>
            <w:tcBorders>
              <w:top w:val="nil"/>
              <w:left w:val="nil"/>
              <w:bottom w:val="single" w:sz="4" w:space="0" w:color="BFBFBF"/>
              <w:right w:val="single" w:sz="4" w:space="0" w:color="BFBFBF"/>
            </w:tcBorders>
            <w:shd w:val="clear" w:color="000000" w:fill="F2F2F2"/>
            <w:noWrap/>
            <w:vAlign w:val="center"/>
            <w:hideMark/>
          </w:tcPr>
          <w:p w14:paraId="721A1750" w14:textId="77777777" w:rsidR="00B54A73" w:rsidRPr="007421DE" w:rsidRDefault="00B54A73"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21%</w:t>
            </w:r>
          </w:p>
        </w:tc>
        <w:tc>
          <w:tcPr>
            <w:tcW w:w="1476" w:type="dxa"/>
            <w:tcBorders>
              <w:top w:val="nil"/>
              <w:left w:val="nil"/>
              <w:bottom w:val="single" w:sz="4" w:space="0" w:color="BFBFBF"/>
              <w:right w:val="single" w:sz="4" w:space="0" w:color="BFBFBF"/>
            </w:tcBorders>
            <w:shd w:val="clear" w:color="000000" w:fill="F2F2F2"/>
            <w:noWrap/>
            <w:vAlign w:val="center"/>
            <w:hideMark/>
          </w:tcPr>
          <w:p w14:paraId="6DFD4B13" w14:textId="77777777" w:rsidR="00B54A73" w:rsidRPr="007421DE" w:rsidRDefault="00B54A73"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24%</w:t>
            </w:r>
          </w:p>
        </w:tc>
        <w:tc>
          <w:tcPr>
            <w:tcW w:w="1476" w:type="dxa"/>
            <w:tcBorders>
              <w:top w:val="nil"/>
              <w:left w:val="nil"/>
              <w:bottom w:val="single" w:sz="4" w:space="0" w:color="BFBFBF"/>
              <w:right w:val="single" w:sz="4" w:space="0" w:color="auto"/>
            </w:tcBorders>
            <w:shd w:val="clear" w:color="000000" w:fill="F2F2F2"/>
            <w:noWrap/>
            <w:vAlign w:val="center"/>
            <w:hideMark/>
          </w:tcPr>
          <w:p w14:paraId="29361137" w14:textId="77777777" w:rsidR="00B54A73" w:rsidRPr="007421DE" w:rsidRDefault="00B54A73"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25%</w:t>
            </w:r>
          </w:p>
        </w:tc>
      </w:tr>
      <w:tr w:rsidR="00B54A73" w:rsidRPr="00887119" w14:paraId="21FDDB0D" w14:textId="77777777" w:rsidTr="00B54A73">
        <w:trPr>
          <w:trHeight w:val="402"/>
        </w:trPr>
        <w:tc>
          <w:tcPr>
            <w:tcW w:w="1975" w:type="dxa"/>
            <w:tcBorders>
              <w:top w:val="nil"/>
              <w:left w:val="single" w:sz="4" w:space="0" w:color="auto"/>
              <w:bottom w:val="single" w:sz="4" w:space="0" w:color="auto"/>
              <w:right w:val="single" w:sz="4" w:space="0" w:color="auto"/>
            </w:tcBorders>
            <w:noWrap/>
            <w:vAlign w:val="center"/>
            <w:hideMark/>
          </w:tcPr>
          <w:p w14:paraId="02F33B02" w14:textId="77777777" w:rsidR="00B54A73" w:rsidRPr="00887119" w:rsidRDefault="00B54A73" w:rsidP="00B54A73">
            <w:pPr>
              <w:spacing w:line="240" w:lineRule="auto"/>
              <w:jc w:val="left"/>
              <w:rPr>
                <w:rFonts w:eastAsia="Times New Roman" w:cs="Arial"/>
                <w:color w:val="000000"/>
                <w:kern w:val="0"/>
                <w:sz w:val="18"/>
                <w:szCs w:val="18"/>
                <w:lang w:eastAsia="en-CA"/>
                <w14:ligatures w14:val="none"/>
              </w:rPr>
            </w:pPr>
            <w:r w:rsidRPr="00887119">
              <w:rPr>
                <w:rFonts w:eastAsia="Times New Roman" w:cs="Arial"/>
                <w:color w:val="000000"/>
                <w:kern w:val="0"/>
                <w:sz w:val="18"/>
                <w:szCs w:val="18"/>
                <w:lang w:eastAsia="en-CA"/>
                <w14:ligatures w14:val="none"/>
              </w:rPr>
              <w:t>Deeply affordable</w:t>
            </w:r>
          </w:p>
        </w:tc>
        <w:tc>
          <w:tcPr>
            <w:tcW w:w="1476" w:type="dxa"/>
            <w:tcBorders>
              <w:top w:val="nil"/>
              <w:left w:val="nil"/>
              <w:bottom w:val="single" w:sz="4" w:space="0" w:color="auto"/>
              <w:right w:val="single" w:sz="4" w:space="0" w:color="auto"/>
            </w:tcBorders>
            <w:noWrap/>
            <w:vAlign w:val="center"/>
            <w:hideMark/>
          </w:tcPr>
          <w:p w14:paraId="482B635D" w14:textId="3454B16E" w:rsidR="00B54A73" w:rsidRPr="007421DE" w:rsidRDefault="00E26EE2"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7</w:t>
            </w:r>
            <w:r w:rsidR="00B54A73" w:rsidRPr="007421DE">
              <w:rPr>
                <w:rFonts w:eastAsia="Times New Roman" w:cs="Arial"/>
                <w:color w:val="C00000"/>
                <w:kern w:val="0"/>
                <w:sz w:val="18"/>
                <w:szCs w:val="18"/>
                <w:lang w:eastAsia="en-CA"/>
                <w14:ligatures w14:val="none"/>
              </w:rPr>
              <w:t>%</w:t>
            </w:r>
          </w:p>
        </w:tc>
        <w:tc>
          <w:tcPr>
            <w:tcW w:w="1476" w:type="dxa"/>
            <w:tcBorders>
              <w:top w:val="nil"/>
              <w:left w:val="nil"/>
              <w:bottom w:val="single" w:sz="4" w:space="0" w:color="auto"/>
              <w:right w:val="single" w:sz="4" w:space="0" w:color="BFBFBF"/>
            </w:tcBorders>
            <w:noWrap/>
            <w:vAlign w:val="center"/>
            <w:hideMark/>
          </w:tcPr>
          <w:p w14:paraId="438FC400" w14:textId="601A9066" w:rsidR="00B54A73" w:rsidRPr="007421DE" w:rsidRDefault="00744AD6"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9</w:t>
            </w:r>
            <w:r w:rsidR="00B54A73" w:rsidRPr="007421DE">
              <w:rPr>
                <w:rFonts w:eastAsia="Times New Roman" w:cs="Arial"/>
                <w:color w:val="C00000"/>
                <w:kern w:val="0"/>
                <w:sz w:val="18"/>
                <w:szCs w:val="18"/>
                <w:lang w:eastAsia="en-CA"/>
                <w14:ligatures w14:val="none"/>
              </w:rPr>
              <w:t>%</w:t>
            </w:r>
          </w:p>
        </w:tc>
        <w:tc>
          <w:tcPr>
            <w:tcW w:w="1476" w:type="dxa"/>
            <w:tcBorders>
              <w:top w:val="nil"/>
              <w:left w:val="nil"/>
              <w:bottom w:val="single" w:sz="4" w:space="0" w:color="auto"/>
              <w:right w:val="single" w:sz="4" w:space="0" w:color="BFBFBF"/>
            </w:tcBorders>
            <w:noWrap/>
            <w:vAlign w:val="center"/>
            <w:hideMark/>
          </w:tcPr>
          <w:p w14:paraId="7D5EFCFA" w14:textId="25084876" w:rsidR="00B54A73" w:rsidRPr="007421DE" w:rsidRDefault="005007C2"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6</w:t>
            </w:r>
            <w:r w:rsidR="00B54A73" w:rsidRPr="007421DE">
              <w:rPr>
                <w:rFonts w:eastAsia="Times New Roman" w:cs="Arial"/>
                <w:color w:val="C00000"/>
                <w:kern w:val="0"/>
                <w:sz w:val="18"/>
                <w:szCs w:val="18"/>
                <w:lang w:eastAsia="en-CA"/>
                <w14:ligatures w14:val="none"/>
              </w:rPr>
              <w:t>%</w:t>
            </w:r>
          </w:p>
        </w:tc>
        <w:tc>
          <w:tcPr>
            <w:tcW w:w="1476" w:type="dxa"/>
            <w:tcBorders>
              <w:top w:val="nil"/>
              <w:left w:val="nil"/>
              <w:bottom w:val="single" w:sz="4" w:space="0" w:color="auto"/>
              <w:right w:val="single" w:sz="4" w:space="0" w:color="BFBFBF"/>
            </w:tcBorders>
            <w:noWrap/>
            <w:vAlign w:val="center"/>
            <w:hideMark/>
          </w:tcPr>
          <w:p w14:paraId="401BFFE0" w14:textId="02B2B08F" w:rsidR="00B54A73" w:rsidRPr="007421DE" w:rsidRDefault="005007C2"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5</w:t>
            </w:r>
            <w:r w:rsidR="00B54A73" w:rsidRPr="007421DE">
              <w:rPr>
                <w:rFonts w:eastAsia="Times New Roman" w:cs="Arial"/>
                <w:color w:val="C00000"/>
                <w:kern w:val="0"/>
                <w:sz w:val="18"/>
                <w:szCs w:val="18"/>
                <w:lang w:eastAsia="en-CA"/>
                <w14:ligatures w14:val="none"/>
              </w:rPr>
              <w:t>%</w:t>
            </w:r>
          </w:p>
        </w:tc>
        <w:tc>
          <w:tcPr>
            <w:tcW w:w="1476" w:type="dxa"/>
            <w:tcBorders>
              <w:top w:val="nil"/>
              <w:left w:val="nil"/>
              <w:bottom w:val="single" w:sz="4" w:space="0" w:color="auto"/>
              <w:right w:val="single" w:sz="4" w:space="0" w:color="auto"/>
            </w:tcBorders>
            <w:noWrap/>
            <w:vAlign w:val="center"/>
            <w:hideMark/>
          </w:tcPr>
          <w:p w14:paraId="0D34145D" w14:textId="1E5B5ACC" w:rsidR="00B54A73" w:rsidRPr="007421DE" w:rsidRDefault="00CF297A" w:rsidP="00B54A73">
            <w:pPr>
              <w:spacing w:line="240" w:lineRule="auto"/>
              <w:jc w:val="right"/>
              <w:rPr>
                <w:rFonts w:eastAsia="Times New Roman" w:cs="Arial"/>
                <w:color w:val="C00000"/>
                <w:kern w:val="0"/>
                <w:sz w:val="18"/>
                <w:szCs w:val="18"/>
                <w:lang w:eastAsia="en-CA"/>
                <w14:ligatures w14:val="none"/>
              </w:rPr>
            </w:pPr>
            <w:r w:rsidRPr="007421DE">
              <w:rPr>
                <w:rFonts w:eastAsia="Times New Roman" w:cs="Arial"/>
                <w:color w:val="C00000"/>
                <w:kern w:val="0"/>
                <w:sz w:val="18"/>
                <w:szCs w:val="18"/>
                <w:lang w:eastAsia="en-CA"/>
                <w14:ligatures w14:val="none"/>
              </w:rPr>
              <w:t>7%</w:t>
            </w:r>
          </w:p>
        </w:tc>
      </w:tr>
    </w:tbl>
    <w:p w14:paraId="4C592C5C" w14:textId="77777777" w:rsidR="00952F0E" w:rsidRPr="00887119" w:rsidRDefault="00952F0E" w:rsidP="00952F0E">
      <w:pPr>
        <w:pStyle w:val="Source"/>
      </w:pPr>
      <w:r w:rsidRPr="00887119">
        <w:t>Source: see methodology in Housing Needs Assessment Guidebook</w:t>
      </w:r>
    </w:p>
    <w:p w14:paraId="1407AC4D" w14:textId="77777777" w:rsidR="00952F0E" w:rsidRPr="00887119" w:rsidRDefault="00952F0E" w:rsidP="00952F0E"/>
    <w:p w14:paraId="1BBA53C9" w14:textId="5F45C07E" w:rsidR="00C66FA4" w:rsidRPr="00887119" w:rsidRDefault="00C66FA4" w:rsidP="00C66FA4">
      <w:r w:rsidRPr="00887119">
        <w:t>The case for public investment in below-market and deeply affordable supply is strengthened when the proportion of projected demand at lower price levels is compared against the current affordable share of the existing rental market. Where the projected demand for deeply affordable units substantially exceeds the existing supply of units accessible at that price point</w:t>
      </w:r>
      <w:r w:rsidR="00AC694E" w:rsidRPr="00887119">
        <w:t>,</w:t>
      </w:r>
      <w:r w:rsidRPr="00887119">
        <w:t xml:space="preserve"> the assessment provides direct evidence for the scale of investment required to prevent further deterioration of affordability conditions over the projection horizon.</w:t>
      </w:r>
    </w:p>
    <w:p w14:paraId="562CFFF0" w14:textId="77777777" w:rsidR="00C66FA4" w:rsidRPr="00887119" w:rsidRDefault="00C66FA4" w:rsidP="00C66FA4"/>
    <w:p w14:paraId="17638F31" w14:textId="08749650" w:rsidR="00C66FA4" w:rsidRPr="00887119" w:rsidRDefault="00C66FA4" w:rsidP="00C66FA4">
      <w:r w:rsidRPr="00887119">
        <w:t>The concentration of market-rate demand in urban and small urban areas carries its own risk. Where the majority of new supply is delivered at market price points, growth in higher-income demand can displace existing affordable units through rent increases, redevelopment pressure, or market filtering in the wrong direction. Ensuring that market-rate growth in urban areas is accompanied by a proportionate commitment to below-market and deeply affordable supply is essential to preventing the housing conditions of existing lower-income residents from worsening even as overall supply expands.</w:t>
      </w:r>
    </w:p>
    <w:p w14:paraId="1BE1A0AB" w14:textId="77777777" w:rsidR="00952F0E" w:rsidRPr="00887119" w:rsidRDefault="00952F0E" w:rsidP="00952F0E"/>
    <w:p w14:paraId="39DD7399" w14:textId="77777777" w:rsidR="00952F0E" w:rsidRPr="00887119" w:rsidRDefault="00952F0E" w:rsidP="00952F0E">
      <w:pPr>
        <w:pStyle w:val="Heading3"/>
      </w:pPr>
      <w:r w:rsidRPr="00887119">
        <w:t>Demand by Household Size and Income Category</w:t>
      </w:r>
    </w:p>
    <w:p w14:paraId="7FA88640" w14:textId="59977B5B" w:rsidR="00952F0E" w:rsidRPr="00887119" w:rsidRDefault="00952F0E" w:rsidP="00952F0E">
      <w:r w:rsidRPr="00887119">
        <w:rPr>
          <w:rStyle w:val="Figure-textChar"/>
        </w:rPr>
        <w:fldChar w:fldCharType="begin"/>
      </w:r>
      <w:r w:rsidRPr="00887119">
        <w:rPr>
          <w:rStyle w:val="Figure-textChar"/>
        </w:rPr>
        <w:instrText xml:space="preserve"> REF _Ref223426490 \h  \* MERGEFORMAT </w:instrText>
      </w:r>
      <w:r w:rsidRPr="00887119">
        <w:rPr>
          <w:rStyle w:val="Figure-textChar"/>
        </w:rPr>
      </w:r>
      <w:r w:rsidRPr="00887119">
        <w:rPr>
          <w:rStyle w:val="Figure-textChar"/>
        </w:rPr>
        <w:fldChar w:fldCharType="separate"/>
      </w:r>
      <w:r w:rsidR="008D4BDE" w:rsidRPr="008D4BDE">
        <w:rPr>
          <w:rStyle w:val="Figure-textChar"/>
        </w:rPr>
        <w:t>Table 10.6</w:t>
      </w:r>
      <w:r w:rsidRPr="00887119">
        <w:rPr>
          <w:rStyle w:val="Figure-textChar"/>
        </w:rPr>
        <w:fldChar w:fldCharType="end"/>
      </w:r>
      <w:r w:rsidRPr="00887119">
        <w:t xml:space="preserve"> </w:t>
      </w:r>
      <w:r w:rsidR="008303FA" w:rsidRPr="00887119">
        <w:t>cross-tabulates projected household demand by income category and household size, providing a disaggregated view of what price points of housing may need to be built to serve the province’s projected population over the assessment horizon.</w:t>
      </w:r>
    </w:p>
    <w:p w14:paraId="7F334500" w14:textId="77777777" w:rsidR="00952F0E" w:rsidRPr="00887119" w:rsidRDefault="00952F0E" w:rsidP="00952F0E"/>
    <w:p w14:paraId="6CEB05A9" w14:textId="6C1CAE51" w:rsidR="00952F0E" w:rsidRPr="00887119" w:rsidRDefault="00952F0E" w:rsidP="00952F0E">
      <w:pPr>
        <w:pStyle w:val="Caption"/>
      </w:pPr>
      <w:bookmarkStart w:id="166" w:name="_Ref223426490"/>
      <w:r w:rsidRPr="00887119">
        <w:t xml:space="preserve">Table </w:t>
      </w:r>
      <w:fldSimple w:instr=" STYLEREF 1 \s ">
        <w:r w:rsidR="008D4BDE">
          <w:rPr>
            <w:noProof/>
          </w:rPr>
          <w:t>10</w:t>
        </w:r>
      </w:fldSimple>
      <w:r w:rsidR="00EE1FE9">
        <w:t>.</w:t>
      </w:r>
      <w:fldSimple w:instr=" SEQ Table \* ARABIC \s 1 ">
        <w:r w:rsidR="008D4BDE">
          <w:rPr>
            <w:noProof/>
          </w:rPr>
          <w:t>6</w:t>
        </w:r>
      </w:fldSimple>
      <w:bookmarkEnd w:id="166"/>
      <w:r w:rsidRPr="00887119">
        <w:t xml:space="preserve">: Anticipated dwelling demand by household size and income category, </w:t>
      </w:r>
      <w:r w:rsidR="008A409E">
        <w:t>over next 10 years</w:t>
      </w:r>
    </w:p>
    <w:tbl>
      <w:tblPr>
        <w:tblW w:w="9355" w:type="dxa"/>
        <w:tblLayout w:type="fixed"/>
        <w:tblLook w:val="04A0" w:firstRow="1" w:lastRow="0" w:firstColumn="1" w:lastColumn="0" w:noHBand="0" w:noVBand="1"/>
      </w:tblPr>
      <w:tblGrid>
        <w:gridCol w:w="1705"/>
        <w:gridCol w:w="1275"/>
        <w:gridCol w:w="1275"/>
        <w:gridCol w:w="1275"/>
        <w:gridCol w:w="1275"/>
        <w:gridCol w:w="1275"/>
        <w:gridCol w:w="1275"/>
      </w:tblGrid>
      <w:tr w:rsidR="00952F0E" w:rsidRPr="00887119" w14:paraId="29BAA657" w14:textId="77777777" w:rsidTr="00A34BF6">
        <w:trPr>
          <w:trHeight w:val="402"/>
          <w:tblHeader/>
        </w:trPr>
        <w:tc>
          <w:tcPr>
            <w:tcW w:w="1705" w:type="dxa"/>
            <w:tcBorders>
              <w:top w:val="single" w:sz="4" w:space="0" w:color="auto"/>
              <w:left w:val="single" w:sz="4" w:space="0" w:color="auto"/>
              <w:bottom w:val="nil"/>
              <w:right w:val="single" w:sz="4" w:space="0" w:color="BFBFBF"/>
            </w:tcBorders>
            <w:shd w:val="clear" w:color="auto" w:fill="42618C" w:themeFill="accent3"/>
            <w:noWrap/>
            <w:vAlign w:val="center"/>
            <w:hideMark/>
          </w:tcPr>
          <w:p w14:paraId="0F451D8F" w14:textId="77777777" w:rsidR="00952F0E" w:rsidRPr="00887119" w:rsidRDefault="00952F0E" w:rsidP="00CC6BC1">
            <w:pPr>
              <w:rPr>
                <w:rFonts w:eastAsia="Times New Roman"/>
                <w:color w:val="FFFFFF"/>
                <w:sz w:val="18"/>
                <w:szCs w:val="18"/>
              </w:rPr>
            </w:pPr>
            <w:r w:rsidRPr="00887119">
              <w:rPr>
                <w:rFonts w:eastAsia="Times New Roman"/>
                <w:color w:val="FFFFFF"/>
                <w:sz w:val="18"/>
                <w:szCs w:val="18"/>
              </w:rPr>
              <w:t>Income category</w:t>
            </w:r>
          </w:p>
        </w:tc>
        <w:tc>
          <w:tcPr>
            <w:tcW w:w="1275" w:type="dxa"/>
            <w:tcBorders>
              <w:top w:val="single" w:sz="4" w:space="0" w:color="auto"/>
              <w:left w:val="single" w:sz="4" w:space="0" w:color="auto"/>
              <w:bottom w:val="nil"/>
              <w:right w:val="single" w:sz="4" w:space="0" w:color="auto"/>
            </w:tcBorders>
            <w:shd w:val="clear" w:color="auto" w:fill="42618C" w:themeFill="accent3"/>
            <w:noWrap/>
            <w:vAlign w:val="center"/>
            <w:hideMark/>
          </w:tcPr>
          <w:p w14:paraId="698B9F7C"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Total</w:t>
            </w:r>
          </w:p>
        </w:tc>
        <w:tc>
          <w:tcPr>
            <w:tcW w:w="1275" w:type="dxa"/>
            <w:tcBorders>
              <w:top w:val="nil"/>
              <w:left w:val="nil"/>
              <w:bottom w:val="nil"/>
              <w:right w:val="single" w:sz="4" w:space="0" w:color="BFBFBF"/>
            </w:tcBorders>
            <w:shd w:val="clear" w:color="auto" w:fill="42618C" w:themeFill="accent3"/>
            <w:noWrap/>
            <w:vAlign w:val="center"/>
            <w:hideMark/>
          </w:tcPr>
          <w:p w14:paraId="2C723C27"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1 person HH</w:t>
            </w:r>
          </w:p>
        </w:tc>
        <w:tc>
          <w:tcPr>
            <w:tcW w:w="1275" w:type="dxa"/>
            <w:tcBorders>
              <w:top w:val="nil"/>
              <w:left w:val="nil"/>
              <w:bottom w:val="nil"/>
              <w:right w:val="single" w:sz="4" w:space="0" w:color="BFBFBF"/>
            </w:tcBorders>
            <w:shd w:val="clear" w:color="auto" w:fill="42618C" w:themeFill="accent3"/>
            <w:noWrap/>
            <w:vAlign w:val="center"/>
            <w:hideMark/>
          </w:tcPr>
          <w:p w14:paraId="357A716C"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2 person HH</w:t>
            </w:r>
          </w:p>
        </w:tc>
        <w:tc>
          <w:tcPr>
            <w:tcW w:w="1275" w:type="dxa"/>
            <w:tcBorders>
              <w:top w:val="nil"/>
              <w:left w:val="nil"/>
              <w:bottom w:val="nil"/>
              <w:right w:val="single" w:sz="4" w:space="0" w:color="BFBFBF"/>
            </w:tcBorders>
            <w:shd w:val="clear" w:color="auto" w:fill="42618C" w:themeFill="accent3"/>
            <w:noWrap/>
            <w:vAlign w:val="center"/>
            <w:hideMark/>
          </w:tcPr>
          <w:p w14:paraId="355DFA20"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3 person HH</w:t>
            </w:r>
          </w:p>
        </w:tc>
        <w:tc>
          <w:tcPr>
            <w:tcW w:w="1275" w:type="dxa"/>
            <w:tcBorders>
              <w:top w:val="nil"/>
              <w:left w:val="nil"/>
              <w:bottom w:val="nil"/>
              <w:right w:val="single" w:sz="4" w:space="0" w:color="BFBFBF"/>
            </w:tcBorders>
            <w:shd w:val="clear" w:color="auto" w:fill="42618C" w:themeFill="accent3"/>
            <w:noWrap/>
            <w:vAlign w:val="center"/>
            <w:hideMark/>
          </w:tcPr>
          <w:p w14:paraId="715178CF" w14:textId="77777777"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4 person HH</w:t>
            </w:r>
          </w:p>
        </w:tc>
        <w:tc>
          <w:tcPr>
            <w:tcW w:w="1275" w:type="dxa"/>
            <w:tcBorders>
              <w:top w:val="nil"/>
              <w:left w:val="nil"/>
              <w:bottom w:val="nil"/>
              <w:right w:val="nil"/>
            </w:tcBorders>
            <w:shd w:val="clear" w:color="auto" w:fill="42618C" w:themeFill="accent3"/>
            <w:noWrap/>
            <w:vAlign w:val="center"/>
            <w:hideMark/>
          </w:tcPr>
          <w:p w14:paraId="5D949F93" w14:textId="5BF14D3B" w:rsidR="00952F0E" w:rsidRPr="00887119" w:rsidRDefault="00952F0E" w:rsidP="00CC6BC1">
            <w:pPr>
              <w:jc w:val="right"/>
              <w:rPr>
                <w:rFonts w:eastAsia="Times New Roman"/>
                <w:color w:val="FFFFFF"/>
                <w:sz w:val="18"/>
                <w:szCs w:val="18"/>
              </w:rPr>
            </w:pPr>
            <w:r w:rsidRPr="00887119">
              <w:rPr>
                <w:rFonts w:eastAsia="Times New Roman"/>
                <w:color w:val="FFFFFF"/>
                <w:sz w:val="18"/>
                <w:szCs w:val="18"/>
              </w:rPr>
              <w:t>5+ person</w:t>
            </w:r>
            <w:r w:rsidR="00A34BF6">
              <w:rPr>
                <w:rFonts w:eastAsia="Times New Roman"/>
                <w:color w:val="FFFFFF"/>
                <w:sz w:val="18"/>
                <w:szCs w:val="18"/>
              </w:rPr>
              <w:t xml:space="preserve"> </w:t>
            </w:r>
            <w:r w:rsidRPr="00887119">
              <w:rPr>
                <w:rFonts w:eastAsia="Times New Roman"/>
                <w:color w:val="FFFFFF"/>
                <w:sz w:val="18"/>
                <w:szCs w:val="18"/>
              </w:rPr>
              <w:t>HH</w:t>
            </w:r>
          </w:p>
        </w:tc>
      </w:tr>
      <w:tr w:rsidR="00BC571E" w:rsidRPr="00887119" w14:paraId="23642E8E" w14:textId="77777777" w:rsidTr="00A34BF6">
        <w:trPr>
          <w:trHeight w:val="402"/>
        </w:trPr>
        <w:tc>
          <w:tcPr>
            <w:tcW w:w="1705" w:type="dxa"/>
            <w:tcBorders>
              <w:top w:val="single" w:sz="4" w:space="0" w:color="auto"/>
              <w:left w:val="single" w:sz="4" w:space="0" w:color="auto"/>
              <w:bottom w:val="single" w:sz="4" w:space="0" w:color="auto"/>
              <w:right w:val="nil"/>
            </w:tcBorders>
            <w:shd w:val="clear" w:color="000000" w:fill="F2F2F2"/>
            <w:noWrap/>
            <w:vAlign w:val="center"/>
            <w:hideMark/>
          </w:tcPr>
          <w:p w14:paraId="788C2C92" w14:textId="77777777" w:rsidR="00BC571E" w:rsidRPr="00887119" w:rsidRDefault="00BC571E" w:rsidP="00BC571E">
            <w:pPr>
              <w:rPr>
                <w:rFonts w:eastAsia="Times New Roman"/>
                <w:color w:val="000000"/>
                <w:sz w:val="18"/>
                <w:szCs w:val="18"/>
              </w:rPr>
            </w:pPr>
            <w:r w:rsidRPr="00887119">
              <w:rPr>
                <w:rFonts w:eastAsia="Times New Roman"/>
                <w:color w:val="000000"/>
                <w:sz w:val="18"/>
                <w:szCs w:val="18"/>
              </w:rPr>
              <w:t>Total</w:t>
            </w:r>
          </w:p>
        </w:tc>
        <w:tc>
          <w:tcPr>
            <w:tcW w:w="127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96DC7E" w14:textId="316F7C6B" w:rsidR="00BC571E" w:rsidRPr="007421DE" w:rsidRDefault="00BC571E" w:rsidP="00BC571E">
            <w:pPr>
              <w:jc w:val="right"/>
              <w:rPr>
                <w:rFonts w:eastAsia="Times New Roman"/>
                <w:color w:val="C00000"/>
                <w:sz w:val="18"/>
                <w:szCs w:val="18"/>
              </w:rPr>
            </w:pPr>
            <w:r w:rsidRPr="007421DE">
              <w:rPr>
                <w:rFonts w:cs="Arial"/>
                <w:color w:val="C00000"/>
                <w:sz w:val="18"/>
                <w:szCs w:val="18"/>
              </w:rPr>
              <w:t>94,490</w:t>
            </w:r>
          </w:p>
        </w:tc>
        <w:tc>
          <w:tcPr>
            <w:tcW w:w="1275" w:type="dxa"/>
            <w:tcBorders>
              <w:top w:val="single" w:sz="4" w:space="0" w:color="auto"/>
              <w:left w:val="nil"/>
              <w:bottom w:val="single" w:sz="4" w:space="0" w:color="auto"/>
              <w:right w:val="single" w:sz="4" w:space="0" w:color="BFBFBF"/>
            </w:tcBorders>
            <w:shd w:val="clear" w:color="000000" w:fill="F2F2F2"/>
            <w:noWrap/>
            <w:vAlign w:val="center"/>
            <w:hideMark/>
          </w:tcPr>
          <w:p w14:paraId="1A95A691" w14:textId="61776B97" w:rsidR="00BC571E" w:rsidRPr="007421DE" w:rsidRDefault="00BC571E" w:rsidP="00BC571E">
            <w:pPr>
              <w:jc w:val="right"/>
              <w:rPr>
                <w:rFonts w:eastAsia="Times New Roman"/>
                <w:color w:val="C00000"/>
                <w:sz w:val="18"/>
                <w:szCs w:val="18"/>
              </w:rPr>
            </w:pPr>
            <w:r w:rsidRPr="007421DE">
              <w:rPr>
                <w:rFonts w:cs="Arial"/>
                <w:color w:val="C00000"/>
                <w:sz w:val="18"/>
                <w:szCs w:val="18"/>
              </w:rPr>
              <w:t>23,200</w:t>
            </w:r>
          </w:p>
        </w:tc>
        <w:tc>
          <w:tcPr>
            <w:tcW w:w="1275" w:type="dxa"/>
            <w:tcBorders>
              <w:top w:val="single" w:sz="4" w:space="0" w:color="auto"/>
              <w:left w:val="nil"/>
              <w:bottom w:val="single" w:sz="4" w:space="0" w:color="auto"/>
              <w:right w:val="single" w:sz="4" w:space="0" w:color="BFBFBF"/>
            </w:tcBorders>
            <w:shd w:val="clear" w:color="000000" w:fill="F2F2F2"/>
            <w:noWrap/>
            <w:vAlign w:val="center"/>
            <w:hideMark/>
          </w:tcPr>
          <w:p w14:paraId="7A23C584" w14:textId="41D7689A" w:rsidR="00BC571E" w:rsidRPr="007421DE" w:rsidRDefault="00BC571E" w:rsidP="00BC571E">
            <w:pPr>
              <w:jc w:val="right"/>
              <w:rPr>
                <w:rFonts w:eastAsia="Times New Roman"/>
                <w:color w:val="C00000"/>
                <w:sz w:val="18"/>
                <w:szCs w:val="18"/>
              </w:rPr>
            </w:pPr>
            <w:r w:rsidRPr="007421DE">
              <w:rPr>
                <w:rFonts w:cs="Arial"/>
                <w:color w:val="C00000"/>
                <w:sz w:val="18"/>
                <w:szCs w:val="18"/>
              </w:rPr>
              <w:t>41,175</w:t>
            </w:r>
          </w:p>
        </w:tc>
        <w:tc>
          <w:tcPr>
            <w:tcW w:w="1275" w:type="dxa"/>
            <w:tcBorders>
              <w:top w:val="single" w:sz="4" w:space="0" w:color="auto"/>
              <w:left w:val="nil"/>
              <w:bottom w:val="single" w:sz="4" w:space="0" w:color="auto"/>
              <w:right w:val="single" w:sz="4" w:space="0" w:color="BFBFBF"/>
            </w:tcBorders>
            <w:shd w:val="clear" w:color="000000" w:fill="F2F2F2"/>
            <w:noWrap/>
            <w:vAlign w:val="center"/>
            <w:hideMark/>
          </w:tcPr>
          <w:p w14:paraId="495D45AD" w14:textId="1EB90CE9" w:rsidR="00BC571E" w:rsidRPr="007421DE" w:rsidRDefault="00BC571E" w:rsidP="00BC571E">
            <w:pPr>
              <w:jc w:val="right"/>
              <w:rPr>
                <w:rFonts w:eastAsia="Times New Roman"/>
                <w:color w:val="C00000"/>
                <w:sz w:val="18"/>
                <w:szCs w:val="18"/>
              </w:rPr>
            </w:pPr>
            <w:r w:rsidRPr="007421DE">
              <w:rPr>
                <w:rFonts w:cs="Arial"/>
                <w:color w:val="C00000"/>
                <w:sz w:val="18"/>
                <w:szCs w:val="18"/>
              </w:rPr>
              <w:t>14,015</w:t>
            </w:r>
          </w:p>
        </w:tc>
        <w:tc>
          <w:tcPr>
            <w:tcW w:w="1275" w:type="dxa"/>
            <w:tcBorders>
              <w:top w:val="single" w:sz="4" w:space="0" w:color="auto"/>
              <w:left w:val="nil"/>
              <w:bottom w:val="single" w:sz="4" w:space="0" w:color="auto"/>
              <w:right w:val="single" w:sz="4" w:space="0" w:color="BFBFBF"/>
            </w:tcBorders>
            <w:shd w:val="clear" w:color="000000" w:fill="F2F2F2"/>
            <w:noWrap/>
            <w:vAlign w:val="center"/>
            <w:hideMark/>
          </w:tcPr>
          <w:p w14:paraId="1A46C6E8" w14:textId="3E0F47E6" w:rsidR="00BC571E" w:rsidRPr="007421DE" w:rsidRDefault="00BC571E" w:rsidP="00BC571E">
            <w:pPr>
              <w:jc w:val="right"/>
              <w:rPr>
                <w:rFonts w:eastAsia="Times New Roman"/>
                <w:color w:val="C00000"/>
                <w:sz w:val="18"/>
                <w:szCs w:val="18"/>
              </w:rPr>
            </w:pPr>
            <w:r w:rsidRPr="007421DE">
              <w:rPr>
                <w:rFonts w:cs="Arial"/>
                <w:color w:val="C00000"/>
                <w:sz w:val="18"/>
                <w:szCs w:val="18"/>
              </w:rPr>
              <w:t>10,810</w:t>
            </w:r>
          </w:p>
        </w:tc>
        <w:tc>
          <w:tcPr>
            <w:tcW w:w="1275" w:type="dxa"/>
            <w:tcBorders>
              <w:top w:val="single" w:sz="4" w:space="0" w:color="auto"/>
              <w:left w:val="nil"/>
              <w:bottom w:val="single" w:sz="4" w:space="0" w:color="auto"/>
              <w:right w:val="single" w:sz="4" w:space="0" w:color="auto"/>
            </w:tcBorders>
            <w:shd w:val="clear" w:color="000000" w:fill="F2F2F2"/>
            <w:noWrap/>
            <w:vAlign w:val="center"/>
            <w:hideMark/>
          </w:tcPr>
          <w:p w14:paraId="28496995" w14:textId="7C79D7D3" w:rsidR="00BC571E" w:rsidRPr="007421DE" w:rsidRDefault="00BC571E" w:rsidP="00BC571E">
            <w:pPr>
              <w:jc w:val="right"/>
              <w:rPr>
                <w:rFonts w:eastAsia="Times New Roman"/>
                <w:color w:val="C00000"/>
                <w:sz w:val="18"/>
                <w:szCs w:val="18"/>
              </w:rPr>
            </w:pPr>
            <w:r w:rsidRPr="007421DE">
              <w:rPr>
                <w:rFonts w:cs="Arial"/>
                <w:color w:val="C00000"/>
                <w:sz w:val="18"/>
                <w:szCs w:val="18"/>
              </w:rPr>
              <w:t>5,285</w:t>
            </w:r>
          </w:p>
        </w:tc>
      </w:tr>
      <w:tr w:rsidR="00BC571E" w:rsidRPr="00887119" w14:paraId="75FFF0A5" w14:textId="77777777" w:rsidTr="00A34BF6">
        <w:trPr>
          <w:trHeight w:val="402"/>
        </w:trPr>
        <w:tc>
          <w:tcPr>
            <w:tcW w:w="1705" w:type="dxa"/>
            <w:tcBorders>
              <w:top w:val="nil"/>
              <w:left w:val="single" w:sz="4" w:space="0" w:color="auto"/>
              <w:bottom w:val="single" w:sz="4" w:space="0" w:color="BFBFBF"/>
              <w:right w:val="single" w:sz="4" w:space="0" w:color="BFBFBF"/>
            </w:tcBorders>
            <w:noWrap/>
            <w:vAlign w:val="center"/>
            <w:hideMark/>
          </w:tcPr>
          <w:p w14:paraId="555AC49E" w14:textId="77777777" w:rsidR="00BC571E" w:rsidRPr="00887119" w:rsidRDefault="00BC571E" w:rsidP="00BC571E">
            <w:pPr>
              <w:rPr>
                <w:rFonts w:eastAsia="Times New Roman"/>
                <w:color w:val="000000"/>
                <w:sz w:val="18"/>
                <w:szCs w:val="18"/>
              </w:rPr>
            </w:pPr>
            <w:r w:rsidRPr="00887119">
              <w:rPr>
                <w:rFonts w:eastAsia="Times New Roman"/>
                <w:color w:val="000000"/>
                <w:sz w:val="18"/>
                <w:szCs w:val="18"/>
              </w:rPr>
              <w:t>Very low</w:t>
            </w:r>
          </w:p>
        </w:tc>
        <w:tc>
          <w:tcPr>
            <w:tcW w:w="1275" w:type="dxa"/>
            <w:tcBorders>
              <w:top w:val="nil"/>
              <w:left w:val="single" w:sz="4" w:space="0" w:color="auto"/>
              <w:bottom w:val="single" w:sz="4" w:space="0" w:color="BFBFBF"/>
              <w:right w:val="single" w:sz="4" w:space="0" w:color="auto"/>
            </w:tcBorders>
            <w:noWrap/>
            <w:vAlign w:val="center"/>
            <w:hideMark/>
          </w:tcPr>
          <w:p w14:paraId="1635C2BC" w14:textId="31A65F08" w:rsidR="00BC571E" w:rsidRPr="007421DE" w:rsidRDefault="00BC571E" w:rsidP="00BC571E">
            <w:pPr>
              <w:jc w:val="right"/>
              <w:rPr>
                <w:rFonts w:eastAsia="Times New Roman"/>
                <w:color w:val="C00000"/>
                <w:sz w:val="18"/>
                <w:szCs w:val="18"/>
              </w:rPr>
            </w:pPr>
            <w:r w:rsidRPr="007421DE">
              <w:rPr>
                <w:rFonts w:cs="Arial"/>
                <w:color w:val="C00000"/>
                <w:sz w:val="18"/>
                <w:szCs w:val="18"/>
              </w:rPr>
              <w:t>2%</w:t>
            </w:r>
          </w:p>
        </w:tc>
        <w:tc>
          <w:tcPr>
            <w:tcW w:w="1275" w:type="dxa"/>
            <w:tcBorders>
              <w:top w:val="nil"/>
              <w:left w:val="nil"/>
              <w:bottom w:val="single" w:sz="4" w:space="0" w:color="BFBFBF"/>
              <w:right w:val="single" w:sz="4" w:space="0" w:color="BFBFBF"/>
            </w:tcBorders>
            <w:noWrap/>
            <w:vAlign w:val="center"/>
            <w:hideMark/>
          </w:tcPr>
          <w:p w14:paraId="277C57E7" w14:textId="3468143A" w:rsidR="00BC571E" w:rsidRPr="007421DE" w:rsidRDefault="00BC571E" w:rsidP="00BC571E">
            <w:pPr>
              <w:jc w:val="right"/>
              <w:rPr>
                <w:rFonts w:eastAsia="Times New Roman"/>
                <w:color w:val="C00000"/>
                <w:sz w:val="18"/>
                <w:szCs w:val="18"/>
              </w:rPr>
            </w:pPr>
            <w:r w:rsidRPr="007421DE">
              <w:rPr>
                <w:rFonts w:cs="Arial"/>
                <w:color w:val="C00000"/>
                <w:sz w:val="18"/>
                <w:szCs w:val="18"/>
              </w:rPr>
              <w:t>5%</w:t>
            </w:r>
          </w:p>
        </w:tc>
        <w:tc>
          <w:tcPr>
            <w:tcW w:w="1275" w:type="dxa"/>
            <w:tcBorders>
              <w:top w:val="nil"/>
              <w:left w:val="nil"/>
              <w:bottom w:val="single" w:sz="4" w:space="0" w:color="BFBFBF"/>
              <w:right w:val="single" w:sz="4" w:space="0" w:color="BFBFBF"/>
            </w:tcBorders>
            <w:noWrap/>
            <w:vAlign w:val="center"/>
            <w:hideMark/>
          </w:tcPr>
          <w:p w14:paraId="6844F5D5" w14:textId="099F18FD" w:rsidR="00BC571E" w:rsidRPr="007421DE" w:rsidRDefault="00BC571E" w:rsidP="00BC571E">
            <w:pPr>
              <w:jc w:val="right"/>
              <w:rPr>
                <w:rFonts w:eastAsia="Times New Roman"/>
                <w:color w:val="C00000"/>
                <w:sz w:val="18"/>
                <w:szCs w:val="18"/>
              </w:rPr>
            </w:pPr>
            <w:r w:rsidRPr="007421DE">
              <w:rPr>
                <w:rFonts w:cs="Arial"/>
                <w:color w:val="C00000"/>
                <w:sz w:val="18"/>
                <w:szCs w:val="18"/>
              </w:rPr>
              <w:t>1%</w:t>
            </w:r>
          </w:p>
        </w:tc>
        <w:tc>
          <w:tcPr>
            <w:tcW w:w="1275" w:type="dxa"/>
            <w:tcBorders>
              <w:top w:val="nil"/>
              <w:left w:val="nil"/>
              <w:bottom w:val="single" w:sz="4" w:space="0" w:color="BFBFBF"/>
              <w:right w:val="single" w:sz="4" w:space="0" w:color="BFBFBF"/>
            </w:tcBorders>
            <w:noWrap/>
            <w:vAlign w:val="center"/>
            <w:hideMark/>
          </w:tcPr>
          <w:p w14:paraId="3897E012" w14:textId="6B0CA185" w:rsidR="00BC571E" w:rsidRPr="007421DE" w:rsidRDefault="00BC571E" w:rsidP="00BC571E">
            <w:pPr>
              <w:jc w:val="right"/>
              <w:rPr>
                <w:rFonts w:eastAsia="Times New Roman"/>
                <w:color w:val="C00000"/>
                <w:sz w:val="18"/>
                <w:szCs w:val="18"/>
              </w:rPr>
            </w:pPr>
            <w:r w:rsidRPr="007421DE">
              <w:rPr>
                <w:rFonts w:cs="Arial"/>
                <w:color w:val="C00000"/>
                <w:sz w:val="18"/>
                <w:szCs w:val="18"/>
              </w:rPr>
              <w:t>1%</w:t>
            </w:r>
          </w:p>
        </w:tc>
        <w:tc>
          <w:tcPr>
            <w:tcW w:w="1275" w:type="dxa"/>
            <w:tcBorders>
              <w:top w:val="nil"/>
              <w:left w:val="nil"/>
              <w:bottom w:val="single" w:sz="4" w:space="0" w:color="BFBFBF"/>
              <w:right w:val="single" w:sz="4" w:space="0" w:color="BFBFBF"/>
            </w:tcBorders>
            <w:noWrap/>
            <w:vAlign w:val="center"/>
            <w:hideMark/>
          </w:tcPr>
          <w:p w14:paraId="357BD766" w14:textId="58A879AF" w:rsidR="00BC571E" w:rsidRPr="007421DE" w:rsidRDefault="00BC571E" w:rsidP="00BC571E">
            <w:pPr>
              <w:jc w:val="right"/>
              <w:rPr>
                <w:rFonts w:eastAsia="Times New Roman"/>
                <w:color w:val="C00000"/>
                <w:sz w:val="18"/>
                <w:szCs w:val="18"/>
              </w:rPr>
            </w:pPr>
            <w:r w:rsidRPr="007421DE">
              <w:rPr>
                <w:rFonts w:cs="Arial"/>
                <w:color w:val="C00000"/>
                <w:sz w:val="18"/>
                <w:szCs w:val="18"/>
              </w:rPr>
              <w:t>0%</w:t>
            </w:r>
          </w:p>
        </w:tc>
        <w:tc>
          <w:tcPr>
            <w:tcW w:w="1275" w:type="dxa"/>
            <w:tcBorders>
              <w:top w:val="nil"/>
              <w:left w:val="nil"/>
              <w:bottom w:val="single" w:sz="4" w:space="0" w:color="BFBFBF"/>
              <w:right w:val="single" w:sz="4" w:space="0" w:color="auto"/>
            </w:tcBorders>
            <w:noWrap/>
            <w:vAlign w:val="center"/>
            <w:hideMark/>
          </w:tcPr>
          <w:p w14:paraId="6B033B1E" w14:textId="0D181584" w:rsidR="00BC571E" w:rsidRPr="007421DE" w:rsidRDefault="00BC571E" w:rsidP="00BC571E">
            <w:pPr>
              <w:jc w:val="right"/>
              <w:rPr>
                <w:rFonts w:eastAsia="Times New Roman"/>
                <w:color w:val="C00000"/>
                <w:sz w:val="18"/>
                <w:szCs w:val="18"/>
              </w:rPr>
            </w:pPr>
            <w:r w:rsidRPr="007421DE">
              <w:rPr>
                <w:rFonts w:cs="Arial"/>
                <w:color w:val="C00000"/>
                <w:sz w:val="18"/>
                <w:szCs w:val="18"/>
              </w:rPr>
              <w:t>0%</w:t>
            </w:r>
          </w:p>
        </w:tc>
      </w:tr>
      <w:tr w:rsidR="00BC571E" w:rsidRPr="00887119" w14:paraId="5043202F" w14:textId="77777777" w:rsidTr="00A34BF6">
        <w:trPr>
          <w:trHeight w:val="402"/>
        </w:trPr>
        <w:tc>
          <w:tcPr>
            <w:tcW w:w="1705" w:type="dxa"/>
            <w:tcBorders>
              <w:top w:val="nil"/>
              <w:left w:val="single" w:sz="4" w:space="0" w:color="auto"/>
              <w:bottom w:val="single" w:sz="4" w:space="0" w:color="BFBFBF"/>
              <w:right w:val="single" w:sz="4" w:space="0" w:color="BFBFBF"/>
            </w:tcBorders>
            <w:shd w:val="clear" w:color="000000" w:fill="F2F2F2"/>
            <w:noWrap/>
            <w:vAlign w:val="center"/>
            <w:hideMark/>
          </w:tcPr>
          <w:p w14:paraId="76BFE8CB" w14:textId="77777777" w:rsidR="00BC571E" w:rsidRPr="00887119" w:rsidRDefault="00BC571E" w:rsidP="00BC571E">
            <w:pPr>
              <w:rPr>
                <w:rFonts w:eastAsia="Times New Roman"/>
                <w:color w:val="000000"/>
                <w:sz w:val="18"/>
                <w:szCs w:val="18"/>
              </w:rPr>
            </w:pPr>
            <w:r w:rsidRPr="00887119">
              <w:rPr>
                <w:rFonts w:eastAsia="Times New Roman"/>
                <w:color w:val="000000"/>
                <w:sz w:val="18"/>
                <w:szCs w:val="18"/>
              </w:rPr>
              <w:t>Low</w:t>
            </w:r>
          </w:p>
        </w:tc>
        <w:tc>
          <w:tcPr>
            <w:tcW w:w="1275" w:type="dxa"/>
            <w:tcBorders>
              <w:top w:val="nil"/>
              <w:left w:val="single" w:sz="4" w:space="0" w:color="auto"/>
              <w:bottom w:val="single" w:sz="4" w:space="0" w:color="BFBFBF"/>
              <w:right w:val="single" w:sz="4" w:space="0" w:color="auto"/>
            </w:tcBorders>
            <w:shd w:val="clear" w:color="000000" w:fill="F2F2F2"/>
            <w:noWrap/>
            <w:vAlign w:val="center"/>
            <w:hideMark/>
          </w:tcPr>
          <w:p w14:paraId="3B52A184" w14:textId="01D4E24D" w:rsidR="00BC571E" w:rsidRPr="007421DE" w:rsidRDefault="00BC571E" w:rsidP="00BC571E">
            <w:pPr>
              <w:jc w:val="right"/>
              <w:rPr>
                <w:rFonts w:eastAsia="Times New Roman"/>
                <w:color w:val="C00000"/>
                <w:sz w:val="18"/>
                <w:szCs w:val="18"/>
              </w:rPr>
            </w:pPr>
            <w:r w:rsidRPr="007421DE">
              <w:rPr>
                <w:rFonts w:cs="Arial"/>
                <w:color w:val="C00000"/>
                <w:sz w:val="18"/>
                <w:szCs w:val="18"/>
              </w:rPr>
              <w:t>15%</w:t>
            </w:r>
          </w:p>
        </w:tc>
        <w:tc>
          <w:tcPr>
            <w:tcW w:w="1275" w:type="dxa"/>
            <w:tcBorders>
              <w:top w:val="nil"/>
              <w:left w:val="nil"/>
              <w:bottom w:val="single" w:sz="4" w:space="0" w:color="BFBFBF"/>
              <w:right w:val="single" w:sz="4" w:space="0" w:color="BFBFBF"/>
            </w:tcBorders>
            <w:shd w:val="clear" w:color="000000" w:fill="F2F2F2"/>
            <w:noWrap/>
            <w:vAlign w:val="center"/>
            <w:hideMark/>
          </w:tcPr>
          <w:p w14:paraId="6C0B22D6" w14:textId="460D9C09" w:rsidR="00BC571E" w:rsidRPr="007421DE" w:rsidRDefault="00BC571E" w:rsidP="00BC571E">
            <w:pPr>
              <w:jc w:val="right"/>
              <w:rPr>
                <w:rFonts w:eastAsia="Times New Roman"/>
                <w:color w:val="C00000"/>
                <w:sz w:val="18"/>
                <w:szCs w:val="18"/>
              </w:rPr>
            </w:pPr>
            <w:r w:rsidRPr="007421DE">
              <w:rPr>
                <w:rFonts w:cs="Arial"/>
                <w:color w:val="C00000"/>
                <w:sz w:val="18"/>
                <w:szCs w:val="18"/>
              </w:rPr>
              <w:t>46%</w:t>
            </w:r>
          </w:p>
        </w:tc>
        <w:tc>
          <w:tcPr>
            <w:tcW w:w="1275" w:type="dxa"/>
            <w:tcBorders>
              <w:top w:val="nil"/>
              <w:left w:val="nil"/>
              <w:bottom w:val="single" w:sz="4" w:space="0" w:color="BFBFBF"/>
              <w:right w:val="single" w:sz="4" w:space="0" w:color="BFBFBF"/>
            </w:tcBorders>
            <w:shd w:val="clear" w:color="000000" w:fill="F2F2F2"/>
            <w:noWrap/>
            <w:vAlign w:val="center"/>
            <w:hideMark/>
          </w:tcPr>
          <w:p w14:paraId="02445C70" w14:textId="7D3C549B" w:rsidR="00BC571E" w:rsidRPr="007421DE" w:rsidRDefault="00BC571E" w:rsidP="00BC571E">
            <w:pPr>
              <w:jc w:val="right"/>
              <w:rPr>
                <w:rFonts w:eastAsia="Times New Roman"/>
                <w:color w:val="C00000"/>
                <w:sz w:val="18"/>
                <w:szCs w:val="18"/>
              </w:rPr>
            </w:pPr>
            <w:r w:rsidRPr="007421DE">
              <w:rPr>
                <w:rFonts w:cs="Arial"/>
                <w:color w:val="C00000"/>
                <w:sz w:val="18"/>
                <w:szCs w:val="18"/>
              </w:rPr>
              <w:t>7%</w:t>
            </w:r>
          </w:p>
        </w:tc>
        <w:tc>
          <w:tcPr>
            <w:tcW w:w="1275" w:type="dxa"/>
            <w:tcBorders>
              <w:top w:val="nil"/>
              <w:left w:val="nil"/>
              <w:bottom w:val="single" w:sz="4" w:space="0" w:color="BFBFBF"/>
              <w:right w:val="single" w:sz="4" w:space="0" w:color="BFBFBF"/>
            </w:tcBorders>
            <w:shd w:val="clear" w:color="000000" w:fill="F2F2F2"/>
            <w:noWrap/>
            <w:vAlign w:val="center"/>
            <w:hideMark/>
          </w:tcPr>
          <w:p w14:paraId="139AEF5C" w14:textId="615EA3E3" w:rsidR="00BC571E" w:rsidRPr="007421DE" w:rsidRDefault="00BC571E" w:rsidP="00BC571E">
            <w:pPr>
              <w:jc w:val="right"/>
              <w:rPr>
                <w:rFonts w:eastAsia="Times New Roman"/>
                <w:color w:val="C00000"/>
                <w:sz w:val="18"/>
                <w:szCs w:val="18"/>
              </w:rPr>
            </w:pPr>
            <w:r w:rsidRPr="007421DE">
              <w:rPr>
                <w:rFonts w:cs="Arial"/>
                <w:color w:val="C00000"/>
                <w:sz w:val="18"/>
                <w:szCs w:val="18"/>
              </w:rPr>
              <w:t>3%</w:t>
            </w:r>
          </w:p>
        </w:tc>
        <w:tc>
          <w:tcPr>
            <w:tcW w:w="1275" w:type="dxa"/>
            <w:tcBorders>
              <w:top w:val="nil"/>
              <w:left w:val="nil"/>
              <w:bottom w:val="single" w:sz="4" w:space="0" w:color="BFBFBF"/>
              <w:right w:val="single" w:sz="4" w:space="0" w:color="BFBFBF"/>
            </w:tcBorders>
            <w:shd w:val="clear" w:color="000000" w:fill="F2F2F2"/>
            <w:noWrap/>
            <w:vAlign w:val="center"/>
            <w:hideMark/>
          </w:tcPr>
          <w:p w14:paraId="39DD5884" w14:textId="5F05BF84" w:rsidR="00BC571E" w:rsidRPr="007421DE" w:rsidRDefault="00BC571E" w:rsidP="00BC571E">
            <w:pPr>
              <w:jc w:val="right"/>
              <w:rPr>
                <w:rFonts w:eastAsia="Times New Roman"/>
                <w:color w:val="C00000"/>
                <w:sz w:val="18"/>
                <w:szCs w:val="18"/>
              </w:rPr>
            </w:pPr>
            <w:r w:rsidRPr="007421DE">
              <w:rPr>
                <w:rFonts w:cs="Arial"/>
                <w:color w:val="C00000"/>
                <w:sz w:val="18"/>
                <w:szCs w:val="18"/>
              </w:rPr>
              <w:t>1%</w:t>
            </w:r>
          </w:p>
        </w:tc>
        <w:tc>
          <w:tcPr>
            <w:tcW w:w="1275" w:type="dxa"/>
            <w:tcBorders>
              <w:top w:val="nil"/>
              <w:left w:val="nil"/>
              <w:bottom w:val="single" w:sz="4" w:space="0" w:color="BFBFBF"/>
              <w:right w:val="single" w:sz="4" w:space="0" w:color="auto"/>
            </w:tcBorders>
            <w:shd w:val="clear" w:color="000000" w:fill="F2F2F2"/>
            <w:noWrap/>
            <w:vAlign w:val="center"/>
            <w:hideMark/>
          </w:tcPr>
          <w:p w14:paraId="7B99A45B" w14:textId="28F30B9A" w:rsidR="00BC571E" w:rsidRPr="007421DE" w:rsidRDefault="00BC571E" w:rsidP="00BC571E">
            <w:pPr>
              <w:jc w:val="right"/>
              <w:rPr>
                <w:rFonts w:eastAsia="Times New Roman"/>
                <w:color w:val="C00000"/>
                <w:sz w:val="18"/>
                <w:szCs w:val="18"/>
              </w:rPr>
            </w:pPr>
            <w:r w:rsidRPr="007421DE">
              <w:rPr>
                <w:rFonts w:cs="Arial"/>
                <w:color w:val="C00000"/>
                <w:sz w:val="18"/>
                <w:szCs w:val="18"/>
              </w:rPr>
              <w:t>0%</w:t>
            </w:r>
          </w:p>
        </w:tc>
      </w:tr>
      <w:tr w:rsidR="00BC571E" w:rsidRPr="00887119" w14:paraId="6D8740D3" w14:textId="77777777" w:rsidTr="00A34BF6">
        <w:trPr>
          <w:trHeight w:val="402"/>
        </w:trPr>
        <w:tc>
          <w:tcPr>
            <w:tcW w:w="1705" w:type="dxa"/>
            <w:tcBorders>
              <w:top w:val="nil"/>
              <w:left w:val="single" w:sz="4" w:space="0" w:color="auto"/>
              <w:bottom w:val="single" w:sz="4" w:space="0" w:color="BFBFBF"/>
              <w:right w:val="single" w:sz="4" w:space="0" w:color="BFBFBF"/>
            </w:tcBorders>
            <w:noWrap/>
            <w:vAlign w:val="center"/>
            <w:hideMark/>
          </w:tcPr>
          <w:p w14:paraId="3A367EEB" w14:textId="77777777" w:rsidR="00BC571E" w:rsidRPr="00887119" w:rsidRDefault="00BC571E" w:rsidP="00BC571E">
            <w:pPr>
              <w:rPr>
                <w:rFonts w:eastAsia="Times New Roman"/>
                <w:color w:val="000000"/>
                <w:sz w:val="18"/>
                <w:szCs w:val="18"/>
              </w:rPr>
            </w:pPr>
            <w:r w:rsidRPr="00887119">
              <w:rPr>
                <w:rFonts w:eastAsia="Times New Roman"/>
                <w:color w:val="000000"/>
                <w:sz w:val="18"/>
                <w:szCs w:val="18"/>
              </w:rPr>
              <w:t>Moderate</w:t>
            </w:r>
          </w:p>
        </w:tc>
        <w:tc>
          <w:tcPr>
            <w:tcW w:w="1275" w:type="dxa"/>
            <w:tcBorders>
              <w:top w:val="nil"/>
              <w:left w:val="single" w:sz="4" w:space="0" w:color="auto"/>
              <w:bottom w:val="single" w:sz="4" w:space="0" w:color="BFBFBF"/>
              <w:right w:val="single" w:sz="4" w:space="0" w:color="auto"/>
            </w:tcBorders>
            <w:noWrap/>
            <w:vAlign w:val="center"/>
            <w:hideMark/>
          </w:tcPr>
          <w:p w14:paraId="57AFE106" w14:textId="127EE490" w:rsidR="00BC571E" w:rsidRPr="007421DE" w:rsidRDefault="00BC571E" w:rsidP="00BC571E">
            <w:pPr>
              <w:jc w:val="right"/>
              <w:rPr>
                <w:rFonts w:eastAsia="Times New Roman"/>
                <w:color w:val="C00000"/>
                <w:sz w:val="18"/>
                <w:szCs w:val="18"/>
              </w:rPr>
            </w:pPr>
            <w:r w:rsidRPr="007421DE">
              <w:rPr>
                <w:rFonts w:cs="Arial"/>
                <w:color w:val="C00000"/>
                <w:sz w:val="18"/>
                <w:szCs w:val="18"/>
              </w:rPr>
              <w:t>19%</w:t>
            </w:r>
          </w:p>
        </w:tc>
        <w:tc>
          <w:tcPr>
            <w:tcW w:w="1275" w:type="dxa"/>
            <w:tcBorders>
              <w:top w:val="nil"/>
              <w:left w:val="nil"/>
              <w:bottom w:val="single" w:sz="4" w:space="0" w:color="BFBFBF"/>
              <w:right w:val="single" w:sz="4" w:space="0" w:color="BFBFBF"/>
            </w:tcBorders>
            <w:noWrap/>
            <w:vAlign w:val="center"/>
            <w:hideMark/>
          </w:tcPr>
          <w:p w14:paraId="1158935A" w14:textId="5F628BEE" w:rsidR="00BC571E" w:rsidRPr="007421DE" w:rsidRDefault="00BC571E" w:rsidP="00BC571E">
            <w:pPr>
              <w:jc w:val="right"/>
              <w:rPr>
                <w:rFonts w:eastAsia="Times New Roman"/>
                <w:color w:val="C00000"/>
                <w:sz w:val="18"/>
                <w:szCs w:val="18"/>
              </w:rPr>
            </w:pPr>
            <w:r w:rsidRPr="007421DE">
              <w:rPr>
                <w:rFonts w:cs="Arial"/>
                <w:color w:val="C00000"/>
                <w:sz w:val="18"/>
                <w:szCs w:val="18"/>
              </w:rPr>
              <w:t>29%</w:t>
            </w:r>
          </w:p>
        </w:tc>
        <w:tc>
          <w:tcPr>
            <w:tcW w:w="1275" w:type="dxa"/>
            <w:tcBorders>
              <w:top w:val="nil"/>
              <w:left w:val="nil"/>
              <w:bottom w:val="single" w:sz="4" w:space="0" w:color="BFBFBF"/>
              <w:right w:val="single" w:sz="4" w:space="0" w:color="BFBFBF"/>
            </w:tcBorders>
            <w:noWrap/>
            <w:vAlign w:val="center"/>
            <w:hideMark/>
          </w:tcPr>
          <w:p w14:paraId="0E1993F4" w14:textId="0AF7DF82" w:rsidR="00BC571E" w:rsidRPr="007421DE" w:rsidRDefault="00BC571E" w:rsidP="00BC571E">
            <w:pPr>
              <w:jc w:val="right"/>
              <w:rPr>
                <w:rFonts w:eastAsia="Times New Roman"/>
                <w:color w:val="C00000"/>
                <w:sz w:val="18"/>
                <w:szCs w:val="18"/>
              </w:rPr>
            </w:pPr>
            <w:r w:rsidRPr="007421DE">
              <w:rPr>
                <w:rFonts w:cs="Arial"/>
                <w:color w:val="C00000"/>
                <w:sz w:val="18"/>
                <w:szCs w:val="18"/>
              </w:rPr>
              <w:t>21%</w:t>
            </w:r>
          </w:p>
        </w:tc>
        <w:tc>
          <w:tcPr>
            <w:tcW w:w="1275" w:type="dxa"/>
            <w:tcBorders>
              <w:top w:val="nil"/>
              <w:left w:val="nil"/>
              <w:bottom w:val="single" w:sz="4" w:space="0" w:color="BFBFBF"/>
              <w:right w:val="single" w:sz="4" w:space="0" w:color="BFBFBF"/>
            </w:tcBorders>
            <w:noWrap/>
            <w:vAlign w:val="center"/>
            <w:hideMark/>
          </w:tcPr>
          <w:p w14:paraId="064DAA39" w14:textId="3A71D21D" w:rsidR="00BC571E" w:rsidRPr="007421DE" w:rsidRDefault="00BC571E" w:rsidP="00BC571E">
            <w:pPr>
              <w:jc w:val="right"/>
              <w:rPr>
                <w:rFonts w:eastAsia="Times New Roman"/>
                <w:color w:val="C00000"/>
                <w:sz w:val="18"/>
                <w:szCs w:val="18"/>
              </w:rPr>
            </w:pPr>
            <w:r w:rsidRPr="007421DE">
              <w:rPr>
                <w:rFonts w:cs="Arial"/>
                <w:color w:val="C00000"/>
                <w:sz w:val="18"/>
                <w:szCs w:val="18"/>
              </w:rPr>
              <w:t>12%</w:t>
            </w:r>
          </w:p>
        </w:tc>
        <w:tc>
          <w:tcPr>
            <w:tcW w:w="1275" w:type="dxa"/>
            <w:tcBorders>
              <w:top w:val="nil"/>
              <w:left w:val="nil"/>
              <w:bottom w:val="single" w:sz="4" w:space="0" w:color="BFBFBF"/>
              <w:right w:val="single" w:sz="4" w:space="0" w:color="BFBFBF"/>
            </w:tcBorders>
            <w:noWrap/>
            <w:vAlign w:val="center"/>
            <w:hideMark/>
          </w:tcPr>
          <w:p w14:paraId="6C87F11F" w14:textId="17733D72" w:rsidR="00BC571E" w:rsidRPr="007421DE" w:rsidRDefault="00BC571E" w:rsidP="00BC571E">
            <w:pPr>
              <w:jc w:val="right"/>
              <w:rPr>
                <w:rFonts w:eastAsia="Times New Roman"/>
                <w:color w:val="C00000"/>
                <w:sz w:val="18"/>
                <w:szCs w:val="18"/>
              </w:rPr>
            </w:pPr>
            <w:r w:rsidRPr="007421DE">
              <w:rPr>
                <w:rFonts w:cs="Arial"/>
                <w:color w:val="C00000"/>
                <w:sz w:val="18"/>
                <w:szCs w:val="18"/>
              </w:rPr>
              <w:t>5%</w:t>
            </w:r>
          </w:p>
        </w:tc>
        <w:tc>
          <w:tcPr>
            <w:tcW w:w="1275" w:type="dxa"/>
            <w:tcBorders>
              <w:top w:val="nil"/>
              <w:left w:val="nil"/>
              <w:bottom w:val="single" w:sz="4" w:space="0" w:color="BFBFBF"/>
              <w:right w:val="single" w:sz="4" w:space="0" w:color="auto"/>
            </w:tcBorders>
            <w:noWrap/>
            <w:vAlign w:val="center"/>
            <w:hideMark/>
          </w:tcPr>
          <w:p w14:paraId="363A16BE" w14:textId="63902E57" w:rsidR="00BC571E" w:rsidRPr="007421DE" w:rsidRDefault="00BC571E" w:rsidP="00BC571E">
            <w:pPr>
              <w:jc w:val="right"/>
              <w:rPr>
                <w:rFonts w:eastAsia="Times New Roman"/>
                <w:color w:val="C00000"/>
                <w:sz w:val="18"/>
                <w:szCs w:val="18"/>
              </w:rPr>
            </w:pPr>
            <w:r w:rsidRPr="007421DE">
              <w:rPr>
                <w:rFonts w:cs="Arial"/>
                <w:color w:val="C00000"/>
                <w:sz w:val="18"/>
                <w:szCs w:val="18"/>
              </w:rPr>
              <w:t>2%</w:t>
            </w:r>
          </w:p>
        </w:tc>
      </w:tr>
      <w:tr w:rsidR="00BC571E" w:rsidRPr="00887119" w14:paraId="4D8AE1FD" w14:textId="77777777" w:rsidTr="00A34BF6">
        <w:trPr>
          <w:trHeight w:val="402"/>
        </w:trPr>
        <w:tc>
          <w:tcPr>
            <w:tcW w:w="1705" w:type="dxa"/>
            <w:tcBorders>
              <w:top w:val="nil"/>
              <w:left w:val="single" w:sz="4" w:space="0" w:color="auto"/>
              <w:bottom w:val="single" w:sz="4" w:space="0" w:color="BFBFBF"/>
              <w:right w:val="single" w:sz="4" w:space="0" w:color="BFBFBF"/>
            </w:tcBorders>
            <w:shd w:val="clear" w:color="000000" w:fill="F2F2F2"/>
            <w:noWrap/>
            <w:vAlign w:val="center"/>
            <w:hideMark/>
          </w:tcPr>
          <w:p w14:paraId="78CEDBA1" w14:textId="77777777" w:rsidR="00BC571E" w:rsidRPr="00887119" w:rsidRDefault="00BC571E" w:rsidP="00BC571E">
            <w:pPr>
              <w:rPr>
                <w:rFonts w:eastAsia="Times New Roman"/>
                <w:color w:val="000000"/>
                <w:sz w:val="18"/>
                <w:szCs w:val="18"/>
              </w:rPr>
            </w:pPr>
            <w:r w:rsidRPr="00887119">
              <w:rPr>
                <w:rFonts w:eastAsia="Times New Roman"/>
                <w:color w:val="000000"/>
                <w:sz w:val="18"/>
                <w:szCs w:val="18"/>
              </w:rPr>
              <w:t>Median</w:t>
            </w:r>
          </w:p>
        </w:tc>
        <w:tc>
          <w:tcPr>
            <w:tcW w:w="1275" w:type="dxa"/>
            <w:tcBorders>
              <w:top w:val="nil"/>
              <w:left w:val="single" w:sz="4" w:space="0" w:color="auto"/>
              <w:bottom w:val="single" w:sz="4" w:space="0" w:color="BFBFBF"/>
              <w:right w:val="single" w:sz="4" w:space="0" w:color="auto"/>
            </w:tcBorders>
            <w:shd w:val="clear" w:color="000000" w:fill="F2F2F2"/>
            <w:noWrap/>
            <w:vAlign w:val="center"/>
            <w:hideMark/>
          </w:tcPr>
          <w:p w14:paraId="32CCAECB" w14:textId="3DD9DFA2" w:rsidR="00BC571E" w:rsidRPr="007421DE" w:rsidRDefault="00BC571E" w:rsidP="00BC571E">
            <w:pPr>
              <w:jc w:val="right"/>
              <w:rPr>
                <w:rFonts w:eastAsia="Times New Roman"/>
                <w:color w:val="C00000"/>
                <w:sz w:val="18"/>
                <w:szCs w:val="18"/>
              </w:rPr>
            </w:pPr>
            <w:r w:rsidRPr="007421DE">
              <w:rPr>
                <w:rFonts w:cs="Arial"/>
                <w:color w:val="C00000"/>
                <w:sz w:val="18"/>
                <w:szCs w:val="18"/>
              </w:rPr>
              <w:t>23%</w:t>
            </w:r>
          </w:p>
        </w:tc>
        <w:tc>
          <w:tcPr>
            <w:tcW w:w="1275" w:type="dxa"/>
            <w:tcBorders>
              <w:top w:val="nil"/>
              <w:left w:val="nil"/>
              <w:bottom w:val="single" w:sz="4" w:space="0" w:color="BFBFBF"/>
              <w:right w:val="single" w:sz="4" w:space="0" w:color="BFBFBF"/>
            </w:tcBorders>
            <w:shd w:val="clear" w:color="000000" w:fill="F2F2F2"/>
            <w:noWrap/>
            <w:vAlign w:val="center"/>
            <w:hideMark/>
          </w:tcPr>
          <w:p w14:paraId="715A6C99" w14:textId="4722376F" w:rsidR="00BC571E" w:rsidRPr="007421DE" w:rsidRDefault="00BC571E" w:rsidP="00BC571E">
            <w:pPr>
              <w:jc w:val="right"/>
              <w:rPr>
                <w:rFonts w:eastAsia="Times New Roman"/>
                <w:color w:val="C00000"/>
                <w:sz w:val="18"/>
                <w:szCs w:val="18"/>
              </w:rPr>
            </w:pPr>
            <w:r w:rsidRPr="007421DE">
              <w:rPr>
                <w:rFonts w:cs="Arial"/>
                <w:color w:val="C00000"/>
                <w:sz w:val="18"/>
                <w:szCs w:val="18"/>
              </w:rPr>
              <w:t>14%</w:t>
            </w:r>
          </w:p>
        </w:tc>
        <w:tc>
          <w:tcPr>
            <w:tcW w:w="1275" w:type="dxa"/>
            <w:tcBorders>
              <w:top w:val="nil"/>
              <w:left w:val="nil"/>
              <w:bottom w:val="single" w:sz="4" w:space="0" w:color="BFBFBF"/>
              <w:right w:val="single" w:sz="4" w:space="0" w:color="BFBFBF"/>
            </w:tcBorders>
            <w:shd w:val="clear" w:color="000000" w:fill="F2F2F2"/>
            <w:noWrap/>
            <w:vAlign w:val="center"/>
            <w:hideMark/>
          </w:tcPr>
          <w:p w14:paraId="35051508" w14:textId="7D2D3AF5" w:rsidR="00BC571E" w:rsidRPr="007421DE" w:rsidRDefault="00BC571E" w:rsidP="00BC571E">
            <w:pPr>
              <w:jc w:val="right"/>
              <w:rPr>
                <w:rFonts w:eastAsia="Times New Roman"/>
                <w:color w:val="C00000"/>
                <w:sz w:val="18"/>
                <w:szCs w:val="18"/>
              </w:rPr>
            </w:pPr>
            <w:r w:rsidRPr="007421DE">
              <w:rPr>
                <w:rFonts w:cs="Arial"/>
                <w:color w:val="C00000"/>
                <w:sz w:val="18"/>
                <w:szCs w:val="18"/>
              </w:rPr>
              <w:t>31%</w:t>
            </w:r>
          </w:p>
        </w:tc>
        <w:tc>
          <w:tcPr>
            <w:tcW w:w="1275" w:type="dxa"/>
            <w:tcBorders>
              <w:top w:val="nil"/>
              <w:left w:val="nil"/>
              <w:bottom w:val="single" w:sz="4" w:space="0" w:color="BFBFBF"/>
              <w:right w:val="single" w:sz="4" w:space="0" w:color="BFBFBF"/>
            </w:tcBorders>
            <w:shd w:val="clear" w:color="000000" w:fill="F2F2F2"/>
            <w:noWrap/>
            <w:vAlign w:val="center"/>
            <w:hideMark/>
          </w:tcPr>
          <w:p w14:paraId="1F0499AB" w14:textId="4F358CEA" w:rsidR="00BC571E" w:rsidRPr="007421DE" w:rsidRDefault="00BC571E" w:rsidP="00BC571E">
            <w:pPr>
              <w:jc w:val="right"/>
              <w:rPr>
                <w:rFonts w:eastAsia="Times New Roman"/>
                <w:color w:val="C00000"/>
                <w:sz w:val="18"/>
                <w:szCs w:val="18"/>
              </w:rPr>
            </w:pPr>
            <w:r w:rsidRPr="007421DE">
              <w:rPr>
                <w:rFonts w:cs="Arial"/>
                <w:color w:val="C00000"/>
                <w:sz w:val="18"/>
                <w:szCs w:val="18"/>
              </w:rPr>
              <w:t>23%</w:t>
            </w:r>
          </w:p>
        </w:tc>
        <w:tc>
          <w:tcPr>
            <w:tcW w:w="1275" w:type="dxa"/>
            <w:tcBorders>
              <w:top w:val="nil"/>
              <w:left w:val="nil"/>
              <w:bottom w:val="single" w:sz="4" w:space="0" w:color="BFBFBF"/>
              <w:right w:val="single" w:sz="4" w:space="0" w:color="BFBFBF"/>
            </w:tcBorders>
            <w:shd w:val="clear" w:color="000000" w:fill="F2F2F2"/>
            <w:noWrap/>
            <w:vAlign w:val="center"/>
            <w:hideMark/>
          </w:tcPr>
          <w:p w14:paraId="0E87ECB9" w14:textId="472B13D2" w:rsidR="00BC571E" w:rsidRPr="007421DE" w:rsidRDefault="00BC571E" w:rsidP="00BC571E">
            <w:pPr>
              <w:jc w:val="right"/>
              <w:rPr>
                <w:rFonts w:eastAsia="Times New Roman"/>
                <w:color w:val="C00000"/>
                <w:sz w:val="18"/>
                <w:szCs w:val="18"/>
              </w:rPr>
            </w:pPr>
            <w:r w:rsidRPr="007421DE">
              <w:rPr>
                <w:rFonts w:cs="Arial"/>
                <w:color w:val="C00000"/>
                <w:sz w:val="18"/>
                <w:szCs w:val="18"/>
              </w:rPr>
              <w:t>15%</w:t>
            </w:r>
          </w:p>
        </w:tc>
        <w:tc>
          <w:tcPr>
            <w:tcW w:w="1275" w:type="dxa"/>
            <w:tcBorders>
              <w:top w:val="nil"/>
              <w:left w:val="nil"/>
              <w:bottom w:val="single" w:sz="4" w:space="0" w:color="BFBFBF"/>
              <w:right w:val="single" w:sz="4" w:space="0" w:color="auto"/>
            </w:tcBorders>
            <w:shd w:val="clear" w:color="000000" w:fill="F2F2F2"/>
            <w:noWrap/>
            <w:vAlign w:val="center"/>
            <w:hideMark/>
          </w:tcPr>
          <w:p w14:paraId="0F912025" w14:textId="69F10FFE" w:rsidR="00BC571E" w:rsidRPr="007421DE" w:rsidRDefault="00BC571E" w:rsidP="00BC571E">
            <w:pPr>
              <w:jc w:val="right"/>
              <w:rPr>
                <w:rFonts w:eastAsia="Times New Roman"/>
                <w:color w:val="C00000"/>
                <w:sz w:val="18"/>
                <w:szCs w:val="18"/>
              </w:rPr>
            </w:pPr>
            <w:r w:rsidRPr="007421DE">
              <w:rPr>
                <w:rFonts w:cs="Arial"/>
                <w:color w:val="C00000"/>
                <w:sz w:val="18"/>
                <w:szCs w:val="18"/>
              </w:rPr>
              <w:t>16%</w:t>
            </w:r>
          </w:p>
        </w:tc>
      </w:tr>
      <w:tr w:rsidR="00BC571E" w:rsidRPr="00887119" w14:paraId="3A0B0BEE" w14:textId="77777777" w:rsidTr="00A34BF6">
        <w:trPr>
          <w:trHeight w:val="402"/>
        </w:trPr>
        <w:tc>
          <w:tcPr>
            <w:tcW w:w="1705" w:type="dxa"/>
            <w:tcBorders>
              <w:top w:val="nil"/>
              <w:left w:val="single" w:sz="4" w:space="0" w:color="auto"/>
              <w:bottom w:val="single" w:sz="4" w:space="0" w:color="auto"/>
              <w:right w:val="single" w:sz="4" w:space="0" w:color="BFBFBF"/>
            </w:tcBorders>
            <w:noWrap/>
            <w:vAlign w:val="center"/>
            <w:hideMark/>
          </w:tcPr>
          <w:p w14:paraId="640C89BD" w14:textId="77777777" w:rsidR="00BC571E" w:rsidRPr="00887119" w:rsidRDefault="00BC571E" w:rsidP="00BC571E">
            <w:pPr>
              <w:rPr>
                <w:rFonts w:eastAsia="Times New Roman"/>
                <w:color w:val="000000"/>
                <w:sz w:val="18"/>
                <w:szCs w:val="18"/>
              </w:rPr>
            </w:pPr>
            <w:r w:rsidRPr="00887119">
              <w:rPr>
                <w:rFonts w:eastAsia="Times New Roman"/>
                <w:color w:val="000000"/>
                <w:sz w:val="18"/>
                <w:szCs w:val="18"/>
              </w:rPr>
              <w:t>High</w:t>
            </w:r>
          </w:p>
        </w:tc>
        <w:tc>
          <w:tcPr>
            <w:tcW w:w="1275" w:type="dxa"/>
            <w:tcBorders>
              <w:top w:val="nil"/>
              <w:left w:val="single" w:sz="4" w:space="0" w:color="auto"/>
              <w:bottom w:val="single" w:sz="4" w:space="0" w:color="auto"/>
              <w:right w:val="single" w:sz="4" w:space="0" w:color="auto"/>
            </w:tcBorders>
            <w:noWrap/>
            <w:vAlign w:val="center"/>
            <w:hideMark/>
          </w:tcPr>
          <w:p w14:paraId="500D07E7" w14:textId="67301ED4" w:rsidR="00BC571E" w:rsidRPr="007421DE" w:rsidRDefault="00BC571E" w:rsidP="00BC571E">
            <w:pPr>
              <w:jc w:val="right"/>
              <w:rPr>
                <w:rFonts w:eastAsia="Times New Roman"/>
                <w:color w:val="C00000"/>
                <w:sz w:val="18"/>
                <w:szCs w:val="18"/>
              </w:rPr>
            </w:pPr>
            <w:r w:rsidRPr="007421DE">
              <w:rPr>
                <w:rFonts w:cs="Arial"/>
                <w:color w:val="C00000"/>
                <w:sz w:val="18"/>
                <w:szCs w:val="18"/>
              </w:rPr>
              <w:t>41%</w:t>
            </w:r>
          </w:p>
        </w:tc>
        <w:tc>
          <w:tcPr>
            <w:tcW w:w="1275" w:type="dxa"/>
            <w:tcBorders>
              <w:top w:val="nil"/>
              <w:left w:val="nil"/>
              <w:bottom w:val="single" w:sz="4" w:space="0" w:color="auto"/>
              <w:right w:val="single" w:sz="4" w:space="0" w:color="BFBFBF"/>
            </w:tcBorders>
            <w:noWrap/>
            <w:vAlign w:val="center"/>
            <w:hideMark/>
          </w:tcPr>
          <w:p w14:paraId="1EF50681" w14:textId="098A974A" w:rsidR="00BC571E" w:rsidRPr="007421DE" w:rsidRDefault="00BC571E" w:rsidP="00BC571E">
            <w:pPr>
              <w:jc w:val="right"/>
              <w:rPr>
                <w:rFonts w:eastAsia="Times New Roman"/>
                <w:color w:val="C00000"/>
                <w:sz w:val="18"/>
                <w:szCs w:val="18"/>
              </w:rPr>
            </w:pPr>
            <w:r w:rsidRPr="007421DE">
              <w:rPr>
                <w:rFonts w:cs="Arial"/>
                <w:color w:val="C00000"/>
                <w:sz w:val="18"/>
                <w:szCs w:val="18"/>
              </w:rPr>
              <w:t>6%</w:t>
            </w:r>
          </w:p>
        </w:tc>
        <w:tc>
          <w:tcPr>
            <w:tcW w:w="1275" w:type="dxa"/>
            <w:tcBorders>
              <w:top w:val="nil"/>
              <w:left w:val="nil"/>
              <w:bottom w:val="single" w:sz="4" w:space="0" w:color="auto"/>
              <w:right w:val="single" w:sz="4" w:space="0" w:color="BFBFBF"/>
            </w:tcBorders>
            <w:noWrap/>
            <w:vAlign w:val="center"/>
            <w:hideMark/>
          </w:tcPr>
          <w:p w14:paraId="390757AF" w14:textId="75A44DF5" w:rsidR="00BC571E" w:rsidRPr="007421DE" w:rsidRDefault="00BC571E" w:rsidP="00BC571E">
            <w:pPr>
              <w:jc w:val="right"/>
              <w:rPr>
                <w:rFonts w:eastAsia="Times New Roman"/>
                <w:color w:val="C00000"/>
                <w:sz w:val="18"/>
                <w:szCs w:val="18"/>
              </w:rPr>
            </w:pPr>
            <w:r w:rsidRPr="007421DE">
              <w:rPr>
                <w:rFonts w:cs="Arial"/>
                <w:color w:val="C00000"/>
                <w:sz w:val="18"/>
                <w:szCs w:val="18"/>
              </w:rPr>
              <w:t>40%</w:t>
            </w:r>
          </w:p>
        </w:tc>
        <w:tc>
          <w:tcPr>
            <w:tcW w:w="1275" w:type="dxa"/>
            <w:tcBorders>
              <w:top w:val="nil"/>
              <w:left w:val="nil"/>
              <w:bottom w:val="single" w:sz="4" w:space="0" w:color="auto"/>
              <w:right w:val="single" w:sz="4" w:space="0" w:color="BFBFBF"/>
            </w:tcBorders>
            <w:noWrap/>
            <w:vAlign w:val="center"/>
            <w:hideMark/>
          </w:tcPr>
          <w:p w14:paraId="69BB9FBA" w14:textId="7AEB55CA" w:rsidR="00BC571E" w:rsidRPr="007421DE" w:rsidRDefault="00BC571E" w:rsidP="00BC571E">
            <w:pPr>
              <w:jc w:val="right"/>
              <w:rPr>
                <w:rFonts w:eastAsia="Times New Roman"/>
                <w:color w:val="C00000"/>
                <w:sz w:val="18"/>
                <w:szCs w:val="18"/>
              </w:rPr>
            </w:pPr>
            <w:r w:rsidRPr="007421DE">
              <w:rPr>
                <w:rFonts w:cs="Arial"/>
                <w:color w:val="C00000"/>
                <w:sz w:val="18"/>
                <w:szCs w:val="18"/>
              </w:rPr>
              <w:t>61%</w:t>
            </w:r>
          </w:p>
        </w:tc>
        <w:tc>
          <w:tcPr>
            <w:tcW w:w="1275" w:type="dxa"/>
            <w:tcBorders>
              <w:top w:val="nil"/>
              <w:left w:val="nil"/>
              <w:bottom w:val="single" w:sz="4" w:space="0" w:color="auto"/>
              <w:right w:val="single" w:sz="4" w:space="0" w:color="BFBFBF"/>
            </w:tcBorders>
            <w:noWrap/>
            <w:vAlign w:val="center"/>
            <w:hideMark/>
          </w:tcPr>
          <w:p w14:paraId="5DEB8387" w14:textId="0F5E5450" w:rsidR="00BC571E" w:rsidRPr="007421DE" w:rsidRDefault="00BC571E" w:rsidP="00BC571E">
            <w:pPr>
              <w:jc w:val="right"/>
              <w:rPr>
                <w:rFonts w:eastAsia="Times New Roman"/>
                <w:color w:val="C00000"/>
                <w:sz w:val="18"/>
                <w:szCs w:val="18"/>
              </w:rPr>
            </w:pPr>
            <w:r w:rsidRPr="007421DE">
              <w:rPr>
                <w:rFonts w:cs="Arial"/>
                <w:color w:val="C00000"/>
                <w:sz w:val="18"/>
                <w:szCs w:val="18"/>
              </w:rPr>
              <w:t>79%</w:t>
            </w:r>
          </w:p>
        </w:tc>
        <w:tc>
          <w:tcPr>
            <w:tcW w:w="1275" w:type="dxa"/>
            <w:tcBorders>
              <w:top w:val="nil"/>
              <w:left w:val="nil"/>
              <w:bottom w:val="single" w:sz="4" w:space="0" w:color="auto"/>
              <w:right w:val="single" w:sz="4" w:space="0" w:color="auto"/>
            </w:tcBorders>
            <w:noWrap/>
            <w:vAlign w:val="center"/>
            <w:hideMark/>
          </w:tcPr>
          <w:p w14:paraId="2F21AD88" w14:textId="7DFA078D" w:rsidR="00BC571E" w:rsidRPr="007421DE" w:rsidRDefault="00BC571E" w:rsidP="00BC571E">
            <w:pPr>
              <w:jc w:val="right"/>
              <w:rPr>
                <w:rFonts w:eastAsia="Times New Roman"/>
                <w:color w:val="C00000"/>
                <w:sz w:val="18"/>
                <w:szCs w:val="18"/>
              </w:rPr>
            </w:pPr>
            <w:r w:rsidRPr="007421DE">
              <w:rPr>
                <w:rFonts w:cs="Arial"/>
                <w:color w:val="C00000"/>
                <w:sz w:val="18"/>
                <w:szCs w:val="18"/>
              </w:rPr>
              <w:t>82%</w:t>
            </w:r>
          </w:p>
        </w:tc>
      </w:tr>
    </w:tbl>
    <w:p w14:paraId="54D574EA" w14:textId="77777777" w:rsidR="00952F0E" w:rsidRPr="00887119" w:rsidRDefault="00952F0E" w:rsidP="00952F0E">
      <w:pPr>
        <w:pStyle w:val="Source"/>
      </w:pPr>
      <w:r w:rsidRPr="00887119">
        <w:t>Source: see methodology in Housing Needs Assessment Guidebook</w:t>
      </w:r>
    </w:p>
    <w:p w14:paraId="1BF30B7A" w14:textId="77777777" w:rsidR="00952F0E" w:rsidRPr="00887119" w:rsidRDefault="00952F0E" w:rsidP="00952F0E"/>
    <w:p w14:paraId="29DA37FD" w14:textId="77777777" w:rsidR="006273FF" w:rsidRPr="00887119" w:rsidRDefault="008303FA" w:rsidP="008303FA">
      <w:r w:rsidRPr="00887119">
        <w:t xml:space="preserve">By 2035, provincially projected total household demand of 94,490 is distributed predominantly across median and high-income categories (64% combined), which will be served primarily by the </w:t>
      </w:r>
      <w:r w:rsidRPr="00887119">
        <w:lastRenderedPageBreak/>
        <w:t xml:space="preserve">private market. However, the 17% of projected demand in the very low- and low-income categories </w:t>
      </w:r>
      <w:r w:rsidR="00A173DB" w:rsidRPr="00887119">
        <w:t>(</w:t>
      </w:r>
      <w:r w:rsidRPr="00887119">
        <w:t>representing approximately 16,000 households</w:t>
      </w:r>
      <w:r w:rsidR="00A173DB" w:rsidRPr="00887119">
        <w:t>)</w:t>
      </w:r>
      <w:r w:rsidRPr="00887119">
        <w:t xml:space="preserve"> represents the core of unmet housing need: households for whom market-rate housing at any realistic price point is financially inaccessible and for whom purpose-built affordable or subsidized supply is the primary viable option. This segment is heavily concentrated in one-person households: 46% of projected single-person demand falls in the </w:t>
      </w:r>
      <w:r w:rsidR="006273FF" w:rsidRPr="00887119">
        <w:t>low-income</w:t>
      </w:r>
      <w:r w:rsidRPr="00887119">
        <w:t xml:space="preserve"> category and a further 5% in the very </w:t>
      </w:r>
      <w:r w:rsidR="006273FF" w:rsidRPr="00887119">
        <w:t>low-income</w:t>
      </w:r>
      <w:r w:rsidRPr="00887119">
        <w:t xml:space="preserve"> category.</w:t>
      </w:r>
    </w:p>
    <w:p w14:paraId="036E9518" w14:textId="77777777" w:rsidR="006273FF" w:rsidRPr="00887119" w:rsidRDefault="006273FF" w:rsidP="008303FA"/>
    <w:p w14:paraId="0E66246A" w14:textId="77777777" w:rsidR="00A41D7F" w:rsidRPr="00887119" w:rsidRDefault="008303FA" w:rsidP="008303FA">
      <w:r w:rsidRPr="00887119">
        <w:t>High-income demand is concentrated in larger household sizes (79</w:t>
      </w:r>
      <w:r w:rsidR="006273FF" w:rsidRPr="00887119">
        <w:t>%</w:t>
      </w:r>
      <w:r w:rsidRPr="00887119">
        <w:t xml:space="preserve">–82% of four-person and five-plus person households), </w:t>
      </w:r>
      <w:r w:rsidR="00A41D7F" w:rsidRPr="00887119">
        <w:t xml:space="preserve">mostly </w:t>
      </w:r>
      <w:r w:rsidRPr="00887119">
        <w:t xml:space="preserve">reflecting the income profile of established families, and will be served most readily by the private ownership market. </w:t>
      </w:r>
    </w:p>
    <w:p w14:paraId="45DD95B1" w14:textId="77777777" w:rsidR="00A41D7F" w:rsidRPr="00887119" w:rsidRDefault="00A41D7F" w:rsidP="008303FA"/>
    <w:p w14:paraId="17932CED" w14:textId="7F8FAC9A" w:rsidR="008303FA" w:rsidRPr="00887119" w:rsidRDefault="008303FA" w:rsidP="008303FA">
      <w:r w:rsidRPr="00887119">
        <w:t xml:space="preserve">Moderate-income demand distributed across household sizes </w:t>
      </w:r>
      <w:r w:rsidR="00A41D7F" w:rsidRPr="00887119">
        <w:t>(</w:t>
      </w:r>
      <w:r w:rsidRPr="00887119">
        <w:t>representing approximately 19,000 projected households</w:t>
      </w:r>
      <w:r w:rsidR="00A41D7F" w:rsidRPr="00887119">
        <w:t xml:space="preserve">) </w:t>
      </w:r>
      <w:r w:rsidRPr="00887119">
        <w:t>points to the “missing middle” challenge: households whose incomes exceed subsidy eligibility thresholds but who face significant barriers to affordably accessing market-rate housing, and for whom below-market rental, shared equity, or cooperative housing options may be the most appropriate policy response.</w:t>
      </w:r>
    </w:p>
    <w:p w14:paraId="042F3D8B" w14:textId="77777777" w:rsidR="008303FA" w:rsidRPr="00887119" w:rsidRDefault="008303FA" w:rsidP="008303FA"/>
    <w:p w14:paraId="2358AEE0" w14:textId="77777777" w:rsidR="008303FA" w:rsidRPr="00887119" w:rsidRDefault="008303FA" w:rsidP="008303FA">
      <w:r w:rsidRPr="00887119">
        <w:t>An important signal is the ratio of low-income to high-income demand; specifically, where low-income demand represents a disproportionately large share of total projected need relative to the current affordable share of the rental market.</w:t>
      </w:r>
    </w:p>
    <w:p w14:paraId="2B141DF5" w14:textId="315FE536" w:rsidR="007E0AB0" w:rsidRPr="00887119" w:rsidRDefault="007E0AB0" w:rsidP="00952F0E">
      <w:r w:rsidRPr="00887119">
        <w:br w:type="page"/>
      </w:r>
    </w:p>
    <w:p w14:paraId="7CF6B7B6" w14:textId="5CEA3D1C" w:rsidR="00E44F55" w:rsidRPr="00887119" w:rsidRDefault="00CF23FD" w:rsidP="00842B20">
      <w:pPr>
        <w:pStyle w:val="Heading1"/>
      </w:pPr>
      <w:bookmarkStart w:id="167" w:name="_Toc226970630"/>
      <w:bookmarkStart w:id="168" w:name="_Toc229051971"/>
      <w:bookmarkStart w:id="169" w:name="_Toc237957453"/>
      <w:r w:rsidRPr="00887119">
        <w:lastRenderedPageBreak/>
        <w:t>GROWTH READINESS</w:t>
      </w:r>
      <w:bookmarkEnd w:id="167"/>
      <w:bookmarkEnd w:id="168"/>
      <w:bookmarkEnd w:id="169"/>
      <w:r w:rsidR="00E44F55" w:rsidRPr="00887119">
        <w:t xml:space="preserve"> </w:t>
      </w:r>
    </w:p>
    <w:p w14:paraId="1142D44D" w14:textId="77777777" w:rsidR="00B120FF" w:rsidRPr="00887119" w:rsidRDefault="00B120FF" w:rsidP="00EA0B7D"/>
    <w:tbl>
      <w:tblPr>
        <w:tblStyle w:val="TableGrid"/>
        <w:tblW w:w="9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5"/>
      </w:tblGrid>
      <w:tr w:rsidR="00E14E70" w:rsidRPr="00C02E3D" w14:paraId="699EB13C" w14:textId="77777777" w:rsidTr="00F94FB9">
        <w:trPr>
          <w:trHeight w:val="386"/>
        </w:trPr>
        <w:tc>
          <w:tcPr>
            <w:tcW w:w="9355" w:type="dxa"/>
            <w:shd w:val="clear" w:color="auto" w:fill="C00000"/>
            <w:vAlign w:val="center"/>
          </w:tcPr>
          <w:p w14:paraId="60B061A4" w14:textId="77777777" w:rsidR="00E14E70" w:rsidRPr="00C02E3D" w:rsidRDefault="00E14E70" w:rsidP="00F94FB9">
            <w:pPr>
              <w:rPr>
                <w:color w:val="FFFFFF" w:themeColor="background1"/>
                <w:sz w:val="20"/>
                <w:szCs w:val="20"/>
              </w:rPr>
            </w:pPr>
            <w:r w:rsidRPr="00C02E3D">
              <w:rPr>
                <w:color w:val="FFFFFF" w:themeColor="background1"/>
                <w:sz w:val="20"/>
                <w:szCs w:val="20"/>
              </w:rPr>
              <w:t>Note for user</w:t>
            </w:r>
          </w:p>
        </w:tc>
      </w:tr>
      <w:tr w:rsidR="00E14E70" w14:paraId="74C001C0" w14:textId="77777777" w:rsidTr="00743182">
        <w:trPr>
          <w:trHeight w:val="7874"/>
        </w:trPr>
        <w:tc>
          <w:tcPr>
            <w:tcW w:w="9355" w:type="dxa"/>
            <w:shd w:val="clear" w:color="auto" w:fill="FFC9C9"/>
            <w:vAlign w:val="center"/>
          </w:tcPr>
          <w:p w14:paraId="4F2814CA" w14:textId="77777777" w:rsidR="00E14E70" w:rsidRPr="00E14E70" w:rsidRDefault="00E14E70" w:rsidP="00E14E70">
            <w:pPr>
              <w:rPr>
                <w:sz w:val="20"/>
                <w:szCs w:val="20"/>
              </w:rPr>
            </w:pPr>
            <w:r w:rsidRPr="00E14E70">
              <w:rPr>
                <w:sz w:val="20"/>
                <w:szCs w:val="20"/>
              </w:rPr>
              <w:t>Housing growth does not happen through demand alone. Communities that want to grow (or that are being asked to plan for growth) need to be able to answer a foundational question: are we actually ready for it? The Growth Readiness Assessment (GRA) is a structured tool designed to help communities and their planning partners answer, at a high level, the question honestly and systematically.</w:t>
            </w:r>
          </w:p>
          <w:p w14:paraId="4FB25848" w14:textId="77777777" w:rsidR="00E14E70" w:rsidRPr="00E14E70" w:rsidRDefault="00E14E70" w:rsidP="00E14E70">
            <w:pPr>
              <w:rPr>
                <w:sz w:val="20"/>
                <w:szCs w:val="20"/>
              </w:rPr>
            </w:pPr>
          </w:p>
          <w:p w14:paraId="36B06054" w14:textId="07F1A644" w:rsidR="00E14E70" w:rsidRDefault="00E14E70" w:rsidP="00E14E70">
            <w:pPr>
              <w:rPr>
                <w:sz w:val="20"/>
                <w:szCs w:val="20"/>
              </w:rPr>
            </w:pPr>
            <w:r w:rsidRPr="00E14E70">
              <w:rPr>
                <w:sz w:val="20"/>
                <w:szCs w:val="20"/>
              </w:rPr>
              <w:t>The GRA evaluates a community's capacity to accommodate residential growth across eight interrelated dimensions, ranging from the availability of developable land to the strength of the local construction industry. Rather than relying on a single indicator or a broad subjective judgment, the GRA draws on a questionnaire completed by knowledgeable local stakeholders (capturing both documented facts and informed perception) to build a multidimensional picture of where a community stands.</w:t>
            </w:r>
          </w:p>
          <w:p w14:paraId="3E0A88E6" w14:textId="77777777" w:rsidR="00ED7CE7" w:rsidRDefault="00ED7CE7" w:rsidP="00E14E70">
            <w:pPr>
              <w:rPr>
                <w:sz w:val="20"/>
                <w:szCs w:val="20"/>
              </w:rPr>
            </w:pPr>
          </w:p>
          <w:p w14:paraId="3A62BDF0" w14:textId="2562275B" w:rsidR="00E14E70" w:rsidRPr="00E14E70" w:rsidRDefault="00ED7CE7" w:rsidP="00E14E70">
            <w:pPr>
              <w:rPr>
                <w:sz w:val="20"/>
                <w:szCs w:val="20"/>
              </w:rPr>
            </w:pPr>
            <w:r>
              <w:rPr>
                <w:sz w:val="20"/>
                <w:szCs w:val="20"/>
              </w:rPr>
              <w:t>The GRA</w:t>
            </w:r>
            <w:r w:rsidR="00E14E70" w:rsidRPr="00E14E70">
              <w:rPr>
                <w:sz w:val="20"/>
                <w:szCs w:val="20"/>
              </w:rPr>
              <w:t xml:space="preserve"> is a diagnostic and planning tool. It is not a performance audit, a compliance check, or a ranking of communities against one another in a competitive sense. A community with considerable capacity constraints is not a poorly performing community. Instead, it may simply be one that faces geographic, demographic, or fiscal realities that require careful planning before growth can proceed.</w:t>
            </w:r>
          </w:p>
          <w:p w14:paraId="10A881A6" w14:textId="77777777" w:rsidR="00E14E70" w:rsidRPr="00E14E70" w:rsidRDefault="00E14E70" w:rsidP="00E14E70">
            <w:pPr>
              <w:rPr>
                <w:sz w:val="20"/>
                <w:szCs w:val="20"/>
              </w:rPr>
            </w:pPr>
          </w:p>
          <w:p w14:paraId="22AAB8C8" w14:textId="77777777" w:rsidR="00E14E70" w:rsidRDefault="00E14E70" w:rsidP="00E14E70">
            <w:pPr>
              <w:rPr>
                <w:sz w:val="20"/>
                <w:szCs w:val="20"/>
              </w:rPr>
            </w:pPr>
            <w:r w:rsidRPr="00E14E70">
              <w:rPr>
                <w:sz w:val="20"/>
                <w:szCs w:val="20"/>
              </w:rPr>
              <w:t>Finally, the GRA is a perception-based tool, at least in part. Many of the questions ask respondents to characterize current conditions based on their knowledge and experience. This is intentional: local knowledge is often the most accurate and timely information available in smaller communities, and stakeholder perception of readiness is itself a meaningful input into planning decisions. Where more precise technical data exists (such as infrastructure capacity studies or financial statements), respondents are encouraged to ground their answers in that information.</w:t>
            </w:r>
          </w:p>
          <w:p w14:paraId="5C5B4E3A" w14:textId="77777777" w:rsidR="005F6894" w:rsidRDefault="005F6894" w:rsidP="00E14E70">
            <w:pPr>
              <w:rPr>
                <w:sz w:val="20"/>
                <w:szCs w:val="20"/>
              </w:rPr>
            </w:pPr>
          </w:p>
          <w:p w14:paraId="2F86B93F" w14:textId="77777777" w:rsidR="005F6894" w:rsidRDefault="005F6894" w:rsidP="00E14E70">
            <w:pPr>
              <w:rPr>
                <w:sz w:val="20"/>
                <w:szCs w:val="20"/>
              </w:rPr>
            </w:pPr>
            <w:r>
              <w:rPr>
                <w:sz w:val="20"/>
                <w:szCs w:val="20"/>
              </w:rPr>
              <w:t>Users can access the following HNA Blueprint documentation regarding the GRA:</w:t>
            </w:r>
          </w:p>
          <w:p w14:paraId="0ED93CE9" w14:textId="77777777" w:rsidR="005F6894" w:rsidRDefault="005F6894" w:rsidP="00E14E70">
            <w:pPr>
              <w:rPr>
                <w:sz w:val="20"/>
                <w:szCs w:val="20"/>
              </w:rPr>
            </w:pPr>
          </w:p>
          <w:p w14:paraId="5C3290B5" w14:textId="77777777" w:rsidR="005F6894" w:rsidRDefault="004344ED" w:rsidP="004344ED">
            <w:pPr>
              <w:pStyle w:val="ListParagraph"/>
              <w:numPr>
                <w:ilvl w:val="0"/>
                <w:numId w:val="24"/>
              </w:numPr>
              <w:ind w:left="697"/>
              <w:rPr>
                <w:sz w:val="20"/>
                <w:szCs w:val="20"/>
              </w:rPr>
            </w:pPr>
            <w:r>
              <w:rPr>
                <w:sz w:val="20"/>
                <w:szCs w:val="20"/>
              </w:rPr>
              <w:t>Guidebook – Growth Readiness Assessment</w:t>
            </w:r>
          </w:p>
          <w:p w14:paraId="7D85FFF3" w14:textId="77777777" w:rsidR="004344ED" w:rsidRDefault="00EC47C4" w:rsidP="004344ED">
            <w:pPr>
              <w:pStyle w:val="ListParagraph"/>
              <w:numPr>
                <w:ilvl w:val="0"/>
                <w:numId w:val="24"/>
              </w:numPr>
              <w:ind w:left="697"/>
              <w:rPr>
                <w:sz w:val="20"/>
                <w:szCs w:val="20"/>
              </w:rPr>
            </w:pPr>
            <w:r>
              <w:rPr>
                <w:sz w:val="20"/>
                <w:szCs w:val="20"/>
              </w:rPr>
              <w:t>Template – Growth Readiness Assessment (Fillable Excel Form)</w:t>
            </w:r>
          </w:p>
          <w:p w14:paraId="3C8C05C8" w14:textId="77777777" w:rsidR="00EC47C4" w:rsidRDefault="00EC47C4" w:rsidP="004344ED">
            <w:pPr>
              <w:pStyle w:val="ListParagraph"/>
              <w:numPr>
                <w:ilvl w:val="0"/>
                <w:numId w:val="24"/>
              </w:numPr>
              <w:ind w:left="697"/>
              <w:rPr>
                <w:sz w:val="20"/>
                <w:szCs w:val="20"/>
              </w:rPr>
            </w:pPr>
            <w:r>
              <w:rPr>
                <w:sz w:val="20"/>
                <w:szCs w:val="20"/>
              </w:rPr>
              <w:t>Template – Growth Readiness Assessment (Questionnaire)</w:t>
            </w:r>
          </w:p>
          <w:p w14:paraId="16560579" w14:textId="77777777" w:rsidR="00EC47C4" w:rsidRDefault="00EC47C4" w:rsidP="00EC47C4">
            <w:pPr>
              <w:rPr>
                <w:sz w:val="20"/>
                <w:szCs w:val="20"/>
              </w:rPr>
            </w:pPr>
          </w:p>
          <w:p w14:paraId="667A168D" w14:textId="57D3B40A" w:rsidR="00EC47C4" w:rsidRPr="00EC47C4" w:rsidRDefault="00543AF8" w:rsidP="00EC47C4">
            <w:pPr>
              <w:rPr>
                <w:sz w:val="20"/>
                <w:szCs w:val="20"/>
              </w:rPr>
            </w:pPr>
            <w:r>
              <w:rPr>
                <w:sz w:val="20"/>
                <w:szCs w:val="20"/>
              </w:rPr>
              <w:t>How the GRA is used (or used at all) is up to the user</w:t>
            </w:r>
            <w:r w:rsidR="0033478C">
              <w:rPr>
                <w:sz w:val="20"/>
                <w:szCs w:val="20"/>
              </w:rPr>
              <w:t xml:space="preserve">. Some may prefer to use it as a background document; whereas, others may wish to use it in public facing documents. Should </w:t>
            </w:r>
            <w:r w:rsidR="004E68B5">
              <w:rPr>
                <w:sz w:val="20"/>
                <w:szCs w:val="20"/>
              </w:rPr>
              <w:t xml:space="preserve">the latter be preferred, it can </w:t>
            </w:r>
            <w:r w:rsidR="00223CF1">
              <w:rPr>
                <w:sz w:val="20"/>
                <w:szCs w:val="20"/>
              </w:rPr>
              <w:t xml:space="preserve">be </w:t>
            </w:r>
            <w:r w:rsidR="004E68B5">
              <w:rPr>
                <w:sz w:val="20"/>
                <w:szCs w:val="20"/>
              </w:rPr>
              <w:t xml:space="preserve">discussed or illustrated in this section in a manner considered most appropriate for the geographic level and </w:t>
            </w:r>
            <w:r w:rsidR="00743182">
              <w:rPr>
                <w:sz w:val="20"/>
                <w:szCs w:val="20"/>
              </w:rPr>
              <w:t>user type.</w:t>
            </w:r>
          </w:p>
        </w:tc>
      </w:tr>
    </w:tbl>
    <w:p w14:paraId="306B3688" w14:textId="77777777" w:rsidR="00E44F55" w:rsidRPr="00887119" w:rsidRDefault="00E44F55" w:rsidP="00EA0B7D"/>
    <w:p w14:paraId="575216F3" w14:textId="77777777" w:rsidR="00842C98" w:rsidRPr="00887119" w:rsidRDefault="00842C98" w:rsidP="00EA0B7D"/>
    <w:p w14:paraId="0E8E1982" w14:textId="6CE64466" w:rsidR="003E25EF" w:rsidRPr="002155EE" w:rsidRDefault="003E25EF" w:rsidP="002155EE">
      <w:pPr>
        <w:spacing w:after="160"/>
        <w:jc w:val="left"/>
        <w:rPr>
          <w:rFonts w:eastAsiaTheme="majorEastAsia" w:cstheme="majorBidi"/>
          <w:b/>
          <w:color w:val="8AA2BA" w:themeColor="accent1" w:themeShade="BF"/>
          <w:sz w:val="56"/>
          <w:szCs w:val="32"/>
        </w:rPr>
      </w:pPr>
    </w:p>
    <w:sectPr w:rsidR="003E25EF" w:rsidRPr="002155EE" w:rsidSect="002B6159">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BA39" w14:textId="77777777" w:rsidR="006D2C6B" w:rsidRPr="00887119" w:rsidRDefault="006D2C6B" w:rsidP="00CE2AC7">
      <w:pPr>
        <w:spacing w:line="240" w:lineRule="auto"/>
      </w:pPr>
      <w:r w:rsidRPr="00887119">
        <w:separator/>
      </w:r>
    </w:p>
  </w:endnote>
  <w:endnote w:type="continuationSeparator" w:id="0">
    <w:p w14:paraId="2350FCF4" w14:textId="77777777" w:rsidR="006D2C6B" w:rsidRPr="00887119" w:rsidRDefault="006D2C6B" w:rsidP="00CE2AC7">
      <w:pPr>
        <w:spacing w:line="240" w:lineRule="auto"/>
      </w:pPr>
      <w:r w:rsidRPr="00887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060925"/>
      <w:docPartObj>
        <w:docPartGallery w:val="Page Numbers (Bottom of Page)"/>
        <w:docPartUnique/>
      </w:docPartObj>
    </w:sdtPr>
    <w:sdtEndPr/>
    <w:sdtContent>
      <w:p w14:paraId="181E84A5" w14:textId="18981D28" w:rsidR="00E4454C" w:rsidRPr="00887119" w:rsidRDefault="00E4454C">
        <w:pPr>
          <w:pStyle w:val="Footer"/>
          <w:jc w:val="right"/>
        </w:pPr>
        <w:r w:rsidRPr="00887119">
          <w:fldChar w:fldCharType="begin"/>
        </w:r>
        <w:r w:rsidRPr="00887119">
          <w:instrText xml:space="preserve"> PAGE   \* MERGEFORMAT </w:instrText>
        </w:r>
        <w:r w:rsidRPr="00887119">
          <w:fldChar w:fldCharType="separate"/>
        </w:r>
        <w:r w:rsidRPr="00887119">
          <w:t>2</w:t>
        </w:r>
        <w:r w:rsidRPr="00887119">
          <w:fldChar w:fldCharType="end"/>
        </w:r>
      </w:p>
    </w:sdtContent>
  </w:sdt>
  <w:p w14:paraId="22992591" w14:textId="77777777" w:rsidR="00E4454C" w:rsidRPr="00887119" w:rsidRDefault="00E44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ADBA2" w14:textId="77777777" w:rsidR="006D2C6B" w:rsidRPr="00887119" w:rsidRDefault="006D2C6B" w:rsidP="00CE2AC7">
      <w:pPr>
        <w:spacing w:line="240" w:lineRule="auto"/>
      </w:pPr>
      <w:r w:rsidRPr="00887119">
        <w:separator/>
      </w:r>
    </w:p>
  </w:footnote>
  <w:footnote w:type="continuationSeparator" w:id="0">
    <w:p w14:paraId="13552727" w14:textId="77777777" w:rsidR="006D2C6B" w:rsidRPr="00887119" w:rsidRDefault="006D2C6B" w:rsidP="00CE2AC7">
      <w:pPr>
        <w:spacing w:line="240" w:lineRule="auto"/>
      </w:pPr>
      <w:r w:rsidRPr="00887119">
        <w:continuationSeparator/>
      </w:r>
    </w:p>
  </w:footnote>
  <w:footnote w:id="1">
    <w:p w14:paraId="0A05A3D0" w14:textId="03A16622" w:rsidR="005633C6" w:rsidRPr="00887119" w:rsidRDefault="005633C6" w:rsidP="00607D86">
      <w:pPr>
        <w:pStyle w:val="Footnote"/>
      </w:pPr>
      <w:r w:rsidRPr="00887119">
        <w:rPr>
          <w:rStyle w:val="FootnoteReference"/>
        </w:rPr>
        <w:footnoteRef/>
      </w:r>
      <w:r w:rsidRPr="00887119">
        <w:t xml:space="preserve"> </w:t>
      </w:r>
      <w:r w:rsidR="00A776F5" w:rsidRPr="00887119">
        <w:t xml:space="preserve">Government of Prince Edward Island. (2024). </w:t>
      </w:r>
      <w:hyperlink r:id="rId1" w:history="1">
        <w:r w:rsidR="00A776F5" w:rsidRPr="00887119">
          <w:rPr>
            <w:rStyle w:val="Hyperlink"/>
            <w:i/>
            <w:iCs/>
          </w:rPr>
          <w:t>Building Together: Prince Edward Island Housing Strategy 2024–2029</w:t>
        </w:r>
      </w:hyperlink>
      <w:r w:rsidR="00A776F5" w:rsidRPr="00887119">
        <w:t xml:space="preserve">. Department of Housing, Land and Communities. </w:t>
      </w:r>
    </w:p>
  </w:footnote>
  <w:footnote w:id="2">
    <w:p w14:paraId="46B16E20" w14:textId="781A93D9" w:rsidR="00B3248A" w:rsidRPr="00887119" w:rsidRDefault="00B3248A" w:rsidP="00607D86">
      <w:pPr>
        <w:pStyle w:val="Footnote"/>
      </w:pPr>
      <w:r w:rsidRPr="00887119">
        <w:rPr>
          <w:rStyle w:val="FootnoteReference"/>
        </w:rPr>
        <w:footnoteRef/>
      </w:r>
      <w:r w:rsidRPr="00887119">
        <w:t xml:space="preserve"> </w:t>
      </w:r>
      <w:r w:rsidR="00CF2863" w:rsidRPr="00887119">
        <w:t xml:space="preserve">Government of Canada. (2019). </w:t>
      </w:r>
      <w:hyperlink r:id="rId2" w:history="1">
        <w:r w:rsidR="00CF2863" w:rsidRPr="00887119">
          <w:rPr>
            <w:rStyle w:val="Hyperlink"/>
            <w:i/>
            <w:iCs/>
          </w:rPr>
          <w:t>National Housing Strategy Act</w:t>
        </w:r>
      </w:hyperlink>
      <w:r w:rsidR="00CF2863" w:rsidRPr="00887119">
        <w:t>, S.C. 2019, c. 29</w:t>
      </w:r>
      <w:r w:rsidR="00BE7CA4" w:rsidRPr="00887119">
        <w:t>, Section 4</w:t>
      </w:r>
      <w:r w:rsidR="00CF2863" w:rsidRPr="00887119">
        <w:t xml:space="preserve">. Department of Justice. </w:t>
      </w:r>
    </w:p>
  </w:footnote>
  <w:footnote w:id="3">
    <w:p w14:paraId="38BE9455" w14:textId="50972E8A" w:rsidR="00F14214" w:rsidRPr="00887119" w:rsidRDefault="00F14214" w:rsidP="00607D86">
      <w:pPr>
        <w:pStyle w:val="Footnote"/>
      </w:pPr>
      <w:r w:rsidRPr="00887119">
        <w:rPr>
          <w:rStyle w:val="FootnoteReference"/>
        </w:rPr>
        <w:footnoteRef/>
      </w:r>
      <w:r w:rsidRPr="00887119">
        <w:t xml:space="preserve"> </w:t>
      </w:r>
      <w:r w:rsidR="00090696" w:rsidRPr="00887119">
        <w:t xml:space="preserve">United Nations. (1966). </w:t>
      </w:r>
      <w:hyperlink r:id="rId3" w:history="1">
        <w:r w:rsidR="00090696" w:rsidRPr="00887119">
          <w:rPr>
            <w:rStyle w:val="Hyperlink"/>
            <w:i/>
            <w:iCs/>
          </w:rPr>
          <w:t>International Covenant on Economic, Social and Cultural Rights</w:t>
        </w:r>
      </w:hyperlink>
      <w:r w:rsidR="00090696" w:rsidRPr="00887119">
        <w:t xml:space="preserve">. United Nations General Assembly Resolution 2200A (XXI). </w:t>
      </w:r>
    </w:p>
  </w:footnote>
  <w:footnote w:id="4">
    <w:p w14:paraId="12023D3F" w14:textId="1C178CF5" w:rsidR="00483B8A" w:rsidRPr="00887119" w:rsidRDefault="00483B8A" w:rsidP="00607D86">
      <w:pPr>
        <w:pStyle w:val="Footnote"/>
      </w:pPr>
      <w:r w:rsidRPr="00887119">
        <w:rPr>
          <w:rStyle w:val="FootnoteReference"/>
        </w:rPr>
        <w:footnoteRef/>
      </w:r>
      <w:r w:rsidRPr="00887119">
        <w:t xml:space="preserve"> Canadian Centre for Policy Alternatives</w:t>
      </w:r>
      <w:r w:rsidR="004E60CA" w:rsidRPr="00887119">
        <w:t xml:space="preserve">. (2021). </w:t>
      </w:r>
      <w:hyperlink r:id="rId4" w:history="1">
        <w:r w:rsidR="004E60CA" w:rsidRPr="00887119">
          <w:rPr>
            <w:rStyle w:val="Hyperlink"/>
            <w:i/>
            <w:iCs/>
          </w:rPr>
          <w:t>The Cost of Poverty in the Atlantic Provinces</w:t>
        </w:r>
      </w:hyperlink>
      <w:r w:rsidR="004E60CA" w:rsidRPr="00887119">
        <w:t>.</w:t>
      </w:r>
      <w:r w:rsidRPr="00887119">
        <w:t xml:space="preserve"> </w:t>
      </w:r>
      <w:r w:rsidR="002C18F9" w:rsidRPr="00887119">
        <w:t xml:space="preserve">Nova Scotia Alternative Budget.  </w:t>
      </w:r>
    </w:p>
  </w:footnote>
  <w:footnote w:id="5">
    <w:p w14:paraId="1AEEA72A" w14:textId="77777777" w:rsidR="00A01A39" w:rsidRPr="00887119" w:rsidRDefault="00A01A39" w:rsidP="00607D86">
      <w:pPr>
        <w:pStyle w:val="Footnote"/>
      </w:pPr>
      <w:r w:rsidRPr="00887119">
        <w:rPr>
          <w:rStyle w:val="FootnoteReference"/>
        </w:rPr>
        <w:footnoteRef/>
      </w:r>
      <w:r w:rsidRPr="00887119">
        <w:t xml:space="preserve"> Canadian Mortgage and Housing Corporation. (2018). </w:t>
      </w:r>
      <w:hyperlink r:id="rId5" w:history="1">
        <w:r w:rsidRPr="00887119">
          <w:rPr>
            <w:rStyle w:val="Hyperlink"/>
            <w:i/>
            <w:iCs/>
          </w:rPr>
          <w:t>About Affordable Housing in Canada</w:t>
        </w:r>
      </w:hyperlink>
      <w:r w:rsidRPr="00887119">
        <w:t xml:space="preserve">. </w:t>
      </w:r>
    </w:p>
  </w:footnote>
  <w:footnote w:id="6">
    <w:p w14:paraId="37C079B8" w14:textId="77777777" w:rsidR="00A01A39" w:rsidRPr="00887119" w:rsidRDefault="00A01A39" w:rsidP="00607D86">
      <w:pPr>
        <w:pStyle w:val="Footnote"/>
      </w:pPr>
      <w:r w:rsidRPr="00887119">
        <w:rPr>
          <w:rStyle w:val="FootnoteReference"/>
        </w:rPr>
        <w:footnoteRef/>
      </w:r>
      <w:r w:rsidRPr="00887119">
        <w:t xml:space="preserve"> City of Kelowna. (2019). </w:t>
      </w:r>
      <w:hyperlink r:id="rId6" w:history="1">
        <w:r w:rsidRPr="00887119">
          <w:rPr>
            <w:rStyle w:val="Hyperlink"/>
            <w:i/>
            <w:iCs/>
          </w:rPr>
          <w:t>The Housing Wheelhouse</w:t>
        </w:r>
      </w:hyperlink>
      <w:r w:rsidRPr="00887119">
        <w:t xml:space="preserve">. </w:t>
      </w:r>
    </w:p>
  </w:footnote>
  <w:footnote w:id="7">
    <w:p w14:paraId="06241098" w14:textId="441A5D1B" w:rsidR="001973BB" w:rsidRPr="00887119" w:rsidRDefault="001973BB" w:rsidP="00607D86">
      <w:pPr>
        <w:pStyle w:val="Footnote"/>
      </w:pPr>
      <w:r w:rsidRPr="00887119">
        <w:rPr>
          <w:rStyle w:val="FootnoteReference"/>
        </w:rPr>
        <w:footnoteRef/>
      </w:r>
      <w:r w:rsidRPr="00887119">
        <w:t xml:space="preserve"> Housing, Infrastructure and Communities Canada. (2024). </w:t>
      </w:r>
      <w:hyperlink r:id="rId7" w:history="1">
        <w:r w:rsidRPr="00887119">
          <w:rPr>
            <w:rStyle w:val="Hyperlink"/>
            <w:i/>
            <w:iCs/>
          </w:rPr>
          <w:t>About the National Housing Strategy</w:t>
        </w:r>
      </w:hyperlink>
      <w:r w:rsidRPr="00887119">
        <w:t xml:space="preserve">. Government of Canada. </w:t>
      </w:r>
    </w:p>
  </w:footnote>
  <w:footnote w:id="8">
    <w:p w14:paraId="1D8690CA" w14:textId="6F37E76F" w:rsidR="00366C59" w:rsidRPr="00887119" w:rsidRDefault="00366C59" w:rsidP="00607D86">
      <w:pPr>
        <w:pStyle w:val="Footnote"/>
      </w:pPr>
      <w:r w:rsidRPr="00887119">
        <w:rPr>
          <w:rStyle w:val="FootnoteReference"/>
        </w:rPr>
        <w:footnoteRef/>
      </w:r>
      <w:r w:rsidRPr="00887119">
        <w:t xml:space="preserve"> </w:t>
      </w:r>
      <w:r w:rsidR="0042635E" w:rsidRPr="00887119">
        <w:t xml:space="preserve">Statistics Canada. Table 36-10-0434-01 Gross domestic product (GDP) at basic prices, by industry, monthly (x 1,000,000). DOI: </w:t>
      </w:r>
      <w:hyperlink r:id="rId8" w:history="1">
        <w:r w:rsidR="0042635E" w:rsidRPr="00887119">
          <w:rPr>
            <w:rStyle w:val="Hyperlink"/>
          </w:rPr>
          <w:t>https://doi.org/10.25318/3610043401-eng</w:t>
        </w:r>
      </w:hyperlink>
    </w:p>
  </w:footnote>
  <w:footnote w:id="9">
    <w:p w14:paraId="238BE56D" w14:textId="627A28F9" w:rsidR="00484C3E" w:rsidRPr="00887119" w:rsidRDefault="00484C3E" w:rsidP="00607D86">
      <w:pPr>
        <w:pStyle w:val="Footnote"/>
      </w:pPr>
      <w:r w:rsidRPr="00887119">
        <w:rPr>
          <w:rStyle w:val="FootnoteReference"/>
        </w:rPr>
        <w:footnoteRef/>
      </w:r>
      <w:r w:rsidRPr="00887119">
        <w:t xml:space="preserve"> Canadian Home Builders’ Association.</w:t>
      </w:r>
      <w:r w:rsidR="00FF26ED" w:rsidRPr="00887119">
        <w:t xml:space="preserve"> (2025). </w:t>
      </w:r>
      <w:hyperlink r:id="rId9" w:history="1">
        <w:r w:rsidR="00FF26ED" w:rsidRPr="00887119">
          <w:rPr>
            <w:rStyle w:val="Hyperlink"/>
            <w:i/>
            <w:iCs/>
          </w:rPr>
          <w:t>Economic Impacts</w:t>
        </w:r>
      </w:hyperlink>
      <w:r w:rsidR="00FF26ED" w:rsidRPr="00887119">
        <w:t>.</w:t>
      </w:r>
      <w:r w:rsidRPr="00887119">
        <w:t xml:space="preserve"> </w:t>
      </w:r>
    </w:p>
  </w:footnote>
  <w:footnote w:id="10">
    <w:p w14:paraId="5632C137" w14:textId="09573C4A" w:rsidR="006C21B0" w:rsidRPr="00887119" w:rsidRDefault="006C21B0" w:rsidP="00607D86">
      <w:pPr>
        <w:pStyle w:val="Footnote"/>
      </w:pPr>
      <w:r w:rsidRPr="00887119">
        <w:rPr>
          <w:rStyle w:val="FootnoteReference"/>
        </w:rPr>
        <w:footnoteRef/>
      </w:r>
      <w:r w:rsidRPr="00887119">
        <w:t xml:space="preserve"> Graetz, N., et al. (2024). </w:t>
      </w:r>
      <w:hyperlink r:id="rId10" w:history="1">
        <w:r w:rsidRPr="00887119">
          <w:rPr>
            <w:rStyle w:val="Hyperlink"/>
            <w:i/>
            <w:iCs/>
          </w:rPr>
          <w:t>Does receipt of social housing impact mental health? Results of a quasi-experimental study in the Greater Toronto Area</w:t>
        </w:r>
      </w:hyperlink>
      <w:r w:rsidRPr="00887119">
        <w:t xml:space="preserve">. </w:t>
      </w:r>
      <w:r w:rsidRPr="00887119">
        <w:rPr>
          <w:i/>
          <w:iCs/>
        </w:rPr>
        <w:t>Social Science &amp; Medicine</w:t>
      </w:r>
      <w:r w:rsidRPr="00887119">
        <w:t xml:space="preserve">, 362. </w:t>
      </w:r>
    </w:p>
  </w:footnote>
  <w:footnote w:id="11">
    <w:p w14:paraId="6C0976F4" w14:textId="22EAB52C" w:rsidR="00E2152B" w:rsidRPr="00887119" w:rsidRDefault="00E2152B" w:rsidP="00607D86">
      <w:pPr>
        <w:pStyle w:val="Footnote"/>
      </w:pPr>
      <w:r w:rsidRPr="00887119">
        <w:rPr>
          <w:rStyle w:val="FootnoteReference"/>
        </w:rPr>
        <w:footnoteRef/>
      </w:r>
      <w:r w:rsidRPr="00887119">
        <w:t xml:space="preserve"> Statistics Canada. (2025). </w:t>
      </w:r>
      <w:hyperlink r:id="rId11" w:history="1">
        <w:r w:rsidRPr="00887119">
          <w:rPr>
            <w:rStyle w:val="Hyperlink"/>
            <w:i/>
            <w:iCs/>
          </w:rPr>
          <w:t>Research to Insights: Perspectives on Affordability and Inequality</w:t>
        </w:r>
      </w:hyperlink>
      <w:r w:rsidRPr="00887119">
        <w:t xml:space="preserve"> (Catalogue no. 11-631-X). Government of Canada. </w:t>
      </w:r>
    </w:p>
  </w:footnote>
  <w:footnote w:id="12">
    <w:p w14:paraId="7D884EBC" w14:textId="548F330C" w:rsidR="005A54BD" w:rsidRPr="00887119" w:rsidRDefault="005A54BD" w:rsidP="00607D86">
      <w:pPr>
        <w:pStyle w:val="Footnote"/>
      </w:pPr>
      <w:r w:rsidRPr="00887119">
        <w:rPr>
          <w:rStyle w:val="FootnoteReference"/>
        </w:rPr>
        <w:footnoteRef/>
      </w:r>
      <w:r w:rsidR="00751012" w:rsidRPr="00887119">
        <w:t xml:space="preserve"> </w:t>
      </w:r>
      <w:r w:rsidR="00EF3333" w:rsidRPr="00887119">
        <w:t xml:space="preserve">Government of Prince Edward Island. (2024). </w:t>
      </w:r>
      <w:hyperlink r:id="rId12" w:history="1">
        <w:r w:rsidR="00EF3333" w:rsidRPr="00887119">
          <w:rPr>
            <w:rStyle w:val="Hyperlink"/>
            <w:i/>
            <w:iCs/>
          </w:rPr>
          <w:t>Building Together: Prince Edward Island Housing Strategy 2024–2029</w:t>
        </w:r>
      </w:hyperlink>
      <w:r w:rsidR="00EF3333" w:rsidRPr="00887119">
        <w:t>. Department of Housing, Land and Communities.</w:t>
      </w:r>
    </w:p>
  </w:footnote>
  <w:footnote w:id="13">
    <w:p w14:paraId="71417C34" w14:textId="56FFEC9E" w:rsidR="005A54BD" w:rsidRPr="00887119" w:rsidRDefault="005A54BD" w:rsidP="00607D86">
      <w:pPr>
        <w:pStyle w:val="Footnote"/>
      </w:pPr>
      <w:r w:rsidRPr="00887119">
        <w:rPr>
          <w:rStyle w:val="FootnoteReference"/>
        </w:rPr>
        <w:footnoteRef/>
      </w:r>
      <w:r w:rsidR="00751012" w:rsidRPr="00887119">
        <w:t xml:space="preserve"> </w:t>
      </w:r>
      <w:r w:rsidRPr="00887119">
        <w:t xml:space="preserve">Government of Canada. (2019). </w:t>
      </w:r>
      <w:hyperlink r:id="rId13" w:history="1">
        <w:r w:rsidRPr="00887119">
          <w:rPr>
            <w:rStyle w:val="Hyperlink"/>
            <w:i/>
            <w:iCs/>
          </w:rPr>
          <w:t>National Housing Strategy Act</w:t>
        </w:r>
      </w:hyperlink>
      <w:r w:rsidRPr="00887119">
        <w:t>, S.C. 2019, c. 29.</w:t>
      </w:r>
    </w:p>
  </w:footnote>
  <w:footnote w:id="14">
    <w:p w14:paraId="7846C51B" w14:textId="27759DDD" w:rsidR="005A54BD" w:rsidRPr="00887119" w:rsidRDefault="005A54BD" w:rsidP="00607D86">
      <w:pPr>
        <w:pStyle w:val="Footnote"/>
      </w:pPr>
      <w:r w:rsidRPr="00887119">
        <w:rPr>
          <w:rStyle w:val="FootnoteReference"/>
        </w:rPr>
        <w:footnoteRef/>
      </w:r>
      <w:r w:rsidR="00751012" w:rsidRPr="00887119">
        <w:t xml:space="preserve"> </w:t>
      </w:r>
      <w:r w:rsidR="007B6175" w:rsidRPr="00887119">
        <w:t xml:space="preserve">Tarasuk, V. (2021). </w:t>
      </w:r>
      <w:hyperlink r:id="rId14" w:history="1">
        <w:r w:rsidR="007B6175" w:rsidRPr="00887119">
          <w:rPr>
            <w:rStyle w:val="Hyperlink"/>
            <w:i/>
            <w:iCs/>
          </w:rPr>
          <w:t>Prince Edward Island: The first jurisdiction to set explicit targets for reducing food insecurity</w:t>
        </w:r>
      </w:hyperlink>
      <w:r w:rsidR="007B6175" w:rsidRPr="00887119">
        <w:t xml:space="preserve">. PROOF Food Insecurity Policy Research, University of Toronto. </w:t>
      </w:r>
    </w:p>
  </w:footnote>
  <w:footnote w:id="15">
    <w:p w14:paraId="2327C0E8" w14:textId="3F19F2DE" w:rsidR="005A54BD" w:rsidRPr="00887119" w:rsidRDefault="005A54BD" w:rsidP="00607D86">
      <w:pPr>
        <w:pStyle w:val="Footnote"/>
      </w:pPr>
      <w:r w:rsidRPr="00887119">
        <w:rPr>
          <w:rStyle w:val="FootnoteReference"/>
        </w:rPr>
        <w:footnoteRef/>
      </w:r>
      <w:r w:rsidR="00751012" w:rsidRPr="00887119">
        <w:t xml:space="preserve"> </w:t>
      </w:r>
      <w:r w:rsidRPr="00887119">
        <w:t xml:space="preserve">Government of Prince Edward Island. (2025, February 12). </w:t>
      </w:r>
      <w:hyperlink r:id="rId15" w:history="1">
        <w:r w:rsidRPr="00887119">
          <w:rPr>
            <w:rStyle w:val="Hyperlink"/>
            <w:i/>
            <w:iCs/>
          </w:rPr>
          <w:t>Province implements actions on land</w:t>
        </w:r>
      </w:hyperlink>
      <w:r w:rsidRPr="00887119">
        <w:t>. Department of Housing, Land and Communities.</w:t>
      </w:r>
    </w:p>
  </w:footnote>
  <w:footnote w:id="16">
    <w:p w14:paraId="4720482B" w14:textId="1F12C7EB" w:rsidR="005A54BD" w:rsidRPr="00887119" w:rsidRDefault="005A54BD" w:rsidP="00607D86">
      <w:pPr>
        <w:pStyle w:val="Footnote"/>
      </w:pPr>
      <w:r w:rsidRPr="00887119">
        <w:rPr>
          <w:rStyle w:val="FootnoteReference"/>
        </w:rPr>
        <w:footnoteRef/>
      </w:r>
      <w:r w:rsidR="00751012" w:rsidRPr="00887119">
        <w:t xml:space="preserve"> </w:t>
      </w:r>
      <w:r w:rsidR="004D5A83" w:rsidRPr="00887119">
        <w:t>Ibid.</w:t>
      </w:r>
    </w:p>
  </w:footnote>
  <w:footnote w:id="17">
    <w:p w14:paraId="05E8477B" w14:textId="3D8C6578" w:rsidR="00C76A0E" w:rsidRPr="00887119" w:rsidRDefault="00C76A0E" w:rsidP="00607D86">
      <w:pPr>
        <w:pStyle w:val="Footnote"/>
      </w:pPr>
      <w:r w:rsidRPr="00887119">
        <w:rPr>
          <w:rStyle w:val="FootnoteReference"/>
        </w:rPr>
        <w:footnoteRef/>
      </w:r>
      <w:r w:rsidR="00137F43" w:rsidRPr="00887119">
        <w:t xml:space="preserve"> </w:t>
      </w:r>
      <w:r w:rsidR="003A76B3" w:rsidRPr="00887119">
        <w:t xml:space="preserve">Government of Prince Edward Island. (2023, November 7). </w:t>
      </w:r>
      <w:hyperlink r:id="rId16" w:history="1">
        <w:r w:rsidR="003A76B3" w:rsidRPr="00887119">
          <w:rPr>
            <w:rStyle w:val="Hyperlink"/>
            <w:i/>
            <w:iCs/>
          </w:rPr>
          <w:t>Feedback requested on changes to the Planning Act</w:t>
        </w:r>
      </w:hyperlink>
      <w:r w:rsidR="003A76B3" w:rsidRPr="00887119">
        <w:t xml:space="preserve">. Department of Housing, Land and Communities. </w:t>
      </w:r>
    </w:p>
  </w:footnote>
  <w:footnote w:id="18">
    <w:p w14:paraId="3B0AFDF2" w14:textId="42150EFE" w:rsidR="00C76A0E" w:rsidRPr="00887119" w:rsidRDefault="00C76A0E" w:rsidP="00607D86">
      <w:pPr>
        <w:pStyle w:val="Footnote"/>
      </w:pPr>
      <w:r w:rsidRPr="00887119">
        <w:rPr>
          <w:rStyle w:val="FootnoteReference"/>
        </w:rPr>
        <w:footnoteRef/>
      </w:r>
      <w:r w:rsidR="00137F43" w:rsidRPr="00887119">
        <w:t xml:space="preserve"> </w:t>
      </w:r>
      <w:r w:rsidR="0031434D" w:rsidRPr="00887119">
        <w:t xml:space="preserve">Government of Prince Edward Island. (2024). </w:t>
      </w:r>
      <w:hyperlink r:id="rId17" w:history="1">
        <w:r w:rsidR="0031434D" w:rsidRPr="00887119">
          <w:rPr>
            <w:rStyle w:val="Hyperlink"/>
            <w:i/>
            <w:iCs/>
          </w:rPr>
          <w:t>Planning Act Subdivision and Development Regulations</w:t>
        </w:r>
      </w:hyperlink>
      <w:r w:rsidR="0031434D" w:rsidRPr="00887119">
        <w:t xml:space="preserve">, EC693/00, as amended August 1, 2024. Department of Housing, Land and Communities. </w:t>
      </w:r>
    </w:p>
  </w:footnote>
  <w:footnote w:id="19">
    <w:p w14:paraId="4E3D12D2" w14:textId="4A43E224" w:rsidR="00C76A0E" w:rsidRPr="00887119" w:rsidRDefault="00C76A0E" w:rsidP="00607D86">
      <w:pPr>
        <w:pStyle w:val="Footnote"/>
      </w:pPr>
      <w:r w:rsidRPr="00887119">
        <w:rPr>
          <w:rStyle w:val="FootnoteReference"/>
        </w:rPr>
        <w:footnoteRef/>
      </w:r>
      <w:r w:rsidR="00137F43" w:rsidRPr="00887119">
        <w:t xml:space="preserve"> </w:t>
      </w:r>
      <w:r w:rsidR="003A76B3" w:rsidRPr="00887119">
        <w:t xml:space="preserve">Government of Prince Edward Island. (2025, February 12). </w:t>
      </w:r>
      <w:hyperlink r:id="rId18" w:history="1">
        <w:r w:rsidR="003A76B3" w:rsidRPr="00887119">
          <w:rPr>
            <w:rStyle w:val="Hyperlink"/>
            <w:i/>
            <w:iCs/>
          </w:rPr>
          <w:t>Province implements actions on land</w:t>
        </w:r>
      </w:hyperlink>
      <w:r w:rsidR="003A76B3" w:rsidRPr="00887119">
        <w:t>. Department of Housing, Land and Communities.</w:t>
      </w:r>
    </w:p>
  </w:footnote>
  <w:footnote w:id="20">
    <w:p w14:paraId="650AA3D9" w14:textId="43856BC7" w:rsidR="00C76A0E" w:rsidRPr="00887119" w:rsidRDefault="00C76A0E" w:rsidP="00607D86">
      <w:pPr>
        <w:pStyle w:val="Footnote"/>
      </w:pPr>
      <w:r w:rsidRPr="00887119">
        <w:rPr>
          <w:rStyle w:val="FootnoteReference"/>
        </w:rPr>
        <w:footnoteRef/>
      </w:r>
      <w:r w:rsidR="00607D86" w:rsidRPr="00887119">
        <w:t xml:space="preserve"> Government of Prince Edward Island. (2025, February 12). </w:t>
      </w:r>
      <w:hyperlink r:id="rId19" w:history="1">
        <w:r w:rsidR="00607D86" w:rsidRPr="00887119">
          <w:rPr>
            <w:rStyle w:val="Hyperlink"/>
            <w:i/>
            <w:iCs/>
          </w:rPr>
          <w:t>State of the Island Report</w:t>
        </w:r>
      </w:hyperlink>
      <w:r w:rsidR="00607D86" w:rsidRPr="00887119">
        <w:t xml:space="preserve">. Department of Housing, Land and Communities. </w:t>
      </w:r>
    </w:p>
  </w:footnote>
  <w:footnote w:id="21">
    <w:p w14:paraId="2921D8FD" w14:textId="451528C7" w:rsidR="008544F1" w:rsidRPr="00887119" w:rsidRDefault="008544F1" w:rsidP="00607D86">
      <w:pPr>
        <w:pStyle w:val="Footnote"/>
      </w:pPr>
      <w:r w:rsidRPr="00887119">
        <w:rPr>
          <w:rStyle w:val="FootnoteReference"/>
        </w:rPr>
        <w:footnoteRef/>
      </w:r>
      <w:r w:rsidR="0067568F" w:rsidRPr="00887119">
        <w:t xml:space="preserve"> </w:t>
      </w:r>
      <w:r w:rsidR="005019FA" w:rsidRPr="00887119">
        <w:t xml:space="preserve">Canada Mortgage and Housing Corporation. </w:t>
      </w:r>
      <w:hyperlink r:id="rId20" w:history="1">
        <w:r w:rsidR="005019FA" w:rsidRPr="00887119">
          <w:rPr>
            <w:rStyle w:val="Hyperlink"/>
            <w:i/>
            <w:iCs/>
          </w:rPr>
          <w:t>Seed Funding (program closed)</w:t>
        </w:r>
      </w:hyperlink>
      <w:r w:rsidR="005019FA" w:rsidRPr="00887119">
        <w:t>.</w:t>
      </w:r>
    </w:p>
  </w:footnote>
  <w:footnote w:id="22">
    <w:p w14:paraId="484FCCA9" w14:textId="46070AA3" w:rsidR="008544F1" w:rsidRPr="00887119" w:rsidRDefault="008544F1" w:rsidP="00607D86">
      <w:pPr>
        <w:pStyle w:val="Footnote"/>
      </w:pPr>
      <w:r w:rsidRPr="00887119">
        <w:rPr>
          <w:rStyle w:val="FootnoteReference"/>
        </w:rPr>
        <w:footnoteRef/>
      </w:r>
      <w:r w:rsidR="00751012" w:rsidRPr="00887119">
        <w:t xml:space="preserve"> </w:t>
      </w:r>
      <w:r w:rsidR="00783E95" w:rsidRPr="00887119">
        <w:t xml:space="preserve">Prince Edward Island Housing Corporation. (2026). </w:t>
      </w:r>
      <w:hyperlink r:id="rId21" w:history="1">
        <w:r w:rsidR="00783E95" w:rsidRPr="00887119">
          <w:rPr>
            <w:rStyle w:val="Hyperlink"/>
            <w:i/>
            <w:iCs/>
          </w:rPr>
          <w:t>CMHC–PEI Three Year Action Plan (2026–2028)</w:t>
        </w:r>
      </w:hyperlink>
      <w:r w:rsidR="00783E95" w:rsidRPr="00887119">
        <w:t xml:space="preserve">. Government of Prince Edward Island. </w:t>
      </w:r>
    </w:p>
  </w:footnote>
  <w:footnote w:id="23">
    <w:p w14:paraId="442E7881" w14:textId="285E05CE" w:rsidR="00E801C7" w:rsidRPr="00887119" w:rsidRDefault="00E801C7" w:rsidP="00607D86">
      <w:pPr>
        <w:pStyle w:val="Footnote"/>
      </w:pPr>
      <w:r w:rsidRPr="00887119">
        <w:rPr>
          <w:rStyle w:val="FootnoteReference"/>
        </w:rPr>
        <w:footnoteRef/>
      </w:r>
      <w:r w:rsidR="00751012" w:rsidRPr="00887119">
        <w:t xml:space="preserve"> </w:t>
      </w:r>
      <w:r w:rsidR="00FA5379" w:rsidRPr="00887119">
        <w:t xml:space="preserve">Government of Prince Edward Island. (2018, January 9; last modified February 3, 2026). </w:t>
      </w:r>
      <w:hyperlink r:id="rId22" w:history="1">
        <w:r w:rsidR="00FA5379" w:rsidRPr="00887119">
          <w:rPr>
            <w:rStyle w:val="Hyperlink"/>
            <w:i/>
            <w:iCs/>
          </w:rPr>
          <w:t>Land Use Planning in Prince Edward Island</w:t>
        </w:r>
      </w:hyperlink>
      <w:r w:rsidR="00FA5379" w:rsidRPr="00887119">
        <w:t xml:space="preserve">. Department of Housing, Land and Communities. </w:t>
      </w:r>
    </w:p>
  </w:footnote>
  <w:footnote w:id="24">
    <w:p w14:paraId="53F34632" w14:textId="4AA7FAFB" w:rsidR="007E60FA" w:rsidRPr="00887119" w:rsidRDefault="007E60FA" w:rsidP="00607D86">
      <w:pPr>
        <w:pStyle w:val="Footnote"/>
      </w:pPr>
      <w:r w:rsidRPr="00887119">
        <w:rPr>
          <w:rStyle w:val="FootnoteReference"/>
        </w:rPr>
        <w:footnoteRef/>
      </w:r>
      <w:r w:rsidR="007B50EC" w:rsidRPr="00887119">
        <w:t xml:space="preserve"> </w:t>
      </w:r>
      <w:r w:rsidR="007518A4" w:rsidRPr="00887119">
        <w:t xml:space="preserve">Government of Prince Edward Island. (2025, February 12). </w:t>
      </w:r>
      <w:hyperlink r:id="rId23" w:history="1">
        <w:r w:rsidR="007518A4" w:rsidRPr="00887119">
          <w:rPr>
            <w:rStyle w:val="Hyperlink"/>
            <w:i/>
            <w:iCs/>
          </w:rPr>
          <w:t>State of the Island Report</w:t>
        </w:r>
      </w:hyperlink>
      <w:r w:rsidR="007518A4" w:rsidRPr="00887119">
        <w:t>. Department of Housing, Land and Communities.</w:t>
      </w:r>
    </w:p>
  </w:footnote>
  <w:footnote w:id="25">
    <w:p w14:paraId="24C2B476" w14:textId="77777777" w:rsidR="00952F0E" w:rsidRPr="00887119" w:rsidRDefault="00952F0E" w:rsidP="00607D86">
      <w:pPr>
        <w:pStyle w:val="Footnote"/>
      </w:pPr>
      <w:r w:rsidRPr="00887119">
        <w:rPr>
          <w:rStyle w:val="FootnoteReference"/>
        </w:rPr>
        <w:footnoteRef/>
      </w:r>
      <w:r w:rsidRPr="00887119">
        <w:t xml:space="preserve"> Statistics Canada. 2023. “HART - 2021 Census of Canada - Selected Characteristics of Census Households for Housing Need - Canada, All Provinces and Territories at the Census Division (CD) and Census Subdivision (CSD) Level [Custom Tabulation].” </w:t>
      </w:r>
      <w:r w:rsidRPr="00887119">
        <w:rPr>
          <w:i/>
          <w:iCs/>
        </w:rPr>
        <w:t>HART Custom Census Order - ORD-06922-K8P7F5, ORD-06989-C7H4H0, ORD-06990-D2D8R9, ORD-06993-V7C5W4, ORD-06995-J3N4P7, ORD-06997-C9W3K1</w:t>
      </w:r>
      <w:r w:rsidRPr="00887119">
        <w:t xml:space="preserve">. Borealis. </w:t>
      </w:r>
      <w:hyperlink r:id="rId24" w:history="1">
        <w:r w:rsidRPr="00887119">
          <w:rPr>
            <w:rStyle w:val="Hyperlink"/>
          </w:rPr>
          <w:t>https://doi.org/10.5683/SP3/8PUZQA</w:t>
        </w:r>
      </w:hyperlink>
      <w:r w:rsidRPr="00887119">
        <w:t xml:space="preserve">. </w:t>
      </w:r>
    </w:p>
  </w:footnote>
  <w:footnote w:id="26">
    <w:p w14:paraId="5C91C930" w14:textId="77777777" w:rsidR="00952F0E" w:rsidRPr="00887119" w:rsidRDefault="00952F0E" w:rsidP="00607D86">
      <w:pPr>
        <w:pStyle w:val="Footnote"/>
      </w:pPr>
      <w:r w:rsidRPr="00887119">
        <w:rPr>
          <w:rStyle w:val="FootnoteReference"/>
        </w:rPr>
        <w:footnoteRef/>
      </w:r>
      <w:r w:rsidRPr="00887119">
        <w:t xml:space="preserve"> Arbenser, L.; Bernard, M.-C.; Dormer, A.; and Vipond, O. (2024, July 30). Short-term rentals in the Canadian housing market. </w:t>
      </w:r>
      <w:hyperlink r:id="rId25" w:history="1">
        <w:r w:rsidRPr="00887119">
          <w:rPr>
            <w:rStyle w:val="Hyperlink"/>
          </w:rPr>
          <w:t>https://www150.statcan.gc.ca/n1/pub/11-621-m/11-621-m2024010-eng.htm</w:t>
        </w:r>
      </w:hyperlink>
      <w:r w:rsidRPr="00887119">
        <w:t xml:space="preserve"> </w:t>
      </w:r>
    </w:p>
  </w:footnote>
  <w:footnote w:id="27">
    <w:p w14:paraId="5FE02AB9" w14:textId="77777777" w:rsidR="00952F0E" w:rsidRPr="00887119" w:rsidRDefault="00952F0E" w:rsidP="00607D86">
      <w:pPr>
        <w:pStyle w:val="Footnote"/>
      </w:pPr>
      <w:r w:rsidRPr="00887119">
        <w:rPr>
          <w:rStyle w:val="FootnoteReference"/>
        </w:rPr>
        <w:footnoteRef/>
      </w:r>
      <w:r w:rsidRPr="00887119">
        <w:t xml:space="preserve"> Statistics Canada. 2025. “HART (2025) - 2021 Census of Canada - Selected Characteristics of Households and Dwellings for Housing Need Related to Federal HNA Template - Canada, All Provinces and Territories at the Census Division (CD) and Census Subdivision (CSD) Level [Custom Tabulation].” Borealis. </w:t>
      </w:r>
      <w:hyperlink r:id="rId26" w:history="1">
        <w:r w:rsidRPr="00887119">
          <w:rPr>
            <w:rStyle w:val="Hyperlink"/>
          </w:rPr>
          <w:t>https://doi.org/10.5683/SP3/LCXVCR</w:t>
        </w:r>
      </w:hyperlink>
      <w:r w:rsidRPr="00887119">
        <w:t>.</w:t>
      </w:r>
    </w:p>
    <w:p w14:paraId="4FB13A06" w14:textId="77777777" w:rsidR="00D50A38" w:rsidRPr="00887119" w:rsidRDefault="00D50A38" w:rsidP="00607D86">
      <w:pPr>
        <w:pStyle w:val="Footnote"/>
      </w:pPr>
    </w:p>
  </w:footnote>
  <w:footnote w:id="28">
    <w:p w14:paraId="18036CB6" w14:textId="77777777" w:rsidR="00952F0E" w:rsidRPr="00887119" w:rsidRDefault="00952F0E" w:rsidP="00607D86">
      <w:pPr>
        <w:pStyle w:val="Footnote"/>
      </w:pPr>
      <w:r w:rsidRPr="00887119">
        <w:rPr>
          <w:rStyle w:val="FootnoteReference"/>
        </w:rPr>
        <w:footnoteRef/>
      </w:r>
      <w:r w:rsidRPr="00887119">
        <w:t xml:space="preserve"> Statistics Canada. 2023. “HART - 2021 Census of Canada - Selected Characteristics of Census Households for Housing Need - Canada, All Provinces and Territories at the Census Division (CD) and Census Subdivision (CSD) Level [Custom Tabulation].” </w:t>
      </w:r>
      <w:r w:rsidRPr="00887119">
        <w:rPr>
          <w:i/>
          <w:iCs/>
        </w:rPr>
        <w:t>HART Custom Census Order - ORD-06922-K8P7F5, ORD-06989-C7H4H0, ORD-06990-D2D8R9, ORD-06993-V7C5W4, ORD-06995-J3N4P7, ORD-06997-C9W3K1</w:t>
      </w:r>
      <w:r w:rsidRPr="00887119">
        <w:t>. Borealis. https://doi.org/10.5683/SP3/8PUZQA.</w:t>
      </w:r>
    </w:p>
  </w:footnote>
  <w:footnote w:id="29">
    <w:p w14:paraId="566E45B4" w14:textId="77777777" w:rsidR="00952F0E" w:rsidRPr="00887119" w:rsidRDefault="00952F0E" w:rsidP="00607D86">
      <w:pPr>
        <w:pStyle w:val="Footnote"/>
      </w:pPr>
      <w:r w:rsidRPr="00887119">
        <w:rPr>
          <w:rStyle w:val="FootnoteReference"/>
        </w:rPr>
        <w:footnoteRef/>
      </w:r>
      <w:r w:rsidRPr="00887119">
        <w:t xml:space="preserve"> Statistics Canada. 2023. “HART - 2021 Census of Canada - Selected Characteristics of Census Households for Housing Need - Canada, All Provinces and Territories at the Census Division (CD) and Census Subdivision (CSD) Level [Custom Tabulation].” </w:t>
      </w:r>
      <w:r w:rsidRPr="00887119">
        <w:rPr>
          <w:i/>
          <w:iCs/>
        </w:rPr>
        <w:t>HART Custom Census Order - ORD-06922-K8P7F5, ORD-06989-C7H4H0, ORD-06990-D2D8R9, ORD-06993-V7C5W4, ORD-06995-J3N4P7, ORD-06997-C9W3K1</w:t>
      </w:r>
      <w:r w:rsidRPr="00887119">
        <w:t xml:space="preserve">. Borealis. </w:t>
      </w:r>
      <w:hyperlink r:id="rId27" w:history="1">
        <w:r w:rsidRPr="00887119">
          <w:rPr>
            <w:rStyle w:val="Hyperlink"/>
          </w:rPr>
          <w:t>https://doi.org/10.5683/SP3/8PUZQA</w:t>
        </w:r>
      </w:hyperlink>
      <w:r w:rsidRPr="00887119">
        <w:t xml:space="preserve">. </w:t>
      </w:r>
    </w:p>
    <w:p w14:paraId="5BEA89A8" w14:textId="77777777" w:rsidR="009C3382" w:rsidRPr="00887119" w:rsidRDefault="009C3382" w:rsidP="00607D86">
      <w:pPr>
        <w:pStyle w:val="Footnote"/>
      </w:pPr>
    </w:p>
  </w:footnote>
  <w:footnote w:id="30">
    <w:p w14:paraId="261AF54A" w14:textId="77777777" w:rsidR="002322D8" w:rsidRPr="00887119" w:rsidRDefault="002322D8" w:rsidP="00607D86">
      <w:pPr>
        <w:pStyle w:val="FootnoteText"/>
        <w:jc w:val="left"/>
        <w:rPr>
          <w:sz w:val="16"/>
          <w:szCs w:val="16"/>
        </w:rPr>
      </w:pPr>
      <w:r w:rsidRPr="00887119">
        <w:rPr>
          <w:rStyle w:val="FootnoteReference"/>
          <w:sz w:val="16"/>
          <w:szCs w:val="16"/>
        </w:rPr>
        <w:footnoteRef/>
      </w:r>
      <w:r w:rsidRPr="00887119">
        <w:rPr>
          <w:sz w:val="16"/>
          <w:szCs w:val="16"/>
        </w:rPr>
        <w:t xml:space="preserve"> Employment and Social Development Canada. (2022, August 12). Overview: Reaching Home - Canada's Homelessness</w:t>
      </w:r>
    </w:p>
    <w:p w14:paraId="7340EAD4" w14:textId="77777777" w:rsidR="002322D8" w:rsidRPr="00887119" w:rsidRDefault="002322D8" w:rsidP="00607D86">
      <w:pPr>
        <w:pStyle w:val="FootnoteText"/>
        <w:ind w:left="360"/>
        <w:jc w:val="left"/>
      </w:pPr>
      <w:r w:rsidRPr="00887119">
        <w:rPr>
          <w:sz w:val="16"/>
          <w:szCs w:val="16"/>
        </w:rPr>
        <w:t xml:space="preserve">Strategy. Government of Canada. </w:t>
      </w:r>
      <w:hyperlink r:id="rId28" w:history="1">
        <w:r w:rsidRPr="00887119">
          <w:rPr>
            <w:rStyle w:val="Hyperlink"/>
            <w:sz w:val="16"/>
            <w:szCs w:val="16"/>
          </w:rPr>
          <w:t>https://www.canada.ca/en/housing-infrastructure-communities/news/2022/08/overview-reaching-home.html</w:t>
        </w:r>
      </w:hyperlink>
      <w:r w:rsidRPr="00887119">
        <w:rPr>
          <w:sz w:val="16"/>
          <w:szCs w:val="16"/>
        </w:rPr>
        <w:t xml:space="preserve"> </w:t>
      </w:r>
    </w:p>
  </w:footnote>
  <w:footnote w:id="31">
    <w:p w14:paraId="1C7DAF48" w14:textId="77777777" w:rsidR="002322D8" w:rsidRPr="00B975A0" w:rsidRDefault="002322D8" w:rsidP="00607D86">
      <w:pPr>
        <w:pStyle w:val="Footnote"/>
      </w:pPr>
      <w:r w:rsidRPr="00887119">
        <w:rPr>
          <w:rStyle w:val="FootnoteReference"/>
        </w:rPr>
        <w:footnoteRef/>
      </w:r>
      <w:r w:rsidRPr="00887119">
        <w:t xml:space="preserve"> Gaetz, S.; Donaldson, J.; Richter, T. ; and Gulliver, T. (2013). </w:t>
      </w:r>
      <w:hyperlink r:id="rId29" w:history="1">
        <w:r w:rsidRPr="00887119">
          <w:rPr>
            <w:rStyle w:val="Hyperlink"/>
          </w:rPr>
          <w:t>The Sate of Homelessness in Canada 2013</w:t>
        </w:r>
      </w:hyperlink>
      <w:r w:rsidRPr="00887119">
        <w:t>. Homeless Hub Paper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4FB"/>
    <w:multiLevelType w:val="hybridMultilevel"/>
    <w:tmpl w:val="073A9278"/>
    <w:lvl w:ilvl="0" w:tplc="5FB4F65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B7623E"/>
    <w:multiLevelType w:val="hybridMultilevel"/>
    <w:tmpl w:val="59A0C8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3730B9"/>
    <w:multiLevelType w:val="multilevel"/>
    <w:tmpl w:val="A8DE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911CB"/>
    <w:multiLevelType w:val="hybridMultilevel"/>
    <w:tmpl w:val="B540FC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8A473B5"/>
    <w:multiLevelType w:val="multilevel"/>
    <w:tmpl w:val="8D3C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6131E"/>
    <w:multiLevelType w:val="hybridMultilevel"/>
    <w:tmpl w:val="45BE15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FC61BA5"/>
    <w:multiLevelType w:val="hybridMultilevel"/>
    <w:tmpl w:val="9C8071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C57679"/>
    <w:multiLevelType w:val="hybridMultilevel"/>
    <w:tmpl w:val="C64035FC"/>
    <w:lvl w:ilvl="0" w:tplc="10090001">
      <w:start w:val="1"/>
      <w:numFmt w:val="bullet"/>
      <w:lvlText w:val=""/>
      <w:lvlJc w:val="left"/>
      <w:pPr>
        <w:ind w:left="721" w:hanging="360"/>
      </w:pPr>
      <w:rPr>
        <w:rFonts w:ascii="Symbol" w:hAnsi="Symbol" w:hint="default"/>
      </w:rPr>
    </w:lvl>
    <w:lvl w:ilvl="1" w:tplc="10090003">
      <w:start w:val="1"/>
      <w:numFmt w:val="bullet"/>
      <w:lvlText w:val="o"/>
      <w:lvlJc w:val="left"/>
      <w:pPr>
        <w:ind w:left="1441" w:hanging="360"/>
      </w:pPr>
      <w:rPr>
        <w:rFonts w:ascii="Courier New" w:hAnsi="Courier New" w:cs="Courier New" w:hint="default"/>
      </w:rPr>
    </w:lvl>
    <w:lvl w:ilvl="2" w:tplc="10090005" w:tentative="1">
      <w:start w:val="1"/>
      <w:numFmt w:val="bullet"/>
      <w:lvlText w:val=""/>
      <w:lvlJc w:val="left"/>
      <w:pPr>
        <w:ind w:left="2161" w:hanging="360"/>
      </w:pPr>
      <w:rPr>
        <w:rFonts w:ascii="Wingdings" w:hAnsi="Wingdings" w:hint="default"/>
      </w:rPr>
    </w:lvl>
    <w:lvl w:ilvl="3" w:tplc="10090001" w:tentative="1">
      <w:start w:val="1"/>
      <w:numFmt w:val="bullet"/>
      <w:lvlText w:val=""/>
      <w:lvlJc w:val="left"/>
      <w:pPr>
        <w:ind w:left="2881" w:hanging="360"/>
      </w:pPr>
      <w:rPr>
        <w:rFonts w:ascii="Symbol" w:hAnsi="Symbol" w:hint="default"/>
      </w:rPr>
    </w:lvl>
    <w:lvl w:ilvl="4" w:tplc="10090003" w:tentative="1">
      <w:start w:val="1"/>
      <w:numFmt w:val="bullet"/>
      <w:lvlText w:val="o"/>
      <w:lvlJc w:val="left"/>
      <w:pPr>
        <w:ind w:left="3601" w:hanging="360"/>
      </w:pPr>
      <w:rPr>
        <w:rFonts w:ascii="Courier New" w:hAnsi="Courier New" w:cs="Courier New" w:hint="default"/>
      </w:rPr>
    </w:lvl>
    <w:lvl w:ilvl="5" w:tplc="10090005" w:tentative="1">
      <w:start w:val="1"/>
      <w:numFmt w:val="bullet"/>
      <w:lvlText w:val=""/>
      <w:lvlJc w:val="left"/>
      <w:pPr>
        <w:ind w:left="4321" w:hanging="360"/>
      </w:pPr>
      <w:rPr>
        <w:rFonts w:ascii="Wingdings" w:hAnsi="Wingdings" w:hint="default"/>
      </w:rPr>
    </w:lvl>
    <w:lvl w:ilvl="6" w:tplc="10090001" w:tentative="1">
      <w:start w:val="1"/>
      <w:numFmt w:val="bullet"/>
      <w:lvlText w:val=""/>
      <w:lvlJc w:val="left"/>
      <w:pPr>
        <w:ind w:left="5041" w:hanging="360"/>
      </w:pPr>
      <w:rPr>
        <w:rFonts w:ascii="Symbol" w:hAnsi="Symbol" w:hint="default"/>
      </w:rPr>
    </w:lvl>
    <w:lvl w:ilvl="7" w:tplc="10090003" w:tentative="1">
      <w:start w:val="1"/>
      <w:numFmt w:val="bullet"/>
      <w:lvlText w:val="o"/>
      <w:lvlJc w:val="left"/>
      <w:pPr>
        <w:ind w:left="5761" w:hanging="360"/>
      </w:pPr>
      <w:rPr>
        <w:rFonts w:ascii="Courier New" w:hAnsi="Courier New" w:cs="Courier New" w:hint="default"/>
      </w:rPr>
    </w:lvl>
    <w:lvl w:ilvl="8" w:tplc="10090005" w:tentative="1">
      <w:start w:val="1"/>
      <w:numFmt w:val="bullet"/>
      <w:lvlText w:val=""/>
      <w:lvlJc w:val="left"/>
      <w:pPr>
        <w:ind w:left="6481" w:hanging="360"/>
      </w:pPr>
      <w:rPr>
        <w:rFonts w:ascii="Wingdings" w:hAnsi="Wingdings" w:hint="default"/>
      </w:rPr>
    </w:lvl>
  </w:abstractNum>
  <w:abstractNum w:abstractNumId="8" w15:restartNumberingAfterBreak="0">
    <w:nsid w:val="2DAA1C13"/>
    <w:multiLevelType w:val="multilevel"/>
    <w:tmpl w:val="52AE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C30147"/>
    <w:multiLevelType w:val="multilevel"/>
    <w:tmpl w:val="67DC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C2700"/>
    <w:multiLevelType w:val="hybridMultilevel"/>
    <w:tmpl w:val="AC8E65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9762B46"/>
    <w:multiLevelType w:val="hybridMultilevel"/>
    <w:tmpl w:val="76AE9276"/>
    <w:lvl w:ilvl="0" w:tplc="10090001">
      <w:start w:val="1"/>
      <w:numFmt w:val="bullet"/>
      <w:lvlText w:val=""/>
      <w:lvlJc w:val="left"/>
      <w:pPr>
        <w:ind w:left="1800" w:hanging="360"/>
      </w:pPr>
      <w:rPr>
        <w:rFonts w:ascii="Symbol" w:hAnsi="Symbol" w:hint="default"/>
      </w:rPr>
    </w:lvl>
    <w:lvl w:ilvl="1" w:tplc="3558C422">
      <w:numFmt w:val="bullet"/>
      <w:lvlText w:val="•"/>
      <w:lvlJc w:val="left"/>
      <w:pPr>
        <w:ind w:left="2520" w:hanging="360"/>
      </w:pPr>
      <w:rPr>
        <w:rFonts w:ascii="Arial" w:eastAsia="Arial" w:hAnsi="Arial" w:cs="Arial"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2" w15:restartNumberingAfterBreak="0">
    <w:nsid w:val="41AE72E9"/>
    <w:multiLevelType w:val="hybridMultilevel"/>
    <w:tmpl w:val="85BE52D2"/>
    <w:lvl w:ilvl="0" w:tplc="10090001">
      <w:start w:val="1"/>
      <w:numFmt w:val="bullet"/>
      <w:lvlText w:val=""/>
      <w:lvlJc w:val="left"/>
      <w:pPr>
        <w:ind w:left="1441" w:hanging="360"/>
      </w:pPr>
      <w:rPr>
        <w:rFonts w:ascii="Symbol" w:hAnsi="Symbol" w:hint="default"/>
      </w:rPr>
    </w:lvl>
    <w:lvl w:ilvl="1" w:tplc="10090003" w:tentative="1">
      <w:start w:val="1"/>
      <w:numFmt w:val="bullet"/>
      <w:lvlText w:val="o"/>
      <w:lvlJc w:val="left"/>
      <w:pPr>
        <w:ind w:left="2161" w:hanging="360"/>
      </w:pPr>
      <w:rPr>
        <w:rFonts w:ascii="Courier New" w:hAnsi="Courier New" w:cs="Courier New" w:hint="default"/>
      </w:rPr>
    </w:lvl>
    <w:lvl w:ilvl="2" w:tplc="10090005" w:tentative="1">
      <w:start w:val="1"/>
      <w:numFmt w:val="bullet"/>
      <w:lvlText w:val=""/>
      <w:lvlJc w:val="left"/>
      <w:pPr>
        <w:ind w:left="2881" w:hanging="360"/>
      </w:pPr>
      <w:rPr>
        <w:rFonts w:ascii="Wingdings" w:hAnsi="Wingdings" w:hint="default"/>
      </w:rPr>
    </w:lvl>
    <w:lvl w:ilvl="3" w:tplc="10090001" w:tentative="1">
      <w:start w:val="1"/>
      <w:numFmt w:val="bullet"/>
      <w:lvlText w:val=""/>
      <w:lvlJc w:val="left"/>
      <w:pPr>
        <w:ind w:left="3601" w:hanging="360"/>
      </w:pPr>
      <w:rPr>
        <w:rFonts w:ascii="Symbol" w:hAnsi="Symbol" w:hint="default"/>
      </w:rPr>
    </w:lvl>
    <w:lvl w:ilvl="4" w:tplc="10090003" w:tentative="1">
      <w:start w:val="1"/>
      <w:numFmt w:val="bullet"/>
      <w:lvlText w:val="o"/>
      <w:lvlJc w:val="left"/>
      <w:pPr>
        <w:ind w:left="4321" w:hanging="360"/>
      </w:pPr>
      <w:rPr>
        <w:rFonts w:ascii="Courier New" w:hAnsi="Courier New" w:cs="Courier New" w:hint="default"/>
      </w:rPr>
    </w:lvl>
    <w:lvl w:ilvl="5" w:tplc="10090005" w:tentative="1">
      <w:start w:val="1"/>
      <w:numFmt w:val="bullet"/>
      <w:lvlText w:val=""/>
      <w:lvlJc w:val="left"/>
      <w:pPr>
        <w:ind w:left="5041" w:hanging="360"/>
      </w:pPr>
      <w:rPr>
        <w:rFonts w:ascii="Wingdings" w:hAnsi="Wingdings" w:hint="default"/>
      </w:rPr>
    </w:lvl>
    <w:lvl w:ilvl="6" w:tplc="10090001" w:tentative="1">
      <w:start w:val="1"/>
      <w:numFmt w:val="bullet"/>
      <w:lvlText w:val=""/>
      <w:lvlJc w:val="left"/>
      <w:pPr>
        <w:ind w:left="5761" w:hanging="360"/>
      </w:pPr>
      <w:rPr>
        <w:rFonts w:ascii="Symbol" w:hAnsi="Symbol" w:hint="default"/>
      </w:rPr>
    </w:lvl>
    <w:lvl w:ilvl="7" w:tplc="10090003" w:tentative="1">
      <w:start w:val="1"/>
      <w:numFmt w:val="bullet"/>
      <w:lvlText w:val="o"/>
      <w:lvlJc w:val="left"/>
      <w:pPr>
        <w:ind w:left="6481" w:hanging="360"/>
      </w:pPr>
      <w:rPr>
        <w:rFonts w:ascii="Courier New" w:hAnsi="Courier New" w:cs="Courier New" w:hint="default"/>
      </w:rPr>
    </w:lvl>
    <w:lvl w:ilvl="8" w:tplc="10090005" w:tentative="1">
      <w:start w:val="1"/>
      <w:numFmt w:val="bullet"/>
      <w:lvlText w:val=""/>
      <w:lvlJc w:val="left"/>
      <w:pPr>
        <w:ind w:left="7201" w:hanging="360"/>
      </w:pPr>
      <w:rPr>
        <w:rFonts w:ascii="Wingdings" w:hAnsi="Wingdings" w:hint="default"/>
      </w:rPr>
    </w:lvl>
  </w:abstractNum>
  <w:abstractNum w:abstractNumId="13" w15:restartNumberingAfterBreak="0">
    <w:nsid w:val="41D54F55"/>
    <w:multiLevelType w:val="hybridMultilevel"/>
    <w:tmpl w:val="FEB295CC"/>
    <w:lvl w:ilvl="0" w:tplc="5FB4F65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4E258A7"/>
    <w:multiLevelType w:val="hybridMultilevel"/>
    <w:tmpl w:val="A4364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9EB7DCC"/>
    <w:multiLevelType w:val="multilevel"/>
    <w:tmpl w:val="4358E4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147245C"/>
    <w:multiLevelType w:val="hybridMultilevel"/>
    <w:tmpl w:val="129AF7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22F736B"/>
    <w:multiLevelType w:val="hybridMultilevel"/>
    <w:tmpl w:val="4CE454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29A66A5"/>
    <w:multiLevelType w:val="multilevel"/>
    <w:tmpl w:val="079892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40864E1"/>
    <w:multiLevelType w:val="hybridMultilevel"/>
    <w:tmpl w:val="CC8800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F0B5631"/>
    <w:multiLevelType w:val="hybridMultilevel"/>
    <w:tmpl w:val="7774305C"/>
    <w:lvl w:ilvl="0" w:tplc="5FB4F65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5E519EA"/>
    <w:multiLevelType w:val="hybridMultilevel"/>
    <w:tmpl w:val="C2CE0F7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2" w15:restartNumberingAfterBreak="0">
    <w:nsid w:val="7DE332F6"/>
    <w:multiLevelType w:val="hybridMultilevel"/>
    <w:tmpl w:val="FD9CFDB8"/>
    <w:lvl w:ilvl="0" w:tplc="10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E9C7388"/>
    <w:multiLevelType w:val="hybridMultilevel"/>
    <w:tmpl w:val="075C8E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06648954">
    <w:abstractNumId w:val="18"/>
  </w:num>
  <w:num w:numId="2" w16cid:durableId="974221062">
    <w:abstractNumId w:val="23"/>
  </w:num>
  <w:num w:numId="3" w16cid:durableId="890270409">
    <w:abstractNumId w:val="19"/>
  </w:num>
  <w:num w:numId="4" w16cid:durableId="1292400702">
    <w:abstractNumId w:val="10"/>
  </w:num>
  <w:num w:numId="5" w16cid:durableId="1197619043">
    <w:abstractNumId w:val="3"/>
  </w:num>
  <w:num w:numId="6" w16cid:durableId="288173625">
    <w:abstractNumId w:val="21"/>
  </w:num>
  <w:num w:numId="7" w16cid:durableId="1236550544">
    <w:abstractNumId w:val="11"/>
  </w:num>
  <w:num w:numId="8" w16cid:durableId="1765345000">
    <w:abstractNumId w:val="2"/>
  </w:num>
  <w:num w:numId="9" w16cid:durableId="1121608918">
    <w:abstractNumId w:val="9"/>
  </w:num>
  <w:num w:numId="10" w16cid:durableId="846795250">
    <w:abstractNumId w:val="4"/>
  </w:num>
  <w:num w:numId="11" w16cid:durableId="1351645837">
    <w:abstractNumId w:val="8"/>
  </w:num>
  <w:num w:numId="12" w16cid:durableId="332758566">
    <w:abstractNumId w:val="15"/>
  </w:num>
  <w:num w:numId="13" w16cid:durableId="583995653">
    <w:abstractNumId w:val="6"/>
  </w:num>
  <w:num w:numId="14" w16cid:durableId="1499274765">
    <w:abstractNumId w:val="1"/>
  </w:num>
  <w:num w:numId="15" w16cid:durableId="468745708">
    <w:abstractNumId w:val="5"/>
  </w:num>
  <w:num w:numId="16" w16cid:durableId="1065756267">
    <w:abstractNumId w:val="22"/>
  </w:num>
  <w:num w:numId="17" w16cid:durableId="1866212606">
    <w:abstractNumId w:val="16"/>
  </w:num>
  <w:num w:numId="18" w16cid:durableId="1268345542">
    <w:abstractNumId w:val="0"/>
  </w:num>
  <w:num w:numId="19" w16cid:durableId="1005016057">
    <w:abstractNumId w:val="14"/>
  </w:num>
  <w:num w:numId="20" w16cid:durableId="527716888">
    <w:abstractNumId w:val="20"/>
  </w:num>
  <w:num w:numId="21" w16cid:durableId="1061513915">
    <w:abstractNumId w:val="17"/>
  </w:num>
  <w:num w:numId="22" w16cid:durableId="6446936">
    <w:abstractNumId w:val="13"/>
  </w:num>
  <w:num w:numId="23" w16cid:durableId="1421371116">
    <w:abstractNumId w:val="7"/>
  </w:num>
  <w:num w:numId="24" w16cid:durableId="147109074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EF"/>
    <w:rsid w:val="00000F70"/>
    <w:rsid w:val="000032B0"/>
    <w:rsid w:val="00005F92"/>
    <w:rsid w:val="000062A7"/>
    <w:rsid w:val="00010035"/>
    <w:rsid w:val="000100C9"/>
    <w:rsid w:val="00013A62"/>
    <w:rsid w:val="00013BEB"/>
    <w:rsid w:val="0001579E"/>
    <w:rsid w:val="00021DA1"/>
    <w:rsid w:val="000225EF"/>
    <w:rsid w:val="0002313B"/>
    <w:rsid w:val="00023CAE"/>
    <w:rsid w:val="000245DB"/>
    <w:rsid w:val="00025CF2"/>
    <w:rsid w:val="0002650E"/>
    <w:rsid w:val="000269C6"/>
    <w:rsid w:val="00031B23"/>
    <w:rsid w:val="00032585"/>
    <w:rsid w:val="00032B93"/>
    <w:rsid w:val="00033BC9"/>
    <w:rsid w:val="00034C7A"/>
    <w:rsid w:val="00035121"/>
    <w:rsid w:val="000365F4"/>
    <w:rsid w:val="0003699B"/>
    <w:rsid w:val="0004006E"/>
    <w:rsid w:val="000404CE"/>
    <w:rsid w:val="00041174"/>
    <w:rsid w:val="0004345A"/>
    <w:rsid w:val="000439FE"/>
    <w:rsid w:val="00045C25"/>
    <w:rsid w:val="000460BB"/>
    <w:rsid w:val="00046D56"/>
    <w:rsid w:val="00050B19"/>
    <w:rsid w:val="00050E6C"/>
    <w:rsid w:val="0005175C"/>
    <w:rsid w:val="00052C1E"/>
    <w:rsid w:val="000568DF"/>
    <w:rsid w:val="00056B78"/>
    <w:rsid w:val="0006002F"/>
    <w:rsid w:val="00060F7D"/>
    <w:rsid w:val="00061645"/>
    <w:rsid w:val="00064257"/>
    <w:rsid w:val="0007040A"/>
    <w:rsid w:val="000709EC"/>
    <w:rsid w:val="0007246B"/>
    <w:rsid w:val="0007277D"/>
    <w:rsid w:val="00072DBB"/>
    <w:rsid w:val="00073043"/>
    <w:rsid w:val="00073DF5"/>
    <w:rsid w:val="00074284"/>
    <w:rsid w:val="00074FCB"/>
    <w:rsid w:val="00075209"/>
    <w:rsid w:val="00076517"/>
    <w:rsid w:val="00076F1F"/>
    <w:rsid w:val="00077055"/>
    <w:rsid w:val="00081AE2"/>
    <w:rsid w:val="00081C48"/>
    <w:rsid w:val="000820D3"/>
    <w:rsid w:val="0008602C"/>
    <w:rsid w:val="00086083"/>
    <w:rsid w:val="000878CE"/>
    <w:rsid w:val="00090261"/>
    <w:rsid w:val="00090696"/>
    <w:rsid w:val="00090B99"/>
    <w:rsid w:val="0009108A"/>
    <w:rsid w:val="00091CF8"/>
    <w:rsid w:val="00095B24"/>
    <w:rsid w:val="000969A9"/>
    <w:rsid w:val="00096A65"/>
    <w:rsid w:val="00096EA0"/>
    <w:rsid w:val="00097649"/>
    <w:rsid w:val="000A033D"/>
    <w:rsid w:val="000A1E22"/>
    <w:rsid w:val="000A2364"/>
    <w:rsid w:val="000A2FD9"/>
    <w:rsid w:val="000A3705"/>
    <w:rsid w:val="000A3880"/>
    <w:rsid w:val="000A54CB"/>
    <w:rsid w:val="000A56D4"/>
    <w:rsid w:val="000A592B"/>
    <w:rsid w:val="000B292C"/>
    <w:rsid w:val="000B4318"/>
    <w:rsid w:val="000B66F6"/>
    <w:rsid w:val="000B7FF4"/>
    <w:rsid w:val="000C15A9"/>
    <w:rsid w:val="000C249E"/>
    <w:rsid w:val="000C4073"/>
    <w:rsid w:val="000C4497"/>
    <w:rsid w:val="000C50A1"/>
    <w:rsid w:val="000C5FCA"/>
    <w:rsid w:val="000D049D"/>
    <w:rsid w:val="000D127E"/>
    <w:rsid w:val="000D1A2F"/>
    <w:rsid w:val="000D2EE8"/>
    <w:rsid w:val="000D3058"/>
    <w:rsid w:val="000D35F3"/>
    <w:rsid w:val="000D41FB"/>
    <w:rsid w:val="000D49C7"/>
    <w:rsid w:val="000D5FC6"/>
    <w:rsid w:val="000D77E1"/>
    <w:rsid w:val="000D7B51"/>
    <w:rsid w:val="000E1037"/>
    <w:rsid w:val="000E2B09"/>
    <w:rsid w:val="000E317A"/>
    <w:rsid w:val="000E45FD"/>
    <w:rsid w:val="000E7621"/>
    <w:rsid w:val="000F1B7E"/>
    <w:rsid w:val="000F1D84"/>
    <w:rsid w:val="000F267E"/>
    <w:rsid w:val="000F2812"/>
    <w:rsid w:val="000F33A3"/>
    <w:rsid w:val="000F5823"/>
    <w:rsid w:val="000F7855"/>
    <w:rsid w:val="000F798E"/>
    <w:rsid w:val="00101B81"/>
    <w:rsid w:val="00101E3E"/>
    <w:rsid w:val="001025F5"/>
    <w:rsid w:val="00102F19"/>
    <w:rsid w:val="00103A32"/>
    <w:rsid w:val="00104D5D"/>
    <w:rsid w:val="00104EF9"/>
    <w:rsid w:val="0011355D"/>
    <w:rsid w:val="00114AB8"/>
    <w:rsid w:val="0011558B"/>
    <w:rsid w:val="00116ADD"/>
    <w:rsid w:val="00116AFC"/>
    <w:rsid w:val="00117B17"/>
    <w:rsid w:val="00120734"/>
    <w:rsid w:val="00122034"/>
    <w:rsid w:val="00122CD4"/>
    <w:rsid w:val="00123E7B"/>
    <w:rsid w:val="0012519F"/>
    <w:rsid w:val="00126355"/>
    <w:rsid w:val="001304AD"/>
    <w:rsid w:val="00131578"/>
    <w:rsid w:val="00132BFF"/>
    <w:rsid w:val="00133374"/>
    <w:rsid w:val="00133F3D"/>
    <w:rsid w:val="001343D8"/>
    <w:rsid w:val="0013506F"/>
    <w:rsid w:val="001353E1"/>
    <w:rsid w:val="00135F0B"/>
    <w:rsid w:val="0013706D"/>
    <w:rsid w:val="001375E5"/>
    <w:rsid w:val="00137C4A"/>
    <w:rsid w:val="00137F43"/>
    <w:rsid w:val="00137FF5"/>
    <w:rsid w:val="001402C9"/>
    <w:rsid w:val="0014060B"/>
    <w:rsid w:val="001410A3"/>
    <w:rsid w:val="00141FEA"/>
    <w:rsid w:val="001435E7"/>
    <w:rsid w:val="001459CC"/>
    <w:rsid w:val="00147A2C"/>
    <w:rsid w:val="00147D05"/>
    <w:rsid w:val="001504F6"/>
    <w:rsid w:val="00150F09"/>
    <w:rsid w:val="00151226"/>
    <w:rsid w:val="00154874"/>
    <w:rsid w:val="00155609"/>
    <w:rsid w:val="00155D89"/>
    <w:rsid w:val="0015692F"/>
    <w:rsid w:val="00156FF9"/>
    <w:rsid w:val="001624BB"/>
    <w:rsid w:val="001649F5"/>
    <w:rsid w:val="001656B9"/>
    <w:rsid w:val="00165731"/>
    <w:rsid w:val="00166318"/>
    <w:rsid w:val="0017656C"/>
    <w:rsid w:val="00176CEC"/>
    <w:rsid w:val="001801C3"/>
    <w:rsid w:val="00180F0E"/>
    <w:rsid w:val="001811C1"/>
    <w:rsid w:val="00181DC9"/>
    <w:rsid w:val="00182014"/>
    <w:rsid w:val="00183513"/>
    <w:rsid w:val="00183BCF"/>
    <w:rsid w:val="001878E6"/>
    <w:rsid w:val="00187953"/>
    <w:rsid w:val="00191163"/>
    <w:rsid w:val="0019285D"/>
    <w:rsid w:val="00193A9E"/>
    <w:rsid w:val="00194C04"/>
    <w:rsid w:val="001973BB"/>
    <w:rsid w:val="001A064E"/>
    <w:rsid w:val="001A3FB5"/>
    <w:rsid w:val="001A7864"/>
    <w:rsid w:val="001B04B5"/>
    <w:rsid w:val="001B0763"/>
    <w:rsid w:val="001B2CB7"/>
    <w:rsid w:val="001B2EE8"/>
    <w:rsid w:val="001B4D60"/>
    <w:rsid w:val="001B721E"/>
    <w:rsid w:val="001C15A6"/>
    <w:rsid w:val="001C1CC8"/>
    <w:rsid w:val="001C5F5B"/>
    <w:rsid w:val="001C7DCB"/>
    <w:rsid w:val="001D0DF9"/>
    <w:rsid w:val="001D0FC1"/>
    <w:rsid w:val="001D2FB6"/>
    <w:rsid w:val="001D41F0"/>
    <w:rsid w:val="001D5A74"/>
    <w:rsid w:val="001D6643"/>
    <w:rsid w:val="001D664F"/>
    <w:rsid w:val="001D749E"/>
    <w:rsid w:val="001D7F01"/>
    <w:rsid w:val="001E052E"/>
    <w:rsid w:val="001E3856"/>
    <w:rsid w:val="001E5309"/>
    <w:rsid w:val="001E698B"/>
    <w:rsid w:val="001E6D50"/>
    <w:rsid w:val="001E7998"/>
    <w:rsid w:val="001F0573"/>
    <w:rsid w:val="001F0F72"/>
    <w:rsid w:val="001F19BD"/>
    <w:rsid w:val="001F34D5"/>
    <w:rsid w:val="001F3506"/>
    <w:rsid w:val="001F352E"/>
    <w:rsid w:val="001F4534"/>
    <w:rsid w:val="001F70C3"/>
    <w:rsid w:val="002022FE"/>
    <w:rsid w:val="00202BB5"/>
    <w:rsid w:val="0020328E"/>
    <w:rsid w:val="00210831"/>
    <w:rsid w:val="002109F9"/>
    <w:rsid w:val="002114D5"/>
    <w:rsid w:val="002115DE"/>
    <w:rsid w:val="002123CF"/>
    <w:rsid w:val="00212B81"/>
    <w:rsid w:val="002131A6"/>
    <w:rsid w:val="002155EE"/>
    <w:rsid w:val="00215F3F"/>
    <w:rsid w:val="002231D3"/>
    <w:rsid w:val="00223CF1"/>
    <w:rsid w:val="00225948"/>
    <w:rsid w:val="00231269"/>
    <w:rsid w:val="0023185A"/>
    <w:rsid w:val="002322D8"/>
    <w:rsid w:val="002326F0"/>
    <w:rsid w:val="002328EB"/>
    <w:rsid w:val="002344D6"/>
    <w:rsid w:val="00236E96"/>
    <w:rsid w:val="0024014C"/>
    <w:rsid w:val="00240EB0"/>
    <w:rsid w:val="002418F6"/>
    <w:rsid w:val="00242013"/>
    <w:rsid w:val="002433E7"/>
    <w:rsid w:val="00243E72"/>
    <w:rsid w:val="002458E5"/>
    <w:rsid w:val="0024694A"/>
    <w:rsid w:val="00247DD5"/>
    <w:rsid w:val="00247DD6"/>
    <w:rsid w:val="00253275"/>
    <w:rsid w:val="00253BDE"/>
    <w:rsid w:val="002557EF"/>
    <w:rsid w:val="00255E73"/>
    <w:rsid w:val="00257D59"/>
    <w:rsid w:val="0026066B"/>
    <w:rsid w:val="00260943"/>
    <w:rsid w:val="002609D7"/>
    <w:rsid w:val="002622E0"/>
    <w:rsid w:val="0026257C"/>
    <w:rsid w:val="002625B9"/>
    <w:rsid w:val="00265427"/>
    <w:rsid w:val="00265965"/>
    <w:rsid w:val="00265990"/>
    <w:rsid w:val="0026791B"/>
    <w:rsid w:val="002679F2"/>
    <w:rsid w:val="0027126D"/>
    <w:rsid w:val="00271FD4"/>
    <w:rsid w:val="00273B93"/>
    <w:rsid w:val="00274840"/>
    <w:rsid w:val="00274858"/>
    <w:rsid w:val="00274A78"/>
    <w:rsid w:val="00276E49"/>
    <w:rsid w:val="00280268"/>
    <w:rsid w:val="00280C0F"/>
    <w:rsid w:val="00280EFF"/>
    <w:rsid w:val="0028134E"/>
    <w:rsid w:val="002813C3"/>
    <w:rsid w:val="002818E0"/>
    <w:rsid w:val="00282002"/>
    <w:rsid w:val="00282E77"/>
    <w:rsid w:val="0028321F"/>
    <w:rsid w:val="00283E31"/>
    <w:rsid w:val="002905E9"/>
    <w:rsid w:val="0029567E"/>
    <w:rsid w:val="00297DEA"/>
    <w:rsid w:val="002A0292"/>
    <w:rsid w:val="002A0B44"/>
    <w:rsid w:val="002A20A7"/>
    <w:rsid w:val="002A4461"/>
    <w:rsid w:val="002A5452"/>
    <w:rsid w:val="002A579B"/>
    <w:rsid w:val="002A6939"/>
    <w:rsid w:val="002A7700"/>
    <w:rsid w:val="002A7E2F"/>
    <w:rsid w:val="002B1C22"/>
    <w:rsid w:val="002B23E0"/>
    <w:rsid w:val="002B2C36"/>
    <w:rsid w:val="002B339B"/>
    <w:rsid w:val="002B36DE"/>
    <w:rsid w:val="002B4B87"/>
    <w:rsid w:val="002B56FB"/>
    <w:rsid w:val="002B6159"/>
    <w:rsid w:val="002B7095"/>
    <w:rsid w:val="002B7764"/>
    <w:rsid w:val="002C18F9"/>
    <w:rsid w:val="002C286C"/>
    <w:rsid w:val="002C353F"/>
    <w:rsid w:val="002C5527"/>
    <w:rsid w:val="002C6009"/>
    <w:rsid w:val="002C6758"/>
    <w:rsid w:val="002C7C92"/>
    <w:rsid w:val="002D00E3"/>
    <w:rsid w:val="002D4C99"/>
    <w:rsid w:val="002D5442"/>
    <w:rsid w:val="002D6DD5"/>
    <w:rsid w:val="002D79CB"/>
    <w:rsid w:val="002E08F9"/>
    <w:rsid w:val="002E10EB"/>
    <w:rsid w:val="002E50C3"/>
    <w:rsid w:val="002E522E"/>
    <w:rsid w:val="002E54A3"/>
    <w:rsid w:val="002E5EC3"/>
    <w:rsid w:val="002E6D3A"/>
    <w:rsid w:val="002E7540"/>
    <w:rsid w:val="002E7608"/>
    <w:rsid w:val="002E7E27"/>
    <w:rsid w:val="002F05E9"/>
    <w:rsid w:val="002F129F"/>
    <w:rsid w:val="002F1C31"/>
    <w:rsid w:val="002F30B7"/>
    <w:rsid w:val="002F3D2C"/>
    <w:rsid w:val="002F567A"/>
    <w:rsid w:val="00301030"/>
    <w:rsid w:val="00301FAD"/>
    <w:rsid w:val="003045DA"/>
    <w:rsid w:val="00306118"/>
    <w:rsid w:val="00307711"/>
    <w:rsid w:val="00311FA1"/>
    <w:rsid w:val="00311FA9"/>
    <w:rsid w:val="0031211E"/>
    <w:rsid w:val="0031434D"/>
    <w:rsid w:val="003146C0"/>
    <w:rsid w:val="003168A8"/>
    <w:rsid w:val="00321E7F"/>
    <w:rsid w:val="0032336A"/>
    <w:rsid w:val="00323C1B"/>
    <w:rsid w:val="00323F47"/>
    <w:rsid w:val="0032685C"/>
    <w:rsid w:val="00327B4B"/>
    <w:rsid w:val="0033037B"/>
    <w:rsid w:val="00334511"/>
    <w:rsid w:val="0033478C"/>
    <w:rsid w:val="00337940"/>
    <w:rsid w:val="0034001D"/>
    <w:rsid w:val="00341B68"/>
    <w:rsid w:val="00341F1C"/>
    <w:rsid w:val="0034212C"/>
    <w:rsid w:val="0034489E"/>
    <w:rsid w:val="00344907"/>
    <w:rsid w:val="00347B1C"/>
    <w:rsid w:val="00350A12"/>
    <w:rsid w:val="0035119F"/>
    <w:rsid w:val="00351C85"/>
    <w:rsid w:val="0035280B"/>
    <w:rsid w:val="00353775"/>
    <w:rsid w:val="0035379C"/>
    <w:rsid w:val="00356584"/>
    <w:rsid w:val="0036235A"/>
    <w:rsid w:val="00362B39"/>
    <w:rsid w:val="00363807"/>
    <w:rsid w:val="00363B73"/>
    <w:rsid w:val="00364A81"/>
    <w:rsid w:val="003650D2"/>
    <w:rsid w:val="00366B95"/>
    <w:rsid w:val="00366C59"/>
    <w:rsid w:val="0036762E"/>
    <w:rsid w:val="00367DF7"/>
    <w:rsid w:val="0037091A"/>
    <w:rsid w:val="003727F0"/>
    <w:rsid w:val="003728E0"/>
    <w:rsid w:val="0037312B"/>
    <w:rsid w:val="00374F84"/>
    <w:rsid w:val="00375AF8"/>
    <w:rsid w:val="00375E7E"/>
    <w:rsid w:val="0037730A"/>
    <w:rsid w:val="003824D0"/>
    <w:rsid w:val="00385353"/>
    <w:rsid w:val="00385CCC"/>
    <w:rsid w:val="00386D28"/>
    <w:rsid w:val="00387B43"/>
    <w:rsid w:val="00391DC1"/>
    <w:rsid w:val="0039230C"/>
    <w:rsid w:val="003931CA"/>
    <w:rsid w:val="00394F84"/>
    <w:rsid w:val="00395BE5"/>
    <w:rsid w:val="003A2BFF"/>
    <w:rsid w:val="003A3533"/>
    <w:rsid w:val="003A38D9"/>
    <w:rsid w:val="003A4034"/>
    <w:rsid w:val="003A4632"/>
    <w:rsid w:val="003A5524"/>
    <w:rsid w:val="003A58D5"/>
    <w:rsid w:val="003A5951"/>
    <w:rsid w:val="003A76B3"/>
    <w:rsid w:val="003B1A7B"/>
    <w:rsid w:val="003B46D7"/>
    <w:rsid w:val="003B5074"/>
    <w:rsid w:val="003B5373"/>
    <w:rsid w:val="003B6D17"/>
    <w:rsid w:val="003B7F08"/>
    <w:rsid w:val="003C17F5"/>
    <w:rsid w:val="003C187A"/>
    <w:rsid w:val="003C3786"/>
    <w:rsid w:val="003C492F"/>
    <w:rsid w:val="003C4EA3"/>
    <w:rsid w:val="003C644E"/>
    <w:rsid w:val="003C73F9"/>
    <w:rsid w:val="003D02F8"/>
    <w:rsid w:val="003D1319"/>
    <w:rsid w:val="003D39D2"/>
    <w:rsid w:val="003D4ED4"/>
    <w:rsid w:val="003D63CC"/>
    <w:rsid w:val="003E08C3"/>
    <w:rsid w:val="003E0F02"/>
    <w:rsid w:val="003E16BD"/>
    <w:rsid w:val="003E1F13"/>
    <w:rsid w:val="003E25EF"/>
    <w:rsid w:val="003E2748"/>
    <w:rsid w:val="003E31D2"/>
    <w:rsid w:val="003E55B1"/>
    <w:rsid w:val="003E57D1"/>
    <w:rsid w:val="003E6F95"/>
    <w:rsid w:val="003F0100"/>
    <w:rsid w:val="003F28FE"/>
    <w:rsid w:val="003F4912"/>
    <w:rsid w:val="003F6A15"/>
    <w:rsid w:val="003F6FBC"/>
    <w:rsid w:val="003F759D"/>
    <w:rsid w:val="004011CA"/>
    <w:rsid w:val="00401212"/>
    <w:rsid w:val="0040123D"/>
    <w:rsid w:val="00402288"/>
    <w:rsid w:val="00402AF5"/>
    <w:rsid w:val="00402E03"/>
    <w:rsid w:val="00402FF6"/>
    <w:rsid w:val="00404541"/>
    <w:rsid w:val="004046A5"/>
    <w:rsid w:val="004049E6"/>
    <w:rsid w:val="004051EF"/>
    <w:rsid w:val="0040521C"/>
    <w:rsid w:val="0040622D"/>
    <w:rsid w:val="00407F58"/>
    <w:rsid w:val="004114A7"/>
    <w:rsid w:val="004128A4"/>
    <w:rsid w:val="00414087"/>
    <w:rsid w:val="0042026F"/>
    <w:rsid w:val="00420796"/>
    <w:rsid w:val="00421088"/>
    <w:rsid w:val="00421BDC"/>
    <w:rsid w:val="00421C91"/>
    <w:rsid w:val="0042302D"/>
    <w:rsid w:val="0042388F"/>
    <w:rsid w:val="004249FF"/>
    <w:rsid w:val="0042635E"/>
    <w:rsid w:val="00426996"/>
    <w:rsid w:val="00426FE5"/>
    <w:rsid w:val="00427593"/>
    <w:rsid w:val="00430802"/>
    <w:rsid w:val="00431987"/>
    <w:rsid w:val="00432D0E"/>
    <w:rsid w:val="004344ED"/>
    <w:rsid w:val="00435262"/>
    <w:rsid w:val="0043627C"/>
    <w:rsid w:val="00437ACB"/>
    <w:rsid w:val="004400B1"/>
    <w:rsid w:val="00440284"/>
    <w:rsid w:val="00442841"/>
    <w:rsid w:val="00442AAB"/>
    <w:rsid w:val="0044490C"/>
    <w:rsid w:val="00444FE6"/>
    <w:rsid w:val="004451E3"/>
    <w:rsid w:val="00446DF4"/>
    <w:rsid w:val="004472FD"/>
    <w:rsid w:val="00451D16"/>
    <w:rsid w:val="00451F19"/>
    <w:rsid w:val="00452B91"/>
    <w:rsid w:val="00453E5D"/>
    <w:rsid w:val="0045426B"/>
    <w:rsid w:val="0045477E"/>
    <w:rsid w:val="00456619"/>
    <w:rsid w:val="00456AF4"/>
    <w:rsid w:val="0046037D"/>
    <w:rsid w:val="0046161B"/>
    <w:rsid w:val="00461EF3"/>
    <w:rsid w:val="00462CF8"/>
    <w:rsid w:val="00463DD7"/>
    <w:rsid w:val="004641E1"/>
    <w:rsid w:val="004658C2"/>
    <w:rsid w:val="004659C2"/>
    <w:rsid w:val="00465E9E"/>
    <w:rsid w:val="00472706"/>
    <w:rsid w:val="0047335B"/>
    <w:rsid w:val="00474604"/>
    <w:rsid w:val="00475E91"/>
    <w:rsid w:val="004771F1"/>
    <w:rsid w:val="0048028A"/>
    <w:rsid w:val="0048244F"/>
    <w:rsid w:val="00483220"/>
    <w:rsid w:val="004835F1"/>
    <w:rsid w:val="00483B8A"/>
    <w:rsid w:val="00483FD3"/>
    <w:rsid w:val="00484C3E"/>
    <w:rsid w:val="00485683"/>
    <w:rsid w:val="004858FA"/>
    <w:rsid w:val="004912B7"/>
    <w:rsid w:val="00494335"/>
    <w:rsid w:val="00494FA5"/>
    <w:rsid w:val="004968F8"/>
    <w:rsid w:val="00496F43"/>
    <w:rsid w:val="00497A1B"/>
    <w:rsid w:val="004A10EC"/>
    <w:rsid w:val="004A1974"/>
    <w:rsid w:val="004A289B"/>
    <w:rsid w:val="004A2DD9"/>
    <w:rsid w:val="004A2E7D"/>
    <w:rsid w:val="004A3B17"/>
    <w:rsid w:val="004A4142"/>
    <w:rsid w:val="004A46A1"/>
    <w:rsid w:val="004A49B9"/>
    <w:rsid w:val="004A5135"/>
    <w:rsid w:val="004A6518"/>
    <w:rsid w:val="004A6D4F"/>
    <w:rsid w:val="004A78F9"/>
    <w:rsid w:val="004B06CF"/>
    <w:rsid w:val="004B1590"/>
    <w:rsid w:val="004B2480"/>
    <w:rsid w:val="004B313E"/>
    <w:rsid w:val="004B39AB"/>
    <w:rsid w:val="004B48F9"/>
    <w:rsid w:val="004B52C9"/>
    <w:rsid w:val="004B6FC4"/>
    <w:rsid w:val="004B77D1"/>
    <w:rsid w:val="004C0163"/>
    <w:rsid w:val="004C028F"/>
    <w:rsid w:val="004C0663"/>
    <w:rsid w:val="004C0994"/>
    <w:rsid w:val="004C5DDB"/>
    <w:rsid w:val="004C6A43"/>
    <w:rsid w:val="004D14AC"/>
    <w:rsid w:val="004D1514"/>
    <w:rsid w:val="004D1F3F"/>
    <w:rsid w:val="004D228D"/>
    <w:rsid w:val="004D303A"/>
    <w:rsid w:val="004D377F"/>
    <w:rsid w:val="004D3DF3"/>
    <w:rsid w:val="004D5A83"/>
    <w:rsid w:val="004D7733"/>
    <w:rsid w:val="004E1933"/>
    <w:rsid w:val="004E1A14"/>
    <w:rsid w:val="004E4671"/>
    <w:rsid w:val="004E5F77"/>
    <w:rsid w:val="004E60CA"/>
    <w:rsid w:val="004E68B5"/>
    <w:rsid w:val="004F00CE"/>
    <w:rsid w:val="004F325B"/>
    <w:rsid w:val="004F3CAC"/>
    <w:rsid w:val="004F458F"/>
    <w:rsid w:val="004F647C"/>
    <w:rsid w:val="004F74F2"/>
    <w:rsid w:val="004F75CE"/>
    <w:rsid w:val="0050020B"/>
    <w:rsid w:val="005007C2"/>
    <w:rsid w:val="00501676"/>
    <w:rsid w:val="005019FA"/>
    <w:rsid w:val="00502CB4"/>
    <w:rsid w:val="00502F58"/>
    <w:rsid w:val="0050324D"/>
    <w:rsid w:val="0050330A"/>
    <w:rsid w:val="0050533C"/>
    <w:rsid w:val="00507BC9"/>
    <w:rsid w:val="00507F54"/>
    <w:rsid w:val="00512A24"/>
    <w:rsid w:val="005137E0"/>
    <w:rsid w:val="0051407E"/>
    <w:rsid w:val="0051457E"/>
    <w:rsid w:val="005177CC"/>
    <w:rsid w:val="00517970"/>
    <w:rsid w:val="00517F32"/>
    <w:rsid w:val="00520F95"/>
    <w:rsid w:val="005213E9"/>
    <w:rsid w:val="005222E5"/>
    <w:rsid w:val="005231DE"/>
    <w:rsid w:val="00523C0D"/>
    <w:rsid w:val="00526C3B"/>
    <w:rsid w:val="00533BB1"/>
    <w:rsid w:val="00537490"/>
    <w:rsid w:val="00541C16"/>
    <w:rsid w:val="005423E7"/>
    <w:rsid w:val="00543980"/>
    <w:rsid w:val="0054398B"/>
    <w:rsid w:val="00543AF8"/>
    <w:rsid w:val="00543BC8"/>
    <w:rsid w:val="00543BD7"/>
    <w:rsid w:val="005450AE"/>
    <w:rsid w:val="00546395"/>
    <w:rsid w:val="00547DD0"/>
    <w:rsid w:val="0055163F"/>
    <w:rsid w:val="00553324"/>
    <w:rsid w:val="00553D55"/>
    <w:rsid w:val="00554827"/>
    <w:rsid w:val="005570DF"/>
    <w:rsid w:val="00557376"/>
    <w:rsid w:val="00560254"/>
    <w:rsid w:val="00560BDE"/>
    <w:rsid w:val="00561AC6"/>
    <w:rsid w:val="005633C6"/>
    <w:rsid w:val="00564E5A"/>
    <w:rsid w:val="005669E3"/>
    <w:rsid w:val="0057106D"/>
    <w:rsid w:val="0057109D"/>
    <w:rsid w:val="005711B1"/>
    <w:rsid w:val="005725CE"/>
    <w:rsid w:val="00574EA4"/>
    <w:rsid w:val="00575B51"/>
    <w:rsid w:val="0057699B"/>
    <w:rsid w:val="005800B5"/>
    <w:rsid w:val="0058091D"/>
    <w:rsid w:val="0058189E"/>
    <w:rsid w:val="00583E13"/>
    <w:rsid w:val="0058676F"/>
    <w:rsid w:val="005937B4"/>
    <w:rsid w:val="00594077"/>
    <w:rsid w:val="0059470C"/>
    <w:rsid w:val="00595097"/>
    <w:rsid w:val="005957E2"/>
    <w:rsid w:val="00595C53"/>
    <w:rsid w:val="00595E51"/>
    <w:rsid w:val="00596600"/>
    <w:rsid w:val="005A0D39"/>
    <w:rsid w:val="005A28C8"/>
    <w:rsid w:val="005A54BD"/>
    <w:rsid w:val="005A70AD"/>
    <w:rsid w:val="005B0028"/>
    <w:rsid w:val="005B0E4A"/>
    <w:rsid w:val="005B3965"/>
    <w:rsid w:val="005B5C3B"/>
    <w:rsid w:val="005C1F19"/>
    <w:rsid w:val="005C2E0A"/>
    <w:rsid w:val="005C3493"/>
    <w:rsid w:val="005C4925"/>
    <w:rsid w:val="005C52FA"/>
    <w:rsid w:val="005C662E"/>
    <w:rsid w:val="005C69E4"/>
    <w:rsid w:val="005C708B"/>
    <w:rsid w:val="005D077D"/>
    <w:rsid w:val="005D3D3A"/>
    <w:rsid w:val="005E08F0"/>
    <w:rsid w:val="005E0906"/>
    <w:rsid w:val="005E0FFC"/>
    <w:rsid w:val="005E1ED1"/>
    <w:rsid w:val="005E2AD9"/>
    <w:rsid w:val="005E306E"/>
    <w:rsid w:val="005E37D1"/>
    <w:rsid w:val="005E4785"/>
    <w:rsid w:val="005E60BE"/>
    <w:rsid w:val="005E6CED"/>
    <w:rsid w:val="005E75CD"/>
    <w:rsid w:val="005F0B23"/>
    <w:rsid w:val="005F12C7"/>
    <w:rsid w:val="005F6894"/>
    <w:rsid w:val="005F783B"/>
    <w:rsid w:val="006020E9"/>
    <w:rsid w:val="00602A32"/>
    <w:rsid w:val="006042FA"/>
    <w:rsid w:val="0060432A"/>
    <w:rsid w:val="006043C9"/>
    <w:rsid w:val="00607D86"/>
    <w:rsid w:val="006114D7"/>
    <w:rsid w:val="006120D6"/>
    <w:rsid w:val="0061396F"/>
    <w:rsid w:val="00614D81"/>
    <w:rsid w:val="00615B5F"/>
    <w:rsid w:val="00620212"/>
    <w:rsid w:val="006207C2"/>
    <w:rsid w:val="006215D1"/>
    <w:rsid w:val="00621A5C"/>
    <w:rsid w:val="00621D02"/>
    <w:rsid w:val="00622135"/>
    <w:rsid w:val="006255A0"/>
    <w:rsid w:val="006272C5"/>
    <w:rsid w:val="006273FF"/>
    <w:rsid w:val="00633D46"/>
    <w:rsid w:val="006347DC"/>
    <w:rsid w:val="00635A53"/>
    <w:rsid w:val="0063668B"/>
    <w:rsid w:val="006367D2"/>
    <w:rsid w:val="00636D3E"/>
    <w:rsid w:val="00637214"/>
    <w:rsid w:val="0064111C"/>
    <w:rsid w:val="00642F41"/>
    <w:rsid w:val="00643213"/>
    <w:rsid w:val="00643420"/>
    <w:rsid w:val="006468D7"/>
    <w:rsid w:val="00646F7A"/>
    <w:rsid w:val="00647674"/>
    <w:rsid w:val="006509AD"/>
    <w:rsid w:val="0065139E"/>
    <w:rsid w:val="00654310"/>
    <w:rsid w:val="00654F3A"/>
    <w:rsid w:val="00655F49"/>
    <w:rsid w:val="00656B9A"/>
    <w:rsid w:val="00657FF5"/>
    <w:rsid w:val="0066192D"/>
    <w:rsid w:val="00661F00"/>
    <w:rsid w:val="00662238"/>
    <w:rsid w:val="0066257F"/>
    <w:rsid w:val="00662CE0"/>
    <w:rsid w:val="00663642"/>
    <w:rsid w:val="0066390A"/>
    <w:rsid w:val="00665327"/>
    <w:rsid w:val="00665998"/>
    <w:rsid w:val="0067080D"/>
    <w:rsid w:val="00671F27"/>
    <w:rsid w:val="00671FBF"/>
    <w:rsid w:val="006749A7"/>
    <w:rsid w:val="0067550E"/>
    <w:rsid w:val="0067568F"/>
    <w:rsid w:val="006758CB"/>
    <w:rsid w:val="006768A6"/>
    <w:rsid w:val="00676F1D"/>
    <w:rsid w:val="00677729"/>
    <w:rsid w:val="0068014C"/>
    <w:rsid w:val="00680203"/>
    <w:rsid w:val="00682C3B"/>
    <w:rsid w:val="00684DDF"/>
    <w:rsid w:val="006854C0"/>
    <w:rsid w:val="006868DE"/>
    <w:rsid w:val="00686B64"/>
    <w:rsid w:val="00687FEB"/>
    <w:rsid w:val="0069022F"/>
    <w:rsid w:val="006912D4"/>
    <w:rsid w:val="00692E1B"/>
    <w:rsid w:val="00693E30"/>
    <w:rsid w:val="0069468A"/>
    <w:rsid w:val="006968D9"/>
    <w:rsid w:val="00696F95"/>
    <w:rsid w:val="00697E9C"/>
    <w:rsid w:val="006A1169"/>
    <w:rsid w:val="006A2226"/>
    <w:rsid w:val="006A22A7"/>
    <w:rsid w:val="006A2DC0"/>
    <w:rsid w:val="006A2E08"/>
    <w:rsid w:val="006A3167"/>
    <w:rsid w:val="006A35CC"/>
    <w:rsid w:val="006A3909"/>
    <w:rsid w:val="006A46E8"/>
    <w:rsid w:val="006A60A5"/>
    <w:rsid w:val="006B25CA"/>
    <w:rsid w:val="006B2A78"/>
    <w:rsid w:val="006B2F6C"/>
    <w:rsid w:val="006B38A0"/>
    <w:rsid w:val="006B3EB2"/>
    <w:rsid w:val="006B5B64"/>
    <w:rsid w:val="006B78E1"/>
    <w:rsid w:val="006C10F6"/>
    <w:rsid w:val="006C19FF"/>
    <w:rsid w:val="006C1A4F"/>
    <w:rsid w:val="006C20C6"/>
    <w:rsid w:val="006C21B0"/>
    <w:rsid w:val="006C3D07"/>
    <w:rsid w:val="006C47EF"/>
    <w:rsid w:val="006C70F7"/>
    <w:rsid w:val="006D01FD"/>
    <w:rsid w:val="006D0FD8"/>
    <w:rsid w:val="006D16A7"/>
    <w:rsid w:val="006D1A6E"/>
    <w:rsid w:val="006D2C6B"/>
    <w:rsid w:val="006D31EB"/>
    <w:rsid w:val="006D450E"/>
    <w:rsid w:val="006D45D5"/>
    <w:rsid w:val="006D5FB0"/>
    <w:rsid w:val="006D6478"/>
    <w:rsid w:val="006D6B78"/>
    <w:rsid w:val="006E002E"/>
    <w:rsid w:val="006E034D"/>
    <w:rsid w:val="006E0EE8"/>
    <w:rsid w:val="006E3654"/>
    <w:rsid w:val="006F135E"/>
    <w:rsid w:val="006F2315"/>
    <w:rsid w:val="006F2F1A"/>
    <w:rsid w:val="006F342C"/>
    <w:rsid w:val="006F3AAD"/>
    <w:rsid w:val="006F710D"/>
    <w:rsid w:val="00700125"/>
    <w:rsid w:val="00701B6E"/>
    <w:rsid w:val="007026FB"/>
    <w:rsid w:val="0070533E"/>
    <w:rsid w:val="007069D5"/>
    <w:rsid w:val="00710B9C"/>
    <w:rsid w:val="0071136A"/>
    <w:rsid w:val="00711640"/>
    <w:rsid w:val="007121AA"/>
    <w:rsid w:val="0071245D"/>
    <w:rsid w:val="00714B6A"/>
    <w:rsid w:val="00716ABA"/>
    <w:rsid w:val="007221DE"/>
    <w:rsid w:val="00722EB8"/>
    <w:rsid w:val="007230DB"/>
    <w:rsid w:val="00724860"/>
    <w:rsid w:val="00730E1C"/>
    <w:rsid w:val="0073124D"/>
    <w:rsid w:val="007340C0"/>
    <w:rsid w:val="0073480B"/>
    <w:rsid w:val="00734E7B"/>
    <w:rsid w:val="007370FD"/>
    <w:rsid w:val="007405ED"/>
    <w:rsid w:val="00741C2A"/>
    <w:rsid w:val="007421DE"/>
    <w:rsid w:val="00742551"/>
    <w:rsid w:val="007430F8"/>
    <w:rsid w:val="00743182"/>
    <w:rsid w:val="007444A5"/>
    <w:rsid w:val="00744AD6"/>
    <w:rsid w:val="00745AD5"/>
    <w:rsid w:val="00746E1B"/>
    <w:rsid w:val="0074726B"/>
    <w:rsid w:val="007472FC"/>
    <w:rsid w:val="00751012"/>
    <w:rsid w:val="007518A4"/>
    <w:rsid w:val="00751BB3"/>
    <w:rsid w:val="00753B19"/>
    <w:rsid w:val="00754A9A"/>
    <w:rsid w:val="00754CCC"/>
    <w:rsid w:val="007608F3"/>
    <w:rsid w:val="007615EC"/>
    <w:rsid w:val="00762039"/>
    <w:rsid w:val="007627F9"/>
    <w:rsid w:val="00763479"/>
    <w:rsid w:val="00763F53"/>
    <w:rsid w:val="007645C2"/>
    <w:rsid w:val="00765A50"/>
    <w:rsid w:val="007669DD"/>
    <w:rsid w:val="00770FB9"/>
    <w:rsid w:val="007735C6"/>
    <w:rsid w:val="007761C4"/>
    <w:rsid w:val="00780424"/>
    <w:rsid w:val="00781B6D"/>
    <w:rsid w:val="0078239D"/>
    <w:rsid w:val="00782CC2"/>
    <w:rsid w:val="00783A63"/>
    <w:rsid w:val="00783BA1"/>
    <w:rsid w:val="00783D1D"/>
    <w:rsid w:val="00783E2C"/>
    <w:rsid w:val="00783E95"/>
    <w:rsid w:val="0078409D"/>
    <w:rsid w:val="00784248"/>
    <w:rsid w:val="00786D2C"/>
    <w:rsid w:val="00790CFD"/>
    <w:rsid w:val="00790E7F"/>
    <w:rsid w:val="00792431"/>
    <w:rsid w:val="007924D2"/>
    <w:rsid w:val="007935A9"/>
    <w:rsid w:val="00795456"/>
    <w:rsid w:val="00795A96"/>
    <w:rsid w:val="00796B93"/>
    <w:rsid w:val="007A3E15"/>
    <w:rsid w:val="007A4693"/>
    <w:rsid w:val="007A7DF5"/>
    <w:rsid w:val="007B029B"/>
    <w:rsid w:val="007B126B"/>
    <w:rsid w:val="007B1C38"/>
    <w:rsid w:val="007B20BD"/>
    <w:rsid w:val="007B23C8"/>
    <w:rsid w:val="007B50EC"/>
    <w:rsid w:val="007B5151"/>
    <w:rsid w:val="007B6175"/>
    <w:rsid w:val="007B7857"/>
    <w:rsid w:val="007B7B57"/>
    <w:rsid w:val="007C07BC"/>
    <w:rsid w:val="007C07C4"/>
    <w:rsid w:val="007C14AE"/>
    <w:rsid w:val="007C1A4B"/>
    <w:rsid w:val="007C25B0"/>
    <w:rsid w:val="007C35D7"/>
    <w:rsid w:val="007C392E"/>
    <w:rsid w:val="007C3EE6"/>
    <w:rsid w:val="007C4193"/>
    <w:rsid w:val="007C4888"/>
    <w:rsid w:val="007C6135"/>
    <w:rsid w:val="007C6F8D"/>
    <w:rsid w:val="007C7B56"/>
    <w:rsid w:val="007D113D"/>
    <w:rsid w:val="007D204F"/>
    <w:rsid w:val="007D2F9F"/>
    <w:rsid w:val="007D3578"/>
    <w:rsid w:val="007D3707"/>
    <w:rsid w:val="007D3F37"/>
    <w:rsid w:val="007D62CB"/>
    <w:rsid w:val="007D74C7"/>
    <w:rsid w:val="007E0AB0"/>
    <w:rsid w:val="007E0B75"/>
    <w:rsid w:val="007E2C10"/>
    <w:rsid w:val="007E39E2"/>
    <w:rsid w:val="007E60FA"/>
    <w:rsid w:val="007E73E1"/>
    <w:rsid w:val="007E77D7"/>
    <w:rsid w:val="007F2A06"/>
    <w:rsid w:val="007F307B"/>
    <w:rsid w:val="007F3307"/>
    <w:rsid w:val="007F6CE8"/>
    <w:rsid w:val="0080192A"/>
    <w:rsid w:val="00801BD9"/>
    <w:rsid w:val="0080244D"/>
    <w:rsid w:val="00802600"/>
    <w:rsid w:val="0080318E"/>
    <w:rsid w:val="00803D56"/>
    <w:rsid w:val="008049F3"/>
    <w:rsid w:val="00804EBE"/>
    <w:rsid w:val="00805B0C"/>
    <w:rsid w:val="00806A00"/>
    <w:rsid w:val="00807BA3"/>
    <w:rsid w:val="00812D21"/>
    <w:rsid w:val="00814424"/>
    <w:rsid w:val="00821DE2"/>
    <w:rsid w:val="00824AEF"/>
    <w:rsid w:val="00825B3A"/>
    <w:rsid w:val="0082707B"/>
    <w:rsid w:val="00830174"/>
    <w:rsid w:val="008303FA"/>
    <w:rsid w:val="00830849"/>
    <w:rsid w:val="0083145F"/>
    <w:rsid w:val="008336D9"/>
    <w:rsid w:val="0083602E"/>
    <w:rsid w:val="00836991"/>
    <w:rsid w:val="00837B09"/>
    <w:rsid w:val="008428EE"/>
    <w:rsid w:val="0084294A"/>
    <w:rsid w:val="00842B20"/>
    <w:rsid w:val="00842C98"/>
    <w:rsid w:val="00845303"/>
    <w:rsid w:val="00850AC5"/>
    <w:rsid w:val="00851E1F"/>
    <w:rsid w:val="008532B2"/>
    <w:rsid w:val="00853558"/>
    <w:rsid w:val="008538E5"/>
    <w:rsid w:val="008544F1"/>
    <w:rsid w:val="008556A8"/>
    <w:rsid w:val="008564B4"/>
    <w:rsid w:val="0085703F"/>
    <w:rsid w:val="0085795F"/>
    <w:rsid w:val="008614CE"/>
    <w:rsid w:val="0086235C"/>
    <w:rsid w:val="0086323D"/>
    <w:rsid w:val="008655BB"/>
    <w:rsid w:val="008667FA"/>
    <w:rsid w:val="008713F6"/>
    <w:rsid w:val="0087528E"/>
    <w:rsid w:val="00877D5F"/>
    <w:rsid w:val="0088050F"/>
    <w:rsid w:val="008806A1"/>
    <w:rsid w:val="00882BBE"/>
    <w:rsid w:val="00882C49"/>
    <w:rsid w:val="008831BB"/>
    <w:rsid w:val="008839DA"/>
    <w:rsid w:val="00884CA1"/>
    <w:rsid w:val="00884F34"/>
    <w:rsid w:val="008854C8"/>
    <w:rsid w:val="00886534"/>
    <w:rsid w:val="00887119"/>
    <w:rsid w:val="00887E82"/>
    <w:rsid w:val="00887EA6"/>
    <w:rsid w:val="008902C5"/>
    <w:rsid w:val="00891397"/>
    <w:rsid w:val="00896C8D"/>
    <w:rsid w:val="00897202"/>
    <w:rsid w:val="00897773"/>
    <w:rsid w:val="008A03A6"/>
    <w:rsid w:val="008A1C53"/>
    <w:rsid w:val="008A3079"/>
    <w:rsid w:val="008A3BAE"/>
    <w:rsid w:val="008A409E"/>
    <w:rsid w:val="008A4EE9"/>
    <w:rsid w:val="008A51F6"/>
    <w:rsid w:val="008A5AEA"/>
    <w:rsid w:val="008A5DD4"/>
    <w:rsid w:val="008B0756"/>
    <w:rsid w:val="008B0F84"/>
    <w:rsid w:val="008B2D3A"/>
    <w:rsid w:val="008B3220"/>
    <w:rsid w:val="008B5F04"/>
    <w:rsid w:val="008B7F6B"/>
    <w:rsid w:val="008C0D78"/>
    <w:rsid w:val="008C0FB0"/>
    <w:rsid w:val="008C2C5B"/>
    <w:rsid w:val="008C32B6"/>
    <w:rsid w:val="008C3E42"/>
    <w:rsid w:val="008C4063"/>
    <w:rsid w:val="008C430E"/>
    <w:rsid w:val="008D042D"/>
    <w:rsid w:val="008D2121"/>
    <w:rsid w:val="008D4BDE"/>
    <w:rsid w:val="008D5CBD"/>
    <w:rsid w:val="008D5E14"/>
    <w:rsid w:val="008D64FF"/>
    <w:rsid w:val="008D65AF"/>
    <w:rsid w:val="008D67DF"/>
    <w:rsid w:val="008E0AAC"/>
    <w:rsid w:val="008E12E6"/>
    <w:rsid w:val="008E2432"/>
    <w:rsid w:val="008E2885"/>
    <w:rsid w:val="008E30A9"/>
    <w:rsid w:val="008E4EFE"/>
    <w:rsid w:val="008E626D"/>
    <w:rsid w:val="008E6A86"/>
    <w:rsid w:val="008E7380"/>
    <w:rsid w:val="008E7867"/>
    <w:rsid w:val="008E78D1"/>
    <w:rsid w:val="008E7E97"/>
    <w:rsid w:val="008F35BC"/>
    <w:rsid w:val="008F3C7D"/>
    <w:rsid w:val="008F565B"/>
    <w:rsid w:val="00900418"/>
    <w:rsid w:val="009024F7"/>
    <w:rsid w:val="00903344"/>
    <w:rsid w:val="0090409B"/>
    <w:rsid w:val="009053F8"/>
    <w:rsid w:val="00905DB5"/>
    <w:rsid w:val="00906670"/>
    <w:rsid w:val="009101D6"/>
    <w:rsid w:val="009102FC"/>
    <w:rsid w:val="00910AC8"/>
    <w:rsid w:val="00912325"/>
    <w:rsid w:val="00912501"/>
    <w:rsid w:val="00913E0B"/>
    <w:rsid w:val="00915053"/>
    <w:rsid w:val="009167FF"/>
    <w:rsid w:val="00916B19"/>
    <w:rsid w:val="00922393"/>
    <w:rsid w:val="00922549"/>
    <w:rsid w:val="0092298E"/>
    <w:rsid w:val="00924F99"/>
    <w:rsid w:val="009255D6"/>
    <w:rsid w:val="00925B04"/>
    <w:rsid w:val="009274E7"/>
    <w:rsid w:val="009300FF"/>
    <w:rsid w:val="00930347"/>
    <w:rsid w:val="009304C2"/>
    <w:rsid w:val="00930B92"/>
    <w:rsid w:val="00930D5A"/>
    <w:rsid w:val="009330A0"/>
    <w:rsid w:val="00934596"/>
    <w:rsid w:val="00934D5E"/>
    <w:rsid w:val="0094274A"/>
    <w:rsid w:val="009457DC"/>
    <w:rsid w:val="00945B21"/>
    <w:rsid w:val="009461CD"/>
    <w:rsid w:val="00946CD2"/>
    <w:rsid w:val="00946EE9"/>
    <w:rsid w:val="00951611"/>
    <w:rsid w:val="00952682"/>
    <w:rsid w:val="00952B5B"/>
    <w:rsid w:val="00952F0E"/>
    <w:rsid w:val="009554CB"/>
    <w:rsid w:val="00955548"/>
    <w:rsid w:val="009579F0"/>
    <w:rsid w:val="00957EBC"/>
    <w:rsid w:val="00961525"/>
    <w:rsid w:val="00961B2C"/>
    <w:rsid w:val="00962626"/>
    <w:rsid w:val="00962EC7"/>
    <w:rsid w:val="009632EF"/>
    <w:rsid w:val="00963416"/>
    <w:rsid w:val="00963B6E"/>
    <w:rsid w:val="00964F3C"/>
    <w:rsid w:val="0097054C"/>
    <w:rsid w:val="009712FD"/>
    <w:rsid w:val="009717F5"/>
    <w:rsid w:val="00971D99"/>
    <w:rsid w:val="00973D9C"/>
    <w:rsid w:val="00975FD3"/>
    <w:rsid w:val="009810FC"/>
    <w:rsid w:val="00981213"/>
    <w:rsid w:val="009814C1"/>
    <w:rsid w:val="009837DC"/>
    <w:rsid w:val="00983899"/>
    <w:rsid w:val="00984D0E"/>
    <w:rsid w:val="00987D44"/>
    <w:rsid w:val="00990D1F"/>
    <w:rsid w:val="00990FE5"/>
    <w:rsid w:val="00992222"/>
    <w:rsid w:val="009923BC"/>
    <w:rsid w:val="00992CEB"/>
    <w:rsid w:val="009936DE"/>
    <w:rsid w:val="00993A28"/>
    <w:rsid w:val="009940E4"/>
    <w:rsid w:val="00994361"/>
    <w:rsid w:val="009A0FCD"/>
    <w:rsid w:val="009A2501"/>
    <w:rsid w:val="009A556C"/>
    <w:rsid w:val="009A5BB9"/>
    <w:rsid w:val="009A5FE9"/>
    <w:rsid w:val="009A614C"/>
    <w:rsid w:val="009A6993"/>
    <w:rsid w:val="009A6BBE"/>
    <w:rsid w:val="009A6E59"/>
    <w:rsid w:val="009A6FB3"/>
    <w:rsid w:val="009B1F8C"/>
    <w:rsid w:val="009B24FB"/>
    <w:rsid w:val="009B368F"/>
    <w:rsid w:val="009B615B"/>
    <w:rsid w:val="009B6B9F"/>
    <w:rsid w:val="009B7155"/>
    <w:rsid w:val="009C02A0"/>
    <w:rsid w:val="009C31FD"/>
    <w:rsid w:val="009C3382"/>
    <w:rsid w:val="009C3644"/>
    <w:rsid w:val="009C4AE1"/>
    <w:rsid w:val="009C5FEC"/>
    <w:rsid w:val="009C705C"/>
    <w:rsid w:val="009C7ABA"/>
    <w:rsid w:val="009D005D"/>
    <w:rsid w:val="009D0ABD"/>
    <w:rsid w:val="009D145F"/>
    <w:rsid w:val="009D327F"/>
    <w:rsid w:val="009D71DE"/>
    <w:rsid w:val="009E0A89"/>
    <w:rsid w:val="009E0CF3"/>
    <w:rsid w:val="009E294D"/>
    <w:rsid w:val="009E55A0"/>
    <w:rsid w:val="009E6179"/>
    <w:rsid w:val="009E6C3F"/>
    <w:rsid w:val="009E6DC9"/>
    <w:rsid w:val="009E6E03"/>
    <w:rsid w:val="009F2AF1"/>
    <w:rsid w:val="009F3377"/>
    <w:rsid w:val="009F3429"/>
    <w:rsid w:val="009F42FB"/>
    <w:rsid w:val="009F4CC1"/>
    <w:rsid w:val="009F5B01"/>
    <w:rsid w:val="009F5D3D"/>
    <w:rsid w:val="009F61D9"/>
    <w:rsid w:val="009F6E10"/>
    <w:rsid w:val="009F7FE5"/>
    <w:rsid w:val="00A0049A"/>
    <w:rsid w:val="00A01A39"/>
    <w:rsid w:val="00A01ED8"/>
    <w:rsid w:val="00A02BDB"/>
    <w:rsid w:val="00A04E67"/>
    <w:rsid w:val="00A05818"/>
    <w:rsid w:val="00A05F50"/>
    <w:rsid w:val="00A067A2"/>
    <w:rsid w:val="00A07CBE"/>
    <w:rsid w:val="00A118D9"/>
    <w:rsid w:val="00A11916"/>
    <w:rsid w:val="00A13464"/>
    <w:rsid w:val="00A14F3C"/>
    <w:rsid w:val="00A173DB"/>
    <w:rsid w:val="00A17BCB"/>
    <w:rsid w:val="00A20035"/>
    <w:rsid w:val="00A22C77"/>
    <w:rsid w:val="00A25379"/>
    <w:rsid w:val="00A254C4"/>
    <w:rsid w:val="00A26F1F"/>
    <w:rsid w:val="00A30DDB"/>
    <w:rsid w:val="00A331BF"/>
    <w:rsid w:val="00A34BF6"/>
    <w:rsid w:val="00A351C8"/>
    <w:rsid w:val="00A353B3"/>
    <w:rsid w:val="00A360B9"/>
    <w:rsid w:val="00A36848"/>
    <w:rsid w:val="00A416BC"/>
    <w:rsid w:val="00A41D7F"/>
    <w:rsid w:val="00A428CA"/>
    <w:rsid w:val="00A4545C"/>
    <w:rsid w:val="00A45E2C"/>
    <w:rsid w:val="00A4702F"/>
    <w:rsid w:val="00A477F8"/>
    <w:rsid w:val="00A47998"/>
    <w:rsid w:val="00A500A6"/>
    <w:rsid w:val="00A52044"/>
    <w:rsid w:val="00A52719"/>
    <w:rsid w:val="00A543EF"/>
    <w:rsid w:val="00A55F47"/>
    <w:rsid w:val="00A6003E"/>
    <w:rsid w:val="00A601F5"/>
    <w:rsid w:val="00A613C9"/>
    <w:rsid w:val="00A61680"/>
    <w:rsid w:val="00A66496"/>
    <w:rsid w:val="00A70174"/>
    <w:rsid w:val="00A71EAB"/>
    <w:rsid w:val="00A76420"/>
    <w:rsid w:val="00A776F5"/>
    <w:rsid w:val="00A777A4"/>
    <w:rsid w:val="00A80517"/>
    <w:rsid w:val="00A82082"/>
    <w:rsid w:val="00A8386D"/>
    <w:rsid w:val="00A845E5"/>
    <w:rsid w:val="00A90E93"/>
    <w:rsid w:val="00A93830"/>
    <w:rsid w:val="00A94C33"/>
    <w:rsid w:val="00A97F33"/>
    <w:rsid w:val="00AA0D1B"/>
    <w:rsid w:val="00AA245B"/>
    <w:rsid w:val="00AA3D39"/>
    <w:rsid w:val="00AA4E3C"/>
    <w:rsid w:val="00AA553B"/>
    <w:rsid w:val="00AA6BF7"/>
    <w:rsid w:val="00AA7553"/>
    <w:rsid w:val="00AA7D5A"/>
    <w:rsid w:val="00AA7D87"/>
    <w:rsid w:val="00AB09BC"/>
    <w:rsid w:val="00AB10BF"/>
    <w:rsid w:val="00AB1F6D"/>
    <w:rsid w:val="00AB2AB5"/>
    <w:rsid w:val="00AB3049"/>
    <w:rsid w:val="00AB3FE4"/>
    <w:rsid w:val="00AB4526"/>
    <w:rsid w:val="00AB46FF"/>
    <w:rsid w:val="00AB475B"/>
    <w:rsid w:val="00AC02D4"/>
    <w:rsid w:val="00AC0991"/>
    <w:rsid w:val="00AC16ED"/>
    <w:rsid w:val="00AC1B6C"/>
    <w:rsid w:val="00AC1F23"/>
    <w:rsid w:val="00AC2F20"/>
    <w:rsid w:val="00AC38F1"/>
    <w:rsid w:val="00AC694E"/>
    <w:rsid w:val="00AD1EC3"/>
    <w:rsid w:val="00AD27E7"/>
    <w:rsid w:val="00AD2ABE"/>
    <w:rsid w:val="00AD3694"/>
    <w:rsid w:val="00AD37CD"/>
    <w:rsid w:val="00AD4247"/>
    <w:rsid w:val="00AD618D"/>
    <w:rsid w:val="00AD6199"/>
    <w:rsid w:val="00AD76A3"/>
    <w:rsid w:val="00AE08D4"/>
    <w:rsid w:val="00AE375B"/>
    <w:rsid w:val="00AE4084"/>
    <w:rsid w:val="00AE5BED"/>
    <w:rsid w:val="00AE769F"/>
    <w:rsid w:val="00AE7FEE"/>
    <w:rsid w:val="00AF085B"/>
    <w:rsid w:val="00AF0967"/>
    <w:rsid w:val="00AF262F"/>
    <w:rsid w:val="00AF3049"/>
    <w:rsid w:val="00AF6EBB"/>
    <w:rsid w:val="00B009BF"/>
    <w:rsid w:val="00B02777"/>
    <w:rsid w:val="00B0329C"/>
    <w:rsid w:val="00B05A46"/>
    <w:rsid w:val="00B062D9"/>
    <w:rsid w:val="00B0647D"/>
    <w:rsid w:val="00B120FF"/>
    <w:rsid w:val="00B1244A"/>
    <w:rsid w:val="00B1293B"/>
    <w:rsid w:val="00B13190"/>
    <w:rsid w:val="00B15492"/>
    <w:rsid w:val="00B17365"/>
    <w:rsid w:val="00B218A2"/>
    <w:rsid w:val="00B21D32"/>
    <w:rsid w:val="00B22413"/>
    <w:rsid w:val="00B2352E"/>
    <w:rsid w:val="00B2373E"/>
    <w:rsid w:val="00B25733"/>
    <w:rsid w:val="00B276AE"/>
    <w:rsid w:val="00B306E3"/>
    <w:rsid w:val="00B31D3E"/>
    <w:rsid w:val="00B31DCA"/>
    <w:rsid w:val="00B3248A"/>
    <w:rsid w:val="00B353C7"/>
    <w:rsid w:val="00B354B6"/>
    <w:rsid w:val="00B36FC5"/>
    <w:rsid w:val="00B40080"/>
    <w:rsid w:val="00B42B99"/>
    <w:rsid w:val="00B43C39"/>
    <w:rsid w:val="00B4540F"/>
    <w:rsid w:val="00B464B4"/>
    <w:rsid w:val="00B4662F"/>
    <w:rsid w:val="00B468AA"/>
    <w:rsid w:val="00B4691F"/>
    <w:rsid w:val="00B47203"/>
    <w:rsid w:val="00B47939"/>
    <w:rsid w:val="00B47A2F"/>
    <w:rsid w:val="00B509E4"/>
    <w:rsid w:val="00B50A07"/>
    <w:rsid w:val="00B53D59"/>
    <w:rsid w:val="00B54A73"/>
    <w:rsid w:val="00B5508B"/>
    <w:rsid w:val="00B57CAA"/>
    <w:rsid w:val="00B613C3"/>
    <w:rsid w:val="00B62FE2"/>
    <w:rsid w:val="00B63B65"/>
    <w:rsid w:val="00B668B7"/>
    <w:rsid w:val="00B67F2B"/>
    <w:rsid w:val="00B707F5"/>
    <w:rsid w:val="00B7223A"/>
    <w:rsid w:val="00B74454"/>
    <w:rsid w:val="00B745F0"/>
    <w:rsid w:val="00B75E13"/>
    <w:rsid w:val="00B763B3"/>
    <w:rsid w:val="00B76D67"/>
    <w:rsid w:val="00B77BCC"/>
    <w:rsid w:val="00B82B9C"/>
    <w:rsid w:val="00B83C28"/>
    <w:rsid w:val="00B84BD0"/>
    <w:rsid w:val="00B84DAF"/>
    <w:rsid w:val="00B856AB"/>
    <w:rsid w:val="00B86ABB"/>
    <w:rsid w:val="00B87468"/>
    <w:rsid w:val="00B9068B"/>
    <w:rsid w:val="00B92D62"/>
    <w:rsid w:val="00B93F22"/>
    <w:rsid w:val="00B9481F"/>
    <w:rsid w:val="00B954F7"/>
    <w:rsid w:val="00B95586"/>
    <w:rsid w:val="00B966E6"/>
    <w:rsid w:val="00B979C4"/>
    <w:rsid w:val="00BA1244"/>
    <w:rsid w:val="00BA450A"/>
    <w:rsid w:val="00BA468F"/>
    <w:rsid w:val="00BA4B4B"/>
    <w:rsid w:val="00BA599B"/>
    <w:rsid w:val="00BA68BF"/>
    <w:rsid w:val="00BA6D09"/>
    <w:rsid w:val="00BA6FBC"/>
    <w:rsid w:val="00BB5541"/>
    <w:rsid w:val="00BB6857"/>
    <w:rsid w:val="00BB7104"/>
    <w:rsid w:val="00BC0673"/>
    <w:rsid w:val="00BC06D8"/>
    <w:rsid w:val="00BC0D41"/>
    <w:rsid w:val="00BC0EE9"/>
    <w:rsid w:val="00BC197E"/>
    <w:rsid w:val="00BC2929"/>
    <w:rsid w:val="00BC571E"/>
    <w:rsid w:val="00BC6FEB"/>
    <w:rsid w:val="00BD0414"/>
    <w:rsid w:val="00BD2AD2"/>
    <w:rsid w:val="00BD7481"/>
    <w:rsid w:val="00BE1C40"/>
    <w:rsid w:val="00BE2F7D"/>
    <w:rsid w:val="00BE32D7"/>
    <w:rsid w:val="00BE5084"/>
    <w:rsid w:val="00BE7192"/>
    <w:rsid w:val="00BE7BF6"/>
    <w:rsid w:val="00BE7CA4"/>
    <w:rsid w:val="00BF1A95"/>
    <w:rsid w:val="00BF255E"/>
    <w:rsid w:val="00BF3CA3"/>
    <w:rsid w:val="00BF700B"/>
    <w:rsid w:val="00BF7328"/>
    <w:rsid w:val="00C01FFD"/>
    <w:rsid w:val="00C0343E"/>
    <w:rsid w:val="00C041AE"/>
    <w:rsid w:val="00C04C3D"/>
    <w:rsid w:val="00C06148"/>
    <w:rsid w:val="00C0774B"/>
    <w:rsid w:val="00C103EA"/>
    <w:rsid w:val="00C1085A"/>
    <w:rsid w:val="00C11542"/>
    <w:rsid w:val="00C132E3"/>
    <w:rsid w:val="00C15D50"/>
    <w:rsid w:val="00C170A8"/>
    <w:rsid w:val="00C21600"/>
    <w:rsid w:val="00C2203E"/>
    <w:rsid w:val="00C22B09"/>
    <w:rsid w:val="00C24B5A"/>
    <w:rsid w:val="00C25F8F"/>
    <w:rsid w:val="00C27080"/>
    <w:rsid w:val="00C27542"/>
    <w:rsid w:val="00C30302"/>
    <w:rsid w:val="00C3047E"/>
    <w:rsid w:val="00C30B05"/>
    <w:rsid w:val="00C336F1"/>
    <w:rsid w:val="00C3379A"/>
    <w:rsid w:val="00C34501"/>
    <w:rsid w:val="00C345F3"/>
    <w:rsid w:val="00C3562F"/>
    <w:rsid w:val="00C35B8A"/>
    <w:rsid w:val="00C36347"/>
    <w:rsid w:val="00C36C14"/>
    <w:rsid w:val="00C36ED2"/>
    <w:rsid w:val="00C37FA4"/>
    <w:rsid w:val="00C40308"/>
    <w:rsid w:val="00C4062E"/>
    <w:rsid w:val="00C43BCC"/>
    <w:rsid w:val="00C44C35"/>
    <w:rsid w:val="00C4655E"/>
    <w:rsid w:val="00C50BC2"/>
    <w:rsid w:val="00C51CC1"/>
    <w:rsid w:val="00C52C8C"/>
    <w:rsid w:val="00C5417E"/>
    <w:rsid w:val="00C5605B"/>
    <w:rsid w:val="00C56403"/>
    <w:rsid w:val="00C63D58"/>
    <w:rsid w:val="00C648E3"/>
    <w:rsid w:val="00C657BE"/>
    <w:rsid w:val="00C65D35"/>
    <w:rsid w:val="00C66FA4"/>
    <w:rsid w:val="00C717A0"/>
    <w:rsid w:val="00C74C4F"/>
    <w:rsid w:val="00C76134"/>
    <w:rsid w:val="00C76A0E"/>
    <w:rsid w:val="00C76D33"/>
    <w:rsid w:val="00C77CAD"/>
    <w:rsid w:val="00C80DFC"/>
    <w:rsid w:val="00C8130A"/>
    <w:rsid w:val="00C81E15"/>
    <w:rsid w:val="00C8439D"/>
    <w:rsid w:val="00C84D6A"/>
    <w:rsid w:val="00C91173"/>
    <w:rsid w:val="00C91879"/>
    <w:rsid w:val="00C973D3"/>
    <w:rsid w:val="00C97918"/>
    <w:rsid w:val="00CA2716"/>
    <w:rsid w:val="00CA3589"/>
    <w:rsid w:val="00CA47D9"/>
    <w:rsid w:val="00CA4B7B"/>
    <w:rsid w:val="00CA62C1"/>
    <w:rsid w:val="00CA787C"/>
    <w:rsid w:val="00CA7CFB"/>
    <w:rsid w:val="00CB1BBA"/>
    <w:rsid w:val="00CB3383"/>
    <w:rsid w:val="00CB4EF0"/>
    <w:rsid w:val="00CC2513"/>
    <w:rsid w:val="00CC31CC"/>
    <w:rsid w:val="00CC362A"/>
    <w:rsid w:val="00CC67D6"/>
    <w:rsid w:val="00CC68CE"/>
    <w:rsid w:val="00CC7494"/>
    <w:rsid w:val="00CD09CB"/>
    <w:rsid w:val="00CD1DBB"/>
    <w:rsid w:val="00CD43F9"/>
    <w:rsid w:val="00CD52B5"/>
    <w:rsid w:val="00CD76A1"/>
    <w:rsid w:val="00CE0FDC"/>
    <w:rsid w:val="00CE2259"/>
    <w:rsid w:val="00CE2AC7"/>
    <w:rsid w:val="00CE4666"/>
    <w:rsid w:val="00CF0F90"/>
    <w:rsid w:val="00CF1715"/>
    <w:rsid w:val="00CF20E7"/>
    <w:rsid w:val="00CF23FD"/>
    <w:rsid w:val="00CF266D"/>
    <w:rsid w:val="00CF2863"/>
    <w:rsid w:val="00CF297A"/>
    <w:rsid w:val="00CF3B7E"/>
    <w:rsid w:val="00CF5A8A"/>
    <w:rsid w:val="00CF632F"/>
    <w:rsid w:val="00CF7984"/>
    <w:rsid w:val="00D01B0F"/>
    <w:rsid w:val="00D01D10"/>
    <w:rsid w:val="00D01E90"/>
    <w:rsid w:val="00D02602"/>
    <w:rsid w:val="00D02A39"/>
    <w:rsid w:val="00D03D91"/>
    <w:rsid w:val="00D03F60"/>
    <w:rsid w:val="00D05DAC"/>
    <w:rsid w:val="00D05E79"/>
    <w:rsid w:val="00D05F7E"/>
    <w:rsid w:val="00D07D6F"/>
    <w:rsid w:val="00D11861"/>
    <w:rsid w:val="00D14AC7"/>
    <w:rsid w:val="00D15B38"/>
    <w:rsid w:val="00D15E66"/>
    <w:rsid w:val="00D175CB"/>
    <w:rsid w:val="00D1777A"/>
    <w:rsid w:val="00D2137F"/>
    <w:rsid w:val="00D21D45"/>
    <w:rsid w:val="00D22CFA"/>
    <w:rsid w:val="00D2376E"/>
    <w:rsid w:val="00D2542B"/>
    <w:rsid w:val="00D25D89"/>
    <w:rsid w:val="00D26555"/>
    <w:rsid w:val="00D27094"/>
    <w:rsid w:val="00D313F2"/>
    <w:rsid w:val="00D321F7"/>
    <w:rsid w:val="00D32E80"/>
    <w:rsid w:val="00D342A3"/>
    <w:rsid w:val="00D34E14"/>
    <w:rsid w:val="00D34FCD"/>
    <w:rsid w:val="00D35359"/>
    <w:rsid w:val="00D35DA3"/>
    <w:rsid w:val="00D407DF"/>
    <w:rsid w:val="00D40D11"/>
    <w:rsid w:val="00D411AB"/>
    <w:rsid w:val="00D41DBC"/>
    <w:rsid w:val="00D43BB3"/>
    <w:rsid w:val="00D43EEB"/>
    <w:rsid w:val="00D43EF2"/>
    <w:rsid w:val="00D443BA"/>
    <w:rsid w:val="00D444B9"/>
    <w:rsid w:val="00D464B1"/>
    <w:rsid w:val="00D47421"/>
    <w:rsid w:val="00D47555"/>
    <w:rsid w:val="00D477DF"/>
    <w:rsid w:val="00D500DD"/>
    <w:rsid w:val="00D50A38"/>
    <w:rsid w:val="00D52711"/>
    <w:rsid w:val="00D53718"/>
    <w:rsid w:val="00D549B4"/>
    <w:rsid w:val="00D56944"/>
    <w:rsid w:val="00D577FD"/>
    <w:rsid w:val="00D57B61"/>
    <w:rsid w:val="00D61BDE"/>
    <w:rsid w:val="00D633FA"/>
    <w:rsid w:val="00D64110"/>
    <w:rsid w:val="00D64814"/>
    <w:rsid w:val="00D64C75"/>
    <w:rsid w:val="00D66E06"/>
    <w:rsid w:val="00D66EFF"/>
    <w:rsid w:val="00D67B63"/>
    <w:rsid w:val="00D70286"/>
    <w:rsid w:val="00D71292"/>
    <w:rsid w:val="00D714B4"/>
    <w:rsid w:val="00D7566D"/>
    <w:rsid w:val="00D75E4D"/>
    <w:rsid w:val="00D7741B"/>
    <w:rsid w:val="00D807C7"/>
    <w:rsid w:val="00D81211"/>
    <w:rsid w:val="00D81DDD"/>
    <w:rsid w:val="00D838CC"/>
    <w:rsid w:val="00D853F9"/>
    <w:rsid w:val="00D85820"/>
    <w:rsid w:val="00D90CF6"/>
    <w:rsid w:val="00D92C15"/>
    <w:rsid w:val="00D97ECB"/>
    <w:rsid w:val="00DA1025"/>
    <w:rsid w:val="00DA11E8"/>
    <w:rsid w:val="00DA1538"/>
    <w:rsid w:val="00DA1838"/>
    <w:rsid w:val="00DA1EF2"/>
    <w:rsid w:val="00DA37EE"/>
    <w:rsid w:val="00DA3DDB"/>
    <w:rsid w:val="00DA587E"/>
    <w:rsid w:val="00DA5AAA"/>
    <w:rsid w:val="00DA5B28"/>
    <w:rsid w:val="00DB221C"/>
    <w:rsid w:val="00DB2C6F"/>
    <w:rsid w:val="00DB3C4E"/>
    <w:rsid w:val="00DB4251"/>
    <w:rsid w:val="00DB4BF3"/>
    <w:rsid w:val="00DB61C2"/>
    <w:rsid w:val="00DC151E"/>
    <w:rsid w:val="00DC28DC"/>
    <w:rsid w:val="00DC49F3"/>
    <w:rsid w:val="00DC4C6A"/>
    <w:rsid w:val="00DC4D18"/>
    <w:rsid w:val="00DC6087"/>
    <w:rsid w:val="00DC726C"/>
    <w:rsid w:val="00DD05B0"/>
    <w:rsid w:val="00DD1AFD"/>
    <w:rsid w:val="00DD6288"/>
    <w:rsid w:val="00DD7061"/>
    <w:rsid w:val="00DD7866"/>
    <w:rsid w:val="00DE3C57"/>
    <w:rsid w:val="00DE4480"/>
    <w:rsid w:val="00DE5E66"/>
    <w:rsid w:val="00DE5EC7"/>
    <w:rsid w:val="00DE61A6"/>
    <w:rsid w:val="00DE6B97"/>
    <w:rsid w:val="00DE6C26"/>
    <w:rsid w:val="00DE7CF7"/>
    <w:rsid w:val="00DE7D57"/>
    <w:rsid w:val="00DF3CAB"/>
    <w:rsid w:val="00DF4499"/>
    <w:rsid w:val="00DF54DC"/>
    <w:rsid w:val="00DF720A"/>
    <w:rsid w:val="00E00856"/>
    <w:rsid w:val="00E043E3"/>
    <w:rsid w:val="00E05225"/>
    <w:rsid w:val="00E0542C"/>
    <w:rsid w:val="00E14B89"/>
    <w:rsid w:val="00E14E70"/>
    <w:rsid w:val="00E156DF"/>
    <w:rsid w:val="00E204FD"/>
    <w:rsid w:val="00E20EAC"/>
    <w:rsid w:val="00E213CF"/>
    <w:rsid w:val="00E2152B"/>
    <w:rsid w:val="00E21929"/>
    <w:rsid w:val="00E23C46"/>
    <w:rsid w:val="00E24025"/>
    <w:rsid w:val="00E2485E"/>
    <w:rsid w:val="00E254A3"/>
    <w:rsid w:val="00E25AB4"/>
    <w:rsid w:val="00E26EE2"/>
    <w:rsid w:val="00E30E56"/>
    <w:rsid w:val="00E30FE5"/>
    <w:rsid w:val="00E32710"/>
    <w:rsid w:val="00E3331A"/>
    <w:rsid w:val="00E33707"/>
    <w:rsid w:val="00E36C87"/>
    <w:rsid w:val="00E36EB0"/>
    <w:rsid w:val="00E406CF"/>
    <w:rsid w:val="00E4097E"/>
    <w:rsid w:val="00E41157"/>
    <w:rsid w:val="00E41FC1"/>
    <w:rsid w:val="00E4454C"/>
    <w:rsid w:val="00E44F55"/>
    <w:rsid w:val="00E475D9"/>
    <w:rsid w:val="00E477C9"/>
    <w:rsid w:val="00E51967"/>
    <w:rsid w:val="00E52302"/>
    <w:rsid w:val="00E5286B"/>
    <w:rsid w:val="00E538A8"/>
    <w:rsid w:val="00E54630"/>
    <w:rsid w:val="00E54777"/>
    <w:rsid w:val="00E54B41"/>
    <w:rsid w:val="00E55C15"/>
    <w:rsid w:val="00E569D7"/>
    <w:rsid w:val="00E57D44"/>
    <w:rsid w:val="00E61C47"/>
    <w:rsid w:val="00E61F41"/>
    <w:rsid w:val="00E656D0"/>
    <w:rsid w:val="00E66B04"/>
    <w:rsid w:val="00E6710C"/>
    <w:rsid w:val="00E70FAC"/>
    <w:rsid w:val="00E73707"/>
    <w:rsid w:val="00E74F6E"/>
    <w:rsid w:val="00E752D9"/>
    <w:rsid w:val="00E75366"/>
    <w:rsid w:val="00E77191"/>
    <w:rsid w:val="00E801C7"/>
    <w:rsid w:val="00E80542"/>
    <w:rsid w:val="00E82525"/>
    <w:rsid w:val="00E8261A"/>
    <w:rsid w:val="00E82E58"/>
    <w:rsid w:val="00E836BD"/>
    <w:rsid w:val="00E84A9E"/>
    <w:rsid w:val="00E84BCC"/>
    <w:rsid w:val="00E8510E"/>
    <w:rsid w:val="00E85D05"/>
    <w:rsid w:val="00E861E2"/>
    <w:rsid w:val="00E8680A"/>
    <w:rsid w:val="00E876C7"/>
    <w:rsid w:val="00E90A13"/>
    <w:rsid w:val="00E9191D"/>
    <w:rsid w:val="00E91FD7"/>
    <w:rsid w:val="00E92065"/>
    <w:rsid w:val="00E92B91"/>
    <w:rsid w:val="00E92CDF"/>
    <w:rsid w:val="00E93442"/>
    <w:rsid w:val="00E936C3"/>
    <w:rsid w:val="00E94C08"/>
    <w:rsid w:val="00E9616A"/>
    <w:rsid w:val="00E97287"/>
    <w:rsid w:val="00E97572"/>
    <w:rsid w:val="00EA05B6"/>
    <w:rsid w:val="00EA0B7D"/>
    <w:rsid w:val="00EA0B90"/>
    <w:rsid w:val="00EA0F78"/>
    <w:rsid w:val="00EA176D"/>
    <w:rsid w:val="00EA1E86"/>
    <w:rsid w:val="00EA3608"/>
    <w:rsid w:val="00EA4628"/>
    <w:rsid w:val="00EA4D69"/>
    <w:rsid w:val="00EA5440"/>
    <w:rsid w:val="00EA5DD0"/>
    <w:rsid w:val="00EA6426"/>
    <w:rsid w:val="00EA718C"/>
    <w:rsid w:val="00EA77F2"/>
    <w:rsid w:val="00EB270F"/>
    <w:rsid w:val="00EB377F"/>
    <w:rsid w:val="00EB3E11"/>
    <w:rsid w:val="00EB40B3"/>
    <w:rsid w:val="00EB4714"/>
    <w:rsid w:val="00EB4F29"/>
    <w:rsid w:val="00EB6286"/>
    <w:rsid w:val="00EB6DC6"/>
    <w:rsid w:val="00EB7E49"/>
    <w:rsid w:val="00EC0FE2"/>
    <w:rsid w:val="00EC13A4"/>
    <w:rsid w:val="00EC17F7"/>
    <w:rsid w:val="00EC3C2E"/>
    <w:rsid w:val="00EC40F2"/>
    <w:rsid w:val="00EC4154"/>
    <w:rsid w:val="00EC47C4"/>
    <w:rsid w:val="00EC489C"/>
    <w:rsid w:val="00EC5146"/>
    <w:rsid w:val="00EC65DB"/>
    <w:rsid w:val="00EC683A"/>
    <w:rsid w:val="00EC6C69"/>
    <w:rsid w:val="00ED2248"/>
    <w:rsid w:val="00ED4C9B"/>
    <w:rsid w:val="00ED50FB"/>
    <w:rsid w:val="00ED53E5"/>
    <w:rsid w:val="00ED750D"/>
    <w:rsid w:val="00ED7CE7"/>
    <w:rsid w:val="00EE0B21"/>
    <w:rsid w:val="00EE10FB"/>
    <w:rsid w:val="00EE17CF"/>
    <w:rsid w:val="00EE1DBD"/>
    <w:rsid w:val="00EE1F5E"/>
    <w:rsid w:val="00EE1FE9"/>
    <w:rsid w:val="00EE226B"/>
    <w:rsid w:val="00EE3330"/>
    <w:rsid w:val="00EE5EA0"/>
    <w:rsid w:val="00EE6832"/>
    <w:rsid w:val="00EE72E7"/>
    <w:rsid w:val="00EE791A"/>
    <w:rsid w:val="00EE7A94"/>
    <w:rsid w:val="00EF02B0"/>
    <w:rsid w:val="00EF0FA5"/>
    <w:rsid w:val="00EF3333"/>
    <w:rsid w:val="00EF3464"/>
    <w:rsid w:val="00EF5309"/>
    <w:rsid w:val="00F00A0A"/>
    <w:rsid w:val="00F00FCC"/>
    <w:rsid w:val="00F02F08"/>
    <w:rsid w:val="00F03E1F"/>
    <w:rsid w:val="00F03EBC"/>
    <w:rsid w:val="00F0575A"/>
    <w:rsid w:val="00F0791C"/>
    <w:rsid w:val="00F07D65"/>
    <w:rsid w:val="00F105F5"/>
    <w:rsid w:val="00F10B21"/>
    <w:rsid w:val="00F10D5F"/>
    <w:rsid w:val="00F10F0E"/>
    <w:rsid w:val="00F1203F"/>
    <w:rsid w:val="00F12040"/>
    <w:rsid w:val="00F12ECC"/>
    <w:rsid w:val="00F14214"/>
    <w:rsid w:val="00F1471D"/>
    <w:rsid w:val="00F14A3B"/>
    <w:rsid w:val="00F20921"/>
    <w:rsid w:val="00F20BD8"/>
    <w:rsid w:val="00F21058"/>
    <w:rsid w:val="00F22588"/>
    <w:rsid w:val="00F2305B"/>
    <w:rsid w:val="00F2622B"/>
    <w:rsid w:val="00F30A28"/>
    <w:rsid w:val="00F31325"/>
    <w:rsid w:val="00F319FB"/>
    <w:rsid w:val="00F31D0E"/>
    <w:rsid w:val="00F32E2C"/>
    <w:rsid w:val="00F34584"/>
    <w:rsid w:val="00F34CEC"/>
    <w:rsid w:val="00F34EF2"/>
    <w:rsid w:val="00F352FD"/>
    <w:rsid w:val="00F35951"/>
    <w:rsid w:val="00F35D3F"/>
    <w:rsid w:val="00F36100"/>
    <w:rsid w:val="00F36EF9"/>
    <w:rsid w:val="00F40068"/>
    <w:rsid w:val="00F4072C"/>
    <w:rsid w:val="00F417FB"/>
    <w:rsid w:val="00F4432F"/>
    <w:rsid w:val="00F476A1"/>
    <w:rsid w:val="00F5165C"/>
    <w:rsid w:val="00F51977"/>
    <w:rsid w:val="00F53125"/>
    <w:rsid w:val="00F54E4F"/>
    <w:rsid w:val="00F55162"/>
    <w:rsid w:val="00F552FE"/>
    <w:rsid w:val="00F5564D"/>
    <w:rsid w:val="00F55FA3"/>
    <w:rsid w:val="00F5708A"/>
    <w:rsid w:val="00F6010D"/>
    <w:rsid w:val="00F61DF1"/>
    <w:rsid w:val="00F62C39"/>
    <w:rsid w:val="00F64E27"/>
    <w:rsid w:val="00F6703A"/>
    <w:rsid w:val="00F70FFC"/>
    <w:rsid w:val="00F71ED2"/>
    <w:rsid w:val="00F7379D"/>
    <w:rsid w:val="00F74737"/>
    <w:rsid w:val="00F75715"/>
    <w:rsid w:val="00F77323"/>
    <w:rsid w:val="00F83411"/>
    <w:rsid w:val="00F84509"/>
    <w:rsid w:val="00F84BAE"/>
    <w:rsid w:val="00F84CC8"/>
    <w:rsid w:val="00F86B99"/>
    <w:rsid w:val="00F932D7"/>
    <w:rsid w:val="00FA070B"/>
    <w:rsid w:val="00FA46FA"/>
    <w:rsid w:val="00FA5379"/>
    <w:rsid w:val="00FA5449"/>
    <w:rsid w:val="00FA576B"/>
    <w:rsid w:val="00FA58E4"/>
    <w:rsid w:val="00FB27EB"/>
    <w:rsid w:val="00FB4A0D"/>
    <w:rsid w:val="00FB4CCC"/>
    <w:rsid w:val="00FB543A"/>
    <w:rsid w:val="00FB5659"/>
    <w:rsid w:val="00FB5AA1"/>
    <w:rsid w:val="00FB7A1C"/>
    <w:rsid w:val="00FC21A9"/>
    <w:rsid w:val="00FC24CB"/>
    <w:rsid w:val="00FC542B"/>
    <w:rsid w:val="00FD0F8A"/>
    <w:rsid w:val="00FD2652"/>
    <w:rsid w:val="00FD2891"/>
    <w:rsid w:val="00FD3174"/>
    <w:rsid w:val="00FD37B3"/>
    <w:rsid w:val="00FD3D12"/>
    <w:rsid w:val="00FD3ECD"/>
    <w:rsid w:val="00FD5379"/>
    <w:rsid w:val="00FD73A0"/>
    <w:rsid w:val="00FE0381"/>
    <w:rsid w:val="00FE1379"/>
    <w:rsid w:val="00FE1D72"/>
    <w:rsid w:val="00FE1E64"/>
    <w:rsid w:val="00FE25FA"/>
    <w:rsid w:val="00FE550C"/>
    <w:rsid w:val="00FF0152"/>
    <w:rsid w:val="00FF0292"/>
    <w:rsid w:val="00FF26ED"/>
    <w:rsid w:val="00FF5C05"/>
    <w:rsid w:val="00FF650D"/>
    <w:rsid w:val="00FF6C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AA9D1"/>
  <w15:chartTrackingRefBased/>
  <w15:docId w15:val="{13E4DD1D-8DC3-4D86-B33B-090E3C2D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094"/>
    <w:pPr>
      <w:spacing w:after="0"/>
      <w:jc w:val="both"/>
    </w:pPr>
    <w:rPr>
      <w:rFonts w:ascii="Arial" w:hAnsi="Arial"/>
      <w:sz w:val="22"/>
    </w:rPr>
  </w:style>
  <w:style w:type="paragraph" w:styleId="Heading1">
    <w:name w:val="heading 1"/>
    <w:basedOn w:val="Normal"/>
    <w:next w:val="Normal"/>
    <w:link w:val="Heading1Char"/>
    <w:uiPriority w:val="9"/>
    <w:qFormat/>
    <w:rsid w:val="00842B20"/>
    <w:pPr>
      <w:keepNext/>
      <w:keepLines/>
      <w:numPr>
        <w:numId w:val="12"/>
      </w:numPr>
      <w:ind w:left="720" w:hanging="720"/>
      <w:outlineLvl w:val="0"/>
    </w:pPr>
    <w:rPr>
      <w:rFonts w:ascii="Bahnschrift" w:eastAsiaTheme="majorEastAsia" w:hAnsi="Bahnschrift" w:cstheme="majorBidi"/>
      <w:b/>
      <w:color w:val="42618C" w:themeColor="accent3"/>
      <w:sz w:val="56"/>
      <w:szCs w:val="32"/>
    </w:rPr>
  </w:style>
  <w:style w:type="paragraph" w:styleId="Heading2">
    <w:name w:val="heading 2"/>
    <w:basedOn w:val="Normal"/>
    <w:next w:val="Normal"/>
    <w:link w:val="Heading2Char"/>
    <w:uiPriority w:val="9"/>
    <w:unhideWhenUsed/>
    <w:qFormat/>
    <w:rsid w:val="00387B43"/>
    <w:pPr>
      <w:keepNext/>
      <w:numPr>
        <w:ilvl w:val="1"/>
        <w:numId w:val="12"/>
      </w:numPr>
      <w:spacing w:before="120" w:after="120" w:line="240" w:lineRule="auto"/>
      <w:ind w:left="720" w:hanging="720"/>
      <w:jc w:val="left"/>
      <w:outlineLvl w:val="1"/>
    </w:pPr>
    <w:rPr>
      <w:rFonts w:ascii="Bahnschrift" w:eastAsia="Arial" w:hAnsi="Bahnschrift" w:cs="Arial"/>
      <w:b/>
      <w:bCs/>
      <w:caps/>
      <w:color w:val="006B5F" w:themeColor="accent2"/>
      <w:kern w:val="0"/>
      <w:sz w:val="26"/>
      <w:szCs w:val="26"/>
      <w:lang w:eastAsia="en-CA"/>
      <w14:ligatures w14:val="none"/>
    </w:rPr>
  </w:style>
  <w:style w:type="paragraph" w:styleId="Heading3">
    <w:name w:val="heading 3"/>
    <w:basedOn w:val="Normal"/>
    <w:next w:val="Normal"/>
    <w:link w:val="Heading3Char"/>
    <w:uiPriority w:val="9"/>
    <w:unhideWhenUsed/>
    <w:qFormat/>
    <w:rsid w:val="0007040A"/>
    <w:pPr>
      <w:keepNext/>
      <w:numPr>
        <w:ilvl w:val="2"/>
        <w:numId w:val="12"/>
      </w:numPr>
      <w:spacing w:before="120" w:after="120" w:line="240" w:lineRule="auto"/>
      <w:jc w:val="left"/>
      <w:outlineLvl w:val="2"/>
    </w:pPr>
    <w:rPr>
      <w:rFonts w:ascii="Bahnschrift" w:eastAsia="Arial" w:hAnsi="Bahnschrift" w:cs="Arial"/>
      <w:b/>
      <w:bCs/>
      <w:color w:val="1A2940" w:themeColor="text2"/>
      <w:kern w:val="0"/>
      <w:sz w:val="24"/>
      <w:lang w:eastAsia="en-CA"/>
      <w14:ligatures w14:val="none"/>
    </w:rPr>
  </w:style>
  <w:style w:type="paragraph" w:styleId="Heading4">
    <w:name w:val="heading 4"/>
    <w:basedOn w:val="Normal"/>
    <w:next w:val="Normal"/>
    <w:link w:val="Heading4Char"/>
    <w:uiPriority w:val="9"/>
    <w:semiHidden/>
    <w:unhideWhenUsed/>
    <w:qFormat/>
    <w:rsid w:val="003E25EF"/>
    <w:pPr>
      <w:keepNext/>
      <w:keepLines/>
      <w:numPr>
        <w:ilvl w:val="3"/>
        <w:numId w:val="12"/>
      </w:numPr>
      <w:spacing w:before="80" w:after="40"/>
      <w:outlineLvl w:val="3"/>
    </w:pPr>
    <w:rPr>
      <w:rFonts w:eastAsiaTheme="majorEastAsia" w:cstheme="majorBidi"/>
      <w:i/>
      <w:iCs/>
      <w:color w:val="8AA2BA" w:themeColor="accent1" w:themeShade="BF"/>
    </w:rPr>
  </w:style>
  <w:style w:type="paragraph" w:styleId="Heading5">
    <w:name w:val="heading 5"/>
    <w:basedOn w:val="Normal"/>
    <w:next w:val="Normal"/>
    <w:link w:val="Heading5Char"/>
    <w:uiPriority w:val="9"/>
    <w:semiHidden/>
    <w:unhideWhenUsed/>
    <w:qFormat/>
    <w:rsid w:val="003E25EF"/>
    <w:pPr>
      <w:keepNext/>
      <w:keepLines/>
      <w:numPr>
        <w:ilvl w:val="4"/>
        <w:numId w:val="12"/>
      </w:numPr>
      <w:spacing w:before="80" w:after="40"/>
      <w:outlineLvl w:val="4"/>
    </w:pPr>
    <w:rPr>
      <w:rFonts w:eastAsiaTheme="majorEastAsia" w:cstheme="majorBidi"/>
      <w:color w:val="8AA2BA" w:themeColor="accent1" w:themeShade="BF"/>
    </w:rPr>
  </w:style>
  <w:style w:type="paragraph" w:styleId="Heading6">
    <w:name w:val="heading 6"/>
    <w:basedOn w:val="Normal"/>
    <w:next w:val="Normal"/>
    <w:link w:val="Heading6Char"/>
    <w:uiPriority w:val="9"/>
    <w:semiHidden/>
    <w:unhideWhenUsed/>
    <w:qFormat/>
    <w:rsid w:val="003E25EF"/>
    <w:pPr>
      <w:keepNext/>
      <w:keepLines/>
      <w:numPr>
        <w:ilvl w:val="5"/>
        <w:numId w:val="12"/>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5EF"/>
    <w:pPr>
      <w:keepNext/>
      <w:keepLines/>
      <w:numPr>
        <w:ilvl w:val="6"/>
        <w:numId w:val="12"/>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5EF"/>
    <w:pPr>
      <w:keepNext/>
      <w:keepLines/>
      <w:numPr>
        <w:ilvl w:val="7"/>
        <w:numId w:val="12"/>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5EF"/>
    <w:pPr>
      <w:keepNext/>
      <w:keepLines/>
      <w:numPr>
        <w:ilvl w:val="8"/>
        <w:numId w:val="12"/>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B20"/>
    <w:rPr>
      <w:rFonts w:ascii="Bahnschrift" w:eastAsiaTheme="majorEastAsia" w:hAnsi="Bahnschrift" w:cstheme="majorBidi"/>
      <w:b/>
      <w:color w:val="42618C" w:themeColor="accent3"/>
      <w:sz w:val="56"/>
      <w:szCs w:val="32"/>
    </w:rPr>
  </w:style>
  <w:style w:type="character" w:customStyle="1" w:styleId="Heading2Char">
    <w:name w:val="Heading 2 Char"/>
    <w:basedOn w:val="DefaultParagraphFont"/>
    <w:link w:val="Heading2"/>
    <w:uiPriority w:val="9"/>
    <w:rsid w:val="00387B43"/>
    <w:rPr>
      <w:rFonts w:ascii="Bahnschrift" w:eastAsia="Arial" w:hAnsi="Bahnschrift" w:cs="Arial"/>
      <w:b/>
      <w:bCs/>
      <w:caps/>
      <w:color w:val="006B5F" w:themeColor="accent2"/>
      <w:kern w:val="0"/>
      <w:sz w:val="26"/>
      <w:szCs w:val="26"/>
      <w:lang w:eastAsia="en-CA"/>
      <w14:ligatures w14:val="none"/>
    </w:rPr>
  </w:style>
  <w:style w:type="character" w:customStyle="1" w:styleId="Heading3Char">
    <w:name w:val="Heading 3 Char"/>
    <w:basedOn w:val="DefaultParagraphFont"/>
    <w:link w:val="Heading3"/>
    <w:uiPriority w:val="9"/>
    <w:rsid w:val="0007040A"/>
    <w:rPr>
      <w:rFonts w:ascii="Bahnschrift" w:eastAsia="Arial" w:hAnsi="Bahnschrift" w:cs="Arial"/>
      <w:b/>
      <w:bCs/>
      <w:color w:val="1A2940" w:themeColor="text2"/>
      <w:kern w:val="0"/>
      <w:lang w:eastAsia="en-CA"/>
      <w14:ligatures w14:val="none"/>
    </w:rPr>
  </w:style>
  <w:style w:type="character" w:customStyle="1" w:styleId="Heading4Char">
    <w:name w:val="Heading 4 Char"/>
    <w:basedOn w:val="DefaultParagraphFont"/>
    <w:link w:val="Heading4"/>
    <w:uiPriority w:val="9"/>
    <w:semiHidden/>
    <w:rsid w:val="003E25EF"/>
    <w:rPr>
      <w:rFonts w:ascii="Arial" w:eastAsiaTheme="majorEastAsia" w:hAnsi="Arial" w:cstheme="majorBidi"/>
      <w:i/>
      <w:iCs/>
      <w:color w:val="8AA2BA" w:themeColor="accent1" w:themeShade="BF"/>
      <w:sz w:val="22"/>
    </w:rPr>
  </w:style>
  <w:style w:type="character" w:customStyle="1" w:styleId="Heading5Char">
    <w:name w:val="Heading 5 Char"/>
    <w:basedOn w:val="DefaultParagraphFont"/>
    <w:link w:val="Heading5"/>
    <w:uiPriority w:val="9"/>
    <w:semiHidden/>
    <w:rsid w:val="003E25EF"/>
    <w:rPr>
      <w:rFonts w:ascii="Arial" w:eastAsiaTheme="majorEastAsia" w:hAnsi="Arial" w:cstheme="majorBidi"/>
      <w:color w:val="8AA2BA" w:themeColor="accent1" w:themeShade="BF"/>
      <w:sz w:val="22"/>
    </w:rPr>
  </w:style>
  <w:style w:type="character" w:customStyle="1" w:styleId="Heading6Char">
    <w:name w:val="Heading 6 Char"/>
    <w:basedOn w:val="DefaultParagraphFont"/>
    <w:link w:val="Heading6"/>
    <w:uiPriority w:val="9"/>
    <w:semiHidden/>
    <w:rsid w:val="003E25EF"/>
    <w:rPr>
      <w:rFonts w:ascii="Arial" w:eastAsiaTheme="majorEastAsia" w:hAnsi="Arial" w:cstheme="majorBidi"/>
      <w:i/>
      <w:iCs/>
      <w:color w:val="595959" w:themeColor="text1" w:themeTint="A6"/>
      <w:sz w:val="22"/>
    </w:rPr>
  </w:style>
  <w:style w:type="character" w:customStyle="1" w:styleId="Heading7Char">
    <w:name w:val="Heading 7 Char"/>
    <w:basedOn w:val="DefaultParagraphFont"/>
    <w:link w:val="Heading7"/>
    <w:uiPriority w:val="9"/>
    <w:semiHidden/>
    <w:rsid w:val="003E25EF"/>
    <w:rPr>
      <w:rFonts w:ascii="Arial" w:eastAsiaTheme="majorEastAsia" w:hAnsi="Arial" w:cstheme="majorBidi"/>
      <w:color w:val="595959" w:themeColor="text1" w:themeTint="A6"/>
      <w:sz w:val="22"/>
    </w:rPr>
  </w:style>
  <w:style w:type="character" w:customStyle="1" w:styleId="Heading8Char">
    <w:name w:val="Heading 8 Char"/>
    <w:basedOn w:val="DefaultParagraphFont"/>
    <w:link w:val="Heading8"/>
    <w:uiPriority w:val="9"/>
    <w:semiHidden/>
    <w:rsid w:val="003E25EF"/>
    <w:rPr>
      <w:rFonts w:ascii="Arial" w:eastAsiaTheme="majorEastAsia" w:hAnsi="Arial" w:cstheme="majorBidi"/>
      <w:i/>
      <w:iCs/>
      <w:color w:val="272727" w:themeColor="text1" w:themeTint="D8"/>
      <w:sz w:val="22"/>
    </w:rPr>
  </w:style>
  <w:style w:type="character" w:customStyle="1" w:styleId="Heading9Char">
    <w:name w:val="Heading 9 Char"/>
    <w:basedOn w:val="DefaultParagraphFont"/>
    <w:link w:val="Heading9"/>
    <w:uiPriority w:val="9"/>
    <w:semiHidden/>
    <w:rsid w:val="003E25EF"/>
    <w:rPr>
      <w:rFonts w:ascii="Arial" w:eastAsiaTheme="majorEastAsia" w:hAnsi="Arial" w:cstheme="majorBidi"/>
      <w:color w:val="272727" w:themeColor="text1" w:themeTint="D8"/>
      <w:sz w:val="22"/>
    </w:rPr>
  </w:style>
  <w:style w:type="paragraph" w:styleId="Title">
    <w:name w:val="Title"/>
    <w:basedOn w:val="Normal"/>
    <w:next w:val="Normal"/>
    <w:link w:val="TitleChar"/>
    <w:uiPriority w:val="10"/>
    <w:qFormat/>
    <w:rsid w:val="003E2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5EF"/>
    <w:pPr>
      <w:spacing w:before="160"/>
      <w:jc w:val="center"/>
    </w:pPr>
    <w:rPr>
      <w:i/>
      <w:iCs/>
      <w:color w:val="404040" w:themeColor="text1" w:themeTint="BF"/>
    </w:rPr>
  </w:style>
  <w:style w:type="character" w:customStyle="1" w:styleId="QuoteChar">
    <w:name w:val="Quote Char"/>
    <w:basedOn w:val="DefaultParagraphFont"/>
    <w:link w:val="Quote"/>
    <w:uiPriority w:val="29"/>
    <w:rsid w:val="003E25EF"/>
    <w:rPr>
      <w:i/>
      <w:iCs/>
      <w:color w:val="404040" w:themeColor="text1" w:themeTint="BF"/>
    </w:rPr>
  </w:style>
  <w:style w:type="paragraph" w:styleId="ListParagraph">
    <w:name w:val="List Paragraph"/>
    <w:basedOn w:val="Normal"/>
    <w:link w:val="ListParagraphChar"/>
    <w:qFormat/>
    <w:rsid w:val="003E25EF"/>
    <w:pPr>
      <w:ind w:left="720"/>
      <w:contextualSpacing/>
    </w:pPr>
  </w:style>
  <w:style w:type="character" w:styleId="IntenseEmphasis">
    <w:name w:val="Intense Emphasis"/>
    <w:basedOn w:val="DefaultParagraphFont"/>
    <w:uiPriority w:val="21"/>
    <w:qFormat/>
    <w:rsid w:val="003E25EF"/>
    <w:rPr>
      <w:i/>
      <w:iCs/>
      <w:color w:val="8AA2BA" w:themeColor="accent1" w:themeShade="BF"/>
    </w:rPr>
  </w:style>
  <w:style w:type="paragraph" w:styleId="IntenseQuote">
    <w:name w:val="Intense Quote"/>
    <w:basedOn w:val="Normal"/>
    <w:next w:val="Normal"/>
    <w:link w:val="IntenseQuoteChar"/>
    <w:uiPriority w:val="30"/>
    <w:qFormat/>
    <w:rsid w:val="003E25EF"/>
    <w:pPr>
      <w:pBdr>
        <w:top w:val="single" w:sz="4" w:space="10" w:color="8AA2BA" w:themeColor="accent1" w:themeShade="BF"/>
        <w:bottom w:val="single" w:sz="4" w:space="10" w:color="8AA2BA" w:themeColor="accent1" w:themeShade="BF"/>
      </w:pBdr>
      <w:spacing w:before="360" w:after="360"/>
      <w:ind w:left="864" w:right="864"/>
      <w:jc w:val="center"/>
    </w:pPr>
    <w:rPr>
      <w:i/>
      <w:iCs/>
      <w:color w:val="8AA2BA" w:themeColor="accent1" w:themeShade="BF"/>
    </w:rPr>
  </w:style>
  <w:style w:type="character" w:customStyle="1" w:styleId="IntenseQuoteChar">
    <w:name w:val="Intense Quote Char"/>
    <w:basedOn w:val="DefaultParagraphFont"/>
    <w:link w:val="IntenseQuote"/>
    <w:uiPriority w:val="30"/>
    <w:rsid w:val="003E25EF"/>
    <w:rPr>
      <w:i/>
      <w:iCs/>
      <w:color w:val="8AA2BA" w:themeColor="accent1" w:themeShade="BF"/>
    </w:rPr>
  </w:style>
  <w:style w:type="character" w:styleId="IntenseReference">
    <w:name w:val="Intense Reference"/>
    <w:basedOn w:val="DefaultParagraphFont"/>
    <w:uiPriority w:val="32"/>
    <w:qFormat/>
    <w:rsid w:val="003E25EF"/>
    <w:rPr>
      <w:b/>
      <w:bCs/>
      <w:smallCaps/>
      <w:color w:val="8AA2BA" w:themeColor="accent1" w:themeShade="BF"/>
      <w:spacing w:val="5"/>
    </w:rPr>
  </w:style>
  <w:style w:type="paragraph" w:styleId="Caption">
    <w:name w:val="caption"/>
    <w:basedOn w:val="Normal"/>
    <w:next w:val="Normal"/>
    <w:uiPriority w:val="35"/>
    <w:unhideWhenUsed/>
    <w:qFormat/>
    <w:rsid w:val="008667FA"/>
    <w:pPr>
      <w:keepNext/>
      <w:spacing w:after="60" w:line="240" w:lineRule="auto"/>
    </w:pPr>
    <w:rPr>
      <w:i/>
      <w:iCs/>
      <w:color w:val="1A2940" w:themeColor="text2"/>
      <w:sz w:val="20"/>
      <w:szCs w:val="20"/>
    </w:rPr>
  </w:style>
  <w:style w:type="paragraph" w:styleId="FootnoteText">
    <w:name w:val="footnote text"/>
    <w:basedOn w:val="Normal"/>
    <w:link w:val="FootnoteTextChar"/>
    <w:uiPriority w:val="99"/>
    <w:semiHidden/>
    <w:unhideWhenUsed/>
    <w:rsid w:val="00CE2AC7"/>
    <w:pPr>
      <w:spacing w:line="240" w:lineRule="auto"/>
    </w:pPr>
    <w:rPr>
      <w:sz w:val="20"/>
      <w:szCs w:val="20"/>
    </w:rPr>
  </w:style>
  <w:style w:type="character" w:customStyle="1" w:styleId="FootnoteTextChar">
    <w:name w:val="Footnote Text Char"/>
    <w:basedOn w:val="DefaultParagraphFont"/>
    <w:link w:val="FootnoteText"/>
    <w:uiPriority w:val="99"/>
    <w:semiHidden/>
    <w:rsid w:val="00CE2AC7"/>
    <w:rPr>
      <w:rFonts w:ascii="Aptos" w:hAnsi="Aptos"/>
      <w:sz w:val="20"/>
      <w:szCs w:val="20"/>
      <w:lang w:val="en-US"/>
    </w:rPr>
  </w:style>
  <w:style w:type="character" w:styleId="FootnoteReference">
    <w:name w:val="footnote reference"/>
    <w:basedOn w:val="DefaultParagraphFont"/>
    <w:uiPriority w:val="99"/>
    <w:semiHidden/>
    <w:unhideWhenUsed/>
    <w:rsid w:val="00CE2AC7"/>
    <w:rPr>
      <w:vertAlign w:val="superscript"/>
    </w:rPr>
  </w:style>
  <w:style w:type="character" w:styleId="Hyperlink">
    <w:name w:val="Hyperlink"/>
    <w:basedOn w:val="DefaultParagraphFont"/>
    <w:uiPriority w:val="99"/>
    <w:unhideWhenUsed/>
    <w:rsid w:val="00CE2AC7"/>
    <w:rPr>
      <w:color w:val="0563C1" w:themeColor="hyperlink"/>
      <w:u w:val="single"/>
    </w:rPr>
  </w:style>
  <w:style w:type="character" w:styleId="UnresolvedMention">
    <w:name w:val="Unresolved Mention"/>
    <w:basedOn w:val="DefaultParagraphFont"/>
    <w:uiPriority w:val="99"/>
    <w:semiHidden/>
    <w:unhideWhenUsed/>
    <w:rsid w:val="00CE2AC7"/>
    <w:rPr>
      <w:color w:val="605E5C"/>
      <w:shd w:val="clear" w:color="auto" w:fill="E1DFDD"/>
    </w:rPr>
  </w:style>
  <w:style w:type="paragraph" w:customStyle="1" w:styleId="Source">
    <w:name w:val="Source"/>
    <w:basedOn w:val="Normal"/>
    <w:link w:val="SourceChar"/>
    <w:qFormat/>
    <w:rsid w:val="00AD6199"/>
    <w:rPr>
      <w:sz w:val="18"/>
      <w:szCs w:val="18"/>
    </w:rPr>
  </w:style>
  <w:style w:type="character" w:customStyle="1" w:styleId="SourceChar">
    <w:name w:val="Source Char"/>
    <w:basedOn w:val="DefaultParagraphFont"/>
    <w:link w:val="Source"/>
    <w:rsid w:val="00AD6199"/>
    <w:rPr>
      <w:rFonts w:ascii="Aptos" w:hAnsi="Aptos"/>
      <w:sz w:val="18"/>
      <w:szCs w:val="18"/>
    </w:rPr>
  </w:style>
  <w:style w:type="paragraph" w:customStyle="1" w:styleId="Footnote">
    <w:name w:val="Footnote"/>
    <w:basedOn w:val="FootnoteText"/>
    <w:link w:val="FootnoteChar"/>
    <w:qFormat/>
    <w:rsid w:val="00647674"/>
    <w:pPr>
      <w:ind w:left="360" w:hanging="360"/>
      <w:jc w:val="left"/>
    </w:pPr>
    <w:rPr>
      <w:sz w:val="16"/>
      <w:szCs w:val="16"/>
    </w:rPr>
  </w:style>
  <w:style w:type="character" w:customStyle="1" w:styleId="FootnoteChar">
    <w:name w:val="Footnote Char"/>
    <w:basedOn w:val="FootnoteTextChar"/>
    <w:link w:val="Footnote"/>
    <w:rsid w:val="00647674"/>
    <w:rPr>
      <w:rFonts w:ascii="Arial" w:hAnsi="Arial"/>
      <w:sz w:val="16"/>
      <w:szCs w:val="16"/>
      <w:lang w:val="en-US"/>
    </w:rPr>
  </w:style>
  <w:style w:type="character" w:styleId="CommentReference">
    <w:name w:val="annotation reference"/>
    <w:basedOn w:val="DefaultParagraphFont"/>
    <w:uiPriority w:val="99"/>
    <w:semiHidden/>
    <w:unhideWhenUsed/>
    <w:rsid w:val="003824D0"/>
    <w:rPr>
      <w:sz w:val="16"/>
      <w:szCs w:val="16"/>
    </w:rPr>
  </w:style>
  <w:style w:type="paragraph" w:styleId="CommentText">
    <w:name w:val="annotation text"/>
    <w:basedOn w:val="Normal"/>
    <w:link w:val="CommentTextChar"/>
    <w:uiPriority w:val="99"/>
    <w:semiHidden/>
    <w:unhideWhenUsed/>
    <w:rsid w:val="003824D0"/>
    <w:pPr>
      <w:spacing w:line="240" w:lineRule="auto"/>
    </w:pPr>
    <w:rPr>
      <w:sz w:val="20"/>
      <w:szCs w:val="20"/>
    </w:rPr>
  </w:style>
  <w:style w:type="character" w:customStyle="1" w:styleId="CommentTextChar">
    <w:name w:val="Comment Text Char"/>
    <w:basedOn w:val="DefaultParagraphFont"/>
    <w:link w:val="CommentText"/>
    <w:uiPriority w:val="99"/>
    <w:semiHidden/>
    <w:rsid w:val="003824D0"/>
    <w:rPr>
      <w:rFonts w:ascii="Aptos" w:hAnsi="Aptos"/>
      <w:sz w:val="20"/>
      <w:szCs w:val="20"/>
      <w:lang w:val="en-US"/>
    </w:rPr>
  </w:style>
  <w:style w:type="paragraph" w:styleId="CommentSubject">
    <w:name w:val="annotation subject"/>
    <w:basedOn w:val="CommentText"/>
    <w:next w:val="CommentText"/>
    <w:link w:val="CommentSubjectChar"/>
    <w:uiPriority w:val="99"/>
    <w:semiHidden/>
    <w:unhideWhenUsed/>
    <w:rsid w:val="003824D0"/>
    <w:rPr>
      <w:b/>
      <w:bCs/>
    </w:rPr>
  </w:style>
  <w:style w:type="character" w:customStyle="1" w:styleId="CommentSubjectChar">
    <w:name w:val="Comment Subject Char"/>
    <w:basedOn w:val="CommentTextChar"/>
    <w:link w:val="CommentSubject"/>
    <w:uiPriority w:val="99"/>
    <w:semiHidden/>
    <w:rsid w:val="003824D0"/>
    <w:rPr>
      <w:rFonts w:ascii="Aptos" w:hAnsi="Aptos"/>
      <w:b/>
      <w:bCs/>
      <w:sz w:val="20"/>
      <w:szCs w:val="20"/>
      <w:lang w:val="en-US"/>
    </w:rPr>
  </w:style>
  <w:style w:type="paragraph" w:customStyle="1" w:styleId="FigureText">
    <w:name w:val="Figure Text"/>
    <w:basedOn w:val="Normal"/>
    <w:link w:val="FigureTextChar"/>
    <w:rsid w:val="003C3786"/>
    <w:rPr>
      <w:b/>
      <w:bCs/>
    </w:rPr>
  </w:style>
  <w:style w:type="character" w:customStyle="1" w:styleId="FigureTextChar">
    <w:name w:val="Figure Text Char"/>
    <w:basedOn w:val="DefaultParagraphFont"/>
    <w:link w:val="FigureText"/>
    <w:rsid w:val="003C3786"/>
    <w:rPr>
      <w:rFonts w:ascii="Aptos" w:hAnsi="Aptos"/>
      <w:b/>
      <w:bCs/>
    </w:rPr>
  </w:style>
  <w:style w:type="paragraph" w:styleId="Header">
    <w:name w:val="header"/>
    <w:basedOn w:val="Normal"/>
    <w:link w:val="HeaderChar"/>
    <w:uiPriority w:val="99"/>
    <w:unhideWhenUsed/>
    <w:rsid w:val="003E08C3"/>
    <w:pPr>
      <w:tabs>
        <w:tab w:val="center" w:pos="4680"/>
        <w:tab w:val="right" w:pos="9360"/>
      </w:tabs>
      <w:spacing w:line="240" w:lineRule="auto"/>
    </w:pPr>
  </w:style>
  <w:style w:type="character" w:customStyle="1" w:styleId="HeaderChar">
    <w:name w:val="Header Char"/>
    <w:basedOn w:val="DefaultParagraphFont"/>
    <w:link w:val="Header"/>
    <w:uiPriority w:val="99"/>
    <w:rsid w:val="003E08C3"/>
    <w:rPr>
      <w:rFonts w:ascii="Aptos" w:hAnsi="Aptos"/>
      <w:lang w:val="en-US"/>
    </w:rPr>
  </w:style>
  <w:style w:type="paragraph" w:styleId="Footer">
    <w:name w:val="footer"/>
    <w:basedOn w:val="Normal"/>
    <w:link w:val="FooterChar"/>
    <w:uiPriority w:val="99"/>
    <w:unhideWhenUsed/>
    <w:rsid w:val="003E08C3"/>
    <w:pPr>
      <w:tabs>
        <w:tab w:val="center" w:pos="4680"/>
        <w:tab w:val="right" w:pos="9360"/>
      </w:tabs>
      <w:spacing w:line="240" w:lineRule="auto"/>
    </w:pPr>
  </w:style>
  <w:style w:type="character" w:customStyle="1" w:styleId="FooterChar">
    <w:name w:val="Footer Char"/>
    <w:basedOn w:val="DefaultParagraphFont"/>
    <w:link w:val="Footer"/>
    <w:uiPriority w:val="99"/>
    <w:rsid w:val="003E08C3"/>
    <w:rPr>
      <w:rFonts w:ascii="Aptos" w:hAnsi="Aptos"/>
      <w:lang w:val="en-US"/>
    </w:rPr>
  </w:style>
  <w:style w:type="table" w:styleId="TableGrid">
    <w:name w:val="Table Grid"/>
    <w:basedOn w:val="TableNormal"/>
    <w:uiPriority w:val="39"/>
    <w:rsid w:val="006043C9"/>
    <w:pPr>
      <w:spacing w:after="0" w:line="240" w:lineRule="auto"/>
    </w:pPr>
    <w:rPr>
      <w:rFonts w:ascii="Arial" w:eastAsia="Arial" w:hAnsi="Arial" w:cs="Arial"/>
      <w:kern w:val="0"/>
      <w:sz w:val="22"/>
      <w:szCs w:val="22"/>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A49B9"/>
    <w:pPr>
      <w:numPr>
        <w:numId w:val="0"/>
      </w:numPr>
      <w:spacing w:before="240" w:line="259" w:lineRule="auto"/>
      <w:jc w:val="left"/>
      <w:outlineLvl w:val="9"/>
    </w:pPr>
    <w:rPr>
      <w:rFonts w:asciiTheme="majorHAnsi" w:hAnsiTheme="majorHAnsi"/>
      <w:b w:val="0"/>
      <w:kern w:val="0"/>
      <w:sz w:val="32"/>
      <w:lang w:val="en-US"/>
      <w14:ligatures w14:val="none"/>
    </w:rPr>
  </w:style>
  <w:style w:type="paragraph" w:styleId="TOC1">
    <w:name w:val="toc 1"/>
    <w:basedOn w:val="Normal"/>
    <w:next w:val="Normal"/>
    <w:autoRedefine/>
    <w:uiPriority w:val="39"/>
    <w:unhideWhenUsed/>
    <w:rsid w:val="00FB5AA1"/>
    <w:pPr>
      <w:tabs>
        <w:tab w:val="left" w:pos="540"/>
        <w:tab w:val="right" w:leader="dot" w:pos="9350"/>
      </w:tabs>
      <w:spacing w:after="100"/>
    </w:pPr>
  </w:style>
  <w:style w:type="paragraph" w:styleId="TOC2">
    <w:name w:val="toc 2"/>
    <w:basedOn w:val="Normal"/>
    <w:next w:val="Normal"/>
    <w:autoRedefine/>
    <w:uiPriority w:val="39"/>
    <w:unhideWhenUsed/>
    <w:rsid w:val="00FB5AA1"/>
    <w:pPr>
      <w:tabs>
        <w:tab w:val="left" w:pos="1080"/>
        <w:tab w:val="right" w:leader="dot" w:pos="9350"/>
      </w:tabs>
      <w:spacing w:after="100"/>
      <w:ind w:left="540"/>
    </w:pPr>
  </w:style>
  <w:style w:type="paragraph" w:styleId="TOC3">
    <w:name w:val="toc 3"/>
    <w:basedOn w:val="Normal"/>
    <w:next w:val="Normal"/>
    <w:autoRedefine/>
    <w:uiPriority w:val="39"/>
    <w:unhideWhenUsed/>
    <w:rsid w:val="004A49B9"/>
    <w:pPr>
      <w:spacing w:after="100"/>
      <w:ind w:left="440"/>
    </w:pPr>
  </w:style>
  <w:style w:type="paragraph" w:customStyle="1" w:styleId="Table-FigureTitle">
    <w:name w:val="Table-Figure Title"/>
    <w:basedOn w:val="FootnoteText"/>
    <w:next w:val="Normal"/>
    <w:link w:val="Table-FigureTitleChar"/>
    <w:qFormat/>
    <w:rsid w:val="004011CA"/>
    <w:rPr>
      <w:rFonts w:ascii="Avenir Next LT Pro" w:hAnsi="Avenir Next LT Pro"/>
      <w:sz w:val="18"/>
    </w:rPr>
  </w:style>
  <w:style w:type="character" w:customStyle="1" w:styleId="Table-FigureTitleChar">
    <w:name w:val="Table-Figure Title Char"/>
    <w:basedOn w:val="FootnoteTextChar"/>
    <w:link w:val="Table-FigureTitle"/>
    <w:rsid w:val="004011CA"/>
    <w:rPr>
      <w:rFonts w:ascii="Avenir Next LT Pro" w:hAnsi="Avenir Next LT Pro"/>
      <w:sz w:val="18"/>
      <w:szCs w:val="20"/>
      <w:lang w:val="en-US"/>
    </w:rPr>
  </w:style>
  <w:style w:type="character" w:customStyle="1" w:styleId="ListParagraphChar">
    <w:name w:val="List Paragraph Char"/>
    <w:basedOn w:val="DefaultParagraphFont"/>
    <w:link w:val="ListParagraph"/>
    <w:locked/>
    <w:rsid w:val="004011CA"/>
    <w:rPr>
      <w:rFonts w:ascii="Arial" w:hAnsi="Arial"/>
      <w:sz w:val="22"/>
      <w:lang w:val="en-US"/>
    </w:rPr>
  </w:style>
  <w:style w:type="paragraph" w:customStyle="1" w:styleId="Figure-text">
    <w:name w:val="Figure-text"/>
    <w:basedOn w:val="Normal"/>
    <w:link w:val="Figure-textChar"/>
    <w:qFormat/>
    <w:rsid w:val="00CA47D9"/>
    <w:pPr>
      <w:spacing w:line="240" w:lineRule="auto"/>
    </w:pPr>
    <w:rPr>
      <w:rFonts w:eastAsia="Arial" w:cs="Arial"/>
      <w:b/>
      <w:bCs/>
      <w:kern w:val="0"/>
      <w:szCs w:val="22"/>
      <w:lang w:eastAsia="en-CA"/>
      <w14:ligatures w14:val="none"/>
    </w:rPr>
  </w:style>
  <w:style w:type="character" w:customStyle="1" w:styleId="Figure-textChar">
    <w:name w:val="Figure-text Char"/>
    <w:basedOn w:val="DefaultParagraphFont"/>
    <w:link w:val="Figure-text"/>
    <w:rsid w:val="00CA47D9"/>
    <w:rPr>
      <w:rFonts w:ascii="Arial" w:eastAsia="Arial" w:hAnsi="Arial" w:cs="Arial"/>
      <w:b/>
      <w:bCs/>
      <w:kern w:val="0"/>
      <w:sz w:val="22"/>
      <w:szCs w:val="22"/>
      <w:lang w:eastAsia="en-CA"/>
      <w14:ligatures w14:val="none"/>
    </w:rPr>
  </w:style>
  <w:style w:type="paragraph" w:customStyle="1" w:styleId="Strong1">
    <w:name w:val="Strong1"/>
    <w:qFormat/>
    <w:rsid w:val="00952F0E"/>
    <w:pPr>
      <w:spacing w:after="0" w:line="240" w:lineRule="auto"/>
    </w:pPr>
    <w:rPr>
      <w:rFonts w:ascii="Arial" w:eastAsia="Arial" w:hAnsi="Arial" w:cs="Arial"/>
      <w:b/>
      <w:bCs/>
      <w:kern w:val="0"/>
      <w:sz w:val="22"/>
      <w:szCs w:val="22"/>
      <w:lang w:eastAsia="en-CA"/>
      <w14:ligatures w14:val="none"/>
    </w:rPr>
  </w:style>
  <w:style w:type="character" w:styleId="PlaceholderText">
    <w:name w:val="Placeholder Text"/>
    <w:basedOn w:val="DefaultParagraphFont"/>
    <w:uiPriority w:val="99"/>
    <w:semiHidden/>
    <w:rsid w:val="00952F0E"/>
    <w:rPr>
      <w:color w:val="666666"/>
    </w:rPr>
  </w:style>
  <w:style w:type="paragraph" w:styleId="NoSpacing">
    <w:name w:val="No Spacing"/>
    <w:uiPriority w:val="1"/>
    <w:qFormat/>
    <w:rsid w:val="00952F0E"/>
    <w:pPr>
      <w:spacing w:after="0" w:line="240" w:lineRule="auto"/>
    </w:pPr>
    <w:rPr>
      <w:rFonts w:ascii="Arial" w:eastAsia="Arial" w:hAnsi="Arial" w:cs="Arial"/>
      <w:kern w:val="0"/>
      <w:sz w:val="22"/>
      <w:szCs w:val="22"/>
      <w:lang w:eastAsia="en-CA"/>
      <w14:ligatures w14:val="none"/>
    </w:rPr>
  </w:style>
  <w:style w:type="character" w:styleId="FollowedHyperlink">
    <w:name w:val="FollowedHyperlink"/>
    <w:basedOn w:val="DefaultParagraphFont"/>
    <w:uiPriority w:val="99"/>
    <w:semiHidden/>
    <w:unhideWhenUsed/>
    <w:rsid w:val="00952F0E"/>
    <w:rPr>
      <w:color w:val="954F72" w:themeColor="followedHyperlink"/>
      <w:u w:val="single"/>
    </w:rPr>
  </w:style>
  <w:style w:type="paragraph" w:styleId="TOC4">
    <w:name w:val="toc 4"/>
    <w:basedOn w:val="Normal"/>
    <w:next w:val="Normal"/>
    <w:autoRedefine/>
    <w:uiPriority w:val="39"/>
    <w:semiHidden/>
    <w:unhideWhenUsed/>
    <w:rsid w:val="00952F0E"/>
    <w:pPr>
      <w:spacing w:after="100" w:line="240" w:lineRule="auto"/>
      <w:ind w:left="660"/>
      <w:jc w:val="left"/>
    </w:pPr>
    <w:rPr>
      <w:rFonts w:eastAsia="Arial" w:cs="Arial"/>
      <w:kern w:val="0"/>
      <w:sz w:val="20"/>
      <w:szCs w:val="22"/>
      <w:lang w:eastAsia="en-CA"/>
      <w14:ligatures w14:val="none"/>
    </w:rPr>
  </w:style>
  <w:style w:type="paragraph" w:styleId="TOC5">
    <w:name w:val="toc 5"/>
    <w:basedOn w:val="Normal"/>
    <w:next w:val="Normal"/>
    <w:autoRedefine/>
    <w:uiPriority w:val="39"/>
    <w:semiHidden/>
    <w:unhideWhenUsed/>
    <w:rsid w:val="00952F0E"/>
    <w:pPr>
      <w:spacing w:after="100" w:line="240" w:lineRule="auto"/>
      <w:ind w:left="880"/>
      <w:jc w:val="left"/>
    </w:pPr>
    <w:rPr>
      <w:rFonts w:eastAsia="Arial" w:cs="Arial"/>
      <w:kern w:val="0"/>
      <w:sz w:val="20"/>
      <w:szCs w:val="22"/>
      <w:lang w:eastAsia="en-CA"/>
      <w14:ligatures w14:val="none"/>
    </w:rPr>
  </w:style>
  <w:style w:type="paragraph" w:styleId="TOC6">
    <w:name w:val="toc 6"/>
    <w:basedOn w:val="Normal"/>
    <w:next w:val="Normal"/>
    <w:autoRedefine/>
    <w:uiPriority w:val="39"/>
    <w:semiHidden/>
    <w:unhideWhenUsed/>
    <w:rsid w:val="00952F0E"/>
    <w:pPr>
      <w:spacing w:after="100" w:line="240" w:lineRule="auto"/>
      <w:ind w:left="1100"/>
      <w:jc w:val="left"/>
    </w:pPr>
    <w:rPr>
      <w:rFonts w:eastAsia="Arial" w:cs="Arial"/>
      <w:kern w:val="0"/>
      <w:sz w:val="20"/>
      <w:szCs w:val="22"/>
      <w:lang w:eastAsia="en-CA"/>
      <w14:ligatures w14:val="none"/>
    </w:rPr>
  </w:style>
  <w:style w:type="paragraph" w:styleId="TOC7">
    <w:name w:val="toc 7"/>
    <w:basedOn w:val="Normal"/>
    <w:next w:val="Normal"/>
    <w:autoRedefine/>
    <w:uiPriority w:val="39"/>
    <w:semiHidden/>
    <w:unhideWhenUsed/>
    <w:rsid w:val="00952F0E"/>
    <w:pPr>
      <w:spacing w:after="100" w:line="240" w:lineRule="auto"/>
      <w:ind w:left="1320"/>
      <w:jc w:val="left"/>
    </w:pPr>
    <w:rPr>
      <w:rFonts w:eastAsia="Arial" w:cs="Arial"/>
      <w:kern w:val="0"/>
      <w:sz w:val="20"/>
      <w:szCs w:val="22"/>
      <w:lang w:eastAsia="en-CA"/>
      <w14:ligatures w14:val="none"/>
    </w:rPr>
  </w:style>
  <w:style w:type="paragraph" w:styleId="TOC8">
    <w:name w:val="toc 8"/>
    <w:basedOn w:val="Normal"/>
    <w:next w:val="Normal"/>
    <w:autoRedefine/>
    <w:uiPriority w:val="39"/>
    <w:semiHidden/>
    <w:unhideWhenUsed/>
    <w:rsid w:val="00952F0E"/>
    <w:pPr>
      <w:spacing w:after="100" w:line="240" w:lineRule="auto"/>
      <w:ind w:left="1540"/>
      <w:jc w:val="left"/>
    </w:pPr>
    <w:rPr>
      <w:rFonts w:eastAsia="Arial" w:cs="Arial"/>
      <w:kern w:val="0"/>
      <w:sz w:val="20"/>
      <w:szCs w:val="22"/>
      <w:lang w:eastAsia="en-CA"/>
      <w14:ligatures w14:val="none"/>
    </w:rPr>
  </w:style>
  <w:style w:type="paragraph" w:styleId="TOC9">
    <w:name w:val="toc 9"/>
    <w:basedOn w:val="Normal"/>
    <w:next w:val="Normal"/>
    <w:autoRedefine/>
    <w:uiPriority w:val="39"/>
    <w:semiHidden/>
    <w:unhideWhenUsed/>
    <w:rsid w:val="00952F0E"/>
    <w:pPr>
      <w:spacing w:after="100" w:line="240" w:lineRule="auto"/>
      <w:ind w:left="1760"/>
      <w:jc w:val="left"/>
    </w:pPr>
    <w:rPr>
      <w:rFonts w:eastAsia="Arial" w:cs="Arial"/>
      <w:kern w:val="0"/>
      <w:sz w:val="20"/>
      <w:szCs w:val="22"/>
      <w:lang w:eastAsia="en-CA"/>
      <w14:ligatures w14:val="none"/>
    </w:rPr>
  </w:style>
  <w:style w:type="table" w:styleId="TableGridLight">
    <w:name w:val="Grid Table Light"/>
    <w:basedOn w:val="TableNormal"/>
    <w:uiPriority w:val="40"/>
    <w:rsid w:val="00B468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4F647C"/>
    <w:pPr>
      <w:spacing w:after="0" w:line="240" w:lineRule="auto"/>
    </w:pPr>
    <w:rPr>
      <w:rFonts w:ascii="Arial" w:hAnsi="Arial"/>
      <w:sz w:val="22"/>
      <w:lang w:val="en-US"/>
    </w:rPr>
  </w:style>
  <w:style w:type="paragraph" w:customStyle="1" w:styleId="font-claude-response-body">
    <w:name w:val="font-claude-response-body"/>
    <w:basedOn w:val="Normal"/>
    <w:rsid w:val="0058676F"/>
    <w:pPr>
      <w:spacing w:before="100" w:beforeAutospacing="1" w:after="100" w:afterAutospacing="1" w:line="240" w:lineRule="auto"/>
      <w:jc w:val="left"/>
    </w:pPr>
    <w:rPr>
      <w:rFonts w:ascii="Times New Roman" w:eastAsia="Times New Roman" w:hAnsi="Times New Roman" w:cs="Times New Roman"/>
      <w:kern w:val="0"/>
      <w:sz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8.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7.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25318/3610043401-eng" TargetMode="External"/><Relationship Id="rId13" Type="http://schemas.openxmlformats.org/officeDocument/2006/relationships/hyperlink" Target="https://laws-lois.justice.gc.ca/eng/acts/n-11.2/FullText.html" TargetMode="External"/><Relationship Id="rId18" Type="http://schemas.openxmlformats.org/officeDocument/2006/relationships/hyperlink" Target="https://www.princeedwardisland.ca/en/news/province-implements-actions-on-land" TargetMode="External"/><Relationship Id="rId26" Type="http://schemas.openxmlformats.org/officeDocument/2006/relationships/hyperlink" Target="https://doi.org/10.5683/SP3/LCXVCR" TargetMode="External"/><Relationship Id="rId3" Type="http://schemas.openxmlformats.org/officeDocument/2006/relationships/hyperlink" Target="https://www.ohchr.org/en/instruments-mechanisms/instruments/international-covenant-economic-social-and-cultural-rights" TargetMode="External"/><Relationship Id="rId21" Type="http://schemas.openxmlformats.org/officeDocument/2006/relationships/hyperlink" Target="https://www.princeedwardisland.ca/sites/default/files/publications/2026-2028_3_year_cmhc_action_plan_final.pdf" TargetMode="External"/><Relationship Id="rId7" Type="http://schemas.openxmlformats.org/officeDocument/2006/relationships/hyperlink" Target="https://housing-infrastructure.canada.ca/housing-logement/ptch-csd/about-strat-apropos-eng.html" TargetMode="External"/><Relationship Id="rId12" Type="http://schemas.openxmlformats.org/officeDocument/2006/relationships/hyperlink" Target="https://www.princeedwardisland.ca/en/publication/building-together-prince-edward-island-housing-strategy-2024-2029" TargetMode="External"/><Relationship Id="rId17" Type="http://schemas.openxmlformats.org/officeDocument/2006/relationships/hyperlink" Target="https://www.princeedwardisland.ca/sites/default/files/legislation/p08-3-planning_act_subdivision_and_development_regulations_1.pdf" TargetMode="External"/><Relationship Id="rId25" Type="http://schemas.openxmlformats.org/officeDocument/2006/relationships/hyperlink" Target="https://www150.statcan.gc.ca/n1/pub/11-621-m/11-621-m2024010-eng.htm" TargetMode="External"/><Relationship Id="rId2" Type="http://schemas.openxmlformats.org/officeDocument/2006/relationships/hyperlink" Target="https://laws-lois.justice.gc.ca/eng/acts/n-11.2/FullText.html" TargetMode="External"/><Relationship Id="rId16" Type="http://schemas.openxmlformats.org/officeDocument/2006/relationships/hyperlink" Target="https://www.princeedwardisland.ca/en/news/feedback-requested-on-changes-to-the-planning-act" TargetMode="External"/><Relationship Id="rId20" Type="http://schemas.openxmlformats.org/officeDocument/2006/relationships/hyperlink" Target="https://www.cmhc-schl.gc.ca/professionals/project-funding-and-mortgage-financing/funding-programs/all-funding-programs/seed-funding" TargetMode="External"/><Relationship Id="rId29" Type="http://schemas.openxmlformats.org/officeDocument/2006/relationships/hyperlink" Target="https://homelesshub.ca/resource/state-homelessness-canada-2013/" TargetMode="External"/><Relationship Id="rId1" Type="http://schemas.openxmlformats.org/officeDocument/2006/relationships/hyperlink" Target="https://www.princeedwardisland.ca/en/publication/building-together-prince-edward-island-housing-strategy-2024-2029" TargetMode="External"/><Relationship Id="rId6" Type="http://schemas.openxmlformats.org/officeDocument/2006/relationships/hyperlink" Target="https://www.kelowna.ca/our-community/social-wellness/housing" TargetMode="External"/><Relationship Id="rId11" Type="http://schemas.openxmlformats.org/officeDocument/2006/relationships/hyperlink" Target="https://www150.statcan.gc.ca/n1/pub/11-631-x/11-631-x2025001-eng.htm" TargetMode="External"/><Relationship Id="rId24" Type="http://schemas.openxmlformats.org/officeDocument/2006/relationships/hyperlink" Target="https://doi.org/10.5683/SP3/8PUZQA" TargetMode="External"/><Relationship Id="rId5" Type="http://schemas.openxmlformats.org/officeDocument/2006/relationships/hyperlink" Target="https://www.cmhc-schl.gc.ca/professionals/industry-innovation-and-leadership/industry-expertise/affordable-housing/about-affordable-housing/affordable-housing-in-canada" TargetMode="External"/><Relationship Id="rId15" Type="http://schemas.openxmlformats.org/officeDocument/2006/relationships/hyperlink" Target="https://www.princeedwardisland.ca/en/news/province-implements-actions-on-land" TargetMode="External"/><Relationship Id="rId23" Type="http://schemas.openxmlformats.org/officeDocument/2006/relationships/hyperlink" Target="https://www.princeedwardisland.ca/en/publication/state-island-report" TargetMode="External"/><Relationship Id="rId28" Type="http://schemas.openxmlformats.org/officeDocument/2006/relationships/hyperlink" Target="https://www.canada.ca/en/housing-infrastructure-communities/news/2022/08/overview-reaching-home.html" TargetMode="External"/><Relationship Id="rId10" Type="http://schemas.openxmlformats.org/officeDocument/2006/relationships/hyperlink" Target="https://doi.org/10.1016/j.socscimed.2024.117412" TargetMode="External"/><Relationship Id="rId19" Type="http://schemas.openxmlformats.org/officeDocument/2006/relationships/hyperlink" Target="https://www.princeedwardisland.ca/en/publication/state-island-report" TargetMode="External"/><Relationship Id="rId4" Type="http://schemas.openxmlformats.org/officeDocument/2006/relationships/hyperlink" Target="https://www.policyalternatives.ca/news-research/the-cost-of-poverty-in-the-atlantic-provinces-2/" TargetMode="External"/><Relationship Id="rId9" Type="http://schemas.openxmlformats.org/officeDocument/2006/relationships/hyperlink" Target="https://www.chba.ca/economic-impacts/" TargetMode="External"/><Relationship Id="rId14" Type="http://schemas.openxmlformats.org/officeDocument/2006/relationships/hyperlink" Target="https://proof.utoronto.ca/2021/prince-edward-island-the-first-jurisdiction-to-set-explicit-targets-for-reducing-food-insecurity/" TargetMode="External"/><Relationship Id="rId22" Type="http://schemas.openxmlformats.org/officeDocument/2006/relationships/hyperlink" Target="https://www.princeedwardisland.ca/en/information/housing-land-and-communities/land-use-planning-in-prince-edward-island" TargetMode="External"/><Relationship Id="rId27" Type="http://schemas.openxmlformats.org/officeDocument/2006/relationships/hyperlink" Target="https://doi.org/10.5683/SP3/8PUZQ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DPServer\J\Jobs\2216989%20St%20Johns%20Housing%20Needs%20St%20Johns%20NL\Miscellaneous\Data\NM%20-%20Kelown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DPServer\J\Jobs\2216989%20St%20Johns%20Housing%20Needs%20St%20Johns%20NL\Miscellaneous\Data\NM%20-%20Kelown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20PE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20PE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20PE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20PE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20PE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TDPServer\J\Jobs\1000_Resource_Centre\(8)%20Planning%20Division\Data\R%20-%20API%20Statistics%20Canada\RKI%20databook.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5">
                  <a:lumMod val="20000"/>
                  <a:lumOff val="80000"/>
                </a:schemeClr>
              </a:solidFill>
              <a:ln w="19050">
                <a:noFill/>
              </a:ln>
              <a:effectLst/>
            </c:spPr>
            <c:extLst>
              <c:ext xmlns:c16="http://schemas.microsoft.com/office/drawing/2014/chart" uri="{C3380CC4-5D6E-409C-BE32-E72D297353CC}">
                <c16:uniqueId val="{00000001-B07A-40E6-891C-89F07DAD808A}"/>
              </c:ext>
            </c:extLst>
          </c:dPt>
          <c:dPt>
            <c:idx val="1"/>
            <c:bubble3D val="0"/>
            <c:spPr>
              <a:solidFill>
                <a:schemeClr val="accent4">
                  <a:lumMod val="25000"/>
                  <a:lumOff val="75000"/>
                </a:schemeClr>
              </a:solidFill>
              <a:ln w="19050">
                <a:noFill/>
              </a:ln>
              <a:effectLst/>
            </c:spPr>
            <c:extLst>
              <c:ext xmlns:c16="http://schemas.microsoft.com/office/drawing/2014/chart" uri="{C3380CC4-5D6E-409C-BE32-E72D297353CC}">
                <c16:uniqueId val="{00000003-B07A-40E6-891C-89F07DAD808A}"/>
              </c:ext>
            </c:extLst>
          </c:dPt>
          <c:dPt>
            <c:idx val="2"/>
            <c:bubble3D val="0"/>
            <c:spPr>
              <a:solidFill>
                <a:schemeClr val="accent4">
                  <a:lumMod val="10000"/>
                  <a:lumOff val="90000"/>
                </a:schemeClr>
              </a:solidFill>
              <a:ln w="19050">
                <a:noFill/>
              </a:ln>
              <a:effectLst/>
            </c:spPr>
            <c:extLst>
              <c:ext xmlns:c16="http://schemas.microsoft.com/office/drawing/2014/chart" uri="{C3380CC4-5D6E-409C-BE32-E72D297353CC}">
                <c16:uniqueId val="{00000005-B07A-40E6-891C-89F07DAD808A}"/>
              </c:ext>
            </c:extLst>
          </c:dPt>
          <c:dPt>
            <c:idx val="3"/>
            <c:bubble3D val="0"/>
            <c:spPr>
              <a:solidFill>
                <a:schemeClr val="accent3">
                  <a:lumMod val="60000"/>
                  <a:lumOff val="40000"/>
                </a:schemeClr>
              </a:solidFill>
              <a:ln w="19050">
                <a:noFill/>
              </a:ln>
              <a:effectLst/>
            </c:spPr>
            <c:extLst>
              <c:ext xmlns:c16="http://schemas.microsoft.com/office/drawing/2014/chart" uri="{C3380CC4-5D6E-409C-BE32-E72D297353CC}">
                <c16:uniqueId val="{00000007-B07A-40E6-891C-89F07DAD808A}"/>
              </c:ext>
            </c:extLst>
          </c:dPt>
          <c:dPt>
            <c:idx val="4"/>
            <c:bubble3D val="0"/>
            <c:spPr>
              <a:solidFill>
                <a:schemeClr val="accent3">
                  <a:lumMod val="40000"/>
                  <a:lumOff val="60000"/>
                </a:schemeClr>
              </a:solidFill>
              <a:ln w="19050">
                <a:noFill/>
              </a:ln>
              <a:effectLst/>
            </c:spPr>
            <c:extLst>
              <c:ext xmlns:c16="http://schemas.microsoft.com/office/drawing/2014/chart" uri="{C3380CC4-5D6E-409C-BE32-E72D297353CC}">
                <c16:uniqueId val="{00000009-B07A-40E6-891C-89F07DAD808A}"/>
              </c:ext>
            </c:extLst>
          </c:dPt>
          <c:dPt>
            <c:idx val="5"/>
            <c:bubble3D val="0"/>
            <c:spPr>
              <a:solidFill>
                <a:schemeClr val="accent5">
                  <a:lumMod val="40000"/>
                  <a:lumOff val="60000"/>
                </a:schemeClr>
              </a:solidFill>
              <a:ln w="19050">
                <a:noFill/>
              </a:ln>
              <a:effectLst/>
            </c:spPr>
            <c:extLst>
              <c:ext xmlns:c16="http://schemas.microsoft.com/office/drawing/2014/chart" uri="{C3380CC4-5D6E-409C-BE32-E72D297353CC}">
                <c16:uniqueId val="{0000000B-B07A-40E6-891C-89F07DAD808A}"/>
              </c:ext>
            </c:extLst>
          </c:dPt>
          <c:cat>
            <c:strRef>
              <c:f>Sheet1!$C$63:$C$68</c:f>
              <c:strCache>
                <c:ptCount val="6"/>
                <c:pt idx="0">
                  <c:v>Emergency Shelter</c:v>
                </c:pt>
                <c:pt idx="1">
                  <c:v>Short-term Supportive Housing</c:v>
                </c:pt>
                <c:pt idx="2">
                  <c:v>Long-Term Supportive Housing</c:v>
                </c:pt>
                <c:pt idx="3">
                  <c:v>Subsidized Rental Housing</c:v>
                </c:pt>
                <c:pt idx="4">
                  <c:v>Rental Housing</c:v>
                </c:pt>
                <c:pt idx="5">
                  <c:v>Ownership Housing</c:v>
                </c:pt>
              </c:strCache>
            </c:strRef>
          </c:cat>
          <c:val>
            <c:numRef>
              <c:f>Sheet1!$E$63:$E$68</c:f>
              <c:numCache>
                <c:formatCode>General</c:formatCode>
                <c:ptCount val="6"/>
                <c:pt idx="0">
                  <c:v>0.16666666666666666</c:v>
                </c:pt>
                <c:pt idx="1">
                  <c:v>0.16666666666666666</c:v>
                </c:pt>
                <c:pt idx="2">
                  <c:v>0.16666666666666666</c:v>
                </c:pt>
                <c:pt idx="3">
                  <c:v>0.16666666666666666</c:v>
                </c:pt>
                <c:pt idx="4">
                  <c:v>0.16666666666666666</c:v>
                </c:pt>
                <c:pt idx="5">
                  <c:v>0.16666666666666666</c:v>
                </c:pt>
              </c:numCache>
            </c:numRef>
          </c:val>
          <c:extLst>
            <c:ext xmlns:c16="http://schemas.microsoft.com/office/drawing/2014/chart" uri="{C3380CC4-5D6E-409C-BE32-E72D297353CC}">
              <c16:uniqueId val="{0000000C-B07A-40E6-891C-89F07DAD808A}"/>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B07A-40E6-891C-89F07DAD80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B07A-40E6-891C-89F07DAD80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2-B07A-40E6-891C-89F07DAD808A}"/>
              </c:ext>
            </c:extLst>
          </c:dPt>
          <c:cat>
            <c:strRef>
              <c:f>Sheet1!$C$70:$C$72</c:f>
              <c:strCache>
                <c:ptCount val="3"/>
                <c:pt idx="0">
                  <c:v>Safety Net</c:v>
                </c:pt>
                <c:pt idx="1">
                  <c:v>Housing With Supports</c:v>
                </c:pt>
                <c:pt idx="2">
                  <c:v>Market Housing</c:v>
                </c:pt>
              </c:strCache>
            </c:strRef>
          </c:cat>
          <c:val>
            <c:numRef>
              <c:f>Sheet1!$E$70:$E$72</c:f>
              <c:numCache>
                <c:formatCode>General</c:formatCode>
                <c:ptCount val="3"/>
                <c:pt idx="0">
                  <c:v>0.33333333333333331</c:v>
                </c:pt>
                <c:pt idx="1">
                  <c:v>0.33333333333333331</c:v>
                </c:pt>
                <c:pt idx="2">
                  <c:v>0.33333333333333331</c:v>
                </c:pt>
              </c:numCache>
            </c:numRef>
          </c:val>
          <c:extLst>
            <c:ext xmlns:c16="http://schemas.microsoft.com/office/drawing/2014/chart" uri="{C3380CC4-5D6E-409C-BE32-E72D297353CC}">
              <c16:uniqueId val="{00000013-B07A-40E6-891C-89F07DAD808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noFill/>
            <a:ln w="25400">
              <a:solidFill>
                <a:schemeClr val="accent4"/>
              </a:solidFill>
            </a:ln>
          </c:spPr>
          <c:explosion val="1"/>
          <c:dPt>
            <c:idx val="0"/>
            <c:bubble3D val="0"/>
            <c:spPr>
              <a:noFill/>
              <a:ln w="25400">
                <a:solidFill>
                  <a:schemeClr val="accent4"/>
                </a:solidFill>
              </a:ln>
              <a:effectLst/>
            </c:spPr>
            <c:extLst>
              <c:ext xmlns:c16="http://schemas.microsoft.com/office/drawing/2014/chart" uri="{C3380CC4-5D6E-409C-BE32-E72D297353CC}">
                <c16:uniqueId val="{00000001-071A-474C-AF08-12BF1F8F9AF7}"/>
              </c:ext>
            </c:extLst>
          </c:dPt>
          <c:dPt>
            <c:idx val="1"/>
            <c:bubble3D val="0"/>
            <c:spPr>
              <a:noFill/>
              <a:ln w="25400">
                <a:solidFill>
                  <a:schemeClr val="accent3"/>
                </a:solidFill>
              </a:ln>
              <a:effectLst/>
            </c:spPr>
            <c:extLst>
              <c:ext xmlns:c16="http://schemas.microsoft.com/office/drawing/2014/chart" uri="{C3380CC4-5D6E-409C-BE32-E72D297353CC}">
                <c16:uniqueId val="{00000003-071A-474C-AF08-12BF1F8F9AF7}"/>
              </c:ext>
            </c:extLst>
          </c:dPt>
          <c:dPt>
            <c:idx val="2"/>
            <c:bubble3D val="0"/>
            <c:spPr>
              <a:noFill/>
              <a:ln w="25400">
                <a:solidFill>
                  <a:schemeClr val="accent5"/>
                </a:solidFill>
              </a:ln>
              <a:effectLst/>
            </c:spPr>
            <c:extLst>
              <c:ext xmlns:c16="http://schemas.microsoft.com/office/drawing/2014/chart" uri="{C3380CC4-5D6E-409C-BE32-E72D297353CC}">
                <c16:uniqueId val="{00000005-071A-474C-AF08-12BF1F8F9AF7}"/>
              </c:ext>
            </c:extLst>
          </c:dPt>
          <c:cat>
            <c:strRef>
              <c:f>Sheet1!$C$70:$C$72</c:f>
              <c:strCache>
                <c:ptCount val="3"/>
                <c:pt idx="0">
                  <c:v>Safety Net</c:v>
                </c:pt>
                <c:pt idx="1">
                  <c:v>Housing With Supports</c:v>
                </c:pt>
                <c:pt idx="2">
                  <c:v>Market Housing</c:v>
                </c:pt>
              </c:strCache>
            </c:strRef>
          </c:cat>
          <c:val>
            <c:numRef>
              <c:f>Sheet1!$E$70:$E$72</c:f>
              <c:numCache>
                <c:formatCode>General</c:formatCode>
                <c:ptCount val="3"/>
                <c:pt idx="0">
                  <c:v>0.33333333333333331</c:v>
                </c:pt>
                <c:pt idx="1">
                  <c:v>0.33333333333333331</c:v>
                </c:pt>
                <c:pt idx="2">
                  <c:v>0.33333333333333331</c:v>
                </c:pt>
              </c:numCache>
            </c:numRef>
          </c:val>
          <c:extLst>
            <c:ext xmlns:c16="http://schemas.microsoft.com/office/drawing/2014/chart" uri="{C3380CC4-5D6E-409C-BE32-E72D297353CC}">
              <c16:uniqueId val="{00000006-071A-474C-AF08-12BF1F8F9AF7}"/>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8-071A-474C-AF08-12BF1F8F9AF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071A-474C-AF08-12BF1F8F9AF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071A-474C-AF08-12BF1F8F9AF7}"/>
              </c:ext>
            </c:extLst>
          </c:dPt>
          <c:cat>
            <c:strRef>
              <c:f>Sheet1!$C$70:$C$72</c:f>
              <c:strCache>
                <c:ptCount val="3"/>
                <c:pt idx="0">
                  <c:v>Safety Net</c:v>
                </c:pt>
                <c:pt idx="1">
                  <c:v>Housing With Supports</c:v>
                </c:pt>
                <c:pt idx="2">
                  <c:v>Market Housing</c:v>
                </c:pt>
              </c:strCache>
            </c:strRef>
          </c:cat>
          <c:val>
            <c:numRef>
              <c:f>Sheet1!$E$70:$E$72</c:f>
              <c:numCache>
                <c:formatCode>General</c:formatCode>
                <c:ptCount val="3"/>
                <c:pt idx="0">
                  <c:v>0.33333333333333331</c:v>
                </c:pt>
                <c:pt idx="1">
                  <c:v>0.33333333333333331</c:v>
                </c:pt>
                <c:pt idx="2">
                  <c:v>0.33333333333333331</c:v>
                </c:pt>
              </c:numCache>
            </c:numRef>
          </c:val>
          <c:extLst>
            <c:ext xmlns:c16="http://schemas.microsoft.com/office/drawing/2014/chart" uri="{C3380CC4-5D6E-409C-BE32-E72D297353CC}">
              <c16:uniqueId val="{0000000D-071A-474C-AF08-12BF1F8F9AF7}"/>
            </c:ext>
          </c:extLst>
        </c:ser>
        <c:dLbls>
          <c:showLegendKey val="0"/>
          <c:showVal val="0"/>
          <c:showCatName val="0"/>
          <c:showSerName val="0"/>
          <c:showPercent val="0"/>
          <c:showBubbleSize val="0"/>
          <c:showLeaderLines val="1"/>
        </c:dLbls>
        <c:firstSliceAng val="6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popn_now!$E$68</c:f>
              <c:strCache>
                <c:ptCount val="1"/>
                <c:pt idx="0">
                  <c:v>Urban</c:v>
                </c:pt>
              </c:strCache>
            </c:strRef>
          </c:tx>
          <c:spPr>
            <a:ln w="19050" cap="rnd">
              <a:solidFill>
                <a:schemeClr val="accent2"/>
              </a:solidFill>
              <a:round/>
            </a:ln>
            <a:effectLst/>
          </c:spPr>
          <c:marker>
            <c:symbol val="none"/>
          </c:marker>
          <c:cat>
            <c:numRef>
              <c:f>popn_now!$B$70:$B$93</c:f>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popn_now!$F$70:$F$93</c:f>
              <c:numCache>
                <c:formatCode>0.0%</c:formatCode>
                <c:ptCount val="24"/>
                <c:pt idx="0">
                  <c:v>3.2445260210987037E-3</c:v>
                </c:pt>
                <c:pt idx="1">
                  <c:v>2.1067415730338102E-3</c:v>
                </c:pt>
                <c:pt idx="2">
                  <c:v>3.2456755062146847E-3</c:v>
                </c:pt>
                <c:pt idx="3">
                  <c:v>2.591816477335307E-3</c:v>
                </c:pt>
                <c:pt idx="4">
                  <c:v>1.686742570082389E-3</c:v>
                </c:pt>
                <c:pt idx="5">
                  <c:v>4.7771574997712563E-3</c:v>
                </c:pt>
                <c:pt idx="6">
                  <c:v>1.7414747886913329E-2</c:v>
                </c:pt>
                <c:pt idx="7">
                  <c:v>1.7438945785289706E-2</c:v>
                </c:pt>
                <c:pt idx="8">
                  <c:v>2.1979375637912302E-2</c:v>
                </c:pt>
                <c:pt idx="9">
                  <c:v>2.6517434352130831E-2</c:v>
                </c:pt>
                <c:pt idx="10">
                  <c:v>9.2258659733288617E-3</c:v>
                </c:pt>
                <c:pt idx="11">
                  <c:v>-3.025014543339144E-3</c:v>
                </c:pt>
                <c:pt idx="12">
                  <c:v>4.201190337262295E-3</c:v>
                </c:pt>
                <c:pt idx="13">
                  <c:v>1.4244210176807437E-2</c:v>
                </c:pt>
                <c:pt idx="14">
                  <c:v>2.4061676460478187E-2</c:v>
                </c:pt>
                <c:pt idx="15">
                  <c:v>2.1865959113213984E-2</c:v>
                </c:pt>
                <c:pt idx="16">
                  <c:v>1.9896450861084602E-2</c:v>
                </c:pt>
                <c:pt idx="17">
                  <c:v>2.8480284649479382E-2</c:v>
                </c:pt>
                <c:pt idx="18">
                  <c:v>2.3203101699970086E-2</c:v>
                </c:pt>
                <c:pt idx="19">
                  <c:v>9.7499125568381029E-3</c:v>
                </c:pt>
                <c:pt idx="20">
                  <c:v>3.1493108176372964E-2</c:v>
                </c:pt>
                <c:pt idx="21">
                  <c:v>4.8469923181328367E-2</c:v>
                </c:pt>
                <c:pt idx="22">
                  <c:v>4.9992659913787429E-2</c:v>
                </c:pt>
                <c:pt idx="23">
                  <c:v>2.0323601560811921E-2</c:v>
                </c:pt>
              </c:numCache>
            </c:numRef>
          </c:val>
          <c:smooth val="0"/>
          <c:extLst>
            <c:ext xmlns:c16="http://schemas.microsoft.com/office/drawing/2014/chart" uri="{C3380CC4-5D6E-409C-BE32-E72D297353CC}">
              <c16:uniqueId val="{00000001-CCDF-4319-A9C3-51F515AF1868}"/>
            </c:ext>
          </c:extLst>
        </c:ser>
        <c:ser>
          <c:idx val="2"/>
          <c:order val="2"/>
          <c:tx>
            <c:strRef>
              <c:f>popn_now!$G$68</c:f>
              <c:strCache>
                <c:ptCount val="1"/>
                <c:pt idx="0">
                  <c:v>Small Urban / Town</c:v>
                </c:pt>
              </c:strCache>
            </c:strRef>
          </c:tx>
          <c:spPr>
            <a:ln w="19050" cap="rnd">
              <a:solidFill>
                <a:schemeClr val="accent3"/>
              </a:solidFill>
              <a:round/>
            </a:ln>
            <a:effectLst/>
          </c:spPr>
          <c:marker>
            <c:symbol val="none"/>
          </c:marker>
          <c:cat>
            <c:numRef>
              <c:f>popn_now!$B$70:$B$93</c:f>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popn_now!$H$70:$H$93</c:f>
              <c:numCache>
                <c:formatCode>0.0%</c:formatCode>
                <c:ptCount val="24"/>
                <c:pt idx="0">
                  <c:v>3.1336501801848549E-4</c:v>
                </c:pt>
                <c:pt idx="1">
                  <c:v>1.1486451208688742E-3</c:v>
                </c:pt>
                <c:pt idx="2">
                  <c:v>1.6688396349413548E-3</c:v>
                </c:pt>
                <c:pt idx="3">
                  <c:v>3.1238610923101096E-3</c:v>
                </c:pt>
                <c:pt idx="4">
                  <c:v>-5.3459282711372236E-3</c:v>
                </c:pt>
                <c:pt idx="5">
                  <c:v>-2.6090586516385184E-3</c:v>
                </c:pt>
                <c:pt idx="6">
                  <c:v>7.3767918802971622E-3</c:v>
                </c:pt>
                <c:pt idx="7">
                  <c:v>2.5447935601141669E-3</c:v>
                </c:pt>
                <c:pt idx="8">
                  <c:v>7.8740157480314821E-3</c:v>
                </c:pt>
                <c:pt idx="9">
                  <c:v>1.5470805921052655E-2</c:v>
                </c:pt>
                <c:pt idx="10">
                  <c:v>-5.415801994229863E-3</c:v>
                </c:pt>
                <c:pt idx="11">
                  <c:v>-6.8193384223919074E-3</c:v>
                </c:pt>
                <c:pt idx="12">
                  <c:v>3.8430006148801876E-3</c:v>
                </c:pt>
                <c:pt idx="13">
                  <c:v>-8.3201470062783667E-3</c:v>
                </c:pt>
                <c:pt idx="14">
                  <c:v>1.3640107061972495E-2</c:v>
                </c:pt>
                <c:pt idx="15">
                  <c:v>1.9042299294165455E-2</c:v>
                </c:pt>
                <c:pt idx="16">
                  <c:v>2.2872234403029656E-2</c:v>
                </c:pt>
                <c:pt idx="17">
                  <c:v>3.1811760120816546E-2</c:v>
                </c:pt>
                <c:pt idx="18">
                  <c:v>3.8715769593956617E-2</c:v>
                </c:pt>
                <c:pt idx="19">
                  <c:v>3.668181818181826E-2</c:v>
                </c:pt>
                <c:pt idx="20">
                  <c:v>2.9245407111851529E-2</c:v>
                </c:pt>
                <c:pt idx="21">
                  <c:v>3.9064496890176326E-2</c:v>
                </c:pt>
                <c:pt idx="22">
                  <c:v>2.9437087450288946E-2</c:v>
                </c:pt>
                <c:pt idx="23">
                  <c:v>1.97936994703094E-2</c:v>
                </c:pt>
              </c:numCache>
            </c:numRef>
          </c:val>
          <c:smooth val="0"/>
          <c:extLst>
            <c:ext xmlns:c16="http://schemas.microsoft.com/office/drawing/2014/chart" uri="{C3380CC4-5D6E-409C-BE32-E72D297353CC}">
              <c16:uniqueId val="{00000002-CCDF-4319-A9C3-51F515AF1868}"/>
            </c:ext>
          </c:extLst>
        </c:ser>
        <c:ser>
          <c:idx val="3"/>
          <c:order val="3"/>
          <c:tx>
            <c:strRef>
              <c:f>popn_now!$I$68</c:f>
              <c:strCache>
                <c:ptCount val="1"/>
                <c:pt idx="0">
                  <c:v>Rural — Metro-Adjacent</c:v>
                </c:pt>
              </c:strCache>
            </c:strRef>
          </c:tx>
          <c:spPr>
            <a:ln w="19050" cap="rnd">
              <a:solidFill>
                <a:schemeClr val="accent4"/>
              </a:solidFill>
              <a:round/>
            </a:ln>
            <a:effectLst/>
          </c:spPr>
          <c:marker>
            <c:symbol val="none"/>
          </c:marker>
          <c:cat>
            <c:numRef>
              <c:f>popn_now!$B$70:$B$93</c:f>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popn_now!$J$70:$J$93</c:f>
              <c:numCache>
                <c:formatCode>0.0%</c:formatCode>
                <c:ptCount val="24"/>
                <c:pt idx="0">
                  <c:v>3.9491967528826333E-3</c:v>
                </c:pt>
                <c:pt idx="1">
                  <c:v>5.7062380108297006E-3</c:v>
                </c:pt>
                <c:pt idx="2">
                  <c:v>6.832778019218777E-3</c:v>
                </c:pt>
                <c:pt idx="3">
                  <c:v>5.9470995899379986E-3</c:v>
                </c:pt>
                <c:pt idx="4">
                  <c:v>1.0727311735678757E-3</c:v>
                </c:pt>
                <c:pt idx="5">
                  <c:v>-6.5247416297565808E-3</c:v>
                </c:pt>
                <c:pt idx="6">
                  <c:v>3.3317353787152282E-3</c:v>
                </c:pt>
                <c:pt idx="7">
                  <c:v>7.4774839341598121E-3</c:v>
                </c:pt>
                <c:pt idx="8">
                  <c:v>1.1192260267476106E-2</c:v>
                </c:pt>
                <c:pt idx="9">
                  <c:v>1.5195572647969335E-2</c:v>
                </c:pt>
                <c:pt idx="10">
                  <c:v>4.7352859650744428E-3</c:v>
                </c:pt>
                <c:pt idx="11">
                  <c:v>7.8166310320249011E-4</c:v>
                </c:pt>
                <c:pt idx="12">
                  <c:v>4.0890399944866207E-3</c:v>
                </c:pt>
                <c:pt idx="13">
                  <c:v>-1.5099865016358072E-3</c:v>
                </c:pt>
                <c:pt idx="14">
                  <c:v>1.6291272368993859E-2</c:v>
                </c:pt>
                <c:pt idx="15">
                  <c:v>1.8487622311403662E-2</c:v>
                </c:pt>
                <c:pt idx="16">
                  <c:v>1.4034621685039994E-2</c:v>
                </c:pt>
                <c:pt idx="17">
                  <c:v>1.5564966818023107E-2</c:v>
                </c:pt>
                <c:pt idx="18">
                  <c:v>1.7282517572709155E-2</c:v>
                </c:pt>
                <c:pt idx="19">
                  <c:v>2.3856312731114659E-2</c:v>
                </c:pt>
                <c:pt idx="20">
                  <c:v>3.5745242910802055E-2</c:v>
                </c:pt>
                <c:pt idx="21">
                  <c:v>2.951022197425579E-2</c:v>
                </c:pt>
                <c:pt idx="22">
                  <c:v>2.4522422435984348E-2</c:v>
                </c:pt>
                <c:pt idx="23">
                  <c:v>1.1429327086560637E-2</c:v>
                </c:pt>
              </c:numCache>
            </c:numRef>
          </c:val>
          <c:smooth val="0"/>
          <c:extLst>
            <c:ext xmlns:c16="http://schemas.microsoft.com/office/drawing/2014/chart" uri="{C3380CC4-5D6E-409C-BE32-E72D297353CC}">
              <c16:uniqueId val="{00000003-CCDF-4319-A9C3-51F515AF1868}"/>
            </c:ext>
          </c:extLst>
        </c:ser>
        <c:ser>
          <c:idx val="4"/>
          <c:order val="4"/>
          <c:tx>
            <c:strRef>
              <c:f>popn_now!$K$68</c:f>
              <c:strCache>
                <c:ptCount val="1"/>
                <c:pt idx="0">
                  <c:v>Rural — Remote</c:v>
                </c:pt>
              </c:strCache>
            </c:strRef>
          </c:tx>
          <c:spPr>
            <a:ln w="19050" cap="rnd">
              <a:solidFill>
                <a:schemeClr val="accent5"/>
              </a:solidFill>
              <a:round/>
            </a:ln>
            <a:effectLst/>
          </c:spPr>
          <c:marker>
            <c:symbol val="none"/>
          </c:marker>
          <c:cat>
            <c:numRef>
              <c:f>popn_now!$B$70:$B$93</c:f>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popn_now!$L$70:$L$93</c:f>
              <c:numCache>
                <c:formatCode>0.0%</c:formatCode>
                <c:ptCount val="24"/>
                <c:pt idx="0">
                  <c:v>-5.8294545618871041E-3</c:v>
                </c:pt>
                <c:pt idx="1">
                  <c:v>-1.1818181818181728E-3</c:v>
                </c:pt>
                <c:pt idx="2">
                  <c:v>-1.774824792937113E-3</c:v>
                </c:pt>
                <c:pt idx="3">
                  <c:v>-3.2824253476179122E-3</c:v>
                </c:pt>
                <c:pt idx="4">
                  <c:v>-1.102318986415407E-2</c:v>
                </c:pt>
                <c:pt idx="5">
                  <c:v>-5.0874109703080705E-3</c:v>
                </c:pt>
                <c:pt idx="6">
                  <c:v>-1.0552249907028632E-2</c:v>
                </c:pt>
                <c:pt idx="7">
                  <c:v>-1.0101010101010055E-2</c:v>
                </c:pt>
                <c:pt idx="8">
                  <c:v>-5.5054579971522966E-3</c:v>
                </c:pt>
                <c:pt idx="9">
                  <c:v>-1.1119595303999197E-2</c:v>
                </c:pt>
                <c:pt idx="10">
                  <c:v>-8.9281405337580111E-3</c:v>
                </c:pt>
                <c:pt idx="11">
                  <c:v>-1.0128554733151551E-2</c:v>
                </c:pt>
                <c:pt idx="12">
                  <c:v>-1.8053915781188534E-2</c:v>
                </c:pt>
                <c:pt idx="13">
                  <c:v>-4.9095736686538549E-3</c:v>
                </c:pt>
                <c:pt idx="14">
                  <c:v>-9.8172481498263187E-3</c:v>
                </c:pt>
                <c:pt idx="15">
                  <c:v>1.433801098230636E-2</c:v>
                </c:pt>
                <c:pt idx="16">
                  <c:v>7.1679197994987121E-3</c:v>
                </c:pt>
                <c:pt idx="17">
                  <c:v>1.5278952869158369E-2</c:v>
                </c:pt>
                <c:pt idx="18">
                  <c:v>1.0539215686274472E-2</c:v>
                </c:pt>
                <c:pt idx="19">
                  <c:v>1.6056269706524295E-2</c:v>
                </c:pt>
                <c:pt idx="20">
                  <c:v>2.229542633438375E-2</c:v>
                </c:pt>
                <c:pt idx="21">
                  <c:v>3.0261990379675918E-2</c:v>
                </c:pt>
                <c:pt idx="22">
                  <c:v>1.0153664838402632E-2</c:v>
                </c:pt>
                <c:pt idx="23">
                  <c:v>1.0634956248597671E-2</c:v>
                </c:pt>
              </c:numCache>
            </c:numRef>
          </c:val>
          <c:smooth val="0"/>
          <c:extLst>
            <c:ext xmlns:c16="http://schemas.microsoft.com/office/drawing/2014/chart" uri="{C3380CC4-5D6E-409C-BE32-E72D297353CC}">
              <c16:uniqueId val="{00000004-CCDF-4319-A9C3-51F515AF1868}"/>
            </c:ext>
          </c:extLst>
        </c:ser>
        <c:ser>
          <c:idx val="5"/>
          <c:order val="5"/>
          <c:tx>
            <c:strRef>
              <c:f>popn_now!$M$68</c:f>
              <c:strCache>
                <c:ptCount val="1"/>
                <c:pt idx="0">
                  <c:v>Province</c:v>
                </c:pt>
              </c:strCache>
            </c:strRef>
          </c:tx>
          <c:spPr>
            <a:ln w="25400" cap="rnd">
              <a:solidFill>
                <a:schemeClr val="tx2"/>
              </a:solidFill>
              <a:round/>
            </a:ln>
            <a:effectLst/>
          </c:spPr>
          <c:marker>
            <c:symbol val="none"/>
          </c:marker>
          <c:cat>
            <c:numRef>
              <c:f>popn_now!$B$70:$B$93</c:f>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f>popn_now!$N$70:$N$93</c:f>
              <c:numCache>
                <c:formatCode>0.0%</c:formatCode>
                <c:ptCount val="24"/>
                <c:pt idx="0">
                  <c:v>1.5708266658835957E-3</c:v>
                </c:pt>
                <c:pt idx="1">
                  <c:v>2.5284357410881864E-3</c:v>
                </c:pt>
                <c:pt idx="2">
                  <c:v>3.3042626450183743E-3</c:v>
                </c:pt>
                <c:pt idx="3">
                  <c:v>2.7469124558272551E-3</c:v>
                </c:pt>
                <c:pt idx="4">
                  <c:v>-1.5041199808170092E-3</c:v>
                </c:pt>
                <c:pt idx="5">
                  <c:v>-1.2589600844158388E-3</c:v>
                </c:pt>
                <c:pt idx="6">
                  <c:v>7.3519768001049091E-3</c:v>
                </c:pt>
                <c:pt idx="7">
                  <c:v>8.108440445277143E-3</c:v>
                </c:pt>
                <c:pt idx="8">
                  <c:v>1.2606549378641363E-2</c:v>
                </c:pt>
                <c:pt idx="9">
                  <c:v>1.5985375082371522E-2</c:v>
                </c:pt>
                <c:pt idx="10">
                  <c:v>3.2290685915541406E-3</c:v>
                </c:pt>
                <c:pt idx="11">
                  <c:v>-3.4063733941382957E-3</c:v>
                </c:pt>
                <c:pt idx="12">
                  <c:v>9.626250366217004E-4</c:v>
                </c:pt>
                <c:pt idx="13">
                  <c:v>3.7004515805318938E-3</c:v>
                </c:pt>
                <c:pt idx="14">
                  <c:v>1.5629014004318709E-2</c:v>
                </c:pt>
                <c:pt idx="15">
                  <c:v>1.9449267832483352E-2</c:v>
                </c:pt>
                <c:pt idx="16">
                  <c:v>1.681833117627729E-2</c:v>
                </c:pt>
                <c:pt idx="17">
                  <c:v>2.3280199959111236E-2</c:v>
                </c:pt>
                <c:pt idx="18">
                  <c:v>2.1880498321098729E-2</c:v>
                </c:pt>
                <c:pt idx="19">
                  <c:v>1.8517116980751203E-2</c:v>
                </c:pt>
                <c:pt idx="20">
                  <c:v>3.1258514353652123E-2</c:v>
                </c:pt>
                <c:pt idx="21">
                  <c:v>3.9089708178215554E-2</c:v>
                </c:pt>
                <c:pt idx="22">
                  <c:v>3.4412019647500625E-2</c:v>
                </c:pt>
                <c:pt idx="23">
                  <c:v>1.641294935895643E-2</c:v>
                </c:pt>
              </c:numCache>
            </c:numRef>
          </c:val>
          <c:smooth val="0"/>
          <c:extLst>
            <c:ext xmlns:c16="http://schemas.microsoft.com/office/drawing/2014/chart" uri="{C3380CC4-5D6E-409C-BE32-E72D297353CC}">
              <c16:uniqueId val="{00000005-CCDF-4319-A9C3-51F515AF1868}"/>
            </c:ext>
          </c:extLst>
        </c:ser>
        <c:dLbls>
          <c:showLegendKey val="0"/>
          <c:showVal val="0"/>
          <c:showCatName val="0"/>
          <c:showSerName val="0"/>
          <c:showPercent val="0"/>
          <c:showBubbleSize val="0"/>
        </c:dLbls>
        <c:smooth val="0"/>
        <c:axId val="1877744751"/>
        <c:axId val="1877757711"/>
        <c:extLst>
          <c:ext xmlns:c15="http://schemas.microsoft.com/office/drawing/2012/chart" uri="{02D57815-91ED-43cb-92C2-25804820EDAC}">
            <c15:filteredLineSeries>
              <c15:ser>
                <c:idx val="0"/>
                <c:order val="0"/>
                <c:tx>
                  <c:strRef>
                    <c:extLst>
                      <c:ext uri="{02D57815-91ED-43cb-92C2-25804820EDAC}">
                        <c15:formulaRef>
                          <c15:sqref>popn_now!$C$68</c15:sqref>
                        </c15:formulaRef>
                      </c:ext>
                    </c:extLst>
                    <c:strCache>
                      <c:ptCount val="1"/>
                      <c:pt idx="0">
                        <c:v>Large Urban</c:v>
                      </c:pt>
                    </c:strCache>
                  </c:strRef>
                </c:tx>
                <c:spPr>
                  <a:ln w="28575" cap="rnd">
                    <a:solidFill>
                      <a:schemeClr val="accent1"/>
                    </a:solidFill>
                    <a:round/>
                  </a:ln>
                  <a:effectLst/>
                </c:spPr>
                <c:marker>
                  <c:symbol val="none"/>
                </c:marker>
                <c:cat>
                  <c:numRef>
                    <c:extLst>
                      <c:ext uri="{02D57815-91ED-43cb-92C2-25804820EDAC}">
                        <c15:formulaRef>
                          <c15:sqref>popn_now!$B$70:$B$93</c15:sqref>
                        </c15:formulaRef>
                      </c:ext>
                    </c:extLst>
                    <c:numCache>
                      <c:formatCode>General</c:formatCode>
                      <c:ptCount val="2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numCache>
                  </c:numRef>
                </c:cat>
                <c:val>
                  <c:numRef>
                    <c:extLst>
                      <c:ext uri="{02D57815-91ED-43cb-92C2-25804820EDAC}">
                        <c15:formulaRef>
                          <c15:sqref>popn_now!$D$70:$D$93</c15:sqref>
                        </c15:formulaRef>
                      </c:ext>
                    </c:extLst>
                    <c:numCache>
                      <c:formatCode>0.0%</c:formatCode>
                      <c:ptCount val="24"/>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numCache>
                  </c:numRef>
                </c:val>
                <c:smooth val="0"/>
                <c:extLst>
                  <c:ext xmlns:c16="http://schemas.microsoft.com/office/drawing/2014/chart" uri="{C3380CC4-5D6E-409C-BE32-E72D297353CC}">
                    <c16:uniqueId val="{00000000-CCDF-4319-A9C3-51F515AF1868}"/>
                  </c:ext>
                </c:extLst>
              </c15:ser>
            </c15:filteredLineSeries>
          </c:ext>
        </c:extLst>
      </c:lineChart>
      <c:catAx>
        <c:axId val="1877744751"/>
        <c:scaling>
          <c:orientation val="minMax"/>
        </c:scaling>
        <c:delete val="0"/>
        <c:axPos val="b"/>
        <c:numFmt formatCode="General" sourceLinked="1"/>
        <c:majorTickMark val="cross"/>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77757711"/>
        <c:crosses val="autoZero"/>
        <c:auto val="1"/>
        <c:lblAlgn val="ctr"/>
        <c:lblOffset val="100"/>
        <c:noMultiLvlLbl val="0"/>
      </c:catAx>
      <c:valAx>
        <c:axId val="1877757711"/>
        <c:scaling>
          <c:orientation val="minMax"/>
          <c:min val="-2.0000000000000004E-2"/>
        </c:scaling>
        <c:delete val="0"/>
        <c:axPos val="l"/>
        <c:majorGridlines>
          <c:spPr>
            <a:ln w="9525" cap="flat" cmpd="sng" algn="ctr">
              <a:solidFill>
                <a:schemeClr val="bg1">
                  <a:lumMod val="9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Population change over previous year</a:t>
                </a:r>
              </a:p>
            </c:rich>
          </c:tx>
          <c:layout>
            <c:manualLayout>
              <c:xMode val="edge"/>
              <c:yMode val="edge"/>
              <c:x val="0"/>
              <c:y val="6.951012880010308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CA"/>
            </a:p>
          </c:txPr>
        </c:title>
        <c:numFmt formatCode="0.0%" sourceLinked="1"/>
        <c:majorTickMark val="cross"/>
        <c:minorTickMark val="cross"/>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77744751"/>
        <c:crosses val="autoZero"/>
        <c:crossBetween val="midCat"/>
        <c:majorUnit val="2.0000000000000004E-2"/>
        <c:minorUnit val="5.000000000000001E-3"/>
      </c:valAx>
      <c:spPr>
        <a:noFill/>
        <a:ln>
          <a:noFill/>
        </a:ln>
        <a:effectLst/>
      </c:spPr>
    </c:plotArea>
    <c:legend>
      <c:legendPos val="b"/>
      <c:layout>
        <c:manualLayout>
          <c:xMode val="edge"/>
          <c:yMode val="edge"/>
          <c:x val="5.4111065005130896E-2"/>
          <c:y val="0.82295169115244859"/>
          <c:w val="0.92196559075230256"/>
          <c:h val="0.14786376409389457"/>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93126856747977"/>
          <c:y val="5.0376180612851297E-2"/>
          <c:w val="0.85640736838896092"/>
          <c:h val="0.62558301173440012"/>
        </c:manualLayout>
      </c:layout>
      <c:barChart>
        <c:barDir val="col"/>
        <c:grouping val="stacked"/>
        <c:varyColors val="0"/>
        <c:ser>
          <c:idx val="0"/>
          <c:order val="0"/>
          <c:tx>
            <c:strRef>
              <c:f>popn_now!$B$120</c:f>
              <c:strCache>
                <c:ptCount val="1"/>
                <c:pt idx="0">
                  <c:v>Net natural change</c:v>
                </c:pt>
              </c:strCache>
            </c:strRef>
          </c:tx>
          <c:spPr>
            <a:solidFill>
              <a:schemeClr val="accent1"/>
            </a:solidFill>
            <a:ln>
              <a:noFill/>
            </a:ln>
            <a:effectLst/>
          </c:spPr>
          <c:invertIfNegative val="0"/>
          <c:cat>
            <c:strRef>
              <c:f>popn_now!$D$119:$AA$119</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popn_now!$D$120:$AA$120</c:f>
              <c:numCache>
                <c:formatCode>0%</c:formatCode>
                <c:ptCount val="24"/>
                <c:pt idx="0">
                  <c:v>7.6097375372255189E-4</c:v>
                </c:pt>
                <c:pt idx="1">
                  <c:v>1.1250566181090283E-3</c:v>
                </c:pt>
                <c:pt idx="2">
                  <c:v>1.2533611210295049E-3</c:v>
                </c:pt>
                <c:pt idx="3">
                  <c:v>1.7504103659156608E-3</c:v>
                </c:pt>
                <c:pt idx="4">
                  <c:v>1.1371290750143046E-3</c:v>
                </c:pt>
                <c:pt idx="5">
                  <c:v>1.9293677331379789E-3</c:v>
                </c:pt>
                <c:pt idx="6">
                  <c:v>1.8589925131981206E-3</c:v>
                </c:pt>
                <c:pt idx="7">
                  <c:v>1.2758044054895629E-3</c:v>
                </c:pt>
                <c:pt idx="8">
                  <c:v>1.6014527464199666E-3</c:v>
                </c:pt>
                <c:pt idx="9">
                  <c:v>1.7649882804778177E-3</c:v>
                </c:pt>
                <c:pt idx="10">
                  <c:v>1.0908989841437486E-3</c:v>
                </c:pt>
                <c:pt idx="11">
                  <c:v>6.5782640307447291E-4</c:v>
                </c:pt>
                <c:pt idx="12">
                  <c:v>8.9619430048213863E-4</c:v>
                </c:pt>
                <c:pt idx="13">
                  <c:v>9.0218258787605395E-5</c:v>
                </c:pt>
                <c:pt idx="14">
                  <c:v>1.8736690727066568E-3</c:v>
                </c:pt>
                <c:pt idx="15">
                  <c:v>7.7608566896542335E-4</c:v>
                </c:pt>
                <c:pt idx="16">
                  <c:v>-5.0086817149726194E-4</c:v>
                </c:pt>
                <c:pt idx="17">
                  <c:v>-1.5105839392088482E-4</c:v>
                </c:pt>
                <c:pt idx="18">
                  <c:v>-3.9796651946184656E-4</c:v>
                </c:pt>
                <c:pt idx="19">
                  <c:v>1.0678861507729611E-4</c:v>
                </c:pt>
                <c:pt idx="20">
                  <c:v>-9.683408066217241E-4</c:v>
                </c:pt>
                <c:pt idx="21">
                  <c:v>-2.2368421052631577E-3</c:v>
                </c:pt>
                <c:pt idx="22">
                  <c:v>-1.2029884766366974E-3</c:v>
                </c:pt>
                <c:pt idx="23">
                  <c:v>-1.3633151372496647E-3</c:v>
                </c:pt>
              </c:numCache>
            </c:numRef>
          </c:val>
          <c:extLst>
            <c:ext xmlns:c16="http://schemas.microsoft.com/office/drawing/2014/chart" uri="{C3380CC4-5D6E-409C-BE32-E72D297353CC}">
              <c16:uniqueId val="{00000000-0DF6-436C-AAC6-AA0D9DF3936F}"/>
            </c:ext>
          </c:extLst>
        </c:ser>
        <c:ser>
          <c:idx val="1"/>
          <c:order val="1"/>
          <c:tx>
            <c:strRef>
              <c:f>popn_now!$B$121</c:f>
              <c:strCache>
                <c:ptCount val="1"/>
                <c:pt idx="0">
                  <c:v>Net international</c:v>
                </c:pt>
              </c:strCache>
            </c:strRef>
          </c:tx>
          <c:spPr>
            <a:solidFill>
              <a:schemeClr val="accent2"/>
            </a:solidFill>
            <a:ln>
              <a:noFill/>
            </a:ln>
            <a:effectLst/>
          </c:spPr>
          <c:invertIfNegative val="0"/>
          <c:cat>
            <c:strRef>
              <c:f>popn_now!$D$119:$AA$119</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popn_now!$D$121:$AA$121</c:f>
              <c:numCache>
                <c:formatCode>0%</c:formatCode>
                <c:ptCount val="24"/>
                <c:pt idx="0">
                  <c:v>3.1463337894297821E-4</c:v>
                </c:pt>
                <c:pt idx="1">
                  <c:v>1.7533349892608232E-4</c:v>
                </c:pt>
                <c:pt idx="2">
                  <c:v>9.4002084077212875E-4</c:v>
                </c:pt>
                <c:pt idx="3">
                  <c:v>2.0046193402187651E-3</c:v>
                </c:pt>
                <c:pt idx="4">
                  <c:v>2.4046296363359819E-3</c:v>
                </c:pt>
                <c:pt idx="5">
                  <c:v>6.114499996373369E-3</c:v>
                </c:pt>
                <c:pt idx="6">
                  <c:v>1.0776347224945356E-2</c:v>
                </c:pt>
                <c:pt idx="7">
                  <c:v>1.3810402491062161E-2</c:v>
                </c:pt>
                <c:pt idx="8">
                  <c:v>1.3640945715041502E-2</c:v>
                </c:pt>
                <c:pt idx="9">
                  <c:v>1.8899494507356472E-2</c:v>
                </c:pt>
                <c:pt idx="10">
                  <c:v>1.0700537806250781E-2</c:v>
                </c:pt>
                <c:pt idx="11">
                  <c:v>6.3220579579683547E-3</c:v>
                </c:pt>
                <c:pt idx="12">
                  <c:v>1.074043712050687E-2</c:v>
                </c:pt>
                <c:pt idx="13">
                  <c:v>1.2429300114507789E-2</c:v>
                </c:pt>
                <c:pt idx="14">
                  <c:v>1.7464531651870903E-2</c:v>
                </c:pt>
                <c:pt idx="15">
                  <c:v>1.9082176579912995E-2</c:v>
                </c:pt>
                <c:pt idx="16">
                  <c:v>1.9560571657539737E-2</c:v>
                </c:pt>
                <c:pt idx="17">
                  <c:v>2.237634556906324E-2</c:v>
                </c:pt>
                <c:pt idx="18">
                  <c:v>1.8139570709664168E-2</c:v>
                </c:pt>
                <c:pt idx="19">
                  <c:v>1.3467928866218993E-2</c:v>
                </c:pt>
                <c:pt idx="20">
                  <c:v>2.1685899847655937E-2</c:v>
                </c:pt>
                <c:pt idx="21">
                  <c:v>3.2517942583732057E-2</c:v>
                </c:pt>
                <c:pt idx="22">
                  <c:v>2.9925057847053543E-2</c:v>
                </c:pt>
                <c:pt idx="23">
                  <c:v>1.1963785898313385E-2</c:v>
                </c:pt>
              </c:numCache>
            </c:numRef>
          </c:val>
          <c:extLst>
            <c:ext xmlns:c16="http://schemas.microsoft.com/office/drawing/2014/chart" uri="{C3380CC4-5D6E-409C-BE32-E72D297353CC}">
              <c16:uniqueId val="{00000001-0DF6-436C-AAC6-AA0D9DF3936F}"/>
            </c:ext>
          </c:extLst>
        </c:ser>
        <c:ser>
          <c:idx val="2"/>
          <c:order val="2"/>
          <c:tx>
            <c:strRef>
              <c:f>popn_now!$B$122</c:f>
              <c:strCache>
                <c:ptCount val="1"/>
                <c:pt idx="0">
                  <c:v>Net interprovincial</c:v>
                </c:pt>
              </c:strCache>
            </c:strRef>
          </c:tx>
          <c:spPr>
            <a:solidFill>
              <a:schemeClr val="accent5"/>
            </a:solidFill>
            <a:ln>
              <a:noFill/>
            </a:ln>
            <a:effectLst/>
          </c:spPr>
          <c:invertIfNegative val="0"/>
          <c:cat>
            <c:strRef>
              <c:f>popn_now!$D$119:$AA$119</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popn_now!$D$122:$AA$122</c:f>
              <c:numCache>
                <c:formatCode>0%</c:formatCode>
                <c:ptCount val="24"/>
                <c:pt idx="0">
                  <c:v>4.5365743010382901E-4</c:v>
                </c:pt>
                <c:pt idx="1">
                  <c:v>1.205417805116816E-3</c:v>
                </c:pt>
                <c:pt idx="2">
                  <c:v>1.0493255896991205E-3</c:v>
                </c:pt>
                <c:pt idx="3">
                  <c:v>-1.0095727836608997E-3</c:v>
                </c:pt>
                <c:pt idx="4">
                  <c:v>-4.6281877639117244E-3</c:v>
                </c:pt>
                <c:pt idx="5">
                  <c:v>-6.1580195693012934E-3</c:v>
                </c:pt>
                <c:pt idx="6">
                  <c:v>-2.1131516458619262E-3</c:v>
                </c:pt>
                <c:pt idx="7">
                  <c:v>-3.8634528889401453E-3</c:v>
                </c:pt>
                <c:pt idx="8">
                  <c:v>4.2896055707677678E-4</c:v>
                </c:pt>
                <c:pt idx="9">
                  <c:v>-1.4825901556013669E-3</c:v>
                </c:pt>
                <c:pt idx="10">
                  <c:v>-4.2941119248460927E-3</c:v>
                </c:pt>
                <c:pt idx="11">
                  <c:v>-6.2389640965273691E-3</c:v>
                </c:pt>
                <c:pt idx="12">
                  <c:v>-6.5373553236720344E-3</c:v>
                </c:pt>
                <c:pt idx="13">
                  <c:v>-4.7329886533189905E-3</c:v>
                </c:pt>
                <c:pt idx="14">
                  <c:v>2.074172405210321E-4</c:v>
                </c:pt>
                <c:pt idx="15">
                  <c:v>3.0226494475495435E-3</c:v>
                </c:pt>
                <c:pt idx="16">
                  <c:v>1.1820488847335382E-3</c:v>
                </c:pt>
                <c:pt idx="17">
                  <c:v>4.3478546424185107E-3</c:v>
                </c:pt>
                <c:pt idx="18">
                  <c:v>7.3816370545342512E-3</c:v>
                </c:pt>
                <c:pt idx="19">
                  <c:v>7.6636535526059561E-3</c:v>
                </c:pt>
                <c:pt idx="20">
                  <c:v>1.0534561131910222E-2</c:v>
                </c:pt>
                <c:pt idx="21">
                  <c:v>8.7978468899521534E-3</c:v>
                </c:pt>
                <c:pt idx="22">
                  <c:v>5.6695868396514212E-3</c:v>
                </c:pt>
                <c:pt idx="23">
                  <c:v>5.803827298577144E-3</c:v>
                </c:pt>
              </c:numCache>
            </c:numRef>
          </c:val>
          <c:extLst>
            <c:ext xmlns:c16="http://schemas.microsoft.com/office/drawing/2014/chart" uri="{C3380CC4-5D6E-409C-BE32-E72D297353CC}">
              <c16:uniqueId val="{00000002-0DF6-436C-AAC6-AA0D9DF3936F}"/>
            </c:ext>
          </c:extLst>
        </c:ser>
        <c:ser>
          <c:idx val="3"/>
          <c:order val="3"/>
          <c:tx>
            <c:strRef>
              <c:f>popn_now!$B$123</c:f>
              <c:strCache>
                <c:ptCount val="1"/>
                <c:pt idx="0">
                  <c:v>Net intraprovincial</c:v>
                </c:pt>
              </c:strCache>
            </c:strRef>
          </c:tx>
          <c:spPr>
            <a:solidFill>
              <a:schemeClr val="accent4"/>
            </a:solidFill>
            <a:ln>
              <a:noFill/>
            </a:ln>
            <a:effectLst/>
          </c:spPr>
          <c:invertIfNegative val="0"/>
          <c:cat>
            <c:strRef>
              <c:f>popn_now!$D$119:$AA$119</c:f>
              <c:strCache>
                <c:ptCount val="24"/>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pt idx="16">
                  <c:v>2017/2018</c:v>
                </c:pt>
                <c:pt idx="17">
                  <c:v>2018/2019</c:v>
                </c:pt>
                <c:pt idx="18">
                  <c:v>2019/2020</c:v>
                </c:pt>
                <c:pt idx="19">
                  <c:v>2020/2021</c:v>
                </c:pt>
                <c:pt idx="20">
                  <c:v>2021/2022</c:v>
                </c:pt>
                <c:pt idx="21">
                  <c:v>2022/2023</c:v>
                </c:pt>
                <c:pt idx="22">
                  <c:v>2023/2024</c:v>
                </c:pt>
                <c:pt idx="23">
                  <c:v>2024/2025</c:v>
                </c:pt>
              </c:strCache>
            </c:strRef>
          </c:cat>
          <c:val>
            <c:numRef>
              <c:f>popn_now!$D$123:$AA$123</c:f>
              <c:numCache>
                <c:formatCode>0%</c:formatCode>
                <c:ptCount val="2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3-0DF6-436C-AAC6-AA0D9DF3936F}"/>
            </c:ext>
          </c:extLst>
        </c:ser>
        <c:dLbls>
          <c:showLegendKey val="0"/>
          <c:showVal val="0"/>
          <c:showCatName val="0"/>
          <c:showSerName val="0"/>
          <c:showPercent val="0"/>
          <c:showBubbleSize val="0"/>
        </c:dLbls>
        <c:gapWidth val="25"/>
        <c:overlap val="100"/>
        <c:axId val="797489695"/>
        <c:axId val="797491135"/>
      </c:barChart>
      <c:catAx>
        <c:axId val="797489695"/>
        <c:scaling>
          <c:orientation val="minMax"/>
        </c:scaling>
        <c:delete val="0"/>
        <c:axPos val="b"/>
        <c:numFmt formatCode="General" sourceLinked="1"/>
        <c:majorTickMark val="cross"/>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797491135"/>
        <c:crosses val="autoZero"/>
        <c:auto val="1"/>
        <c:lblAlgn val="ctr"/>
        <c:lblOffset val="100"/>
        <c:noMultiLvlLbl val="0"/>
      </c:catAx>
      <c:valAx>
        <c:axId val="797491135"/>
        <c:scaling>
          <c:orientation val="minMax"/>
        </c:scaling>
        <c:delete val="0"/>
        <c:axPos val="l"/>
        <c:majorGridlines>
          <c:spPr>
            <a:ln w="9525" cap="flat" cmpd="sng" algn="ctr">
              <a:solidFill>
                <a:schemeClr val="bg1">
                  <a:lumMod val="9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Share of population growth</a:t>
                </a:r>
              </a:p>
            </c:rich>
          </c:tx>
          <c:layout>
            <c:manualLayout>
              <c:xMode val="edge"/>
              <c:yMode val="edge"/>
              <c:x val="1.2152549026762266E-2"/>
              <c:y val="8.6788618412462132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0%" sourceLinked="1"/>
        <c:majorTickMark val="cross"/>
        <c:minorTickMark val="cross"/>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797489695"/>
        <c:crosses val="autoZero"/>
        <c:crossBetween val="between"/>
        <c:majorUnit val="2.0000000000000004E-2"/>
        <c:minorUnit val="5.000000000000001E-3"/>
      </c:valAx>
      <c:spPr>
        <a:noFill/>
        <a:ln>
          <a:noFill/>
        </a:ln>
        <a:effectLst/>
      </c:spPr>
    </c:plotArea>
    <c:legend>
      <c:legendPos val="b"/>
      <c:legendEntry>
        <c:idx val="3"/>
        <c:delete val="1"/>
      </c:legendEntry>
      <c:layout>
        <c:manualLayout>
          <c:xMode val="edge"/>
          <c:yMode val="edge"/>
          <c:x val="7.0071001026398419E-2"/>
          <c:y val="0.90345780657752273"/>
          <c:w val="0.84264973391552356"/>
          <c:h val="7.8223908317578597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2"/>
          <c:order val="3"/>
          <c:tx>
            <c:strRef>
              <c:f>rental!$B$27</c:f>
              <c:strCache>
                <c:ptCount val="1"/>
                <c:pt idx="0">
                  <c:v>Healthy vacancy</c:v>
                </c:pt>
              </c:strCache>
            </c:strRef>
          </c:tx>
          <c:spPr>
            <a:noFill/>
            <a:ln>
              <a:noFill/>
            </a:ln>
            <a:effectLst/>
          </c:spPr>
          <c:val>
            <c:numRef>
              <c:f>rental!$E$27:$O$27</c:f>
              <c:numCache>
                <c:formatCode>0%</c:formatCode>
                <c:ptCount val="11"/>
                <c:pt idx="0">
                  <c:v>0.03</c:v>
                </c:pt>
                <c:pt idx="1">
                  <c:v>0.03</c:v>
                </c:pt>
                <c:pt idx="2">
                  <c:v>0.03</c:v>
                </c:pt>
                <c:pt idx="3">
                  <c:v>0.03</c:v>
                </c:pt>
                <c:pt idx="4">
                  <c:v>0.03</c:v>
                </c:pt>
                <c:pt idx="5">
                  <c:v>0.03</c:v>
                </c:pt>
                <c:pt idx="6">
                  <c:v>0.03</c:v>
                </c:pt>
                <c:pt idx="7">
                  <c:v>0.03</c:v>
                </c:pt>
                <c:pt idx="8">
                  <c:v>0.03</c:v>
                </c:pt>
                <c:pt idx="9">
                  <c:v>0.03</c:v>
                </c:pt>
                <c:pt idx="10">
                  <c:v>0.03</c:v>
                </c:pt>
              </c:numCache>
            </c:numRef>
          </c:val>
          <c:extLst>
            <c:ext xmlns:c16="http://schemas.microsoft.com/office/drawing/2014/chart" uri="{C3380CC4-5D6E-409C-BE32-E72D297353CC}">
              <c16:uniqueId val="{00000000-CE7C-42A6-ACA4-EC3417379FBC}"/>
            </c:ext>
          </c:extLst>
        </c:ser>
        <c:ser>
          <c:idx val="3"/>
          <c:order val="4"/>
          <c:tx>
            <c:strRef>
              <c:f>rental!$B$28</c:f>
              <c:strCache>
                <c:ptCount val="1"/>
                <c:pt idx="0">
                  <c:v>Healthy vacancy</c:v>
                </c:pt>
              </c:strCache>
            </c:strRef>
          </c:tx>
          <c:spPr>
            <a:solidFill>
              <a:schemeClr val="bg1">
                <a:lumMod val="85000"/>
                <a:alpha val="50000"/>
              </a:schemeClr>
            </a:solidFill>
            <a:ln>
              <a:solidFill>
                <a:schemeClr val="bg1">
                  <a:lumMod val="75000"/>
                </a:schemeClr>
              </a:solidFill>
            </a:ln>
            <a:effectLst/>
          </c:spPr>
          <c:val>
            <c:numRef>
              <c:f>rental!$E$28:$O$28</c:f>
              <c:numCache>
                <c:formatCode>0%</c:formatCode>
                <c:ptCount val="11"/>
                <c:pt idx="0">
                  <c:v>0.02</c:v>
                </c:pt>
                <c:pt idx="1">
                  <c:v>0.02</c:v>
                </c:pt>
                <c:pt idx="2">
                  <c:v>0.02</c:v>
                </c:pt>
                <c:pt idx="3">
                  <c:v>0.02</c:v>
                </c:pt>
                <c:pt idx="4">
                  <c:v>0.02</c:v>
                </c:pt>
                <c:pt idx="5">
                  <c:v>0.02</c:v>
                </c:pt>
                <c:pt idx="6">
                  <c:v>0.02</c:v>
                </c:pt>
                <c:pt idx="7">
                  <c:v>0.02</c:v>
                </c:pt>
                <c:pt idx="8">
                  <c:v>0.02</c:v>
                </c:pt>
                <c:pt idx="9">
                  <c:v>0.02</c:v>
                </c:pt>
                <c:pt idx="10">
                  <c:v>0.02</c:v>
                </c:pt>
              </c:numCache>
            </c:numRef>
          </c:val>
          <c:extLst>
            <c:ext xmlns:c16="http://schemas.microsoft.com/office/drawing/2014/chart" uri="{C3380CC4-5D6E-409C-BE32-E72D297353CC}">
              <c16:uniqueId val="{00000001-CE7C-42A6-ACA4-EC3417379FBC}"/>
            </c:ext>
          </c:extLst>
        </c:ser>
        <c:dLbls>
          <c:showLegendKey val="0"/>
          <c:showVal val="0"/>
          <c:showCatName val="0"/>
          <c:showSerName val="0"/>
          <c:showPercent val="0"/>
          <c:showBubbleSize val="0"/>
        </c:dLbls>
        <c:axId val="1788502175"/>
        <c:axId val="1788506975"/>
      </c:areaChart>
      <c:barChart>
        <c:barDir val="col"/>
        <c:grouping val="clustered"/>
        <c:varyColors val="0"/>
        <c:ser>
          <c:idx val="0"/>
          <c:order val="0"/>
          <c:tx>
            <c:strRef>
              <c:f>rental!$B$16</c:f>
              <c:strCache>
                <c:ptCount val="1"/>
                <c:pt idx="0">
                  <c:v>YoY change in primary market average rent</c:v>
                </c:pt>
              </c:strCache>
            </c:strRef>
          </c:tx>
          <c:spPr>
            <a:solidFill>
              <a:schemeClr val="accent1">
                <a:lumMod val="75000"/>
              </a:schemeClr>
            </a:solidFill>
            <a:ln>
              <a:noFill/>
            </a:ln>
            <a:effectLst/>
          </c:spPr>
          <c:invertIfNegative val="0"/>
          <c:cat>
            <c:numRef>
              <c:f>rental!$E$10:$O$10</c:f>
              <c:numCache>
                <c:formatCode>yyyy</c:formatCode>
                <c:ptCount val="11"/>
                <c:pt idx="0">
                  <c:v>42278</c:v>
                </c:pt>
                <c:pt idx="1">
                  <c:v>42644</c:v>
                </c:pt>
                <c:pt idx="2">
                  <c:v>43009</c:v>
                </c:pt>
                <c:pt idx="3">
                  <c:v>43374</c:v>
                </c:pt>
                <c:pt idx="4">
                  <c:v>43739</c:v>
                </c:pt>
                <c:pt idx="5">
                  <c:v>44105</c:v>
                </c:pt>
                <c:pt idx="6">
                  <c:v>44470</c:v>
                </c:pt>
                <c:pt idx="7">
                  <c:v>44835</c:v>
                </c:pt>
                <c:pt idx="8">
                  <c:v>45200</c:v>
                </c:pt>
                <c:pt idx="9">
                  <c:v>45566</c:v>
                </c:pt>
                <c:pt idx="10">
                  <c:v>45931</c:v>
                </c:pt>
              </c:numCache>
            </c:numRef>
          </c:cat>
          <c:val>
            <c:numRef>
              <c:f>rental!$E$16:$O$16</c:f>
              <c:numCache>
                <c:formatCode>0%</c:formatCode>
                <c:ptCount val="11"/>
                <c:pt idx="0">
                  <c:v>7.6530612244898322E-3</c:v>
                </c:pt>
                <c:pt idx="1">
                  <c:v>4.0506329113924044E-2</c:v>
                </c:pt>
                <c:pt idx="2">
                  <c:v>3.5279805352798066E-2</c:v>
                </c:pt>
                <c:pt idx="3">
                  <c:v>3.0552291421856559E-2</c:v>
                </c:pt>
                <c:pt idx="4">
                  <c:v>2.6225769669327326E-2</c:v>
                </c:pt>
                <c:pt idx="5">
                  <c:v>4.5555555555555571E-2</c:v>
                </c:pt>
                <c:pt idx="6">
                  <c:v>8.0765143464399669E-2</c:v>
                </c:pt>
                <c:pt idx="7">
                  <c:v>2.9498525073745618E-3</c:v>
                </c:pt>
                <c:pt idx="8">
                  <c:v>5.7843137254901977E-2</c:v>
                </c:pt>
                <c:pt idx="9">
                  <c:v>6.3021316033364139E-2</c:v>
                </c:pt>
                <c:pt idx="10">
                  <c:v>9.9389712292938137E-2</c:v>
                </c:pt>
              </c:numCache>
            </c:numRef>
          </c:val>
          <c:extLst>
            <c:ext xmlns:c16="http://schemas.microsoft.com/office/drawing/2014/chart" uri="{C3380CC4-5D6E-409C-BE32-E72D297353CC}">
              <c16:uniqueId val="{00000002-CE7C-42A6-ACA4-EC3417379FBC}"/>
            </c:ext>
          </c:extLst>
        </c:ser>
        <c:ser>
          <c:idx val="4"/>
          <c:order val="1"/>
          <c:tx>
            <c:strRef>
              <c:f>rental!$B$17</c:f>
              <c:strCache>
                <c:ptCount val="1"/>
                <c:pt idx="0">
                  <c:v>YoY change in pay</c:v>
                </c:pt>
              </c:strCache>
            </c:strRef>
          </c:tx>
          <c:spPr>
            <a:solidFill>
              <a:schemeClr val="accent2"/>
            </a:solidFill>
            <a:ln>
              <a:noFill/>
            </a:ln>
            <a:effectLst/>
          </c:spPr>
          <c:invertIfNegative val="0"/>
          <c:val>
            <c:numRef>
              <c:f>rental!$E$17:$O$17</c:f>
              <c:numCache>
                <c:formatCode>0%</c:formatCode>
                <c:ptCount val="11"/>
                <c:pt idx="0">
                  <c:v>3.4125281145782171E-2</c:v>
                </c:pt>
                <c:pt idx="1">
                  <c:v>2.2061948451288727E-2</c:v>
                </c:pt>
                <c:pt idx="2">
                  <c:v>4.0113982413443328E-3</c:v>
                </c:pt>
                <c:pt idx="3">
                  <c:v>2.4666544856568606E-2</c:v>
                </c:pt>
                <c:pt idx="4">
                  <c:v>3.0563480741797378E-2</c:v>
                </c:pt>
                <c:pt idx="5">
                  <c:v>8.8082961322397901E-2</c:v>
                </c:pt>
                <c:pt idx="6">
                  <c:v>2.3959205741728162E-3</c:v>
                </c:pt>
                <c:pt idx="7">
                  <c:v>3.096675938362603E-2</c:v>
                </c:pt>
                <c:pt idx="8">
                  <c:v>4.3023768734420154E-2</c:v>
                </c:pt>
                <c:pt idx="9">
                  <c:v>5.6552741578559163E-2</c:v>
                </c:pt>
                <c:pt idx="10">
                  <c:v>3.4429351363745503E-2</c:v>
                </c:pt>
              </c:numCache>
            </c:numRef>
          </c:val>
          <c:extLst>
            <c:ext xmlns:c16="http://schemas.microsoft.com/office/drawing/2014/chart" uri="{C3380CC4-5D6E-409C-BE32-E72D297353CC}">
              <c16:uniqueId val="{00000003-CE7C-42A6-ACA4-EC3417379FBC}"/>
            </c:ext>
          </c:extLst>
        </c:ser>
        <c:dLbls>
          <c:showLegendKey val="0"/>
          <c:showVal val="0"/>
          <c:showCatName val="0"/>
          <c:showSerName val="0"/>
          <c:showPercent val="0"/>
          <c:showBubbleSize val="0"/>
        </c:dLbls>
        <c:gapWidth val="150"/>
        <c:overlap val="-10"/>
        <c:axId val="1788502175"/>
        <c:axId val="1788506975"/>
      </c:barChart>
      <c:lineChart>
        <c:grouping val="standard"/>
        <c:varyColors val="0"/>
        <c:ser>
          <c:idx val="1"/>
          <c:order val="2"/>
          <c:tx>
            <c:strRef>
              <c:f>rental!$B$26</c:f>
              <c:strCache>
                <c:ptCount val="1"/>
                <c:pt idx="0">
                  <c:v>Overall primary market vacancy rate</c:v>
                </c:pt>
              </c:strCache>
            </c:strRef>
          </c:tx>
          <c:spPr>
            <a:ln w="19050" cap="rnd">
              <a:solidFill>
                <a:schemeClr val="accent3"/>
              </a:solidFill>
              <a:round/>
            </a:ln>
            <a:effectLst/>
          </c:spPr>
          <c:marker>
            <c:symbol val="circle"/>
            <c:size val="8"/>
            <c:spPr>
              <a:solidFill>
                <a:schemeClr val="bg1"/>
              </a:solidFill>
              <a:ln w="19050">
                <a:solidFill>
                  <a:schemeClr val="accent3"/>
                </a:solidFill>
              </a:ln>
              <a:effectLst/>
            </c:spPr>
          </c:marker>
          <c:cat>
            <c:numRef>
              <c:f>rental!$E$10:$O$10</c:f>
              <c:numCache>
                <c:formatCode>yyyy</c:formatCode>
                <c:ptCount val="11"/>
                <c:pt idx="0">
                  <c:v>42278</c:v>
                </c:pt>
                <c:pt idx="1">
                  <c:v>42644</c:v>
                </c:pt>
                <c:pt idx="2">
                  <c:v>43009</c:v>
                </c:pt>
                <c:pt idx="3">
                  <c:v>43374</c:v>
                </c:pt>
                <c:pt idx="4">
                  <c:v>43739</c:v>
                </c:pt>
                <c:pt idx="5">
                  <c:v>44105</c:v>
                </c:pt>
                <c:pt idx="6">
                  <c:v>44470</c:v>
                </c:pt>
                <c:pt idx="7">
                  <c:v>44835</c:v>
                </c:pt>
                <c:pt idx="8">
                  <c:v>45200</c:v>
                </c:pt>
                <c:pt idx="9">
                  <c:v>45566</c:v>
                </c:pt>
                <c:pt idx="10">
                  <c:v>45931</c:v>
                </c:pt>
              </c:numCache>
            </c:numRef>
          </c:cat>
          <c:val>
            <c:numRef>
              <c:f>rental!$E$26:$O$26</c:f>
              <c:numCache>
                <c:formatCode>0%</c:formatCode>
                <c:ptCount val="11"/>
                <c:pt idx="0">
                  <c:v>4.2000000000000003E-2</c:v>
                </c:pt>
                <c:pt idx="1">
                  <c:v>1.9E-2</c:v>
                </c:pt>
                <c:pt idx="2">
                  <c:v>1.1000000000000001E-2</c:v>
                </c:pt>
                <c:pt idx="3">
                  <c:v>3.0000000000000001E-3</c:v>
                </c:pt>
                <c:pt idx="4">
                  <c:v>1.1000000000000001E-2</c:v>
                </c:pt>
                <c:pt idx="5">
                  <c:v>2.2000000000000002E-2</c:v>
                </c:pt>
                <c:pt idx="6">
                  <c:v>1.3000000000000001E-2</c:v>
                </c:pt>
                <c:pt idx="7">
                  <c:v>9.0000000000000011E-3</c:v>
                </c:pt>
                <c:pt idx="8">
                  <c:v>0.01</c:v>
                </c:pt>
                <c:pt idx="9">
                  <c:v>6.9999999999999993E-3</c:v>
                </c:pt>
                <c:pt idx="10">
                  <c:v>0.02</c:v>
                </c:pt>
              </c:numCache>
            </c:numRef>
          </c:val>
          <c:smooth val="0"/>
          <c:extLst>
            <c:ext xmlns:c16="http://schemas.microsoft.com/office/drawing/2014/chart" uri="{C3380CC4-5D6E-409C-BE32-E72D297353CC}">
              <c16:uniqueId val="{00000004-CE7C-42A6-ACA4-EC3417379FBC}"/>
            </c:ext>
          </c:extLst>
        </c:ser>
        <c:dLbls>
          <c:showLegendKey val="0"/>
          <c:showVal val="0"/>
          <c:showCatName val="0"/>
          <c:showSerName val="0"/>
          <c:showPercent val="0"/>
          <c:showBubbleSize val="0"/>
        </c:dLbls>
        <c:marker val="1"/>
        <c:smooth val="0"/>
        <c:axId val="1788502175"/>
        <c:axId val="1788506975"/>
      </c:lineChart>
      <c:dateAx>
        <c:axId val="1788502175"/>
        <c:scaling>
          <c:orientation val="minMax"/>
        </c:scaling>
        <c:delete val="0"/>
        <c:axPos val="b"/>
        <c:numFmt formatCode="yyyy"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788506975"/>
        <c:crosses val="autoZero"/>
        <c:auto val="1"/>
        <c:lblOffset val="100"/>
        <c:baseTimeUnit val="years"/>
      </c:dateAx>
      <c:valAx>
        <c:axId val="1788506975"/>
        <c:scaling>
          <c:orientation val="minMax"/>
          <c:max val="0.1"/>
        </c:scaling>
        <c:delete val="0"/>
        <c:axPos val="l"/>
        <c:majorGridlines>
          <c:spPr>
            <a:ln w="9525" cap="flat" cmpd="sng" algn="ctr">
              <a:solidFill>
                <a:schemeClr val="bg1">
                  <a:lumMod val="95000"/>
                </a:schemeClr>
              </a:solidFill>
              <a:round/>
            </a:ln>
            <a:effectLst/>
          </c:spPr>
        </c:majorGridlines>
        <c:numFmt formatCode="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788502175"/>
        <c:crosses val="autoZero"/>
        <c:crossBetween val="between"/>
        <c:majorUnit val="2.0000000000000004E-2"/>
        <c:minorUnit val="1.0000000000000002E-2"/>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sales!$B$16</c:f>
              <c:strCache>
                <c:ptCount val="1"/>
                <c:pt idx="0">
                  <c:v>YoY change in average sale price</c:v>
                </c:pt>
              </c:strCache>
            </c:strRef>
          </c:tx>
          <c:spPr>
            <a:solidFill>
              <a:schemeClr val="accent1"/>
            </a:solidFill>
            <a:ln>
              <a:noFill/>
            </a:ln>
            <a:effectLst/>
          </c:spPr>
          <c:invertIfNegative val="0"/>
          <c:cat>
            <c:numRef>
              <c:f>sales!$E$10:$M$10</c:f>
              <c:numCache>
                <c:formatCode>0</c:formatCode>
                <c:ptCount val="9"/>
                <c:pt idx="0">
                  <c:v>2017</c:v>
                </c:pt>
                <c:pt idx="1">
                  <c:v>2018</c:v>
                </c:pt>
                <c:pt idx="2">
                  <c:v>2019</c:v>
                </c:pt>
                <c:pt idx="3">
                  <c:v>2020</c:v>
                </c:pt>
                <c:pt idx="4">
                  <c:v>2021</c:v>
                </c:pt>
                <c:pt idx="5">
                  <c:v>2022</c:v>
                </c:pt>
                <c:pt idx="6">
                  <c:v>2023</c:v>
                </c:pt>
                <c:pt idx="7">
                  <c:v>2024</c:v>
                </c:pt>
                <c:pt idx="8">
                  <c:v>2025</c:v>
                </c:pt>
              </c:numCache>
            </c:numRef>
          </c:cat>
          <c:val>
            <c:numRef>
              <c:f>sales!$E$16:$M$16</c:f>
              <c:numCache>
                <c:formatCode>0%</c:formatCode>
                <c:ptCount val="9"/>
                <c:pt idx="0">
                  <c:v>0.17827442827442819</c:v>
                </c:pt>
                <c:pt idx="1">
                  <c:v>1.5880017644464006E-2</c:v>
                </c:pt>
                <c:pt idx="2">
                  <c:v>0.13200173686495864</c:v>
                </c:pt>
                <c:pt idx="3">
                  <c:v>0.1622554660529345</c:v>
                </c:pt>
                <c:pt idx="4">
                  <c:v>0.1716171617161717</c:v>
                </c:pt>
                <c:pt idx="5">
                  <c:v>0.13661971830985919</c:v>
                </c:pt>
                <c:pt idx="6">
                  <c:v>-1.3630731102850069E-2</c:v>
                </c:pt>
                <c:pt idx="7">
                  <c:v>1.8592964824120539E-2</c:v>
                </c:pt>
                <c:pt idx="8">
                  <c:v>-2.9600394671929209E-3</c:v>
                </c:pt>
              </c:numCache>
            </c:numRef>
          </c:val>
          <c:extLst>
            <c:ext xmlns:c16="http://schemas.microsoft.com/office/drawing/2014/chart" uri="{C3380CC4-5D6E-409C-BE32-E72D297353CC}">
              <c16:uniqueId val="{00000000-5A02-44B3-B435-1F7E0F9E8F34}"/>
            </c:ext>
          </c:extLst>
        </c:ser>
        <c:ser>
          <c:idx val="1"/>
          <c:order val="1"/>
          <c:tx>
            <c:strRef>
              <c:f>sales!$B$17</c:f>
              <c:strCache>
                <c:ptCount val="1"/>
                <c:pt idx="0">
                  <c:v>YoY change in pay</c:v>
                </c:pt>
              </c:strCache>
            </c:strRef>
          </c:tx>
          <c:spPr>
            <a:solidFill>
              <a:schemeClr val="accent2"/>
            </a:solidFill>
            <a:ln>
              <a:noFill/>
            </a:ln>
            <a:effectLst/>
          </c:spPr>
          <c:invertIfNegative val="0"/>
          <c:cat>
            <c:numRef>
              <c:f>sales!$E$10:$M$10</c:f>
              <c:numCache>
                <c:formatCode>0</c:formatCode>
                <c:ptCount val="9"/>
                <c:pt idx="0">
                  <c:v>2017</c:v>
                </c:pt>
                <c:pt idx="1">
                  <c:v>2018</c:v>
                </c:pt>
                <c:pt idx="2">
                  <c:v>2019</c:v>
                </c:pt>
                <c:pt idx="3">
                  <c:v>2020</c:v>
                </c:pt>
                <c:pt idx="4">
                  <c:v>2021</c:v>
                </c:pt>
                <c:pt idx="5">
                  <c:v>2022</c:v>
                </c:pt>
                <c:pt idx="6">
                  <c:v>2023</c:v>
                </c:pt>
                <c:pt idx="7">
                  <c:v>2024</c:v>
                </c:pt>
                <c:pt idx="8">
                  <c:v>2025</c:v>
                </c:pt>
              </c:numCache>
            </c:numRef>
          </c:cat>
          <c:val>
            <c:numRef>
              <c:f>sales!$E$17:$M$17</c:f>
              <c:numCache>
                <c:formatCode>0%</c:formatCode>
                <c:ptCount val="9"/>
                <c:pt idx="0">
                  <c:v>4.0113982413443328E-3</c:v>
                </c:pt>
                <c:pt idx="1">
                  <c:v>2.4666544856568606E-2</c:v>
                </c:pt>
                <c:pt idx="2">
                  <c:v>3.0563480741797378E-2</c:v>
                </c:pt>
                <c:pt idx="3">
                  <c:v>8.8082961322397901E-2</c:v>
                </c:pt>
                <c:pt idx="4">
                  <c:v>2.3959205741728162E-3</c:v>
                </c:pt>
                <c:pt idx="5">
                  <c:v>3.096675938362603E-2</c:v>
                </c:pt>
                <c:pt idx="6">
                  <c:v>4.3023768734420154E-2</c:v>
                </c:pt>
                <c:pt idx="7">
                  <c:v>5.6552741578559163E-2</c:v>
                </c:pt>
                <c:pt idx="8">
                  <c:v>3.4429351363745503E-2</c:v>
                </c:pt>
              </c:numCache>
            </c:numRef>
          </c:val>
          <c:extLst>
            <c:ext xmlns:c16="http://schemas.microsoft.com/office/drawing/2014/chart" uri="{C3380CC4-5D6E-409C-BE32-E72D297353CC}">
              <c16:uniqueId val="{00000001-5A02-44B3-B435-1F7E0F9E8F34}"/>
            </c:ext>
          </c:extLst>
        </c:ser>
        <c:dLbls>
          <c:showLegendKey val="0"/>
          <c:showVal val="0"/>
          <c:showCatName val="0"/>
          <c:showSerName val="0"/>
          <c:showPercent val="0"/>
          <c:showBubbleSize val="0"/>
        </c:dLbls>
        <c:gapWidth val="100"/>
        <c:overlap val="-10"/>
        <c:axId val="1788577055"/>
        <c:axId val="1788566495"/>
      </c:barChart>
      <c:catAx>
        <c:axId val="1788577055"/>
        <c:scaling>
          <c:orientation val="minMax"/>
        </c:scaling>
        <c:delete val="0"/>
        <c:axPos val="b"/>
        <c:numFmt formatCode="0" sourceLinked="1"/>
        <c:majorTickMark val="cross"/>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788566495"/>
        <c:crosses val="autoZero"/>
        <c:auto val="1"/>
        <c:lblAlgn val="ctr"/>
        <c:lblOffset val="100"/>
        <c:noMultiLvlLbl val="0"/>
      </c:catAx>
      <c:valAx>
        <c:axId val="1788566495"/>
        <c:scaling>
          <c:orientation val="minMax"/>
          <c:max val="0.25"/>
        </c:scaling>
        <c:delete val="0"/>
        <c:axPos val="l"/>
        <c:majorGridlines>
          <c:spPr>
            <a:ln w="9525" cap="flat" cmpd="sng" algn="ctr">
              <a:solidFill>
                <a:schemeClr val="bg1">
                  <a:lumMod val="9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Percent change form previous year</a:t>
                </a:r>
              </a:p>
            </c:rich>
          </c:tx>
          <c:layout>
            <c:manualLayout>
              <c:xMode val="edge"/>
              <c:yMode val="edge"/>
              <c:x val="4.3360433604336043E-3"/>
              <c:y val="0.1238666520851560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CA"/>
            </a:p>
          </c:txPr>
        </c:title>
        <c:numFmt formatCode="0%" sourceLinked="1"/>
        <c:majorTickMark val="cross"/>
        <c:minorTickMark val="cross"/>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788577055"/>
        <c:crosses val="autoZero"/>
        <c:crossBetween val="between"/>
        <c:majorUnit val="0.1"/>
        <c:minorUnit val="2.5000000000000005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2"/>
          <c:tx>
            <c:strRef>
              <c:f>popn_fut!$B$51</c:f>
              <c:strCache>
                <c:ptCount val="1"/>
                <c:pt idx="0">
                  <c:v>Minimum</c:v>
                </c:pt>
              </c:strCache>
            </c:strRef>
          </c:tx>
          <c:spPr>
            <a:noFill/>
            <a:ln>
              <a:noFill/>
            </a:ln>
            <a:effectLst/>
          </c:spPr>
          <c:cat>
            <c:numRef>
              <c:f>popn_fut!$H$49:$AB$49</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popn_fut!$H$51:$W$51</c:f>
              <c:numCache>
                <c:formatCode>General</c:formatCode>
                <c:ptCount val="16"/>
                <c:pt idx="5" formatCode="#,##0">
                  <c:v>182700</c:v>
                </c:pt>
                <c:pt idx="6" formatCode="#,##0">
                  <c:v>182700</c:v>
                </c:pt>
                <c:pt idx="7" formatCode="#,##0">
                  <c:v>182900</c:v>
                </c:pt>
                <c:pt idx="8" formatCode="#,##0">
                  <c:v>183800</c:v>
                </c:pt>
                <c:pt idx="9" formatCode="#,##0">
                  <c:v>185400</c:v>
                </c:pt>
                <c:pt idx="10" formatCode="#,##0">
                  <c:v>187000</c:v>
                </c:pt>
                <c:pt idx="11" formatCode="#,##0">
                  <c:v>188300</c:v>
                </c:pt>
                <c:pt idx="12" formatCode="#,##0">
                  <c:v>189600</c:v>
                </c:pt>
                <c:pt idx="13" formatCode="#,##0">
                  <c:v>190900</c:v>
                </c:pt>
                <c:pt idx="14" formatCode="#,##0">
                  <c:v>192100</c:v>
                </c:pt>
                <c:pt idx="15" formatCode="#,##0">
                  <c:v>193300</c:v>
                </c:pt>
              </c:numCache>
            </c:numRef>
          </c:val>
          <c:extLst>
            <c:ext xmlns:c16="http://schemas.microsoft.com/office/drawing/2014/chart" uri="{C3380CC4-5D6E-409C-BE32-E72D297353CC}">
              <c16:uniqueId val="{00000000-E9B0-4294-BA15-D67859DC5296}"/>
            </c:ext>
          </c:extLst>
        </c:ser>
        <c:ser>
          <c:idx val="3"/>
          <c:order val="4"/>
          <c:tx>
            <c:strRef>
              <c:f>popn_fut!$B$54</c:f>
              <c:strCache>
                <c:ptCount val="1"/>
                <c:pt idx="0">
                  <c:v>Projection range</c:v>
                </c:pt>
              </c:strCache>
            </c:strRef>
          </c:tx>
          <c:spPr>
            <a:solidFill>
              <a:schemeClr val="bg1">
                <a:lumMod val="85000"/>
              </a:schemeClr>
            </a:solidFill>
            <a:ln>
              <a:noFill/>
            </a:ln>
            <a:effectLst/>
          </c:spPr>
          <c:cat>
            <c:numRef>
              <c:f>popn_fut!$H$49:$AB$49</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popn_fut!$H$54:$W$54</c:f>
              <c:numCache>
                <c:formatCode>General</c:formatCode>
                <c:ptCount val="16"/>
                <c:pt idx="5" formatCode="#,##0">
                  <c:v>0</c:v>
                </c:pt>
                <c:pt idx="6" formatCode="#,##0">
                  <c:v>2900</c:v>
                </c:pt>
                <c:pt idx="7" formatCode="#,##0">
                  <c:v>5600</c:v>
                </c:pt>
                <c:pt idx="8" formatCode="#,##0">
                  <c:v>8000</c:v>
                </c:pt>
                <c:pt idx="9" formatCode="#,##0">
                  <c:v>10400</c:v>
                </c:pt>
                <c:pt idx="10" formatCode="#,##0">
                  <c:v>12800</c:v>
                </c:pt>
                <c:pt idx="11" formatCode="#,##0">
                  <c:v>14900</c:v>
                </c:pt>
                <c:pt idx="12" formatCode="#,##0">
                  <c:v>17000</c:v>
                </c:pt>
                <c:pt idx="13" formatCode="#,##0">
                  <c:v>19000</c:v>
                </c:pt>
                <c:pt idx="14" formatCode="#,##0">
                  <c:v>20900</c:v>
                </c:pt>
                <c:pt idx="15" formatCode="#,##0">
                  <c:v>22700</c:v>
                </c:pt>
              </c:numCache>
            </c:numRef>
          </c:val>
          <c:extLst>
            <c:ext xmlns:c16="http://schemas.microsoft.com/office/drawing/2014/chart" uri="{C3380CC4-5D6E-409C-BE32-E72D297353CC}">
              <c16:uniqueId val="{00000001-E9B0-4294-BA15-D67859DC5296}"/>
            </c:ext>
          </c:extLst>
        </c:ser>
        <c:dLbls>
          <c:showLegendKey val="0"/>
          <c:showVal val="0"/>
          <c:showCatName val="0"/>
          <c:showSerName val="0"/>
          <c:showPercent val="0"/>
          <c:showBubbleSize val="0"/>
        </c:dLbls>
        <c:axId val="1810162448"/>
        <c:axId val="1810148048"/>
      </c:areaChart>
      <c:lineChart>
        <c:grouping val="standard"/>
        <c:varyColors val="0"/>
        <c:ser>
          <c:idx val="0"/>
          <c:order val="0"/>
          <c:tx>
            <c:strRef>
              <c:f>popn_fut!$B$50</c:f>
              <c:strCache>
                <c:ptCount val="1"/>
                <c:pt idx="0">
                  <c:v>Historical</c:v>
                </c:pt>
              </c:strCache>
            </c:strRef>
          </c:tx>
          <c:spPr>
            <a:ln w="19050" cap="rnd">
              <a:solidFill>
                <a:schemeClr val="accent2"/>
              </a:solidFill>
              <a:round/>
            </a:ln>
            <a:effectLst/>
          </c:spPr>
          <c:marker>
            <c:symbol val="none"/>
          </c:marker>
          <c:dPt>
            <c:idx val="5"/>
            <c:marker>
              <c:symbol val="circle"/>
              <c:size val="6"/>
              <c:spPr>
                <a:solidFill>
                  <a:schemeClr val="accent2"/>
                </a:solidFill>
                <a:ln w="9525">
                  <a:noFill/>
                </a:ln>
                <a:effectLst/>
              </c:spPr>
            </c:marker>
            <c:bubble3D val="0"/>
            <c:extLst>
              <c:ext xmlns:c16="http://schemas.microsoft.com/office/drawing/2014/chart" uri="{C3380CC4-5D6E-409C-BE32-E72D297353CC}">
                <c16:uniqueId val="{00000002-E9B0-4294-BA15-D67859DC5296}"/>
              </c:ext>
            </c:extLst>
          </c:dPt>
          <c:cat>
            <c:numRef>
              <c:f>popn_fut!$H$49:$W$49</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popn_fut!$H$50:$W$50</c:f>
              <c:numCache>
                <c:formatCode>#,##0</c:formatCode>
                <c:ptCount val="16"/>
                <c:pt idx="0">
                  <c:v>159195</c:v>
                </c:pt>
                <c:pt idx="1">
                  <c:v>162135</c:v>
                </c:pt>
                <c:pt idx="2">
                  <c:v>167200</c:v>
                </c:pt>
                <c:pt idx="3">
                  <c:v>173735</c:v>
                </c:pt>
                <c:pt idx="4">
                  <c:v>179710</c:v>
                </c:pt>
                <c:pt idx="5">
                  <c:v>182655</c:v>
                </c:pt>
              </c:numCache>
            </c:numRef>
          </c:val>
          <c:smooth val="0"/>
          <c:extLst>
            <c:ext xmlns:c16="http://schemas.microsoft.com/office/drawing/2014/chart" uri="{C3380CC4-5D6E-409C-BE32-E72D297353CC}">
              <c16:uniqueId val="{00000003-E9B0-4294-BA15-D67859DC5296}"/>
            </c:ext>
          </c:extLst>
        </c:ser>
        <c:ser>
          <c:idx val="4"/>
          <c:order val="1"/>
          <c:tx>
            <c:strRef>
              <c:f>popn_fut!$B$52</c:f>
              <c:strCache>
                <c:ptCount val="1"/>
                <c:pt idx="0">
                  <c:v>Minimum</c:v>
                </c:pt>
              </c:strCache>
            </c:strRef>
          </c:tx>
          <c:spPr>
            <a:ln w="19050" cap="rnd">
              <a:solidFill>
                <a:schemeClr val="accent2"/>
              </a:solidFill>
              <a:prstDash val="sysDash"/>
              <a:round/>
            </a:ln>
            <a:effectLst/>
          </c:spPr>
          <c:marker>
            <c:symbol val="none"/>
          </c:marker>
          <c:dPt>
            <c:idx val="15"/>
            <c:marker>
              <c:symbol val="circle"/>
              <c:size val="6"/>
              <c:spPr>
                <a:solidFill>
                  <a:schemeClr val="accent2"/>
                </a:solidFill>
                <a:ln w="9525">
                  <a:noFill/>
                </a:ln>
                <a:effectLst/>
              </c:spPr>
            </c:marker>
            <c:bubble3D val="0"/>
            <c:extLst>
              <c:ext xmlns:c16="http://schemas.microsoft.com/office/drawing/2014/chart" uri="{C3380CC4-5D6E-409C-BE32-E72D297353CC}">
                <c16:uniqueId val="{00000004-E9B0-4294-BA15-D67859DC5296}"/>
              </c:ext>
            </c:extLst>
          </c:dPt>
          <c:dLbls>
            <c:dLbl>
              <c:idx val="1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B0-4294-BA15-D67859DC5296}"/>
                </c:ext>
              </c:extLst>
            </c:dLbl>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popn_fut!$H$49:$W$49</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popn_fut!$H$52:$W$52</c:f>
              <c:numCache>
                <c:formatCode>General</c:formatCode>
                <c:ptCount val="16"/>
                <c:pt idx="5" formatCode="#,##0">
                  <c:v>182700</c:v>
                </c:pt>
                <c:pt idx="6" formatCode="#,##0">
                  <c:v>182700</c:v>
                </c:pt>
                <c:pt idx="7" formatCode="#,##0">
                  <c:v>182900</c:v>
                </c:pt>
                <c:pt idx="8" formatCode="#,##0">
                  <c:v>183800</c:v>
                </c:pt>
                <c:pt idx="9" formatCode="#,##0">
                  <c:v>185400</c:v>
                </c:pt>
                <c:pt idx="10" formatCode="#,##0">
                  <c:v>187000</c:v>
                </c:pt>
                <c:pt idx="11" formatCode="#,##0">
                  <c:v>188300</c:v>
                </c:pt>
                <c:pt idx="12" formatCode="#,##0">
                  <c:v>189600</c:v>
                </c:pt>
                <c:pt idx="13" formatCode="#,##0">
                  <c:v>190900</c:v>
                </c:pt>
                <c:pt idx="14" formatCode="#,##0">
                  <c:v>192100</c:v>
                </c:pt>
                <c:pt idx="15" formatCode="#,##0">
                  <c:v>193300</c:v>
                </c:pt>
              </c:numCache>
            </c:numRef>
          </c:val>
          <c:smooth val="0"/>
          <c:extLst>
            <c:ext xmlns:c16="http://schemas.microsoft.com/office/drawing/2014/chart" uri="{C3380CC4-5D6E-409C-BE32-E72D297353CC}">
              <c16:uniqueId val="{00000005-E9B0-4294-BA15-D67859DC5296}"/>
            </c:ext>
          </c:extLst>
        </c:ser>
        <c:ser>
          <c:idx val="2"/>
          <c:order val="3"/>
          <c:tx>
            <c:strRef>
              <c:f>popn_fut!$B$53</c:f>
              <c:strCache>
                <c:ptCount val="1"/>
                <c:pt idx="0">
                  <c:v>Maximum</c:v>
                </c:pt>
              </c:strCache>
            </c:strRef>
          </c:tx>
          <c:spPr>
            <a:ln w="19050" cap="rnd">
              <a:solidFill>
                <a:schemeClr val="accent2"/>
              </a:solidFill>
              <a:prstDash val="sysDash"/>
              <a:round/>
            </a:ln>
            <a:effectLst/>
          </c:spPr>
          <c:marker>
            <c:symbol val="none"/>
          </c:marker>
          <c:dPt>
            <c:idx val="15"/>
            <c:marker>
              <c:symbol val="circle"/>
              <c:size val="6"/>
              <c:spPr>
                <a:solidFill>
                  <a:schemeClr val="accent2"/>
                </a:solidFill>
                <a:ln w="9525">
                  <a:noFill/>
                </a:ln>
                <a:effectLst/>
              </c:spPr>
            </c:marker>
            <c:bubble3D val="0"/>
            <c:extLst>
              <c:ext xmlns:c16="http://schemas.microsoft.com/office/drawing/2014/chart" uri="{C3380CC4-5D6E-409C-BE32-E72D297353CC}">
                <c16:uniqueId val="{00000006-E9B0-4294-BA15-D67859DC5296}"/>
              </c:ext>
            </c:extLst>
          </c:dPt>
          <c:dLbls>
            <c:dLbl>
              <c:idx val="5"/>
              <c:layout>
                <c:manualLayout>
                  <c:x val="-4.5075756679476719E-2"/>
                  <c:y val="-6.4814791187375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B0-4294-BA15-D67859DC5296}"/>
                </c:ext>
              </c:extLst>
            </c:dLbl>
            <c:dLbl>
              <c:idx val="1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B0-4294-BA15-D67859DC5296}"/>
                </c:ext>
              </c:extLst>
            </c:dLbl>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popn_fut!$H$49:$W$49</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popn_fut!$H$53:$W$53</c:f>
              <c:numCache>
                <c:formatCode>General</c:formatCode>
                <c:ptCount val="16"/>
                <c:pt idx="5" formatCode="#,##0">
                  <c:v>182700</c:v>
                </c:pt>
                <c:pt idx="6" formatCode="#,##0">
                  <c:v>185600</c:v>
                </c:pt>
                <c:pt idx="7" formatCode="#,##0">
                  <c:v>188500</c:v>
                </c:pt>
                <c:pt idx="8" formatCode="#,##0">
                  <c:v>191800</c:v>
                </c:pt>
                <c:pt idx="9" formatCode="#,##0">
                  <c:v>195800</c:v>
                </c:pt>
                <c:pt idx="10" formatCode="#,##0">
                  <c:v>199800</c:v>
                </c:pt>
                <c:pt idx="11" formatCode="#,##0">
                  <c:v>203200</c:v>
                </c:pt>
                <c:pt idx="12" formatCode="#,##0">
                  <c:v>206600</c:v>
                </c:pt>
                <c:pt idx="13" formatCode="#,##0">
                  <c:v>209900</c:v>
                </c:pt>
                <c:pt idx="14" formatCode="#,##0">
                  <c:v>213000</c:v>
                </c:pt>
                <c:pt idx="15" formatCode="#,##0">
                  <c:v>216000</c:v>
                </c:pt>
              </c:numCache>
            </c:numRef>
          </c:val>
          <c:smooth val="0"/>
          <c:extLst>
            <c:ext xmlns:c16="http://schemas.microsoft.com/office/drawing/2014/chart" uri="{C3380CC4-5D6E-409C-BE32-E72D297353CC}">
              <c16:uniqueId val="{00000008-E9B0-4294-BA15-D67859DC5296}"/>
            </c:ext>
          </c:extLst>
        </c:ser>
        <c:dLbls>
          <c:showLegendKey val="0"/>
          <c:showVal val="0"/>
          <c:showCatName val="0"/>
          <c:showSerName val="0"/>
          <c:showPercent val="0"/>
          <c:showBubbleSize val="0"/>
        </c:dLbls>
        <c:marker val="1"/>
        <c:smooth val="0"/>
        <c:axId val="1810162448"/>
        <c:axId val="1810148048"/>
      </c:lineChart>
      <c:catAx>
        <c:axId val="181016244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10148048"/>
        <c:crosses val="autoZero"/>
        <c:auto val="1"/>
        <c:lblAlgn val="ctr"/>
        <c:lblOffset val="100"/>
        <c:noMultiLvlLbl val="0"/>
      </c:catAx>
      <c:valAx>
        <c:axId val="1810148048"/>
        <c:scaling>
          <c:orientation val="minMax"/>
          <c:max val="250000"/>
          <c:min val="50000"/>
        </c:scaling>
        <c:delete val="0"/>
        <c:axPos val="l"/>
        <c:majorGridlines>
          <c:spPr>
            <a:ln w="9525" cap="flat" cmpd="sng" algn="ctr">
              <a:solidFill>
                <a:schemeClr val="bg1">
                  <a:lumMod val="9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Total population</a:t>
                </a:r>
              </a:p>
            </c:rich>
          </c:tx>
          <c:layout>
            <c:manualLayout>
              <c:xMode val="edge"/>
              <c:yMode val="edge"/>
              <c:x val="6.4393938113538173E-3"/>
              <c:y val="0.26163303381706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0" sourceLinked="0"/>
        <c:majorTickMark val="cross"/>
        <c:minorTickMark val="cross"/>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810162448"/>
        <c:crosses val="autoZero"/>
        <c:crossBetween val="midCat"/>
        <c:majorUnit val="50000"/>
      </c:valAx>
      <c:spPr>
        <a:noFill/>
        <a:ln>
          <a:noFill/>
        </a:ln>
        <a:effectLst/>
      </c:spPr>
    </c:plotArea>
    <c:legend>
      <c:legendPos val="b"/>
      <c:legendEntry>
        <c:idx val="0"/>
        <c:delete val="1"/>
      </c:legendEntry>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projection!$B$86</c:f>
              <c:strCache>
                <c:ptCount val="1"/>
                <c:pt idx="0">
                  <c:v>Cumulative construction</c:v>
                </c:pt>
              </c:strCache>
            </c:strRef>
          </c:tx>
          <c:spPr>
            <a:solidFill>
              <a:schemeClr val="accent2"/>
            </a:solidFill>
            <a:ln>
              <a:noFill/>
            </a:ln>
            <a:effectLst/>
          </c:spPr>
          <c:invertIfNegative val="0"/>
          <c:cat>
            <c:numRef>
              <c:f>projection!$H$78:$R$78</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projection!$H$86:$R$86</c:f>
              <c:numCache>
                <c:formatCode>#,##0</c:formatCode>
                <c:ptCount val="11"/>
                <c:pt idx="0">
                  <c:v>0</c:v>
                </c:pt>
                <c:pt idx="1">
                  <c:v>1070</c:v>
                </c:pt>
                <c:pt idx="2">
                  <c:v>2140</c:v>
                </c:pt>
                <c:pt idx="3">
                  <c:v>3210</c:v>
                </c:pt>
                <c:pt idx="4">
                  <c:v>4280</c:v>
                </c:pt>
                <c:pt idx="5">
                  <c:v>5350</c:v>
                </c:pt>
                <c:pt idx="6">
                  <c:v>6420</c:v>
                </c:pt>
                <c:pt idx="7">
                  <c:v>7490</c:v>
                </c:pt>
                <c:pt idx="8">
                  <c:v>8560</c:v>
                </c:pt>
                <c:pt idx="9">
                  <c:v>9630</c:v>
                </c:pt>
                <c:pt idx="10">
                  <c:v>10700</c:v>
                </c:pt>
              </c:numCache>
            </c:numRef>
          </c:val>
          <c:extLst>
            <c:ext xmlns:c16="http://schemas.microsoft.com/office/drawing/2014/chart" uri="{C3380CC4-5D6E-409C-BE32-E72D297353CC}">
              <c16:uniqueId val="{00000000-D585-410B-A52D-8F7892BE96CD}"/>
            </c:ext>
          </c:extLst>
        </c:ser>
        <c:ser>
          <c:idx val="1"/>
          <c:order val="1"/>
          <c:tx>
            <c:strRef>
              <c:f>projection!$B$87</c:f>
              <c:strCache>
                <c:ptCount val="1"/>
                <c:pt idx="0">
                  <c:v>Running shortage (total demand minus cumulative supply)</c:v>
                </c:pt>
              </c:strCache>
            </c:strRef>
          </c:tx>
          <c:spPr>
            <a:solidFill>
              <a:schemeClr val="accent5">
                <a:lumMod val="60000"/>
                <a:lumOff val="40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projection!$H$78:$R$78</c:f>
              <c:numCache>
                <c:formatCode>General</c:formatCode>
                <c:ptCount val="11"/>
                <c:pt idx="0">
                  <c:v>2025</c:v>
                </c:pt>
                <c:pt idx="1">
                  <c:v>2026</c:v>
                </c:pt>
                <c:pt idx="2">
                  <c:v>2027</c:v>
                </c:pt>
                <c:pt idx="3">
                  <c:v>2028</c:v>
                </c:pt>
                <c:pt idx="4">
                  <c:v>2029</c:v>
                </c:pt>
                <c:pt idx="5">
                  <c:v>2030</c:v>
                </c:pt>
                <c:pt idx="6">
                  <c:v>2031</c:v>
                </c:pt>
                <c:pt idx="7">
                  <c:v>2032</c:v>
                </c:pt>
                <c:pt idx="8">
                  <c:v>2033</c:v>
                </c:pt>
                <c:pt idx="9">
                  <c:v>2034</c:v>
                </c:pt>
                <c:pt idx="10">
                  <c:v>2035</c:v>
                </c:pt>
              </c:numCache>
            </c:numRef>
          </c:cat>
          <c:val>
            <c:numRef>
              <c:f>projection!$H$87:$R$87</c:f>
              <c:numCache>
                <c:formatCode>#,##0</c:formatCode>
                <c:ptCount val="11"/>
                <c:pt idx="0">
                  <c:v>17330</c:v>
                </c:pt>
                <c:pt idx="1">
                  <c:v>17390</c:v>
                </c:pt>
                <c:pt idx="2">
                  <c:v>17555</c:v>
                </c:pt>
                <c:pt idx="3">
                  <c:v>18055</c:v>
                </c:pt>
                <c:pt idx="4">
                  <c:v>18390</c:v>
                </c:pt>
                <c:pt idx="5">
                  <c:v>18815</c:v>
                </c:pt>
                <c:pt idx="6">
                  <c:v>19415</c:v>
                </c:pt>
                <c:pt idx="7">
                  <c:v>19725</c:v>
                </c:pt>
                <c:pt idx="8">
                  <c:v>20030</c:v>
                </c:pt>
                <c:pt idx="9">
                  <c:v>20565</c:v>
                </c:pt>
                <c:pt idx="10">
                  <c:v>20985</c:v>
                </c:pt>
              </c:numCache>
            </c:numRef>
          </c:val>
          <c:extLst>
            <c:ext xmlns:c16="http://schemas.microsoft.com/office/drawing/2014/chart" uri="{C3380CC4-5D6E-409C-BE32-E72D297353CC}">
              <c16:uniqueId val="{00000001-D585-410B-A52D-8F7892BE96CD}"/>
            </c:ext>
          </c:extLst>
        </c:ser>
        <c:dLbls>
          <c:showLegendKey val="0"/>
          <c:showVal val="0"/>
          <c:showCatName val="0"/>
          <c:showSerName val="0"/>
          <c:showPercent val="0"/>
          <c:showBubbleSize val="0"/>
        </c:dLbls>
        <c:gapWidth val="25"/>
        <c:overlap val="100"/>
        <c:axId val="1626279279"/>
        <c:axId val="1626280239"/>
      </c:barChart>
      <c:catAx>
        <c:axId val="1626279279"/>
        <c:scaling>
          <c:orientation val="minMax"/>
        </c:scaling>
        <c:delete val="0"/>
        <c:axPos val="b"/>
        <c:numFmt formatCode="General" sourceLinked="1"/>
        <c:majorTickMark val="cross"/>
        <c:minorTickMark val="none"/>
        <c:tickLblPos val="nextTo"/>
        <c:spPr>
          <a:noFill/>
          <a:ln w="9525" cap="flat" cmpd="sng" algn="ctr">
            <a:solidFill>
              <a:schemeClr val="tx2"/>
            </a:solidFill>
            <a:round/>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80239"/>
        <c:crosses val="autoZero"/>
        <c:auto val="1"/>
        <c:lblAlgn val="ctr"/>
        <c:lblOffset val="100"/>
        <c:noMultiLvlLbl val="0"/>
      </c:catAx>
      <c:valAx>
        <c:axId val="1626280239"/>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r>
                  <a:rPr lang="en-CA"/>
                  <a:t>Total dwellings</a:t>
                </a:r>
              </a:p>
            </c:rich>
          </c:tx>
          <c:layout>
            <c:manualLayout>
              <c:xMode val="edge"/>
              <c:yMode val="edge"/>
              <c:x val="0"/>
              <c:y val="0.243423738699329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title>
        <c:numFmt formatCode="#,##0" sourceLinked="1"/>
        <c:majorTickMark val="cross"/>
        <c:minorTickMark val="none"/>
        <c:tickLblPos val="nextTo"/>
        <c:spPr>
          <a:noFill/>
          <a:ln>
            <a:solidFill>
              <a:schemeClr val="tx2"/>
            </a:solidFill>
          </a:ln>
          <a:effectLst/>
        </c:spPr>
        <c:txPr>
          <a:bodyPr rot="-6000000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crossAx val="1626279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C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0.43912</cdr:x>
      <cdr:y>0.1054</cdr:y>
    </cdr:from>
    <cdr:to>
      <cdr:x>0.80429</cdr:x>
      <cdr:y>0.47127</cdr:y>
    </cdr:to>
    <cdr:sp macro="" textlink="">
      <cdr:nvSpPr>
        <cdr:cNvPr id="2" name="TextBox 1">
          <a:extLst xmlns:a="http://schemas.openxmlformats.org/drawingml/2006/main">
            <a:ext uri="{FF2B5EF4-FFF2-40B4-BE49-F238E27FC236}">
              <a16:creationId xmlns:a16="http://schemas.microsoft.com/office/drawing/2014/main" id="{520FDD27-B061-454F-B7E2-499160B32627}"/>
            </a:ext>
          </a:extLst>
        </cdr:cNvPr>
        <cdr:cNvSpPr txBox="1"/>
      </cdr:nvSpPr>
      <cdr:spPr>
        <a:xfrm xmlns:a="http://schemas.openxmlformats.org/drawingml/2006/main">
          <a:off x="1438275" y="332031"/>
          <a:ext cx="1196087" cy="115252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CA" sz="900">
              <a:latin typeface="Arial" panose="020B0604020202020204" pitchFamily="34" charset="0"/>
              <a:cs typeface="Arial" panose="020B0604020202020204" pitchFamily="34" charset="0"/>
            </a:rPr>
            <a:t>Short-Term Supportive</a:t>
          </a:r>
        </a:p>
        <a:p xmlns:a="http://schemas.openxmlformats.org/drawingml/2006/main">
          <a:pPr algn="ctr"/>
          <a:r>
            <a:rPr lang="en-CA" sz="900">
              <a:latin typeface="Arial" panose="020B0604020202020204" pitchFamily="34" charset="0"/>
              <a:cs typeface="Arial" panose="020B0604020202020204" pitchFamily="34" charset="0"/>
            </a:rPr>
            <a:t>Housing</a:t>
          </a:r>
        </a:p>
      </cdr:txBody>
    </cdr:sp>
  </cdr:relSizeAnchor>
  <cdr:relSizeAnchor xmlns:cdr="http://schemas.openxmlformats.org/drawingml/2006/chartDrawing">
    <cdr:from>
      <cdr:x>0.192</cdr:x>
      <cdr:y>0.11145</cdr:y>
    </cdr:from>
    <cdr:to>
      <cdr:x>0.54671</cdr:x>
      <cdr:y>0.45917</cdr:y>
    </cdr:to>
    <cdr:sp macro="" textlink="">
      <cdr:nvSpPr>
        <cdr:cNvPr id="3" name="TextBox 2">
          <a:extLst xmlns:a="http://schemas.openxmlformats.org/drawingml/2006/main">
            <a:ext uri="{FF2B5EF4-FFF2-40B4-BE49-F238E27FC236}">
              <a16:creationId xmlns:a16="http://schemas.microsoft.com/office/drawing/2014/main" id="{7E1CBDA0-C27A-4F88-BDCB-9428A0D4D80E}"/>
            </a:ext>
          </a:extLst>
        </cdr:cNvPr>
        <cdr:cNvSpPr txBox="1"/>
      </cdr:nvSpPr>
      <cdr:spPr>
        <a:xfrm xmlns:a="http://schemas.openxmlformats.org/drawingml/2006/main">
          <a:off x="628875" y="351082"/>
          <a:ext cx="1161826" cy="1095374"/>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Emergency</a:t>
          </a:r>
        </a:p>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Shelter</a:t>
          </a:r>
        </a:p>
      </cdr:txBody>
    </cdr:sp>
  </cdr:relSizeAnchor>
  <cdr:relSizeAnchor xmlns:cdr="http://schemas.openxmlformats.org/drawingml/2006/chartDrawing">
    <cdr:from>
      <cdr:x>0.12505</cdr:x>
      <cdr:y>0.39265</cdr:y>
    </cdr:from>
    <cdr:to>
      <cdr:x>0.42167</cdr:x>
      <cdr:y>0.6164</cdr:y>
    </cdr:to>
    <cdr:sp macro="" textlink="">
      <cdr:nvSpPr>
        <cdr:cNvPr id="4" name="TextBox 3">
          <a:extLst xmlns:a="http://schemas.openxmlformats.org/drawingml/2006/main">
            <a:ext uri="{FF2B5EF4-FFF2-40B4-BE49-F238E27FC236}">
              <a16:creationId xmlns:a16="http://schemas.microsoft.com/office/drawing/2014/main" id="{DA95FF4E-D3B2-4E43-89EB-4F5B92BEF88E}"/>
            </a:ext>
          </a:extLst>
        </cdr:cNvPr>
        <cdr:cNvSpPr txBox="1"/>
      </cdr:nvSpPr>
      <cdr:spPr>
        <a:xfrm xmlns:a="http://schemas.openxmlformats.org/drawingml/2006/main">
          <a:off x="409575" y="1236906"/>
          <a:ext cx="971550" cy="70485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Ownership</a:t>
          </a:r>
        </a:p>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Housing</a:t>
          </a:r>
        </a:p>
      </cdr:txBody>
    </cdr:sp>
  </cdr:relSizeAnchor>
  <cdr:relSizeAnchor xmlns:cdr="http://schemas.openxmlformats.org/drawingml/2006/chartDrawing">
    <cdr:from>
      <cdr:x>0.57579</cdr:x>
      <cdr:y>0.30799</cdr:y>
    </cdr:from>
    <cdr:to>
      <cdr:x>0.92014</cdr:x>
      <cdr:y>0.69199</cdr:y>
    </cdr:to>
    <cdr:sp macro="" textlink="">
      <cdr:nvSpPr>
        <cdr:cNvPr id="5" name="TextBox 4">
          <a:extLst xmlns:a="http://schemas.openxmlformats.org/drawingml/2006/main">
            <a:ext uri="{FF2B5EF4-FFF2-40B4-BE49-F238E27FC236}">
              <a16:creationId xmlns:a16="http://schemas.microsoft.com/office/drawing/2014/main" id="{A322FA12-BA50-492E-8927-FDE97474CD1A}"/>
            </a:ext>
          </a:extLst>
        </cdr:cNvPr>
        <cdr:cNvSpPr txBox="1"/>
      </cdr:nvSpPr>
      <cdr:spPr>
        <a:xfrm xmlns:a="http://schemas.openxmlformats.org/drawingml/2006/main">
          <a:off x="1885950" y="970205"/>
          <a:ext cx="1127866" cy="120967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Long-Term</a:t>
          </a:r>
        </a:p>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Supportive</a:t>
          </a:r>
        </a:p>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Housing</a:t>
          </a:r>
        </a:p>
      </cdr:txBody>
    </cdr:sp>
  </cdr:relSizeAnchor>
  <cdr:relSizeAnchor xmlns:cdr="http://schemas.openxmlformats.org/drawingml/2006/chartDrawing">
    <cdr:from>
      <cdr:x>0.45366</cdr:x>
      <cdr:y>0.54686</cdr:y>
    </cdr:from>
    <cdr:to>
      <cdr:x>0.81078</cdr:x>
      <cdr:y>0.88248</cdr:y>
    </cdr:to>
    <cdr:sp macro="" textlink="">
      <cdr:nvSpPr>
        <cdr:cNvPr id="6" name="TextBox 5">
          <a:extLst xmlns:a="http://schemas.openxmlformats.org/drawingml/2006/main">
            <a:ext uri="{FF2B5EF4-FFF2-40B4-BE49-F238E27FC236}">
              <a16:creationId xmlns:a16="http://schemas.microsoft.com/office/drawing/2014/main" id="{8CD510F2-FCC5-4B12-9030-01A0271098B1}"/>
            </a:ext>
          </a:extLst>
        </cdr:cNvPr>
        <cdr:cNvSpPr txBox="1"/>
      </cdr:nvSpPr>
      <cdr:spPr>
        <a:xfrm xmlns:a="http://schemas.openxmlformats.org/drawingml/2006/main">
          <a:off x="1485900" y="1722681"/>
          <a:ext cx="1169719" cy="105727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Subsidized</a:t>
          </a:r>
        </a:p>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Rental</a:t>
          </a:r>
        </a:p>
        <a:p xmlns:a="http://schemas.openxmlformats.org/drawingml/2006/main">
          <a:pPr algn="ctr"/>
          <a:r>
            <a:rPr lang="en-CA" sz="900">
              <a:solidFill>
                <a:sysClr val="windowText" lastClr="000000"/>
              </a:solidFill>
              <a:latin typeface="Arial" panose="020B0604020202020204" pitchFamily="34" charset="0"/>
              <a:cs typeface="Arial" panose="020B0604020202020204" pitchFamily="34" charset="0"/>
            </a:rPr>
            <a:t>Housing</a:t>
          </a:r>
        </a:p>
      </cdr:txBody>
    </cdr:sp>
  </cdr:relSizeAnchor>
  <cdr:relSizeAnchor xmlns:cdr="http://schemas.openxmlformats.org/drawingml/2006/chartDrawing">
    <cdr:from>
      <cdr:x>0.18798</cdr:x>
      <cdr:y>0.55593</cdr:y>
    </cdr:from>
    <cdr:to>
      <cdr:x>0.55966</cdr:x>
      <cdr:y>0.87946</cdr:y>
    </cdr:to>
    <cdr:sp macro="" textlink="">
      <cdr:nvSpPr>
        <cdr:cNvPr id="7" name="TextBox 6">
          <a:extLst xmlns:a="http://schemas.openxmlformats.org/drawingml/2006/main">
            <a:ext uri="{FF2B5EF4-FFF2-40B4-BE49-F238E27FC236}">
              <a16:creationId xmlns:a16="http://schemas.microsoft.com/office/drawing/2014/main" id="{FEDDB6FA-C65A-4DB3-84DF-E413F820AACE}"/>
            </a:ext>
          </a:extLst>
        </cdr:cNvPr>
        <cdr:cNvSpPr txBox="1"/>
      </cdr:nvSpPr>
      <cdr:spPr>
        <a:xfrm xmlns:a="http://schemas.openxmlformats.org/drawingml/2006/main">
          <a:off x="615707" y="1751256"/>
          <a:ext cx="1217397" cy="101917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CA" sz="900">
              <a:solidFill>
                <a:schemeClr val="bg1"/>
              </a:solidFill>
              <a:latin typeface="Arial" panose="020B0604020202020204" pitchFamily="34" charset="0"/>
              <a:cs typeface="Arial" panose="020B0604020202020204" pitchFamily="34" charset="0"/>
            </a:rPr>
            <a:t>Rental</a:t>
          </a:r>
        </a:p>
        <a:p xmlns:a="http://schemas.openxmlformats.org/drawingml/2006/main">
          <a:pPr algn="ctr"/>
          <a:r>
            <a:rPr lang="en-CA" sz="900">
              <a:solidFill>
                <a:schemeClr val="bg1"/>
              </a:solidFill>
              <a:latin typeface="Arial" panose="020B0604020202020204" pitchFamily="34" charset="0"/>
              <a:cs typeface="Arial" panose="020B0604020202020204" pitchFamily="34" charset="0"/>
            </a:rPr>
            <a:t>Housing</a:t>
          </a:r>
        </a:p>
      </cdr:txBody>
    </cdr:sp>
  </cdr:relSizeAnchor>
</c:userShapes>
</file>

<file path=word/theme/theme1.xml><?xml version="1.0" encoding="utf-8"?>
<a:theme xmlns:a="http://schemas.openxmlformats.org/drawingml/2006/main" name="Office Theme">
  <a:themeElements>
    <a:clrScheme name="HNA Blueprint">
      <a:dk1>
        <a:sysClr val="windowText" lastClr="000000"/>
      </a:dk1>
      <a:lt1>
        <a:sysClr val="window" lastClr="FFFFFF"/>
      </a:lt1>
      <a:dk2>
        <a:srgbClr val="1A2940"/>
      </a:dk2>
      <a:lt2>
        <a:srgbClr val="FAFBFC"/>
      </a:lt2>
      <a:accent1>
        <a:srgbClr val="CFD9E3"/>
      </a:accent1>
      <a:accent2>
        <a:srgbClr val="006B5F"/>
      </a:accent2>
      <a:accent3>
        <a:srgbClr val="42618C"/>
      </a:accent3>
      <a:accent4>
        <a:srgbClr val="080314"/>
      </a:accent4>
      <a:accent5>
        <a:srgbClr val="B374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B6FEA922ADB44A9E905D9A21A4C423" ma:contentTypeVersion="12" ma:contentTypeDescription="Create a new document." ma:contentTypeScope="" ma:versionID="b62950afcacc40fd57c0344a382c383c">
  <xsd:schema xmlns:xsd="http://www.w3.org/2001/XMLSchema" xmlns:xs="http://www.w3.org/2001/XMLSchema" xmlns:p="http://schemas.microsoft.com/office/2006/metadata/properties" xmlns:ns2="f4cc818f-b6c4-44f7-856a-ecd2fe425841" xmlns:ns3="579dcaec-d521-4233-835c-d416ecc3cae9" targetNamespace="http://schemas.microsoft.com/office/2006/metadata/properties" ma:root="true" ma:fieldsID="dcf7962070f5d61534ba355ca45f865e" ns2:_="" ns3:_="">
    <xsd:import namespace="f4cc818f-b6c4-44f7-856a-ecd2fe425841"/>
    <xsd:import namespace="579dcaec-d521-4233-835c-d416ecc3c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c818f-b6c4-44f7-856a-ecd2fe425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a2f25a-7d09-47b6-9c68-4e82613a00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9dcaec-d521-4233-835c-d416ecc3ca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198b14-221c-485a-9db6-8ebfc7d854cc}" ma:internalName="TaxCatchAll" ma:showField="CatchAllData" ma:web="579dcaec-d521-4233-835c-d416ecc3c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9dcaec-d521-4233-835c-d416ecc3cae9" xsi:nil="true"/>
    <lcf76f155ced4ddcb4097134ff3c332f xmlns="f4cc818f-b6c4-44f7-856a-ecd2fe4258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51E91-96D8-4064-AD41-237C02DD165A}">
  <ds:schemaRefs>
    <ds:schemaRef ds:uri="http://schemas.microsoft.com/sharepoint/v3/contenttype/forms"/>
  </ds:schemaRefs>
</ds:datastoreItem>
</file>

<file path=customXml/itemProps2.xml><?xml version="1.0" encoding="utf-8"?>
<ds:datastoreItem xmlns:ds="http://schemas.openxmlformats.org/officeDocument/2006/customXml" ds:itemID="{597B6D7F-18C1-420A-A6C2-FD66A884B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c818f-b6c4-44f7-856a-ecd2fe425841"/>
    <ds:schemaRef ds:uri="579dcaec-d521-4233-835c-d416ecc3c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10A6F-594D-4A78-8646-2391F1F39385}">
  <ds:schemaRefs>
    <ds:schemaRef ds:uri="http://schemas.microsoft.com/office/2006/metadata/properties"/>
    <ds:schemaRef ds:uri="http://schemas.microsoft.com/office/infopath/2007/PartnerControls"/>
    <ds:schemaRef ds:uri="579dcaec-d521-4233-835c-d416ecc3cae9"/>
    <ds:schemaRef ds:uri="f4cc818f-b6c4-44f7-856a-ecd2fe425841"/>
  </ds:schemaRefs>
</ds:datastoreItem>
</file>

<file path=customXml/itemProps4.xml><?xml version="1.0" encoding="utf-8"?>
<ds:datastoreItem xmlns:ds="http://schemas.openxmlformats.org/officeDocument/2006/customXml" ds:itemID="{E3CC2B0B-DD94-46DD-A8A0-C8D08E14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67</Pages>
  <Words>23179</Words>
  <Characters>132125</Characters>
  <Application>Microsoft Office Word</Application>
  <DocSecurity>0</DocSecurity>
  <Lines>1101</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Scanlan Dickie</dc:creator>
  <cp:keywords/>
  <dc:description/>
  <cp:lastModifiedBy>Andrew Scanlan Dickie</cp:lastModifiedBy>
  <cp:revision>40</cp:revision>
  <dcterms:created xsi:type="dcterms:W3CDTF">2026-08-18T17:15:00Z</dcterms:created>
  <dcterms:modified xsi:type="dcterms:W3CDTF">2026-08-18T18:44:00Z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0x010100E7B6FEA922ADB44A9E905D9A21A4C423</vt:lpwstr>
  </property>
  <property fmtid="{D5CDD505-2E9C-101B-9397-08002B2CF9AE}" pid="3" name="MediaServiceImageTags">
    <vt:lpwstr/>
  </property>
</Properties>
</file>