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Cambria" w:cs="Cambria" w:eastAsia="Cambria" w:hAnsi="Cambria"/>
          <w:b/>
          <w:bCs/>
          <w:color w:val="1A1A1A"/>
          <w:spacing w:val="20"/>
          <w:sz w:val="38"/>
          <w:szCs w:val="38"/>
        </w:rPr>
        <w:t xml:space="preserve">STEVEN A. BARBOSA</w:t>
      </w:r>
    </w:p>
    <w:p>
      <w:pPr>
        <w:pBdr>
          <w:bottom w:val="single" w:color="1A1A1A" w:sz="6" w:space="8"/>
        </w:pBdr>
        <w:spacing w:after="180"/>
        <w:jc w:val="center"/>
      </w:pPr>
      <w:r>
        <w:rPr>
          <w:rFonts w:ascii="Calibri" w:cs="Calibri" w:eastAsia="Calibri" w:hAnsi="Calibri"/>
          <w:color w:val="595959"/>
          <w:sz w:val="18"/>
          <w:szCs w:val="18"/>
        </w:rPr>
        <w:t xml:space="preserve">37B West Roselle Ave, Roselle Park, NJ 07204   |   732-331-9553   |   stbarbos@yahoo.com</w:t>
      </w:r>
    </w:p>
    <w:p>
      <w:pPr>
        <w:pBdr>
          <w:bottom w:val="single" w:color="1A1A1A" w:sz="4" w:space="3"/>
        </w:pBdr>
        <w:spacing w:after="60" w:before="140"/>
      </w:pPr>
      <w:r>
        <w:rPr>
          <w:rFonts w:ascii="Calibri" w:cs="Calibri" w:eastAsia="Calibri" w:hAnsi="Calibri"/>
          <w:b/>
          <w:bCs/>
          <w:color w:val="1A1A1A"/>
          <w:spacing w:val="20"/>
          <w:sz w:val="20"/>
          <w:szCs w:val="20"/>
        </w:rPr>
        <w:t xml:space="preserve">PROFESSIONAL SUMMARY</w:t>
      </w:r>
    </w:p>
    <w:p>
      <w:pPr>
        <w:spacing w:after="100"/>
      </w:pPr>
      <w:r>
        <w:rPr>
          <w:rFonts w:ascii="Calibri" w:cs="Calibri" w:eastAsia="Calibri" w:hAnsi="Calibri"/>
          <w:color w:val="2B2B2B"/>
          <w:sz w:val="21"/>
          <w:szCs w:val="21"/>
        </w:rPr>
        <w:t xml:space="preserve">Dependable, detail-oriented professional with 18 years of experience in customer service and hospitality operations and over 12 years of experience in public safety and security operations. Proven ability to stay calm and make sound decisions under pressure, manage day-to-day operations, and communicate effectively with diverse groups of people. Trilingual (English, Portuguese, and Spanish) with a strong record of reliability, integrity, and follow-through, seeking to bring this well-rounded operational background to a new field.</w:t>
      </w:r>
    </w:p>
    <w:p>
      <w:pPr>
        <w:pBdr>
          <w:bottom w:val="single" w:color="1A1A1A" w:sz="4" w:space="3"/>
        </w:pBdr>
        <w:spacing w:after="60" w:before="140"/>
      </w:pPr>
      <w:r>
        <w:rPr>
          <w:rFonts w:ascii="Calibri" w:cs="Calibri" w:eastAsia="Calibri" w:hAnsi="Calibri"/>
          <w:b/>
          <w:bCs/>
          <w:color w:val="1A1A1A"/>
          <w:spacing w:val="20"/>
          <w:sz w:val="20"/>
          <w:szCs w:val="20"/>
        </w:rPr>
        <w:t xml:space="preserve">CORE COMPETENCIES</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c>
          <w:tcPr>
            <w:tcW w:type="dxa" w:w="4680"/>
            <w:tcMar>
              <w:top w:type="dxa" w:w="5"/>
              <w:left w:type="dxa" w:w="0"/>
              <w:bottom w:type="dxa" w:w="5"/>
              <w:right w:type="dxa" w:w="100"/>
            </w:tcMar>
          </w:tcPr>
          <w:p>
            <w:pPr>
              <w:pStyle w:val="ListParagraph"/>
              <w:numPr>
                <w:ilvl w:val="0"/>
                <w:numId w:val="2"/>
              </w:numPr>
              <w:spacing w:after="0"/>
            </w:pPr>
            <w:r>
              <w:rPr>
                <w:rFonts w:ascii="Calibri" w:cs="Calibri" w:eastAsia="Calibri" w:hAnsi="Calibri"/>
                <w:color w:val="2B2B2B"/>
                <w:sz w:val="21"/>
                <w:szCs w:val="21"/>
              </w:rPr>
              <w:t xml:space="preserve">Customer Service &amp; Client Relations</w:t>
            </w:r>
          </w:p>
        </w:tc>
        <w:tc>
          <w:tcPr>
            <w:tcW w:type="dxa" w:w="4680"/>
            <w:tcMar>
              <w:top w:type="dxa" w:w="5"/>
              <w:left w:type="dxa" w:w="100"/>
              <w:bottom w:type="dxa" w:w="5"/>
              <w:right w:type="dxa" w:w="0"/>
            </w:tcMar>
          </w:tcPr>
          <w:p>
            <w:pPr>
              <w:pStyle w:val="ListParagraph"/>
              <w:numPr>
                <w:ilvl w:val="0"/>
                <w:numId w:val="2"/>
              </w:numPr>
              <w:spacing w:after="0"/>
            </w:pPr>
            <w:r>
              <w:rPr>
                <w:rFonts w:ascii="Calibri" w:cs="Calibri" w:eastAsia="Calibri" w:hAnsi="Calibri"/>
                <w:color w:val="2B2B2B"/>
                <w:sz w:val="21"/>
                <w:szCs w:val="21"/>
              </w:rPr>
              <w:t xml:space="preserve">Safety &amp; Security Operations</w:t>
            </w:r>
          </w:p>
        </w:tc>
      </w:tr>
      <w:tr>
        <w:tc>
          <w:tcPr>
            <w:tcW w:type="dxa" w:w="4680"/>
            <w:tcMar>
              <w:top w:type="dxa" w:w="5"/>
              <w:left w:type="dxa" w:w="0"/>
              <w:bottom w:type="dxa" w:w="5"/>
              <w:right w:type="dxa" w:w="100"/>
            </w:tcMar>
          </w:tcPr>
          <w:p>
            <w:pPr>
              <w:pStyle w:val="ListParagraph"/>
              <w:numPr>
                <w:ilvl w:val="0"/>
                <w:numId w:val="2"/>
              </w:numPr>
              <w:spacing w:after="0"/>
            </w:pPr>
            <w:r>
              <w:rPr>
                <w:rFonts w:ascii="Calibri" w:cs="Calibri" w:eastAsia="Calibri" w:hAnsi="Calibri"/>
                <w:color w:val="2B2B2B"/>
                <w:sz w:val="21"/>
                <w:szCs w:val="21"/>
              </w:rPr>
              <w:t xml:space="preserve">Team Coordination &amp; Scheduling</w:t>
            </w:r>
          </w:p>
        </w:tc>
        <w:tc>
          <w:tcPr>
            <w:tcW w:type="dxa" w:w="4680"/>
            <w:tcMar>
              <w:top w:type="dxa" w:w="5"/>
              <w:left w:type="dxa" w:w="100"/>
              <w:bottom w:type="dxa" w:w="5"/>
              <w:right w:type="dxa" w:w="0"/>
            </w:tcMar>
          </w:tcPr>
          <w:p>
            <w:pPr>
              <w:pStyle w:val="ListParagraph"/>
              <w:numPr>
                <w:ilvl w:val="0"/>
                <w:numId w:val="2"/>
              </w:numPr>
              <w:spacing w:after="0"/>
            </w:pPr>
            <w:r>
              <w:rPr>
                <w:rFonts w:ascii="Calibri" w:cs="Calibri" w:eastAsia="Calibri" w:hAnsi="Calibri"/>
                <w:color w:val="2B2B2B"/>
                <w:sz w:val="21"/>
                <w:szCs w:val="21"/>
              </w:rPr>
              <w:t xml:space="preserve">Policy Compliance &amp; Documentation</w:t>
            </w:r>
          </w:p>
        </w:tc>
      </w:tr>
      <w:tr>
        <w:tc>
          <w:tcPr>
            <w:tcW w:type="dxa" w:w="4680"/>
            <w:tcMar>
              <w:top w:type="dxa" w:w="5"/>
              <w:left w:type="dxa" w:w="0"/>
              <w:bottom w:type="dxa" w:w="5"/>
              <w:right w:type="dxa" w:w="100"/>
            </w:tcMar>
          </w:tcPr>
          <w:p>
            <w:pPr>
              <w:pStyle w:val="ListParagraph"/>
              <w:numPr>
                <w:ilvl w:val="0"/>
                <w:numId w:val="2"/>
              </w:numPr>
              <w:spacing w:after="0"/>
            </w:pPr>
            <w:r>
              <w:rPr>
                <w:rFonts w:ascii="Calibri" w:cs="Calibri" w:eastAsia="Calibri" w:hAnsi="Calibri"/>
                <w:color w:val="2B2B2B"/>
                <w:sz w:val="21"/>
                <w:szCs w:val="21"/>
              </w:rPr>
              <w:t xml:space="preserve">Cash Handling &amp; Financial Reconciliation</w:t>
            </w:r>
          </w:p>
        </w:tc>
        <w:tc>
          <w:tcPr>
            <w:tcW w:type="dxa" w:w="4680"/>
            <w:tcMar>
              <w:top w:type="dxa" w:w="5"/>
              <w:left w:type="dxa" w:w="100"/>
              <w:bottom w:type="dxa" w:w="5"/>
              <w:right w:type="dxa" w:w="0"/>
            </w:tcMar>
          </w:tcPr>
          <w:p>
            <w:pPr>
              <w:pStyle w:val="ListParagraph"/>
              <w:numPr>
                <w:ilvl w:val="0"/>
                <w:numId w:val="2"/>
              </w:numPr>
              <w:spacing w:after="0"/>
            </w:pPr>
            <w:r>
              <w:rPr>
                <w:rFonts w:ascii="Calibri" w:cs="Calibri" w:eastAsia="Calibri" w:hAnsi="Calibri"/>
                <w:color w:val="2B2B2B"/>
                <w:sz w:val="21"/>
                <w:szCs w:val="21"/>
              </w:rPr>
              <w:t xml:space="preserve">Conflict Resolution &amp; De-escalation</w:t>
            </w:r>
          </w:p>
        </w:tc>
      </w:tr>
      <w:tr>
        <w:tc>
          <w:tcPr>
            <w:tcW w:type="dxa" w:w="4680"/>
            <w:tcMar>
              <w:top w:type="dxa" w:w="5"/>
              <w:left w:type="dxa" w:w="0"/>
              <w:bottom w:type="dxa" w:w="5"/>
              <w:right w:type="dxa" w:w="100"/>
            </w:tcMar>
          </w:tcPr>
          <w:p>
            <w:pPr>
              <w:pStyle w:val="ListParagraph"/>
              <w:numPr>
                <w:ilvl w:val="0"/>
                <w:numId w:val="2"/>
              </w:numPr>
              <w:spacing w:after="0"/>
            </w:pPr>
            <w:r>
              <w:rPr>
                <w:rFonts w:ascii="Calibri" w:cs="Calibri" w:eastAsia="Calibri" w:hAnsi="Calibri"/>
                <w:color w:val="2B2B2B"/>
                <w:sz w:val="21"/>
                <w:szCs w:val="21"/>
              </w:rPr>
              <w:t xml:space="preserve">Inventory &amp; Vendor Management</w:t>
            </w:r>
          </w:p>
        </w:tc>
        <w:tc>
          <w:tcPr>
            <w:tcW w:type="dxa" w:w="4680"/>
            <w:tcMar>
              <w:top w:type="dxa" w:w="5"/>
              <w:left w:type="dxa" w:w="100"/>
              <w:bottom w:type="dxa" w:w="5"/>
              <w:right w:type="dxa" w:w="0"/>
            </w:tcMar>
          </w:tcPr>
          <w:p>
            <w:pPr>
              <w:pStyle w:val="ListParagraph"/>
              <w:numPr>
                <w:ilvl w:val="0"/>
                <w:numId w:val="2"/>
              </w:numPr>
              <w:spacing w:after="0"/>
            </w:pPr>
            <w:r>
              <w:rPr>
                <w:rFonts w:ascii="Calibri" w:cs="Calibri" w:eastAsia="Calibri" w:hAnsi="Calibri"/>
                <w:color w:val="2B2B2B"/>
                <w:sz w:val="21"/>
                <w:szCs w:val="21"/>
              </w:rPr>
              <w:t xml:space="preserve">Sound Decision-Making Under Pressure</w:t>
            </w:r>
          </w:p>
        </w:tc>
      </w:tr>
      <w:tr>
        <w:tc>
          <w:tcPr>
            <w:tcW w:type="dxa" w:w="4680"/>
            <w:tcMar>
              <w:top w:type="dxa" w:w="5"/>
              <w:left w:type="dxa" w:w="0"/>
              <w:bottom w:type="dxa" w:w="5"/>
              <w:right w:type="dxa" w:w="100"/>
            </w:tcMar>
          </w:tcPr>
          <w:p>
            <w:pPr>
              <w:pStyle w:val="ListParagraph"/>
              <w:numPr>
                <w:ilvl w:val="0"/>
                <w:numId w:val="2"/>
              </w:numPr>
              <w:spacing w:after="0"/>
            </w:pPr>
            <w:r>
              <w:rPr>
                <w:rFonts w:ascii="Calibri" w:cs="Calibri" w:eastAsia="Calibri" w:hAnsi="Calibri"/>
                <w:color w:val="2B2B2B"/>
                <w:sz w:val="21"/>
                <w:szCs w:val="21"/>
              </w:rPr>
              <w:t xml:space="preserve">Trilingual: English, Portuguese, Spanish</w:t>
            </w:r>
          </w:p>
        </w:tc>
        <w:tc>
          <w:tcPr>
            <w:tcW w:type="dxa" w:w="4680"/>
            <w:tcMar>
              <w:top w:type="dxa" w:w="5"/>
              <w:left w:type="dxa" w:w="100"/>
              <w:bottom w:type="dxa" w:w="5"/>
              <w:right w:type="dxa" w:w="0"/>
            </w:tcMar>
          </w:tcPr>
          <w:p>
            <w:pPr>
              <w:pStyle w:val="ListParagraph"/>
              <w:numPr>
                <w:ilvl w:val="0"/>
                <w:numId w:val="2"/>
              </w:numPr>
              <w:spacing w:after="0"/>
            </w:pPr>
            <w:r>
              <w:rPr>
                <w:rFonts w:ascii="Calibri" w:cs="Calibri" w:eastAsia="Calibri" w:hAnsi="Calibri"/>
                <w:color w:val="2B2B2B"/>
                <w:sz w:val="21"/>
                <w:szCs w:val="21"/>
              </w:rPr>
              <w:t xml:space="preserve">Multitasking in Fast-Paced Environments</w:t>
            </w:r>
          </w:p>
        </w:tc>
      </w:tr>
    </w:tbl>
    <w:p>
      <w:pPr>
        <w:pBdr>
          <w:bottom w:val="single" w:color="1A1A1A" w:sz="4" w:space="3"/>
        </w:pBdr>
        <w:spacing w:after="60" w:before="140"/>
      </w:pPr>
      <w:r>
        <w:rPr>
          <w:rFonts w:ascii="Calibri" w:cs="Calibri" w:eastAsia="Calibri" w:hAnsi="Calibri"/>
          <w:b/>
          <w:bCs/>
          <w:color w:val="1A1A1A"/>
          <w:spacing w:val="20"/>
          <w:sz w:val="20"/>
          <w:szCs w:val="20"/>
        </w:rPr>
        <w:t xml:space="preserve">CERTIFICATIONS</w:t>
      </w:r>
    </w:p>
    <w:p>
      <w:pPr>
        <w:pStyle w:val="ListParagraph"/>
        <w:numPr>
          <w:ilvl w:val="0"/>
          <w:numId w:val="2"/>
        </w:numPr>
        <w:spacing w:after="30"/>
      </w:pPr>
      <w:r>
        <w:rPr>
          <w:rFonts w:ascii="Calibri" w:cs="Calibri" w:eastAsia="Calibri" w:hAnsi="Calibri"/>
          <w:color w:val="2B2B2B"/>
          <w:sz w:val="21"/>
          <w:szCs w:val="21"/>
        </w:rPr>
        <w:t xml:space="preserve">First Aid &amp; CPR Certified</w:t>
      </w:r>
    </w:p>
    <w:p>
      <w:pPr>
        <w:pStyle w:val="ListParagraph"/>
        <w:numPr>
          <w:ilvl w:val="0"/>
          <w:numId w:val="2"/>
        </w:numPr>
        <w:spacing w:after="30"/>
      </w:pPr>
      <w:r>
        <w:rPr>
          <w:rFonts w:ascii="Calibri" w:cs="Calibri" w:eastAsia="Calibri" w:hAnsi="Calibri"/>
          <w:color w:val="2B2B2B"/>
          <w:sz w:val="21"/>
          <w:szCs w:val="21"/>
        </w:rPr>
        <w:t xml:space="preserve">Sergeant Examination — Passed, 2020</w:t>
      </w:r>
    </w:p>
    <w:p>
      <w:pPr>
        <w:pBdr>
          <w:bottom w:val="single" w:color="1A1A1A" w:sz="4" w:space="3"/>
        </w:pBdr>
        <w:spacing w:after="60" w:before="140"/>
      </w:pPr>
      <w:r>
        <w:rPr>
          <w:rFonts w:ascii="Calibri" w:cs="Calibri" w:eastAsia="Calibri" w:hAnsi="Calibri"/>
          <w:b/>
          <w:bCs/>
          <w:color w:val="1A1A1A"/>
          <w:spacing w:val="20"/>
          <w:sz w:val="20"/>
          <w:szCs w:val="20"/>
        </w:rPr>
        <w:t xml:space="preserve">PROFESSIONAL EXPERIENCE</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6911"/>
        <w:gridCol w:w="2448"/>
      </w:tblGrid>
      <w:tr>
        <w:tc>
          <w:tcPr>
            <w:tcW w:type="dxa" w:w="6911"/>
            <w:tcMar>
              <w:top w:type="dxa" w:w="0"/>
              <w:left w:type="dxa" w:w="0"/>
              <w:bottom w:type="dxa" w:w="0"/>
              <w:right w:type="dxa" w:w="0"/>
            </w:tcMar>
          </w:tcPr>
          <w:p>
            <w:pPr>
              <w:spacing w:after="10" w:before="60"/>
            </w:pPr>
            <w:r>
              <w:rPr>
                <w:rFonts w:ascii="Calibri" w:cs="Calibri" w:eastAsia="Calibri" w:hAnsi="Calibri"/>
                <w:b/>
                <w:bCs/>
                <w:color w:val="1A1A1A"/>
                <w:sz w:val="21"/>
                <w:szCs w:val="21"/>
              </w:rPr>
              <w:t xml:space="preserve">Corrections Officer</w:t>
            </w:r>
            <w:r>
              <w:rPr>
                <w:rFonts w:ascii="Calibri" w:cs="Calibri" w:eastAsia="Calibri" w:hAnsi="Calibri"/>
                <w:color w:val="595959"/>
                <w:sz w:val="20"/>
                <w:szCs w:val="20"/>
              </w:rPr>
              <w:t xml:space="preserve">  |  Ocean County Corrections, Toms River, NJ</w:t>
            </w:r>
          </w:p>
        </w:tc>
        <w:tc>
          <w:tcPr>
            <w:tcW w:type="dxa" w:w="2448"/>
            <w:tcMar>
              <w:top w:type="dxa" w:w="0"/>
              <w:left w:type="dxa" w:w="0"/>
              <w:bottom w:type="dxa" w:w="0"/>
              <w:right w:type="dxa" w:w="0"/>
            </w:tcMar>
          </w:tcPr>
          <w:p>
            <w:pPr>
              <w:spacing w:after="10" w:before="60"/>
              <w:jc w:val="right"/>
            </w:pPr>
            <w:r>
              <w:rPr>
                <w:rFonts w:ascii="Calibri" w:cs="Calibri" w:eastAsia="Calibri" w:hAnsi="Calibri"/>
                <w:i/>
                <w:iCs/>
                <w:color w:val="595959"/>
                <w:sz w:val="20"/>
                <w:szCs w:val="20"/>
              </w:rPr>
              <w:t xml:space="preserve">07/2024 – Present</w:t>
            </w:r>
          </w:p>
        </w:tc>
      </w:tr>
    </w:tbl>
    <w:p>
      <w:pPr>
        <w:pStyle w:val="ListParagraph"/>
        <w:numPr>
          <w:ilvl w:val="0"/>
          <w:numId w:val="2"/>
        </w:numPr>
        <w:spacing w:after="30"/>
      </w:pPr>
      <w:r>
        <w:rPr>
          <w:rFonts w:ascii="Calibri" w:cs="Calibri" w:eastAsia="Calibri" w:hAnsi="Calibri"/>
          <w:color w:val="2B2B2B"/>
          <w:sz w:val="21"/>
          <w:szCs w:val="21"/>
        </w:rPr>
        <w:t xml:space="preserve">Maintain a safe, secure, and orderly environment for staff and the public within a high-volume public facility</w:t>
      </w:r>
    </w:p>
    <w:p>
      <w:pPr>
        <w:pStyle w:val="ListParagraph"/>
        <w:numPr>
          <w:ilvl w:val="0"/>
          <w:numId w:val="2"/>
        </w:numPr>
        <w:spacing w:after="30"/>
      </w:pPr>
      <w:r>
        <w:rPr>
          <w:rFonts w:ascii="Calibri" w:cs="Calibri" w:eastAsia="Calibri" w:hAnsi="Calibri"/>
          <w:color w:val="2B2B2B"/>
          <w:sz w:val="21"/>
          <w:szCs w:val="21"/>
        </w:rPr>
        <w:t xml:space="preserve">Apply sound judgment and de-escalation skills to manage high-pressure situations professionally and effectively</w:t>
      </w:r>
    </w:p>
    <w:p>
      <w:pPr>
        <w:pStyle w:val="ListParagraph"/>
        <w:numPr>
          <w:ilvl w:val="0"/>
          <w:numId w:val="2"/>
        </w:numPr>
        <w:spacing w:after="30"/>
      </w:pPr>
      <w:r>
        <w:rPr>
          <w:rFonts w:ascii="Calibri" w:cs="Calibri" w:eastAsia="Calibri" w:hAnsi="Calibri"/>
          <w:color w:val="2B2B2B"/>
          <w:sz w:val="21"/>
          <w:szCs w:val="21"/>
        </w:rPr>
        <w:t xml:space="preserve">Enforce operational policies and procedures while maintaining accurate documentation and reporting</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6911"/>
        <w:gridCol w:w="2448"/>
      </w:tblGrid>
      <w:tr>
        <w:tc>
          <w:tcPr>
            <w:tcW w:type="dxa" w:w="6911"/>
            <w:tcMar>
              <w:top w:type="dxa" w:w="0"/>
              <w:left w:type="dxa" w:w="0"/>
              <w:bottom w:type="dxa" w:w="0"/>
              <w:right w:type="dxa" w:w="0"/>
            </w:tcMar>
          </w:tcPr>
          <w:p>
            <w:pPr>
              <w:spacing w:after="10" w:before="60"/>
            </w:pPr>
            <w:r>
              <w:rPr>
                <w:rFonts w:ascii="Calibri" w:cs="Calibri" w:eastAsia="Calibri" w:hAnsi="Calibri"/>
                <w:b/>
                <w:bCs/>
                <w:color w:val="1A1A1A"/>
                <w:sz w:val="21"/>
                <w:szCs w:val="21"/>
              </w:rPr>
              <w:t xml:space="preserve">Corrections Officer</w:t>
            </w:r>
            <w:r>
              <w:rPr>
                <w:rFonts w:ascii="Calibri" w:cs="Calibri" w:eastAsia="Calibri" w:hAnsi="Calibri"/>
                <w:color w:val="595959"/>
                <w:sz w:val="20"/>
                <w:szCs w:val="20"/>
              </w:rPr>
              <w:t xml:space="preserve">  |  Union County Sheriff's Office – Division of Corrections, Elizabeth, NJ</w:t>
            </w:r>
          </w:p>
        </w:tc>
        <w:tc>
          <w:tcPr>
            <w:tcW w:type="dxa" w:w="2448"/>
            <w:tcMar>
              <w:top w:type="dxa" w:w="0"/>
              <w:left w:type="dxa" w:w="0"/>
              <w:bottom w:type="dxa" w:w="0"/>
              <w:right w:type="dxa" w:w="0"/>
            </w:tcMar>
          </w:tcPr>
          <w:p>
            <w:pPr>
              <w:spacing w:after="10" w:before="60"/>
              <w:jc w:val="right"/>
            </w:pPr>
            <w:r>
              <w:rPr>
                <w:rFonts w:ascii="Calibri" w:cs="Calibri" w:eastAsia="Calibri" w:hAnsi="Calibri"/>
                <w:i/>
                <w:iCs/>
                <w:color w:val="595959"/>
                <w:sz w:val="20"/>
                <w:szCs w:val="20"/>
              </w:rPr>
              <w:t xml:space="preserve">03/2014 – 06/2024</w:t>
            </w:r>
          </w:p>
        </w:tc>
      </w:tr>
    </w:tbl>
    <w:p>
      <w:pPr>
        <w:pStyle w:val="ListParagraph"/>
        <w:numPr>
          <w:ilvl w:val="0"/>
          <w:numId w:val="2"/>
        </w:numPr>
        <w:spacing w:after="30"/>
      </w:pPr>
      <w:r>
        <w:rPr>
          <w:rFonts w:ascii="Calibri" w:cs="Calibri" w:eastAsia="Calibri" w:hAnsi="Calibri"/>
          <w:color w:val="2B2B2B"/>
          <w:sz w:val="21"/>
          <w:szCs w:val="21"/>
        </w:rPr>
        <w:t xml:space="preserve">Oversaw daily safety and security operations for a high-volume public facility over a 10-year tenure, building a strong record of reliability and sound judgment</w:t>
      </w:r>
    </w:p>
    <w:p>
      <w:pPr>
        <w:pStyle w:val="ListParagraph"/>
        <w:numPr>
          <w:ilvl w:val="0"/>
          <w:numId w:val="2"/>
        </w:numPr>
        <w:spacing w:after="30"/>
      </w:pPr>
      <w:r>
        <w:rPr>
          <w:rFonts w:ascii="Calibri" w:cs="Calibri" w:eastAsia="Calibri" w:hAnsi="Calibri"/>
          <w:color w:val="2B2B2B"/>
          <w:sz w:val="21"/>
          <w:szCs w:val="21"/>
        </w:rPr>
        <w:t xml:space="preserve">Managed intake and processing procedures for incoming individuals, ensuring accuracy and adherence to policy</w:t>
      </w:r>
    </w:p>
    <w:p>
      <w:pPr>
        <w:pStyle w:val="ListParagraph"/>
        <w:numPr>
          <w:ilvl w:val="0"/>
          <w:numId w:val="2"/>
        </w:numPr>
        <w:spacing w:after="30"/>
      </w:pPr>
      <w:r>
        <w:rPr>
          <w:rFonts w:ascii="Calibri" w:cs="Calibri" w:eastAsia="Calibri" w:hAnsi="Calibri"/>
          <w:color w:val="2B2B2B"/>
          <w:sz w:val="21"/>
          <w:szCs w:val="21"/>
        </w:rPr>
        <w:t xml:space="preserve">Produced detailed operational and incident reports, supporting accountability and continuous improvement in daily procedures</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6911"/>
        <w:gridCol w:w="2448"/>
      </w:tblGrid>
      <w:tr>
        <w:tc>
          <w:tcPr>
            <w:tcW w:type="dxa" w:w="6911"/>
            <w:tcMar>
              <w:top w:type="dxa" w:w="0"/>
              <w:left w:type="dxa" w:w="0"/>
              <w:bottom w:type="dxa" w:w="0"/>
              <w:right w:type="dxa" w:w="0"/>
            </w:tcMar>
          </w:tcPr>
          <w:p>
            <w:pPr>
              <w:spacing w:after="10" w:before="60"/>
            </w:pPr>
            <w:r>
              <w:rPr>
                <w:rFonts w:ascii="Calibri" w:cs="Calibri" w:eastAsia="Calibri" w:hAnsi="Calibri"/>
                <w:b/>
                <w:bCs/>
                <w:color w:val="1A1A1A"/>
                <w:sz w:val="21"/>
                <w:szCs w:val="21"/>
              </w:rPr>
              <w:t xml:space="preserve">Rater / Underwriter, Professional Liability</w:t>
            </w:r>
            <w:r>
              <w:rPr>
                <w:rFonts w:ascii="Calibri" w:cs="Calibri" w:eastAsia="Calibri" w:hAnsi="Calibri"/>
                <w:color w:val="595959"/>
                <w:sz w:val="20"/>
                <w:szCs w:val="20"/>
              </w:rPr>
              <w:t xml:space="preserve">  |  Couch Braunsdorf Insurance, Bernardsville, NJ</w:t>
            </w:r>
          </w:p>
        </w:tc>
        <w:tc>
          <w:tcPr>
            <w:tcW w:type="dxa" w:w="2448"/>
            <w:tcMar>
              <w:top w:type="dxa" w:w="0"/>
              <w:left w:type="dxa" w:w="0"/>
              <w:bottom w:type="dxa" w:w="0"/>
              <w:right w:type="dxa" w:w="0"/>
            </w:tcMar>
          </w:tcPr>
          <w:p>
            <w:pPr>
              <w:spacing w:after="10" w:before="60"/>
              <w:jc w:val="right"/>
            </w:pPr>
            <w:r>
              <w:rPr>
                <w:rFonts w:ascii="Calibri" w:cs="Calibri" w:eastAsia="Calibri" w:hAnsi="Calibri"/>
                <w:i/>
                <w:iCs/>
                <w:color w:val="595959"/>
                <w:sz w:val="20"/>
                <w:szCs w:val="20"/>
              </w:rPr>
              <w:t xml:space="preserve">07/2012 – 01/2014</w:t>
            </w:r>
          </w:p>
        </w:tc>
      </w:tr>
    </w:tbl>
    <w:p>
      <w:pPr>
        <w:pStyle w:val="ListParagraph"/>
        <w:numPr>
          <w:ilvl w:val="0"/>
          <w:numId w:val="2"/>
        </w:numPr>
        <w:spacing w:after="30"/>
      </w:pPr>
      <w:r>
        <w:rPr>
          <w:rFonts w:ascii="Calibri" w:cs="Calibri" w:eastAsia="Calibri" w:hAnsi="Calibri"/>
          <w:color w:val="2B2B2B"/>
          <w:sz w:val="21"/>
          <w:szCs w:val="21"/>
        </w:rPr>
        <w:t xml:space="preserve">Evaluated and processed insurance quotes across multiple carriers to secure competitive rates for clients</w:t>
      </w:r>
    </w:p>
    <w:p>
      <w:pPr>
        <w:pStyle w:val="ListParagraph"/>
        <w:numPr>
          <w:ilvl w:val="0"/>
          <w:numId w:val="2"/>
        </w:numPr>
        <w:spacing w:after="30"/>
      </w:pPr>
      <w:r>
        <w:rPr>
          <w:rFonts w:ascii="Calibri" w:cs="Calibri" w:eastAsia="Calibri" w:hAnsi="Calibri"/>
          <w:color w:val="2B2B2B"/>
          <w:sz w:val="21"/>
          <w:szCs w:val="21"/>
        </w:rPr>
        <w:t xml:space="preserve">Advised clients on homeowners and auto insurance coverage options tailored to their individual needs</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6911"/>
        <w:gridCol w:w="2448"/>
      </w:tblGrid>
      <w:tr>
        <w:tc>
          <w:tcPr>
            <w:tcW w:type="dxa" w:w="6911"/>
            <w:tcMar>
              <w:top w:type="dxa" w:w="0"/>
              <w:left w:type="dxa" w:w="0"/>
              <w:bottom w:type="dxa" w:w="0"/>
              <w:right w:type="dxa" w:w="0"/>
            </w:tcMar>
          </w:tcPr>
          <w:p>
            <w:pPr>
              <w:spacing w:after="10" w:before="60"/>
            </w:pPr>
            <w:r>
              <w:rPr>
                <w:rFonts w:ascii="Calibri" w:cs="Calibri" w:eastAsia="Calibri" w:hAnsi="Calibri"/>
                <w:b/>
                <w:bCs/>
                <w:color w:val="1A1A1A"/>
                <w:sz w:val="21"/>
                <w:szCs w:val="21"/>
              </w:rPr>
              <w:t xml:space="preserve">Waiter / Assistant Manager (Part-Time)</w:t>
            </w:r>
            <w:r>
              <w:rPr>
                <w:rFonts w:ascii="Calibri" w:cs="Calibri" w:eastAsia="Calibri" w:hAnsi="Calibri"/>
                <w:color w:val="595959"/>
                <w:sz w:val="20"/>
                <w:szCs w:val="20"/>
              </w:rPr>
              <w:t xml:space="preserve">  |  Clark Barbeque, Clark, NJ</w:t>
            </w:r>
          </w:p>
        </w:tc>
        <w:tc>
          <w:tcPr>
            <w:tcW w:type="dxa" w:w="2448"/>
            <w:tcMar>
              <w:top w:type="dxa" w:w="0"/>
              <w:left w:type="dxa" w:w="0"/>
              <w:bottom w:type="dxa" w:w="0"/>
              <w:right w:type="dxa" w:w="0"/>
            </w:tcMar>
          </w:tcPr>
          <w:p>
            <w:pPr>
              <w:spacing w:after="10" w:before="60"/>
              <w:jc w:val="right"/>
            </w:pPr>
            <w:r>
              <w:rPr>
                <w:rFonts w:ascii="Calibri" w:cs="Calibri" w:eastAsia="Calibri" w:hAnsi="Calibri"/>
                <w:i/>
                <w:iCs/>
                <w:color w:val="595959"/>
                <w:sz w:val="20"/>
                <w:szCs w:val="20"/>
              </w:rPr>
              <w:t xml:space="preserve">04/2005 – 12/2023</w:t>
            </w:r>
          </w:p>
        </w:tc>
      </w:tr>
    </w:tbl>
    <w:p>
      <w:pPr>
        <w:pStyle w:val="ListParagraph"/>
        <w:numPr>
          <w:ilvl w:val="0"/>
          <w:numId w:val="2"/>
        </w:numPr>
        <w:spacing w:after="30"/>
      </w:pPr>
      <w:r>
        <w:rPr>
          <w:rFonts w:ascii="Calibri" w:cs="Calibri" w:eastAsia="Calibri" w:hAnsi="Calibri"/>
          <w:color w:val="2B2B2B"/>
          <w:sz w:val="21"/>
          <w:szCs w:val="21"/>
        </w:rPr>
        <w:t xml:space="preserve">Delivered consistently top-rated customer service over an 18-year tenure, contributing to strong customer loyalty and repeat business</w:t>
      </w:r>
    </w:p>
    <w:p>
      <w:pPr>
        <w:pStyle w:val="ListParagraph"/>
        <w:numPr>
          <w:ilvl w:val="0"/>
          <w:numId w:val="2"/>
        </w:numPr>
        <w:spacing w:after="30"/>
      </w:pPr>
      <w:r>
        <w:rPr>
          <w:rFonts w:ascii="Calibri" w:cs="Calibri" w:eastAsia="Calibri" w:hAnsi="Calibri"/>
          <w:color w:val="2B2B2B"/>
          <w:sz w:val="21"/>
          <w:szCs w:val="21"/>
        </w:rPr>
        <w:t xml:space="preserve">Coordinated employee scheduling and day-to-day front-of-house operations as Assistant Manager</w:t>
      </w:r>
    </w:p>
    <w:p>
      <w:pPr>
        <w:pStyle w:val="ListParagraph"/>
        <w:numPr>
          <w:ilvl w:val="0"/>
          <w:numId w:val="2"/>
        </w:numPr>
        <w:spacing w:after="30"/>
      </w:pPr>
      <w:r>
        <w:rPr>
          <w:rFonts w:ascii="Calibri" w:cs="Calibri" w:eastAsia="Calibri" w:hAnsi="Calibri"/>
          <w:color w:val="2B2B2B"/>
          <w:sz w:val="21"/>
          <w:szCs w:val="21"/>
        </w:rPr>
        <w:t xml:space="preserve">Managed supply inventory and daily financial reconciliation, including accurate end-of-day register close-out</w:t>
      </w:r>
    </w:p>
    <w:p>
      <w:pPr>
        <w:pBdr>
          <w:bottom w:val="single" w:color="1A1A1A" w:sz="4" w:space="3"/>
        </w:pBdr>
        <w:spacing w:after="60" w:before="140"/>
      </w:pPr>
      <w:r>
        <w:rPr>
          <w:rFonts w:ascii="Calibri" w:cs="Calibri" w:eastAsia="Calibri" w:hAnsi="Calibri"/>
          <w:b/>
          <w:bCs/>
          <w:color w:val="1A1A1A"/>
          <w:spacing w:val="20"/>
          <w:sz w:val="20"/>
          <w:szCs w:val="20"/>
        </w:rPr>
        <w:t xml:space="preserve">EDUCATION</w:t>
      </w:r>
    </w:p>
    <w:p>
      <w:pPr>
        <w:spacing w:after="20"/>
      </w:pPr>
      <w:r>
        <w:rPr>
          <w:rFonts w:ascii="Calibri" w:cs="Calibri" w:eastAsia="Calibri" w:hAnsi="Calibri"/>
          <w:b/>
          <w:bCs/>
          <w:color w:val="2B2B2B"/>
          <w:sz w:val="21"/>
          <w:szCs w:val="21"/>
        </w:rPr>
        <w:t xml:space="preserve">Bachelor's Degree, Management Science (Minor in Criminal Justice)</w:t>
      </w:r>
    </w:p>
    <w:p>
      <w:pPr>
        <w:spacing w:after="100"/>
      </w:pPr>
      <w:r>
        <w:rPr>
          <w:rFonts w:ascii="Calibri" w:cs="Calibri" w:eastAsia="Calibri" w:hAnsi="Calibri"/>
          <w:color w:val="595959"/>
          <w:sz w:val="20"/>
          <w:szCs w:val="20"/>
        </w:rPr>
        <w:t xml:space="preserve">Kean University, Union, NJ  —  Graduated May 2010  |  GPA: 3.22</w:t>
      </w:r>
    </w:p>
    <w:p>
      <w:pPr>
        <w:pBdr>
          <w:bottom w:val="single" w:color="1A1A1A" w:sz="4" w:space="3"/>
        </w:pBdr>
        <w:spacing w:after="60" w:before="140"/>
      </w:pPr>
      <w:r>
        <w:rPr>
          <w:rFonts w:ascii="Calibri" w:cs="Calibri" w:eastAsia="Calibri" w:hAnsi="Calibri"/>
          <w:b/>
          <w:bCs/>
          <w:color w:val="1A1A1A"/>
          <w:spacing w:val="20"/>
          <w:sz w:val="20"/>
          <w:szCs w:val="20"/>
        </w:rPr>
        <w:t xml:space="preserve">REFERENCES</w:t>
      </w:r>
    </w:p>
    <w:p>
      <w:r>
        <w:rPr>
          <w:rFonts w:ascii="Calibri" w:cs="Calibri" w:eastAsia="Calibri" w:hAnsi="Calibri"/>
          <w:i/>
          <w:iCs/>
          <w:color w:val="2B2B2B"/>
          <w:sz w:val="21"/>
          <w:szCs w:val="21"/>
        </w:rPr>
        <w:t xml:space="preserve">Available upon request.</w:t>
      </w:r>
    </w:p>
    <w:sectPr>
      <w:pgSz w:w="12240" w:h="15840" w:orient="portrait"/>
      <w:pgMar w:top="500" w:right="900" w:bottom="5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3"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2026-09-11T18:42:20.196Z</dcterms:created>
  <dcterms:modified xsi:type="dcterms:W3CDTF">2026-09-11T18:42:20.196Z</dcterms:modified>
</cp:coreProperties>
</file>

<file path=docProps/custom.xml><?xml version="1.0" encoding="utf-8"?>
<Properties xmlns="http://schemas.openxmlformats.org/officeDocument/2006/custom-properties" xmlns:vt="http://schemas.openxmlformats.org/officeDocument/2006/docPropsVTypes"/>
</file>