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160"/>
      </w:pPr>
      <w:r>
        <w:rPr>
          <w:b/>
          <w:color w:val="8B3DFF"/>
          <w:sz w:val="20"/>
        </w:rPr>
        <w:t>Ralun</w:t>
      </w:r>
    </w:p>
    <w:p>
      <w:pPr>
        <w:pStyle w:val="Title"/>
      </w:pPr>
      <w:r>
        <w:t>Ficha de una decisión del programa de desempeño</w:t>
      </w:r>
    </w:p>
    <w:p>
      <w:pPr>
        <w:spacing w:after="200"/>
      </w:pPr>
      <w:r>
        <w:t>Completa una ficha por decisión. Escribe debajo de cada campo y conserva el registro vigente donde tu equipo pueda recuperarlo. Puedes duplicar esta página para otra decisión.</w:t>
      </w:r>
    </w:p>
    <w:p>
      <w:pPr>
        <w:pStyle w:val="Heading1"/>
      </w:pPr>
      <w:r>
        <w:t>Ficha en blanco</w:t>
      </w:r>
    </w:p>
    <w:p>
      <w:pPr>
        <w:keepNext/>
        <w:spacing w:after="40"/>
      </w:pPr>
      <w:r>
        <w:rPr>
          <w:b/>
          <w:color w:val="35234F"/>
        </w:rPr>
        <w:t>Situación que lo activa:</w:t>
      </w:r>
      <w:r>
        <w:t xml:space="preserve"> hecho, cambio o pregunta que requiere una decisión.</w:t>
      </w:r>
    </w:p>
    <w:p>
      <w:pPr>
        <w:keepNext w:val="0"/>
        <w:spacing w:line="240" w:lineRule="auto" w:before="0" w:after="140"/>
        <w:pBdr>
          <w:bottom w:val="single" w:sz="4" w:color="D9D9D9" w:space="1"/>
        </w:pBdr>
      </w:pPr>
      <w:r>
        <w:rPr>
          <w:sz w:val="22"/>
        </w:rPr>
        <w:t xml:space="preserve"> </w:t>
      </w:r>
    </w:p>
    <w:p>
      <w:pPr>
        <w:keepNext/>
        <w:spacing w:after="40"/>
      </w:pPr>
      <w:r>
        <w:rPr>
          <w:b/>
          <w:color w:val="35234F"/>
        </w:rPr>
        <w:t>Entrada:</w:t>
      </w:r>
      <w:r>
        <w:t xml:space="preserve"> antecedentes y versión del registro que recibe quien debe decidir.</w:t>
      </w:r>
    </w:p>
    <w:p>
      <w:pPr>
        <w:keepNext w:val="0"/>
        <w:spacing w:line="240" w:lineRule="auto" w:before="0" w:after="140"/>
        <w:pBdr>
          <w:bottom w:val="single" w:sz="4" w:color="D9D9D9" w:space="1"/>
        </w:pBdr>
      </w:pPr>
      <w:r>
        <w:rPr>
          <w:sz w:val="22"/>
        </w:rPr>
        <w:t xml:space="preserve"> </w:t>
      </w:r>
    </w:p>
    <w:p>
      <w:pPr>
        <w:keepNext/>
        <w:spacing w:after="40"/>
      </w:pPr>
      <w:r>
        <w:rPr>
          <w:b/>
          <w:color w:val="35234F"/>
        </w:rPr>
        <w:t>Decisión:</w:t>
      </w:r>
      <w:r>
        <w:t xml:space="preserve"> asunto concreto que se resuelve o se conserva abierto.</w:t>
      </w:r>
    </w:p>
    <w:p>
      <w:pPr>
        <w:keepNext w:val="0"/>
        <w:spacing w:line="240" w:lineRule="auto" w:before="0" w:after="140"/>
        <w:pBdr>
          <w:bottom w:val="single" w:sz="4" w:color="D9D9D9" w:space="1"/>
        </w:pBdr>
      </w:pPr>
      <w:r>
        <w:rPr>
          <w:sz w:val="22"/>
        </w:rPr>
        <w:t xml:space="preserve"> </w:t>
      </w:r>
    </w:p>
    <w:p>
      <w:pPr>
        <w:keepNext/>
        <w:spacing w:after="40"/>
      </w:pPr>
      <w:r>
        <w:rPr>
          <w:b/>
          <w:color w:val="35234F"/>
        </w:rPr>
        <w:t>Responsable:</w:t>
      </w:r>
      <w:r>
        <w:t xml:space="preserve"> persona o función que aporta el antecedente y persona con atribuciones para decidir.</w:t>
      </w:r>
    </w:p>
    <w:p>
      <w:pPr>
        <w:keepNext w:val="0"/>
        <w:spacing w:line="240" w:lineRule="auto" w:before="0" w:after="140"/>
        <w:pBdr>
          <w:bottom w:val="single" w:sz="4" w:color="D9D9D9" w:space="1"/>
        </w:pBdr>
      </w:pPr>
      <w:r>
        <w:rPr>
          <w:sz w:val="22"/>
        </w:rPr>
        <w:t xml:space="preserve"> </w:t>
      </w:r>
    </w:p>
    <w:p>
      <w:pPr>
        <w:keepNext/>
        <w:spacing w:after="40"/>
      </w:pPr>
      <w:r>
        <w:rPr>
          <w:b/>
          <w:color w:val="35234F"/>
        </w:rPr>
        <w:t>Salida:</w:t>
      </w:r>
      <w:r>
        <w:t xml:space="preserve"> acuerdo, solicitud o cuestión pendiente que queda registrada, con su versión.</w:t>
      </w:r>
    </w:p>
    <w:p>
      <w:pPr>
        <w:keepNext w:val="0"/>
        <w:spacing w:line="240" w:lineRule="auto" w:before="0" w:after="140"/>
        <w:pBdr>
          <w:bottom w:val="single" w:sz="4" w:color="D9D9D9" w:space="1"/>
        </w:pBdr>
      </w:pPr>
      <w:r>
        <w:rPr>
          <w:sz w:val="22"/>
        </w:rPr>
        <w:t xml:space="preserve"> </w:t>
      </w:r>
    </w:p>
    <w:p>
      <w:pPr>
        <w:keepNext/>
        <w:spacing w:after="40"/>
      </w:pPr>
      <w:r>
        <w:rPr>
          <w:b/>
          <w:color w:val="35234F"/>
        </w:rPr>
        <w:t>Destino:</w:t>
      </w:r>
      <w:r>
        <w:t xml:space="preserve"> persona que recibe la salida y registro donde podrá recuperarla.</w:t>
      </w:r>
    </w:p>
    <w:p>
      <w:pPr>
        <w:keepNext w:val="0"/>
        <w:spacing w:line="240" w:lineRule="auto" w:before="0" w:after="140"/>
        <w:pBdr>
          <w:bottom w:val="single" w:sz="4" w:color="D9D9D9" w:space="1"/>
        </w:pBdr>
      </w:pPr>
      <w:r>
        <w:rPr>
          <w:sz w:val="22"/>
        </w:rPr>
        <w:t xml:space="preserve"> </w:t>
      </w:r>
    </w:p>
    <w:p>
      <w:pPr>
        <w:keepNext/>
        <w:spacing w:after="40"/>
      </w:pPr>
      <w:r>
        <w:rPr>
          <w:b/>
          <w:color w:val="35234F"/>
        </w:rPr>
        <w:t>Confirmación de recepción:</w:t>
      </w:r>
      <w:r>
        <w:t xml:space="preserve"> quién confirma la versión recibida y en qué registro queda constancia.</w:t>
      </w:r>
    </w:p>
    <w:p>
      <w:pPr>
        <w:keepNext w:val="0"/>
        <w:spacing w:line="240" w:lineRule="auto" w:before="0" w:after="140"/>
        <w:pBdr>
          <w:bottom w:val="single" w:sz="4" w:color="D9D9D9" w:space="1"/>
        </w:pBdr>
      </w:pPr>
      <w:r>
        <w:rPr>
          <w:sz w:val="22"/>
        </w:rPr>
        <w:t xml:space="preserve"> </w:t>
      </w:r>
    </w:p>
    <w:p>
      <w:pPr>
        <w:keepNext/>
        <w:spacing w:after="40"/>
      </w:pPr>
      <w:r>
        <w:rPr>
          <w:b/>
          <w:color w:val="35234F"/>
        </w:rPr>
        <w:t>Ruta de excepción:</w:t>
      </w:r>
      <w:r>
        <w:t xml:space="preserve"> qué se hace si falta un antecedente, hay desacuerdo o cambia el alcance, y quién lo retoma.</w:t>
      </w:r>
    </w:p>
    <w:p>
      <w:pPr>
        <w:keepNext w:val="0"/>
        <w:spacing w:line="240" w:lineRule="auto" w:before="0" w:after="140"/>
        <w:pBdr>
          <w:bottom w:val="single" w:sz="4" w:color="D9D9D9" w:space="1"/>
        </w:pBdr>
      </w:pPr>
      <w:r>
        <w:rPr>
          <w:sz w:val="22"/>
        </w:rPr>
        <w:t xml:space="preserve"> </w:t>
      </w:r>
    </w:p>
    <w:p>
      <w:pPr>
        <w:keepNext/>
        <w:spacing w:after="40"/>
      </w:pPr>
      <w:r>
        <w:rPr>
          <w:b/>
          <w:color w:val="35234F"/>
        </w:rPr>
        <w:t>Próxima revisión:</w:t>
      </w:r>
      <w:r>
        <w:t xml:space="preserve"> fecha o evento acordado para retomarlo, responsable de la revisión y asunto que comprobará.</w:t>
      </w:r>
    </w:p>
    <w:p>
      <w:pPr>
        <w:keepNext w:val="0"/>
        <w:spacing w:line="240" w:lineRule="auto" w:before="0" w:after="140"/>
        <w:pBdr>
          <w:bottom w:val="single" w:sz="4" w:color="D9D9D9" w:space="1"/>
        </w:pBdr>
      </w:pPr>
      <w:r>
        <w:rPr>
          <w:sz w:val="22"/>
        </w:rPr>
        <w:t xml:space="preserve"> </w:t>
      </w:r>
    </w:p>
    <w:p>
      <w:r>
        <w:br w:type="page"/>
      </w:r>
    </w:p>
    <w:p>
      <w:pPr>
        <w:keepNext/>
        <w:spacing w:after="160"/>
      </w:pPr>
      <w:r>
        <w:rPr>
          <w:b/>
          <w:color w:val="8B3DFF"/>
          <w:sz w:val="20"/>
        </w:rPr>
        <w:t>Ralun</w:t>
      </w:r>
    </w:p>
    <w:p>
      <w:pPr>
        <w:pStyle w:val="Title"/>
      </w:pPr>
      <w:r>
        <w:t>Ejemplo GD01</w:t>
      </w:r>
    </w:p>
    <w:p>
      <w:pPr>
        <w:pStyle w:val="Heading1"/>
      </w:pPr>
      <w:r>
        <w:t>Cambio aprobado de prioridad</w:t>
      </w:r>
    </w:p>
    <w:p>
      <w:r>
        <w:t>Caso ficticio y didáctico. Este ejemplo corresponde al ajuste de un objetivo cuando cambia una prioridad comercial.</w:t>
      </w:r>
    </w:p>
    <w:p>
      <w:pPr>
        <w:spacing w:after="240"/>
      </w:pPr>
      <w:r>
        <w:rPr>
          <w:b/>
          <w:color w:val="35234F"/>
        </w:rPr>
        <w:t>Situación:</w:t>
      </w:r>
      <w:r>
        <w:t xml:space="preserve"> cambio aprobado de prioridad comercial.</w:t>
      </w:r>
    </w:p>
    <w:p>
      <w:pPr>
        <w:spacing w:after="240"/>
      </w:pPr>
      <w:r>
        <w:rPr>
          <w:b/>
          <w:color w:val="35234F"/>
        </w:rPr>
        <w:t>Entrada:</w:t>
      </w:r>
      <w:r>
        <w:t xml:space="preserve"> objetivo V1 y justificación del cambio.</w:t>
      </w:r>
    </w:p>
    <w:p>
      <w:pPr>
        <w:spacing w:after="240"/>
      </w:pPr>
      <w:r>
        <w:rPr>
          <w:b/>
          <w:color w:val="35234F"/>
        </w:rPr>
        <w:t>Decisión:</w:t>
      </w:r>
      <w:r>
        <w:t xml:space="preserve"> acordar el objetivo V2 que se utilizará.</w:t>
      </w:r>
    </w:p>
    <w:p>
      <w:pPr>
        <w:spacing w:after="240"/>
      </w:pPr>
      <w:r>
        <w:rPr>
          <w:b/>
          <w:color w:val="35234F"/>
        </w:rPr>
        <w:t>Responsable:</w:t>
      </w:r>
      <w:r>
        <w:t xml:space="preserve"> la jefatura y la persona acuerdan el ajuste según las atribuciones del proceso.</w:t>
      </w:r>
    </w:p>
    <w:p>
      <w:pPr>
        <w:spacing w:after="240"/>
      </w:pPr>
      <w:r>
        <w:rPr>
          <w:b/>
          <w:color w:val="35234F"/>
        </w:rPr>
        <w:t>Salida:</w:t>
      </w:r>
      <w:r>
        <w:t xml:space="preserve"> objetivo V2 aceptado; V1 permanece en el historial.</w:t>
      </w:r>
    </w:p>
    <w:p>
      <w:pPr>
        <w:spacing w:after="240"/>
      </w:pPr>
      <w:r>
        <w:rPr>
          <w:b/>
          <w:color w:val="35234F"/>
        </w:rPr>
        <w:t>Destino:</w:t>
      </w:r>
      <w:r>
        <w:t xml:space="preserve"> responsable del seguimiento, en el registro de objetivos que usa el equipo.</w:t>
      </w:r>
    </w:p>
    <w:p>
      <w:pPr>
        <w:spacing w:after="240"/>
      </w:pPr>
      <w:r>
        <w:rPr>
          <w:b/>
          <w:color w:val="35234F"/>
        </w:rPr>
        <w:t>Confirmación:</w:t>
      </w:r>
      <w:r>
        <w:t xml:space="preserve"> recepción de V2 identificada por su destinatario en ese registro. Es la comprobación exigida para cerrar este recorrido.</w:t>
      </w:r>
    </w:p>
    <w:p>
      <w:pPr>
        <w:spacing w:after="240"/>
      </w:pPr>
      <w:r>
        <w:rPr>
          <w:b/>
          <w:color w:val="35234F"/>
        </w:rPr>
        <w:t>Excepción:</w:t>
      </w:r>
      <w:r>
        <w:t xml:space="preserve"> si el destinatario no recibe V2 o encuentra una diferencia, devuelve el asunto a la jefatura y la persona; no se trata el ajuste como cerrado.</w:t>
      </w:r>
    </w:p>
    <w:p>
      <w:pPr>
        <w:spacing w:after="240"/>
      </w:pPr>
      <w:r>
        <w:rPr>
          <w:b/>
          <w:color w:val="35234F"/>
        </w:rPr>
        <w:t>Próxima revisión:</w:t>
      </w:r>
      <w:r>
        <w:t xml:space="preserve"> la ya acordada para el objetivo, a cargo de la jefatura y la persona; se comprobará el avance contra V2.</w:t>
      </w:r>
    </w:p>
    <w:p>
      <w:r>
        <w:t>La decisión de cambio queda resuelta cuando la versión correspondiente está aceptada y recibida por quien seguirá el objetivo. Su ejecución continúa a cargo de la jefatura y la persona. Haber cerrado el ajuste administrativo no significa haber cumplido el nuevo objetivo.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646474"/>
        <w:sz w:val="18"/>
      </w:rPr>
      <w:t>Ralun | Gestión del desempeño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9" w:lineRule="auto" w:after="140"/>
    </w:pPr>
    <w:rPr>
      <w:rFonts w:ascii="Arial" w:hAnsi="Arial"/>
      <w:b w:val="0"/>
      <w:color w:val="17172E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36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35234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60"/>
      <w:outlineLvl w:val="1"/>
    </w:pPr>
    <w:rPr>
      <w:rFonts w:asciiTheme="majorHAnsi" w:eastAsiaTheme="majorEastAsia" w:hAnsiTheme="majorHAnsi" w:cstheme="majorBidi" w:ascii="Arial" w:hAnsi="Arial"/>
      <w:b/>
      <w:bCs/>
      <w:color w:val="35234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220" w:line="240" w:lineRule="auto" w:before="0"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una decisión del programa de desempeño</dc:title>
  <dc:subject>Ficha en blanco y ejemplo ficticio GD01</dc:subject>
  <dc:creator>Ralun</dc:creator>
  <cp:keywords>desempeño, decisión, Ralun, ficha editable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