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Paquete de muestra de trabajo</w:t>
      </w:r>
    </w:p>
    <w:p>
      <w:r>
        <w:t>T84-01 · Pauta en blanco</w:t>
      </w:r>
    </w:p>
    <w:p>
      <w:r>
        <w:t>Uso educativo para desarrollo interno. No es una prueba validada ni un instrumento de selección. Revise con responsables técnicos antes de utilizar con personas reales. Complete los ocho campos; conserve datos originales, entrega y registro de observación por separado.</w:t>
      </w:r>
    </w:p>
    <w:p>
      <w:pPr>
        <w:pStyle w:val="Heading1"/>
      </w:pPr>
      <w:r>
        <w:t>Datos sintéticos comunes</w:t>
      </w:r>
    </w:p>
    <w:p>
      <w:r>
        <w:t>Unidades monetarias ficticias. Compare cada orden con su respaldo; registre seis comprobaciones, aísle discrepancias y proponga verificación sin modificar el origen.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8B3DFF"/>
          </w:tcPr>
          <w:p>
            <w:pPr>
              <w:spacing w:after="60"/>
            </w:pPr>
            <w:r>
              <w:rPr>
                <w:color w:val="FFFFFF"/>
                <w:sz w:val="20"/>
              </w:rPr>
              <w:t>Orden</w:t>
            </w:r>
          </w:p>
        </w:tc>
        <w:tc>
          <w:tcPr>
            <w:tcW w:type="dxa" w:w="3360"/>
            <w:shd w:fill="35234F"/>
          </w:tcPr>
          <w:p>
            <w:pPr>
              <w:spacing w:after="60"/>
            </w:pPr>
            <w:r>
              <w:rPr>
                <w:color w:val="FFFFFF"/>
                <w:sz w:val="20"/>
              </w:rPr>
              <w:t>Importe orden</w:t>
            </w:r>
          </w:p>
        </w:tc>
        <w:tc>
          <w:tcPr>
            <w:tcW w:type="dxa" w:w="3360"/>
            <w:shd w:fill="35234F"/>
          </w:tcPr>
          <w:p>
            <w:pPr>
              <w:spacing w:after="60"/>
            </w:pPr>
            <w:r>
              <w:rPr>
                <w:color w:val="FFFFFF"/>
                <w:sz w:val="20"/>
              </w:rPr>
              <w:t>Importe respaldo</w:t>
            </w:r>
          </w:p>
        </w:tc>
      </w:tr>
      <w:tr>
        <w:tc>
          <w:tcPr>
            <w:tcW w:type="dxa" w:w="3360"/>
            <w:shd w:fill="8B3DFF"/>
          </w:tcPr>
          <w:p>
            <w:pPr>
              <w:spacing w:after="60"/>
            </w:pPr>
            <w:r>
              <w:rPr>
                <w:color w:val="FFFFFF"/>
                <w:sz w:val="20"/>
              </w:rPr>
              <w:t>O01</w:t>
            </w:r>
          </w:p>
        </w:tc>
        <w:tc>
          <w:tcPr>
            <w:tcW w:type="dxa" w:w="3360"/>
            <w:shd w:fill="FFFFFF"/>
          </w:tcPr>
          <w:p>
            <w:pPr>
              <w:spacing w:after="60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type="dxa" w:w="3360"/>
            <w:shd w:fill="FFFFFF"/>
          </w:tcPr>
          <w:p>
            <w:pPr>
              <w:spacing w:after="60"/>
            </w:pPr>
            <w:r>
              <w:rPr>
                <w:color w:val="000000"/>
                <w:sz w:val="20"/>
              </w:rPr>
              <w:t>100</w:t>
            </w:r>
          </w:p>
        </w:tc>
      </w:tr>
      <w:tr>
        <w:tc>
          <w:tcPr>
            <w:tcW w:type="dxa" w:w="3360"/>
            <w:shd w:fill="8B3DFF"/>
          </w:tcPr>
          <w:p>
            <w:pPr>
              <w:spacing w:after="60"/>
            </w:pPr>
            <w:r>
              <w:rPr>
                <w:color w:val="FFFFFF"/>
                <w:sz w:val="20"/>
              </w:rPr>
              <w:t>O02</w:t>
            </w:r>
          </w:p>
        </w:tc>
        <w:tc>
          <w:tcPr>
            <w:tcW w:type="dxa" w:w="3360"/>
            <w:shd w:fill="F4EEFF"/>
          </w:tcPr>
          <w:p>
            <w:pPr>
              <w:spacing w:after="60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type="dxa" w:w="3360"/>
            <w:shd w:fill="F4EEFF"/>
          </w:tcPr>
          <w:p>
            <w:pPr>
              <w:spacing w:after="60"/>
            </w:pPr>
            <w:r>
              <w:rPr>
                <w:color w:val="000000"/>
                <w:sz w:val="20"/>
              </w:rPr>
              <w:t>150</w:t>
            </w:r>
          </w:p>
        </w:tc>
      </w:tr>
      <w:tr>
        <w:tc>
          <w:tcPr>
            <w:tcW w:type="dxa" w:w="3360"/>
            <w:shd w:fill="8B3DFF"/>
          </w:tcPr>
          <w:p>
            <w:pPr>
              <w:spacing w:after="60"/>
            </w:pPr>
            <w:r>
              <w:rPr>
                <w:color w:val="FFFFFF"/>
                <w:sz w:val="20"/>
              </w:rPr>
              <w:t>O03</w:t>
            </w:r>
          </w:p>
        </w:tc>
        <w:tc>
          <w:tcPr>
            <w:tcW w:type="dxa" w:w="3360"/>
            <w:shd w:fill="FFFFFF"/>
          </w:tcPr>
          <w:p>
            <w:pPr>
              <w:spacing w:after="60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type="dxa" w:w="3360"/>
            <w:shd w:fill="FFFFFF"/>
          </w:tcPr>
          <w:p>
            <w:pPr>
              <w:spacing w:after="60"/>
            </w:pPr>
            <w:r>
              <w:rPr>
                <w:color w:val="000000"/>
                <w:sz w:val="20"/>
              </w:rPr>
              <w:t>190</w:t>
            </w:r>
          </w:p>
        </w:tc>
      </w:tr>
      <w:tr>
        <w:tc>
          <w:tcPr>
            <w:tcW w:type="dxa" w:w="3360"/>
            <w:shd w:fill="8B3DFF"/>
          </w:tcPr>
          <w:p>
            <w:pPr>
              <w:spacing w:after="60"/>
            </w:pPr>
            <w:r>
              <w:rPr>
                <w:color w:val="FFFFFF"/>
                <w:sz w:val="20"/>
              </w:rPr>
              <w:t>O04</w:t>
            </w:r>
          </w:p>
        </w:tc>
        <w:tc>
          <w:tcPr>
            <w:tcW w:type="dxa" w:w="3360"/>
            <w:shd w:fill="F4EEFF"/>
          </w:tcPr>
          <w:p>
            <w:pPr>
              <w:spacing w:after="60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type="dxa" w:w="3360"/>
            <w:shd w:fill="F4EEFF"/>
          </w:tcPr>
          <w:p>
            <w:pPr>
              <w:spacing w:after="60"/>
            </w:pPr>
            <w:r>
              <w:rPr>
                <w:color w:val="000000"/>
                <w:sz w:val="20"/>
              </w:rPr>
              <w:t>80</w:t>
            </w:r>
          </w:p>
        </w:tc>
      </w:tr>
      <w:tr>
        <w:tc>
          <w:tcPr>
            <w:tcW w:type="dxa" w:w="3360"/>
            <w:shd w:fill="8B3DFF"/>
          </w:tcPr>
          <w:p>
            <w:pPr>
              <w:spacing w:after="60"/>
            </w:pPr>
            <w:r>
              <w:rPr>
                <w:color w:val="FFFFFF"/>
                <w:sz w:val="20"/>
              </w:rPr>
              <w:t>O05</w:t>
            </w:r>
          </w:p>
        </w:tc>
        <w:tc>
          <w:tcPr>
            <w:tcW w:type="dxa" w:w="3360"/>
            <w:shd w:fill="FFFFFF"/>
          </w:tcPr>
          <w:p>
            <w:pPr>
              <w:spacing w:after="60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type="dxa" w:w="3360"/>
            <w:shd w:fill="FFFFFF"/>
          </w:tcPr>
          <w:p>
            <w:pPr>
              <w:spacing w:after="60"/>
            </w:pPr>
            <w:r>
              <w:rPr>
                <w:color w:val="000000"/>
                <w:sz w:val="20"/>
              </w:rPr>
              <w:t>120</w:t>
            </w:r>
          </w:p>
        </w:tc>
      </w:tr>
      <w:tr>
        <w:tc>
          <w:tcPr>
            <w:tcW w:type="dxa" w:w="3360"/>
            <w:shd w:fill="8B3DFF"/>
          </w:tcPr>
          <w:p>
            <w:pPr>
              <w:spacing w:after="60"/>
            </w:pPr>
            <w:r>
              <w:rPr>
                <w:color w:val="FFFFFF"/>
                <w:sz w:val="20"/>
              </w:rPr>
              <w:t>O06</w:t>
            </w:r>
          </w:p>
        </w:tc>
        <w:tc>
          <w:tcPr>
            <w:tcW w:type="dxa" w:w="3360"/>
            <w:shd w:fill="F4EEFF"/>
          </w:tcPr>
          <w:p>
            <w:pPr>
              <w:spacing w:after="60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type="dxa" w:w="3360"/>
            <w:shd w:fill="F4EEFF"/>
          </w:tcPr>
          <w:p>
            <w:pPr>
              <w:spacing w:after="60"/>
            </w:pPr>
            <w:r>
              <w:rPr>
                <w:color w:val="000000"/>
                <w:sz w:val="20"/>
              </w:rPr>
              <w:t>80</w:t>
            </w:r>
          </w:p>
        </w:tc>
      </w:tr>
    </w:tbl>
    <w:p>
      <w:pPr>
        <w:pStyle w:val="Heading2"/>
      </w:pPr>
      <w:r>
        <w:t>Competencia y versión</w:t>
      </w:r>
    </w:p>
    <w:p>
      <w:r>
        <w:t>________________________________________________________</w:t>
      </w:r>
    </w:p>
    <w:p>
      <w:pPr>
        <w:pStyle w:val="Heading2"/>
      </w:pPr>
      <w:r>
        <w:t>Consigna</w:t>
      </w:r>
    </w:p>
    <w:p>
      <w:r>
        <w:t>________________________________________________________</w:t>
      </w:r>
    </w:p>
    <w:p>
      <w:pPr>
        <w:pStyle w:val="Heading2"/>
      </w:pPr>
      <w:r>
        <w:t>Entradas</w:t>
      </w:r>
    </w:p>
    <w:p>
      <w:r>
        <w:t>________________________________________________________</w:t>
      </w:r>
    </w:p>
    <w:p>
      <w:pPr>
        <w:pStyle w:val="Heading2"/>
      </w:pPr>
      <w:r>
        <w:t>Condiciones</w:t>
      </w:r>
    </w:p>
    <w:p>
      <w:r>
        <w:t>________________________________________________________</w:t>
      </w:r>
    </w:p>
    <w:p>
      <w:pPr>
        <w:pStyle w:val="Heading2"/>
      </w:pPr>
      <w:r>
        <w:t>Criterios existentes</w:t>
      </w:r>
    </w:p>
    <w:p>
      <w:r>
        <w:t>________________________________________________________</w:t>
      </w:r>
    </w:p>
    <w:p>
      <w:pPr>
        <w:pStyle w:val="Heading2"/>
      </w:pPr>
      <w:r>
        <w:t>Observación</w:t>
      </w:r>
    </w:p>
    <w:p>
      <w:r>
        <w:t>________________________________________________________</w:t>
      </w:r>
    </w:p>
    <w:p>
      <w:pPr>
        <w:pStyle w:val="Heading2"/>
      </w:pPr>
      <w:r>
        <w:t>Incidencias</w:t>
      </w:r>
    </w:p>
    <w:p>
      <w:r>
        <w:t>________________________________________________________</w:t>
      </w:r>
    </w:p>
    <w:p>
      <w:pPr>
        <w:pStyle w:val="Heading2"/>
      </w:pPr>
      <w:r>
        <w:t>Conclusión limitada</w:t>
      </w:r>
    </w:p>
    <w:p>
      <w:r>
        <w:t>________________________________________________________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rlito" w:hAnsi="Carlito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00" w:line="240" w:lineRule="auto"/>
    </w:pPr>
    <w:rPr>
      <w:rFonts w:ascii="Carlito" w:hAnsi="Carlito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00" w:line="240" w:lineRule="auto"/>
    </w:pPr>
    <w:rPr>
      <w:rFonts w:ascii="Carlito" w:hAnsi="Carlito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rlito" w:hAnsi="Carlito"/>
      <w:b/>
      <w:bCs/>
      <w:color w:val="35234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rlito" w:hAnsi="Carlito"/>
      <w:b/>
      <w:bCs/>
      <w:color w:val="3523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rlito" w:hAnsi="Carlito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100"/>
      <w:outlineLvl w:val="3"/>
    </w:pPr>
    <w:rPr>
      <w:rFonts w:asciiTheme="majorHAnsi" w:eastAsiaTheme="majorEastAsia" w:hAnsiTheme="majorHAnsi" w:cstheme="majorBidi" w:ascii="Carlito" w:hAnsi="Carlito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100"/>
      <w:outlineLvl w:val="4"/>
    </w:pPr>
    <w:rPr>
      <w:rFonts w:asciiTheme="majorHAnsi" w:eastAsiaTheme="majorEastAsia" w:hAnsiTheme="majorHAnsi" w:cstheme="majorBidi" w:ascii="Carlito" w:hAnsi="Carlito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100"/>
      <w:outlineLvl w:val="5"/>
    </w:pPr>
    <w:rPr>
      <w:rFonts w:asciiTheme="majorHAnsi" w:eastAsiaTheme="majorEastAsia" w:hAnsiTheme="majorHAnsi" w:cstheme="majorBidi" w:ascii="Carlito" w:hAnsi="Carlito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100"/>
      <w:outlineLvl w:val="6"/>
    </w:pPr>
    <w:rPr>
      <w:rFonts w:asciiTheme="majorHAnsi" w:eastAsiaTheme="majorEastAsia" w:hAnsiTheme="majorHAnsi" w:cstheme="majorBidi" w:ascii="Carlito" w:hAnsi="Carlito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100"/>
      <w:outlineLvl w:val="7"/>
    </w:pPr>
    <w:rPr>
      <w:rFonts w:asciiTheme="majorHAnsi" w:eastAsiaTheme="majorEastAsia" w:hAnsiTheme="majorHAnsi" w:cstheme="majorBidi" w:ascii="Carlito" w:hAnsi="Carlito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100"/>
      <w:outlineLvl w:val="8"/>
    </w:pPr>
    <w:rPr>
      <w:rFonts w:asciiTheme="majorHAnsi" w:eastAsiaTheme="majorEastAsia" w:hAnsiTheme="majorHAnsi" w:cstheme="majorBidi" w:ascii="Carlito" w:hAnsi="Carlito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100" w:line="240" w:lineRule="auto"/>
    </w:pPr>
    <w:rPr>
      <w:rFonts w:ascii="Carlito" w:hAnsi="Carlito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arlito" w:hAnsi="Carlito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rlito" w:hAnsi="Carlito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100"/>
      <w:ind w:left="720"/>
      <w:contextualSpacing/>
    </w:pPr>
    <w:rPr>
      <w:rFonts w:ascii="Carlito" w:hAnsi="Carlito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/>
    </w:pPr>
    <w:rPr>
      <w:rFonts w:ascii="Carlito" w:hAnsi="Carlito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00" w:line="480" w:lineRule="auto"/>
    </w:pPr>
    <w:rPr>
      <w:rFonts w:ascii="Carlito" w:hAnsi="Carlito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00"/>
    </w:pPr>
    <w:rPr>
      <w:rFonts w:ascii="Carlito" w:hAnsi="Carlito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spacing w:after="100"/>
      <w:ind w:left="360" w:hanging="360"/>
      <w:contextualSpacing/>
    </w:pPr>
    <w:rPr>
      <w:rFonts w:ascii="Carlito" w:hAnsi="Carlito"/>
      <w:color w:val="000000"/>
    </w:rPr>
  </w:style>
  <w:style w:type="paragraph" w:styleId="List2">
    <w:name w:val="List 2"/>
    <w:basedOn w:val="Normal"/>
    <w:uiPriority w:val="99"/>
    <w:unhideWhenUsed/>
    <w:rsid w:val="00326F90"/>
    <w:pPr>
      <w:spacing w:after="100"/>
      <w:ind w:left="720" w:hanging="360"/>
      <w:contextualSpacing/>
    </w:pPr>
    <w:rPr>
      <w:rFonts w:ascii="Carlito" w:hAnsi="Carlito"/>
      <w:color w:val="000000"/>
    </w:rPr>
  </w:style>
  <w:style w:type="paragraph" w:styleId="List3">
    <w:name w:val="List 3"/>
    <w:basedOn w:val="Normal"/>
    <w:uiPriority w:val="99"/>
    <w:unhideWhenUsed/>
    <w:rsid w:val="00326F90"/>
    <w:pPr>
      <w:spacing w:after="100"/>
      <w:ind w:left="1080" w:hanging="360"/>
      <w:contextualSpacing/>
    </w:pPr>
    <w:rPr>
      <w:rFonts w:ascii="Carlito" w:hAnsi="Carlito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Carlito" w:hAnsi="Carlito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100"/>
      <w:contextualSpacing/>
    </w:pPr>
    <w:rPr>
      <w:rFonts w:ascii="Carlito" w:hAnsi="Carlito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100"/>
      <w:contextualSpacing/>
    </w:pPr>
    <w:rPr>
      <w:rFonts w:ascii="Carlito" w:hAnsi="Carlito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Carlito" w:hAnsi="Carlito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100"/>
      <w:contextualSpacing/>
    </w:pPr>
    <w:rPr>
      <w:rFonts w:ascii="Carlito" w:hAnsi="Carlito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spacing w:after="100"/>
      <w:contextualSpacing/>
    </w:pPr>
    <w:rPr>
      <w:rFonts w:ascii="Carlito" w:hAnsi="Carlito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00"/>
      <w:ind w:left="360"/>
      <w:contextualSpacing/>
    </w:pPr>
    <w:rPr>
      <w:rFonts w:ascii="Carlito" w:hAnsi="Carlito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00"/>
      <w:ind w:left="720"/>
      <w:contextualSpacing/>
    </w:pPr>
    <w:rPr>
      <w:rFonts w:ascii="Carlito" w:hAnsi="Carlito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00"/>
      <w:ind w:left="1080"/>
      <w:contextualSpacing/>
    </w:pPr>
    <w:rPr>
      <w:rFonts w:ascii="Carlito" w:hAnsi="Carlito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100"/>
    </w:pPr>
    <w:rPr>
      <w:rFonts w:ascii="Carlito" w:hAnsi="Carlito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after="100"/>
    </w:pPr>
    <w:rPr>
      <w:rFonts w:ascii="Carlito" w:hAnsi="Carlito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00"/>
    </w:pPr>
    <w:rPr>
      <w:rFonts w:ascii="Carlito" w:hAnsi="Carlito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100"/>
      <w:ind w:left="936" w:right="936"/>
    </w:pPr>
    <w:rPr>
      <w:rFonts w:ascii="Carlito" w:hAnsi="Carlito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spacing w:after="100"/>
      <w:outlineLvl w:val="9"/>
    </w:pPr>
    <w:rPr>
      <w:rFonts w:ascii="Carlito" w:hAnsi="Carlito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