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Pauta para justificar requisitos por cargo</w:t>
      </w:r>
    </w:p>
    <w:p>
      <w:pPr>
        <w:pStyle w:val="Subtitle"/>
      </w:pPr>
      <w:r>
        <w:t>Plantilla en blanco</w:t>
      </w:r>
    </w:p>
    <w:p>
      <w:r>
        <w:t>Un registro por cargo y competencia. Complete trabajo, conducta, razón y fuente antes de aprobar el nivel. Mantenga pendientes visibles. No registre niveles observados de personas ni sume o promedie los códigos. No es un certificado de validación.</w:t>
      </w:r>
    </w:p>
    <w:p>
      <w:pPr>
        <w:pStyle w:val="Heading2"/>
      </w:pPr>
      <w:r>
        <w:t>Registro de requisito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448"/>
        <w:gridCol w:w="5832"/>
      </w:tblGrid>
      <w:tr>
        <w:trPr>
          <w:cantSplit/>
          <w:tblHeader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/>
                <w:color w:val="FFFFFF"/>
                <w:sz w:val="20"/>
              </w:rPr>
              <w:t>Campo</w:t>
            </w:r>
          </w:p>
        </w:tc>
        <w:tc>
          <w:tcPr>
            <w:tcW w:type="dxa" w:w="5832"/>
            <w:shd w:fill="35234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/>
                <w:color w:val="FFFFFF"/>
                <w:sz w:val="20"/>
              </w:rPr>
              <w:t>Registro</w:t>
            </w:r>
          </w:p>
        </w:tc>
      </w:tr>
      <w:tr>
        <w:trPr>
          <w:cantSplit/>
          <w:trHeight w:val="547"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FFFFFF"/>
                <w:sz w:val="20"/>
              </w:rPr>
              <w:t>Cargo y trabajo</w:t>
            </w:r>
          </w:p>
        </w:tc>
        <w:tc>
          <w:tcPr>
            <w:tcW w:type="dxa" w:w="583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20252D"/>
                <w:sz w:val="20"/>
              </w:rPr>
            </w:r>
          </w:p>
        </w:tc>
      </w:tr>
      <w:tr>
        <w:trPr>
          <w:cantSplit/>
          <w:trHeight w:val="547"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FFFFFF"/>
                <w:sz w:val="20"/>
              </w:rPr>
              <w:t>Competencia y definición</w:t>
            </w:r>
          </w:p>
        </w:tc>
        <w:tc>
          <w:tcPr>
            <w:tcW w:type="dxa" w:w="5832"/>
            <w:shd w:fill="F4EE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20252D"/>
                <w:sz w:val="20"/>
              </w:rPr>
            </w:r>
          </w:p>
        </w:tc>
      </w:tr>
      <w:tr>
        <w:trPr>
          <w:cantSplit/>
          <w:trHeight w:val="547"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FFFFFF"/>
                <w:sz w:val="20"/>
              </w:rPr>
              <w:t>Conducta pertinente</w:t>
            </w:r>
          </w:p>
        </w:tc>
        <w:tc>
          <w:tcPr>
            <w:tcW w:type="dxa" w:w="583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20252D"/>
                <w:sz w:val="20"/>
              </w:rPr>
            </w:r>
          </w:p>
        </w:tc>
      </w:tr>
      <w:tr>
        <w:trPr>
          <w:cantSplit/>
          <w:trHeight w:val="547"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FFFFFF"/>
                <w:sz w:val="20"/>
              </w:rPr>
              <w:t>Nivel requerido</w:t>
            </w:r>
          </w:p>
        </w:tc>
        <w:tc>
          <w:tcPr>
            <w:tcW w:type="dxa" w:w="5832"/>
            <w:shd w:fill="F4EE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20252D"/>
                <w:sz w:val="20"/>
              </w:rPr>
            </w:r>
          </w:p>
        </w:tc>
      </w:tr>
      <w:tr>
        <w:trPr>
          <w:cantSplit/>
          <w:trHeight w:val="547"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FFFFFF"/>
                <w:sz w:val="20"/>
              </w:rPr>
              <w:t>Razón del requisito</w:t>
            </w:r>
          </w:p>
        </w:tc>
        <w:tc>
          <w:tcPr>
            <w:tcW w:type="dxa" w:w="583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20252D"/>
                <w:sz w:val="20"/>
              </w:rPr>
            </w:r>
          </w:p>
        </w:tc>
      </w:tr>
      <w:tr>
        <w:trPr>
          <w:cantSplit/>
          <w:trHeight w:val="547"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FFFFFF"/>
                <w:sz w:val="20"/>
              </w:rPr>
              <w:t>Fuente del trabajo</w:t>
            </w:r>
          </w:p>
        </w:tc>
        <w:tc>
          <w:tcPr>
            <w:tcW w:type="dxa" w:w="5832"/>
            <w:shd w:fill="F4EE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20252D"/>
                <w:sz w:val="20"/>
              </w:rPr>
            </w:r>
          </w:p>
        </w:tc>
      </w:tr>
      <w:tr>
        <w:trPr>
          <w:cantSplit/>
          <w:trHeight w:val="547"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FFFFFF"/>
                <w:sz w:val="20"/>
              </w:rPr>
              <w:t>Desacuerdo o pendiente</w:t>
            </w:r>
          </w:p>
        </w:tc>
        <w:tc>
          <w:tcPr>
            <w:tcW w:type="dxa" w:w="583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20252D"/>
                <w:sz w:val="20"/>
              </w:rPr>
            </w:r>
          </w:p>
        </w:tc>
      </w:tr>
      <w:tr>
        <w:trPr>
          <w:cantSplit/>
          <w:trHeight w:val="547"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FFFFFF"/>
                <w:sz w:val="20"/>
              </w:rPr>
              <w:t>Aprobación y alcance</w:t>
            </w:r>
          </w:p>
        </w:tc>
        <w:tc>
          <w:tcPr>
            <w:tcW w:type="dxa" w:w="5832"/>
            <w:shd w:fill="F4EE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20252D"/>
                <w:sz w:val="20"/>
              </w:rPr>
            </w:r>
          </w:p>
        </w:tc>
      </w:tr>
      <w:tr>
        <w:trPr>
          <w:cantSplit/>
          <w:trHeight w:val="547"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FFFFFF"/>
                <w:sz w:val="20"/>
              </w:rPr>
              <w:t>Versión y revisión</w:t>
            </w:r>
          </w:p>
        </w:tc>
        <w:tc>
          <w:tcPr>
            <w:tcW w:type="dxa" w:w="583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20252D"/>
                <w:sz w:val="20"/>
              </w:rPr>
            </w:r>
          </w:p>
        </w:tc>
      </w:tr>
    </w:tbl>
    <w:sectPr w:rsidR="00FC693F" w:rsidRPr="0006063C" w:rsidSect="00034616">
      <w:footerReference w:type="default" r:id="rId12"/>
      <w:pgSz w:w="11909" w:h="16834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40"/>
    </w:pPr>
    <w:rPr>
      <w:rFonts w:ascii="Carlito" w:hAnsi="Carlito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rlito" w:hAnsi="Carlito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Carlito" w:hAnsi="Carlito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rlito" w:hAnsi="Carlito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Carlito" w:hAnsi="Carli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rlito" w:hAnsi="Carlito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480" w:after="200"/>
      <w:outlineLvl w:val="1"/>
    </w:pPr>
    <w:rPr>
      <w:rFonts w:asciiTheme="majorHAnsi" w:eastAsiaTheme="majorEastAsia" w:hAnsiTheme="majorHAnsi" w:cstheme="majorBidi" w:ascii="Carlito" w:hAnsi="Carlito"/>
      <w:b/>
      <w:bCs/>
      <w:color w:val="35234F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60" w:after="200"/>
      <w:outlineLvl w:val="2"/>
    </w:pPr>
    <w:rPr>
      <w:rFonts w:asciiTheme="majorHAnsi" w:eastAsiaTheme="majorEastAsia" w:hAnsiTheme="majorHAnsi" w:cstheme="majorBidi" w:ascii="Carlito" w:hAnsi="Carlito"/>
      <w:b/>
      <w:bCs/>
      <w:color w:val="35234F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Carlito" w:hAnsi="Carlito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Carlito" w:hAnsi="Carlito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Carlito" w:hAnsi="Carlito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Carlito" w:hAnsi="Carlito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Carlito" w:hAnsi="Carlito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Carlito" w:hAnsi="Carlito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Carlito" w:hAnsi="Carlito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Carlito" w:hAnsi="Carlito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ascii="Carlito" w:hAnsi="Carlito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ascii="Carlito" w:hAnsi="Carlito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ascii="Carlito" w:hAnsi="Carlito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40" w:lineRule="auto" w:before="0"/>
      <w:contextualSpacing/>
    </w:pPr>
    <w:rPr>
      <w:rFonts w:asciiTheme="majorHAnsi" w:eastAsiaTheme="majorEastAsia" w:hAnsiTheme="majorHAnsi" w:cstheme="majorBidi" w:ascii="Carlito" w:hAnsi="Carlito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ascii="Carlito" w:hAnsi="Carlito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rlito" w:hAnsi="Carlito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ascii="Carlito" w:hAnsi="Carlito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Carlito" w:hAnsi="Carlito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Carlito" w:hAnsi="Carlito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Carlito" w:hAnsi="Carlito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Carlito" w:hAnsi="Carlito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Carlito" w:hAnsi="Carlito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Carlito" w:hAnsi="Carlito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Carlito" w:hAnsi="Carlito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Carlito" w:hAnsi="Carlito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Carlito" w:hAnsi="Carlito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Carlito" w:hAnsi="Carlito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40" w:line="300" w:lineRule="auto"/>
      <w:contextualSpacing/>
    </w:pPr>
    <w:rPr>
      <w:rFonts w:ascii="Carlito" w:hAnsi="Carlito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Carlito" w:hAnsi="Carlito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Carlito" w:hAnsi="Carlito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40" w:line="300" w:lineRule="auto"/>
      <w:contextualSpacing/>
    </w:pPr>
    <w:rPr>
      <w:rFonts w:ascii="Carlito" w:hAnsi="Carlito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Carlito" w:hAnsi="Carlito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Carlito" w:hAnsi="Carlito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Carlito" w:hAnsi="Carlito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Carlito" w:hAnsi="Carlito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Carlito" w:hAnsi="Carlito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arlito" w:hAnsi="Carlito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arlito" w:hAnsi="Carlito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Carlito" w:hAnsi="Carlito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Carlito" w:hAnsi="Carlito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ascii="Carlito" w:hAnsi="Carlito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ascii="Carlito" w:hAnsi="Carlito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ascii="Carlito" w:hAnsi="Carlito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ascii="Carlito" w:hAnsi="Carlito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ascii="Carlito" w:hAnsi="Carlito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ascii="Carlito" w:hAnsi="Carlito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Carlito" w:hAnsi="Carlito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Carlito" w:hAnsi="Carlito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Carlito" w:hAnsi="Carlito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Carlito" w:hAnsi="Carlito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Carlito" w:hAnsi="Carlito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Carlito" w:hAnsi="Carlito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Carlito" w:hAnsi="Carlito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Carlito" w:hAnsi="Carlito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Carlito" w:hAnsi="Carlito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Carlito" w:hAnsi="Carlito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Carlito" w:hAnsi="Carlito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yperlink" Target="https://www.opm.gov/policy-data-oversight/assessment-and-selection/competencies/" TargetMode="External"/><Relationship Id="rId11" Type="http://schemas.openxmlformats.org/officeDocument/2006/relationships/hyperlink" Target="https://www.opm.gov/policy-data-oversight/performance-management/reference-materials/articles/developing-performance-standards/" TargetMode="External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Evaluación de desempeño por competencias: criterios y ejemplo por cargo</dc:title>
  <dc:subject/>
  <dc:creator>Ralun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